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4"/>
        <w:rPr>
          <w:rFonts w:hint="eastAsia"/>
        </w:rPr>
      </w:pPr>
      <w:r>
        <w:rPr>
          <w:rFonts w:hint="eastAsia"/>
        </w:rPr>
      </w:r>
      <w:r/>
    </w:p>
    <w:p>
      <w:pPr>
        <w:pStyle w:val="96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2"/>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樱花小学等校功能室等设备采购</w:t>
      </w:r>
      <w:r>
        <w:rPr>
          <w:rFonts w:eastAsia="宋体" w:cs="Times New Roman"/>
          <w:b/>
          <w:color w:val="000000"/>
          <w:sz w:val="30"/>
          <w:szCs w:val="30"/>
          <w:u w:val="single"/>
          <w:lang w:val="en-US" w:eastAsia="zh-CN"/>
        </w:rPr>
      </w:r>
      <w:r/>
    </w:p>
    <w:p>
      <w:pPr>
        <w:pStyle w:val="872"/>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0173</w:t>
      </w:r>
      <w:r>
        <w:rPr>
          <w:rFonts w:eastAsia="宋体" w:cs="Times New Roman"/>
          <w:b/>
          <w:color w:val="000000"/>
          <w:sz w:val="30"/>
          <w:szCs w:val="30"/>
          <w:lang w:val="en-US" w:eastAsia="zh-CN"/>
        </w:rPr>
      </w:r>
      <w:r/>
    </w:p>
    <w:p>
      <w:pPr>
        <w:pStyle w:val="872"/>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3"/>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2"/>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72"/>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87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2"/>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2"/>
        <w:jc w:val="left"/>
        <w:spacing w:before="120" w:after="120" w:line="360" w:lineRule="auto"/>
        <w:rPr>
          <w:rFonts w:hint="eastAsia" w:ascii="Times New Roman" w:hAnsi="Times New Roman" w:eastAsia="宋体"/>
          <w:color w:val="000000"/>
          <w:szCs w:val="21"/>
          <w:lang w:eastAsia="zh-CN"/>
        </w:rPr>
      </w:pPr>
      <w:r>
        <w:rPr>
          <w:rFonts w:hint="eastAsia" w:ascii="Times New Roman" w:hAnsi="Times New Roman" w:eastAsia="宋体"/>
          <w:color w:val="000000"/>
          <w:szCs w:val="21"/>
          <w:lang w:eastAsia="zh-CN"/>
        </w:rPr>
      </w:r>
      <w:r/>
    </w:p>
    <w:p>
      <w:pPr>
        <w:pStyle w:val="872"/>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cs="Times New Roman"/>
          <w:b/>
          <w:color w:val="000000"/>
          <w:sz w:val="44"/>
          <w:szCs w:val="21"/>
        </w:rPr>
        <w:t xml:space="preserve">总目录</w:t>
      </w:r>
      <w:r>
        <w:rPr>
          <w:rFonts w:hint="eastAsia" w:ascii="黑体" w:hAnsi="Arial" w:eastAsia="黑体"/>
          <w:b/>
          <w:color w:val="000000"/>
          <w:sz w:val="44"/>
          <w:szCs w:val="21"/>
        </w:rPr>
      </w:r>
      <w:r/>
    </w:p>
    <w:p>
      <w:pPr>
        <w:pStyle w:val="87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70</w:t>
      </w:r>
      <w:r>
        <w:rPr>
          <w:rFonts w:hint="eastAsia" w:ascii="黑体" w:hAnsi="宋体" w:eastAsia="黑体" w:cs="Times New Roman"/>
          <w:color w:val="000000"/>
          <w:sz w:val="36"/>
          <w:szCs w:val="21"/>
        </w:rPr>
      </w:r>
      <w:r/>
    </w:p>
    <w:p>
      <w:pPr>
        <w:pStyle w:val="87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74</w:t>
      </w:r>
      <w:r>
        <w:rPr>
          <w:rFonts w:hint="eastAsia" w:ascii="黑体" w:hAnsi="宋体" w:eastAsia="黑体" w:cs="Times New Roman"/>
          <w:color w:val="000000"/>
          <w:sz w:val="36"/>
          <w:szCs w:val="21"/>
        </w:rPr>
      </w:r>
      <w:r/>
    </w:p>
    <w:p>
      <w:pPr>
        <w:pStyle w:val="872"/>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2"/>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第一章投标邀请</w:t>
      </w:r>
      <w:r>
        <w:rPr>
          <w:rFonts w:hint="eastAsia" w:ascii="方正小标宋简体" w:hAnsi="方正小标宋简体" w:eastAsia="方正小标宋简体" w:cs="方正小标宋简体"/>
          <w:color w:val="000000"/>
          <w:sz w:val="36"/>
          <w:szCs w:val="36"/>
        </w:rPr>
      </w:r>
      <w:r/>
    </w:p>
    <w:p>
      <w:pPr>
        <w:pStyle w:val="872"/>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2"/>
        <w:ind w:firstLine="480"/>
        <w:pageBreakBefore w:val="0"/>
        <w:spacing w:line="252" w:lineRule="auto"/>
        <w:widowControl w:val="off"/>
        <w:rPr>
          <w:rFonts w:ascii="宋体" w:hAnsi="宋体"/>
          <w:color w:val="000000"/>
          <w:sz w:val="24"/>
          <w:szCs w:val="24"/>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南京市玄武区教育局</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樱花小学等校功能室等设备采购</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2"/>
        <w:ind w:firstLine="480"/>
        <w:pageBreakBefore w:val="0"/>
        <w:spacing w:line="252" w:lineRule="auto"/>
        <w:widowControl w:val="off"/>
        <w:rPr>
          <w:rFonts w:ascii="宋体" w:hAnsi="宋体"/>
          <w:color w:val="000000"/>
          <w:sz w:val="24"/>
          <w:szCs w:val="24"/>
          <w:lang w:val="en-US"/>
        </w:rPr>
      </w:pPr>
      <w:r/>
      <w:bookmarkEnd w:id="11"/>
      <w:r/>
      <w:bookmarkStart w:id="12" w:name="_Toc28359003"/>
      <w:r/>
      <w:bookmarkStart w:id="13" w:name="_Toc38985264"/>
      <w:r/>
      <w:bookmarkStart w:id="14" w:name="_Toc35393791"/>
      <w:r/>
      <w:bookmarkStart w:id="15" w:name="_Toc28359080"/>
      <w:r/>
      <w:bookmarkStart w:id="16" w:name="_Toc35393622"/>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0173</w:t>
      </w:r>
      <w:r>
        <w:rPr>
          <w:rFonts w:ascii="宋体" w:hAnsi="宋体"/>
          <w:color w:val="000000"/>
          <w:sz w:val="24"/>
          <w:szCs w:val="24"/>
          <w:lang w:val="en-US"/>
        </w:rPr>
      </w:r>
      <w:r/>
    </w:p>
    <w:p>
      <w:pPr>
        <w:pStyle w:val="872"/>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樱花小学等校功能室等设备采购</w:t>
      </w:r>
      <w:r>
        <w:rPr>
          <w:rFonts w:hint="eastAsia" w:ascii="宋体" w:hAnsi="宋体" w:eastAsia="宋体"/>
          <w:color w:val="000000"/>
          <w:sz w:val="24"/>
          <w:szCs w:val="24"/>
          <w:lang w:eastAsia="zh-CN"/>
        </w:rPr>
      </w:r>
      <w:r/>
    </w:p>
    <w:p>
      <w:pPr>
        <w:pStyle w:val="872"/>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279</w:t>
      </w:r>
      <w:r>
        <w:rPr>
          <w:rFonts w:hint="eastAsia" w:ascii="宋体" w:hAnsi="宋体"/>
          <w:color w:val="000000"/>
          <w:sz w:val="24"/>
          <w:szCs w:val="24"/>
        </w:rPr>
        <w:t xml:space="preserve">万元</w:t>
      </w:r>
      <w:r>
        <w:rPr>
          <w:rFonts w:ascii="宋体" w:hAnsi="宋体"/>
          <w:color w:val="000000"/>
          <w:sz w:val="24"/>
          <w:szCs w:val="24"/>
        </w:rPr>
      </w:r>
      <w:r/>
    </w:p>
    <w:p>
      <w:pPr>
        <w:pStyle w:val="872"/>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266.2802</w:t>
      </w:r>
      <w:r>
        <w:rPr>
          <w:rFonts w:hint="eastAsia" w:ascii="宋体" w:hAnsi="宋体"/>
          <w:color w:val="000000"/>
          <w:sz w:val="24"/>
          <w:szCs w:val="24"/>
        </w:rPr>
        <w:t xml:space="preserve">万元</w:t>
      </w:r>
      <w:r>
        <w:rPr>
          <w:rFonts w:hint="eastAsia" w:ascii="宋体" w:hAnsi="宋体" w:eastAsia="宋体"/>
          <w:color w:val="000000"/>
          <w:sz w:val="24"/>
          <w:szCs w:val="24"/>
          <w:lang w:val="en-US" w:eastAsia="zh-CN"/>
        </w:rPr>
      </w:r>
      <w:r/>
    </w:p>
    <w:p>
      <w:pPr>
        <w:pStyle w:val="872"/>
        <w:ind w:firstLine="480"/>
        <w:pageBreakBefore w:val="0"/>
        <w:spacing w:line="252" w:lineRule="auto"/>
        <w:widowControl w:val="off"/>
        <w:rPr>
          <w:rFonts w:hint="eastAsia" w:ascii="宋体" w:hAnsi="宋体" w:eastAsia="宋体"/>
          <w:color w:val="000000"/>
          <w:sz w:val="24"/>
          <w:szCs w:val="24"/>
          <w:u w:val="single"/>
          <w:lang w:eastAsia="zh-CN"/>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为</w:t>
      </w:r>
      <w:r>
        <w:rPr>
          <w:rFonts w:hint="eastAsia" w:ascii="宋体" w:hAnsi="宋体" w:eastAsia="宋体" w:cs="Times New Roman"/>
          <w:color w:val="000000"/>
          <w:sz w:val="24"/>
          <w:szCs w:val="24"/>
          <w:lang w:val="en-US" w:eastAsia="zh-CN"/>
        </w:rPr>
        <w:t xml:space="preserve">改善学校教学环境，满足学校教育教学需要，拟采购</w:t>
      </w:r>
      <w:r>
        <w:rPr>
          <w:rFonts w:hint="eastAsia" w:ascii="宋体" w:hAnsi="宋体"/>
          <w:color w:val="000000"/>
          <w:sz w:val="24"/>
          <w:szCs w:val="24"/>
          <w:lang w:val="en-US" w:eastAsia="zh-CN"/>
        </w:rPr>
        <w:t xml:space="preserve">南京市科利华中学梅园校区会议室LED电子屏，多校功能室改造空调、触控一体机等。</w:t>
      </w:r>
      <w:r>
        <w:rPr>
          <w:rFonts w:hint="eastAsia" w:ascii="宋体" w:hAnsi="宋体" w:cs="宋体"/>
          <w:color w:val="000000"/>
          <w:sz w:val="24"/>
          <w:szCs w:val="24"/>
        </w:rPr>
        <w:t xml:space="preserve">（详细内容见本招标文件第四章）</w:t>
      </w:r>
      <w:r>
        <w:rPr>
          <w:rFonts w:hint="eastAsia" w:ascii="宋体" w:hAnsi="宋体" w:eastAsia="宋体"/>
          <w:color w:val="000000"/>
          <w:sz w:val="24"/>
          <w:szCs w:val="24"/>
          <w:u w:val="single"/>
          <w:lang w:eastAsia="zh-CN"/>
        </w:rPr>
      </w:r>
      <w:r/>
    </w:p>
    <w:p>
      <w:pPr>
        <w:pStyle w:val="872"/>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50天</w:t>
      </w:r>
      <w:r>
        <w:rPr>
          <w:rFonts w:hint="eastAsia" w:ascii="宋体" w:hAnsi="宋体" w:eastAsia="宋体"/>
          <w:color w:val="000000"/>
          <w:sz w:val="24"/>
          <w:szCs w:val="24"/>
          <w:lang w:eastAsia="zh-CN"/>
        </w:rPr>
      </w:r>
      <w:r/>
    </w:p>
    <w:p>
      <w:pPr>
        <w:pStyle w:val="872"/>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2"/>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2"/>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28359081"/>
      <w:r/>
      <w:bookmarkStart w:id="18" w:name="_Toc35393623"/>
      <w:r/>
      <w:bookmarkStart w:id="19" w:name="_Toc35393792"/>
      <w:r/>
      <w:bookmarkStart w:id="20" w:name="_Toc38985265"/>
      <w:r/>
      <w:bookmarkStart w:id="21" w:name="_Toc28359004"/>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2"/>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2"/>
        <w:ind w:firstLine="480"/>
        <w:pageBreakBefore w:val="0"/>
        <w:spacing w:line="252" w:lineRule="auto"/>
        <w:widowControl w:val="off"/>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供应商信用承诺函（</w:t>
      </w:r>
      <w:r>
        <w:rPr>
          <w:rFonts w:hint="eastAsia" w:ascii="宋体" w:hAnsi="宋体" w:eastAsia="宋体" w:cs="Times New Roman"/>
          <w:sz w:val="24"/>
          <w:szCs w:val="24"/>
          <w:highlight w:val="none"/>
          <w:lang w:val="zh-CN" w:eastAsia="zh-CN"/>
        </w:rPr>
        <w:t xml:space="preserve">格式见第六章</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zh-CN" w:eastAsia="zh-CN"/>
        </w:rPr>
        <w:t xml:space="preserve">。</w:t>
      </w:r>
      <w:r>
        <w:rPr>
          <w:rFonts w:hint="eastAsia" w:ascii="宋体" w:hAnsi="宋体" w:eastAsia="宋体" w:cs="Times New Roman"/>
          <w:sz w:val="24"/>
          <w:szCs w:val="24"/>
          <w:highlight w:val="none"/>
          <w:lang w:val="zh-CN" w:eastAsia="zh-CN"/>
        </w:rPr>
      </w:r>
      <w:r/>
    </w:p>
    <w:p>
      <w:pPr>
        <w:pStyle w:val="872"/>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zh-CN"/>
        </w:rPr>
        <w:t xml:space="preserve">2.落实政府采购政策需满足的资格要求：</w:t>
      </w:r>
      <w:r>
        <w:rPr>
          <w:rFonts w:hint="eastAsia" w:ascii="宋体" w:hAnsi="宋体" w:eastAsia="宋体" w:cs="Times New Roman"/>
          <w:sz w:val="24"/>
          <w:szCs w:val="24"/>
          <w:highlight w:val="none"/>
          <w:lang w:val="en-US" w:eastAsia="zh-CN"/>
        </w:rPr>
        <w:t xml:space="preserve">无。</w:t>
      </w:r>
      <w:r>
        <w:rPr>
          <w:rFonts w:hint="eastAsia" w:ascii="宋体" w:hAnsi="宋体" w:eastAsia="宋体" w:cs="Times New Roman"/>
          <w:sz w:val="24"/>
          <w:szCs w:val="24"/>
          <w:highlight w:val="none"/>
          <w:lang w:val="en-US" w:eastAsia="zh-CN"/>
        </w:rPr>
      </w:r>
      <w:r/>
    </w:p>
    <w:p>
      <w:pPr>
        <w:pStyle w:val="872"/>
        <w:ind w:firstLine="480"/>
        <w:pageBreakBefore w:val="0"/>
        <w:spacing w:line="252" w:lineRule="auto"/>
        <w:widowControl w:val="off"/>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3.在</w:t>
      </w:r>
      <w:r>
        <w:rPr>
          <w:rFonts w:hint="eastAsia" w:ascii="宋体" w:hAnsi="宋体" w:eastAsia="宋体" w:cs="Times New Roman"/>
          <w:sz w:val="24"/>
          <w:szCs w:val="24"/>
          <w:highlight w:val="none"/>
          <w:lang w:val="zh-CN"/>
        </w:rPr>
        <w:t xml:space="preserve">“信用中国”网站（www.creditchina.gov.cn）</w:t>
      </w:r>
      <w:r>
        <w:rPr>
          <w:rFonts w:hint="eastAsia" w:ascii="宋体" w:hAnsi="宋体" w:eastAsia="宋体" w:cs="Times New Roman"/>
          <w:sz w:val="24"/>
          <w:szCs w:val="24"/>
          <w:highlight w:val="none"/>
          <w:lang w:val="en-US" w:eastAsia="zh-CN"/>
        </w:rPr>
        <w:t xml:space="preserve">查询，不存在被</w:t>
      </w:r>
      <w:r>
        <w:rPr>
          <w:rFonts w:hint="eastAsia" w:ascii="宋体" w:hAnsi="宋体" w:eastAsia="宋体" w:cs="Times New Roman"/>
          <w:sz w:val="24"/>
          <w:szCs w:val="24"/>
          <w:highlight w:val="none"/>
          <w:lang w:val="zh-CN"/>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highlight w:val="none"/>
          <w:lang w:val="en-US" w:eastAsia="zh-CN"/>
        </w:rPr>
        <w:t xml:space="preserve">投标</w:t>
      </w:r>
      <w:r>
        <w:rPr>
          <w:rFonts w:hint="eastAsia" w:ascii="宋体" w:hAnsi="宋体" w:eastAsia="宋体" w:cs="Times New Roman"/>
          <w:sz w:val="24"/>
          <w:szCs w:val="24"/>
          <w:highlight w:val="none"/>
          <w:lang w:val="zh-CN"/>
        </w:rPr>
        <w:t xml:space="preserve">文件中无需提供证明材料）</w:t>
      </w:r>
      <w:r>
        <w:rPr>
          <w:rFonts w:hint="eastAsia" w:ascii="宋体" w:hAnsi="宋体" w:eastAsia="宋体" w:cs="Times New Roman"/>
          <w:sz w:val="24"/>
          <w:szCs w:val="24"/>
          <w:highlight w:val="none"/>
          <w:lang w:val="zh-CN"/>
        </w:rPr>
      </w:r>
      <w:r/>
    </w:p>
    <w:p>
      <w:pPr>
        <w:pStyle w:val="872"/>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zh-CN"/>
        </w:rPr>
        <w:t xml:space="preserve">（二）本项目特定资格要求</w:t>
      </w:r>
      <w:r>
        <w:rPr>
          <w:rFonts w:hint="eastAsia" w:ascii="宋体" w:hAnsi="宋体" w:eastAsia="宋体" w:cs="Times New Roman"/>
          <w:sz w:val="24"/>
          <w:szCs w:val="24"/>
          <w:highlight w:val="none"/>
          <w:lang w:val="zh-CN" w:eastAsia="zh-CN"/>
        </w:rPr>
        <w:t xml:space="preserve">：</w:t>
      </w:r>
      <w:r>
        <w:rPr>
          <w:rFonts w:hint="eastAsia" w:ascii="宋体" w:hAnsi="宋体" w:eastAsia="宋体" w:cs="Times New Roman"/>
          <w:sz w:val="24"/>
          <w:szCs w:val="24"/>
          <w:highlight w:val="none"/>
          <w:lang w:val="en-US" w:eastAsia="zh-CN"/>
        </w:rPr>
        <w:t xml:space="preserve">投标人具有</w:t>
      </w:r>
      <w:r>
        <w:rPr>
          <w:rFonts w:hint="eastAsia" w:ascii="宋体" w:hAnsi="宋体" w:eastAsia="宋体" w:cs="Times New Roman"/>
          <w:sz w:val="24"/>
          <w:szCs w:val="24"/>
          <w:highlight w:val="none"/>
          <w:lang w:val="zh-CN" w:eastAsia="zh-CN"/>
        </w:rPr>
        <w:t xml:space="preserve">有效期内建筑装修装饰工程专业承包二级及以上</w:t>
      </w:r>
      <w:r>
        <w:rPr>
          <w:rFonts w:hint="eastAsia" w:ascii="宋体" w:hAnsi="宋体" w:eastAsia="宋体" w:cs="Times New Roman"/>
          <w:sz w:val="24"/>
          <w:szCs w:val="24"/>
          <w:highlight w:val="none"/>
          <w:lang w:val="en-US" w:eastAsia="zh-CN"/>
        </w:rPr>
        <w:t xml:space="preserve">资质证书，或承诺涉及装修部分内容分包给具有</w:t>
      </w:r>
      <w:r>
        <w:rPr>
          <w:rFonts w:hint="eastAsia" w:ascii="宋体" w:hAnsi="宋体" w:eastAsia="宋体" w:cs="Times New Roman"/>
          <w:sz w:val="24"/>
          <w:szCs w:val="24"/>
          <w:highlight w:val="none"/>
          <w:lang w:val="zh-CN" w:eastAsia="zh-CN"/>
        </w:rPr>
        <w:t xml:space="preserve">有效期内建筑装修装饰工程专业承包二级及以上</w:t>
      </w:r>
      <w:r>
        <w:rPr>
          <w:rFonts w:hint="eastAsia" w:ascii="宋体" w:hAnsi="宋体" w:eastAsia="宋体" w:cs="Times New Roman"/>
          <w:sz w:val="24"/>
          <w:szCs w:val="24"/>
          <w:highlight w:val="none"/>
          <w:lang w:val="en-US" w:eastAsia="zh-CN"/>
        </w:rPr>
        <w:t xml:space="preserve">资质证书且经过采购人认可的供应商实施，提供《分包承诺书》</w:t>
      </w:r>
      <w:r>
        <w:rPr>
          <w:rFonts w:hint="eastAsia" w:ascii="宋体" w:hAnsi="宋体" w:eastAsia="宋体" w:cs="Times New Roman"/>
          <w:sz w:val="24"/>
          <w:szCs w:val="24"/>
          <w:highlight w:val="none"/>
          <w:lang w:val="zh-CN" w:eastAsia="zh-CN"/>
        </w:rPr>
        <w:t xml:space="preserve">（格式见第六章）。</w:t>
      </w:r>
      <w:r>
        <w:rPr>
          <w:rFonts w:hint="eastAsia" w:ascii="宋体" w:hAnsi="宋体" w:eastAsia="宋体" w:cs="Times New Roman"/>
          <w:sz w:val="24"/>
          <w:szCs w:val="24"/>
          <w:highlight w:val="none"/>
          <w:lang w:val="en-US" w:eastAsia="zh-CN"/>
        </w:rPr>
      </w:r>
      <w:r/>
    </w:p>
    <w:p>
      <w:pPr>
        <w:pStyle w:val="87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2"/>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2"/>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2"/>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84"/>
      <w:r/>
      <w:bookmarkStart w:id="29" w:name="_Toc35393625"/>
      <w:r/>
      <w:bookmarkStart w:id="30" w:name="_Toc28359007"/>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2"/>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2"/>
        <w:ind w:firstLine="480"/>
        <w:pageBreakBefore w:val="0"/>
        <w:spacing w:line="252"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5"/>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2"/>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28359085"/>
      <w:r/>
      <w:bookmarkStart w:id="37" w:name="_Toc35393796"/>
      <w:r/>
      <w:bookmarkStart w:id="38" w:name="_Toc35393627"/>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2"/>
        <w:ind w:firstLine="480"/>
        <w:pageBreakBefore w:val="0"/>
        <w:spacing w:line="252" w:lineRule="auto"/>
        <w:widowControl w:val="off"/>
        <w:rPr>
          <w:rFonts w:hint="eastAsia" w:ascii="宋体" w:hAnsi="宋体" w:eastAsia="宋体" w:cs="宋体"/>
          <w:color w:val="000000"/>
          <w:sz w:val="24"/>
          <w:szCs w:val="24"/>
          <w:highlight w:val="none"/>
          <w:u w: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u w:val="none"/>
          <w:lang w:val="en-US" w:eastAsia="zh-CN"/>
        </w:rPr>
        <w:t xml:space="preserve">本项目组织</w:t>
      </w:r>
      <w:r>
        <w:rPr>
          <w:rFonts w:hint="eastAsia" w:ascii="宋体" w:hAnsi="宋体" w:eastAsia="宋体" w:cs="宋体"/>
          <w:color w:val="000000"/>
          <w:sz w:val="24"/>
          <w:szCs w:val="24"/>
          <w:highlight w:val="none"/>
          <w:u w:val="none"/>
          <w:lang w:eastAsia="zh-CN"/>
        </w:rPr>
        <w:t xml:space="preserve">勘察及答疑，</w:t>
      </w:r>
      <w:r>
        <w:rPr>
          <w:rFonts w:hint="eastAsia" w:ascii="宋体" w:hAnsi="宋体" w:eastAsia="宋体" w:cs="宋体"/>
          <w:color w:val="000000"/>
          <w:sz w:val="24"/>
          <w:szCs w:val="24"/>
          <w:highlight w:val="none"/>
          <w:u w:val="none"/>
          <w:lang w:val="en-US" w:eastAsia="zh-CN"/>
        </w:rPr>
        <w:t xml:space="preserve">供应商代表携带加盖单位公章的营业执照复印件、法定代表人授权委托书、身份证参加。签到时间：</w:t>
      </w:r>
      <w:r>
        <w:rPr>
          <w:rFonts w:hint="eastAsia" w:ascii="宋体" w:hAnsi="宋体" w:eastAsia="宋体" w:cs="宋体"/>
          <w:bCs/>
          <w:color w:val="000000" w:themeColor="text1"/>
          <w:sz w:val="24"/>
          <w:szCs w:val="24"/>
          <w:u w:val="none"/>
          <w:lang w:val="en-US" w:eastAsia="zh-CN"/>
        </w:rPr>
        <w:t xml:space="preserve">2026年6月26日9时00分至9时10分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eastAsia="宋体" w:cs="宋体"/>
          <w:color w:val="000000"/>
          <w:sz w:val="24"/>
          <w:szCs w:val="24"/>
          <w:highlight w:val="none"/>
          <w:u w:val="none"/>
          <w:lang w:eastAsia="zh-CN"/>
        </w:rPr>
        <w:t xml:space="preserve">南京市玄武区梅园新村街道</w:t>
      </w:r>
      <w:r>
        <w:rPr>
          <w:rFonts w:hint="eastAsia" w:ascii="宋体" w:hAnsi="宋体" w:eastAsia="宋体" w:cs="宋体"/>
          <w:color w:val="000000"/>
          <w:sz w:val="24"/>
          <w:szCs w:val="24"/>
          <w:highlight w:val="none"/>
          <w:u w:val="none"/>
        </w:rPr>
        <w:fldChar w:fldCharType="begin"/>
      </w:r>
      <w:r>
        <w:rPr>
          <w:rFonts w:hint="eastAsia" w:ascii="宋体" w:hAnsi="宋体" w:eastAsia="宋体" w:cs="宋体"/>
          <w:color w:val="000000"/>
          <w:sz w:val="24"/>
          <w:szCs w:val="24"/>
          <w:highlight w:val="none"/>
          <w:u w:val="none"/>
        </w:rPr>
        <w:instrText xml:space="preserve"> HYPERLINK "https://nanjing.city8.com/jiaoyupeixun/52234000_7p3r_address" \o "大悲巷13号地理位置,地图定位,公交指南,周边配套" \t "https://nanjing.city8.com/jiaoyupeixun/_blank" </w:instrText>
      </w:r>
      <w:r>
        <w:rPr>
          <w:rFonts w:hint="eastAsia" w:ascii="宋体" w:hAnsi="宋体" w:eastAsia="宋体" w:cs="宋体"/>
          <w:color w:val="000000"/>
          <w:sz w:val="24"/>
          <w:szCs w:val="24"/>
          <w:highlight w:val="none"/>
          <w:u w:val="none"/>
        </w:rPr>
        <w:fldChar w:fldCharType="separate"/>
      </w:r>
      <w:r>
        <w:rPr>
          <w:rFonts w:hint="eastAsia" w:ascii="宋体" w:hAnsi="宋体" w:eastAsia="宋体" w:cs="宋体"/>
          <w:color w:val="000000"/>
          <w:sz w:val="24"/>
          <w:szCs w:val="24"/>
          <w:highlight w:val="none"/>
          <w:u w:val="none"/>
        </w:rPr>
        <w:t xml:space="preserve">大悲巷13号</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u w:val="none"/>
          <w:lang w:val="en-US" w:eastAsia="zh-CN"/>
        </w:rPr>
        <w:t xml:space="preserve">，联系人：蔡老师，联系电话：025-84550122</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872"/>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72"/>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2"/>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2"/>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采购人《质疑函》收件人：蔡荣庆，收件地址：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玄武</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如意里20</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b w:val="0"/>
          <w:bCs w:val="0"/>
          <w:color w:val="000000"/>
          <w:sz w:val="24"/>
          <w:lang w:val="en-US" w:eastAsia="zh-CN"/>
        </w:rPr>
        <w:t xml:space="preserve">联系电话：025-84550122。</w:t>
      </w:r>
      <w:r>
        <w:rPr>
          <w:rFonts w:ascii="宋体" w:hAnsi="宋体" w:eastAsia="宋体" w:cs="Times New Roman"/>
          <w:b w:val="0"/>
          <w:bCs w:val="0"/>
          <w:color w:val="000000"/>
          <w:sz w:val="24"/>
          <w:lang w:val="en-US" w:eastAsia="zh-CN"/>
        </w:rPr>
      </w:r>
      <w:r/>
    </w:p>
    <w:p>
      <w:pPr>
        <w:pStyle w:val="872"/>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2"/>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2"/>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lang w:val="en-US" w:eastAsia="zh-CN"/>
        </w:rPr>
        <w:t xml:space="preserve">南京市玄武区教育局</w:t>
      </w:r>
      <w:r>
        <w:rPr>
          <w:rFonts w:hint="eastAsia" w:ascii="宋体" w:hAnsi="宋体" w:eastAsia="宋体"/>
          <w:color w:val="000000"/>
          <w:sz w:val="24"/>
          <w:szCs w:val="24"/>
          <w:lang w:eastAsia="zh-CN"/>
        </w:rPr>
      </w:r>
      <w:r/>
    </w:p>
    <w:p>
      <w:pPr>
        <w:pStyle w:val="872"/>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地址：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玄武区</w:t>
      </w:r>
      <w:r>
        <w:rPr>
          <w:rFonts w:hint="eastAsia" w:ascii="宋体" w:hAnsi="宋体"/>
          <w:color w:val="000000"/>
          <w:sz w:val="24"/>
          <w:szCs w:val="24"/>
          <w:lang w:val="en-US" w:eastAsia="zh-CN"/>
        </w:rPr>
        <w:t xml:space="preserve">如意里20</w:t>
      </w:r>
      <w:r>
        <w:rPr>
          <w:rFonts w:hint="eastAsia" w:ascii="宋体" w:hAnsi="宋体" w:cs="宋体"/>
          <w:color w:val="000000"/>
          <w:sz w:val="24"/>
          <w:szCs w:val="24"/>
        </w:rPr>
        <w:t xml:space="preserve">号</w:t>
      </w:r>
      <w:r>
        <w:rPr>
          <w:rFonts w:hint="eastAsia" w:ascii="宋体" w:hAnsi="宋体" w:eastAsia="宋体"/>
          <w:color w:val="000000"/>
          <w:sz w:val="24"/>
          <w:szCs w:val="24"/>
          <w:lang w:eastAsia="zh-CN"/>
        </w:rPr>
      </w:r>
      <w:r/>
    </w:p>
    <w:p>
      <w:pPr>
        <w:pStyle w:val="872"/>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蔡老师</w:t>
      </w:r>
      <w:r>
        <w:rPr>
          <w:rFonts w:hint="eastAsia" w:ascii="宋体" w:hAnsi="宋体" w:eastAsia="宋体"/>
          <w:color w:val="000000"/>
          <w:sz w:val="24"/>
          <w:szCs w:val="24"/>
          <w:lang w:eastAsia="zh-CN"/>
        </w:rPr>
      </w:r>
      <w:r/>
    </w:p>
    <w:p>
      <w:pPr>
        <w:pStyle w:val="872"/>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84550122</w:t>
      </w:r>
      <w:bookmarkStart w:id="40" w:name="_Toc28359009"/>
      <w:r/>
      <w:bookmarkStart w:id="41" w:name="_Toc28359086"/>
      <w:r>
        <w:rPr>
          <w:rFonts w:hint="eastAsia" w:ascii="宋体" w:hAnsi="宋体" w:eastAsia="宋体"/>
          <w:color w:val="000000"/>
          <w:sz w:val="24"/>
          <w:szCs w:val="24"/>
          <w:lang w:eastAsia="zh-CN"/>
        </w:rPr>
      </w:r>
      <w:r/>
    </w:p>
    <w:p>
      <w:pPr>
        <w:pStyle w:val="87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72"/>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地址：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eastAsia="宋体"/>
          <w:color w:val="000000"/>
          <w:sz w:val="24"/>
          <w:szCs w:val="24"/>
          <w:lang w:eastAsia="zh-CN"/>
        </w:rPr>
      </w:r>
      <w:r/>
    </w:p>
    <w:p>
      <w:pPr>
        <w:pStyle w:val="872"/>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eastAsia="宋体"/>
          <w:color w:val="000000"/>
          <w:sz w:val="24"/>
          <w:szCs w:val="24"/>
          <w:lang w:eastAsia="zh-CN"/>
        </w:rPr>
      </w:r>
      <w:r/>
    </w:p>
    <w:p>
      <w:pPr>
        <w:pStyle w:val="872"/>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r>
      <w:r/>
    </w:p>
    <w:p>
      <w:pPr>
        <w:pStyle w:val="872"/>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w:t>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120614214"/>
      <w:r/>
      <w:bookmarkStart w:id="49" w:name="_Toc20823275"/>
      <w:r/>
      <w:bookmarkStart w:id="50" w:name="_Toc513029203"/>
      <w:r/>
      <w:bookmarkStart w:id="51" w:name="_Toc20823314"/>
      <w:r/>
      <w:bookmarkStart w:id="52" w:name="_Toc16938558"/>
      <w:r/>
      <w:bookmarkStart w:id="53" w:name="_Toc513029242"/>
      <w:r/>
      <w:bookmarkStart w:id="54" w:name="_Toc120614221"/>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16938522"/>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3.1本次招标及由此产生的合同受中华人民共和国有关的法律法规制约和保护。</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6.1招标文件由以下部分组成：</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513029212"/>
      <w:r/>
      <w:bookmarkStart w:id="83" w:name="_Toc462564071"/>
      <w:r/>
      <w:bookmarkStart w:id="84" w:name="_Toc20823284"/>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462564072"/>
      <w:r/>
      <w:bookmarkStart w:id="88" w:name="_Toc120614216"/>
      <w:r/>
      <w:bookmarkStart w:id="89" w:name="_Toc20823285"/>
      <w:r/>
      <w:bookmarkStart w:id="90" w:name="_Toc513029213"/>
      <w:r>
        <w:rPr>
          <w:rFonts w:hint="eastAsia" w:ascii="宋体" w:hAnsi="宋体" w:eastAsia="宋体" w:cs="Times New Roman"/>
          <w:color w:val="000000"/>
          <w:sz w:val="24"/>
        </w:rPr>
        <w:t xml:space="preserve">8.1在投标截止时间前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49090509"/>
      <w:r/>
      <w:bookmarkStart w:id="102" w:name="_Toc513029219"/>
      <w:r/>
      <w:bookmarkStart w:id="103" w:name="_Toc14577357"/>
      <w:r/>
      <w:bookmarkStart w:id="104" w:name="_Toc513029216"/>
      <w:r/>
      <w:bookmarkStart w:id="105" w:name="_Toc49090507"/>
      <w:r/>
      <w:bookmarkStart w:id="106" w:name="_Toc14577354"/>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86"/>
      <w:r/>
      <w:bookmarkEnd w:id="113"/>
      <w:r/>
      <w:bookmarkStart w:id="114" w:name="_Hlt26668983"/>
      <w:r/>
      <w:bookmarkEnd w:id="114"/>
      <w:r/>
      <w:bookmarkStart w:id="115" w:name="_Hlt26670425"/>
      <w:r/>
      <w:bookmarkEnd w:id="115"/>
      <w:r/>
      <w:bookmarkStart w:id="116" w:name="_Hlt26954846"/>
      <w:r/>
      <w:bookmarkEnd w:id="116"/>
      <w:r/>
      <w:bookmarkStart w:id="117" w:name="_Hlt26670403"/>
      <w:r/>
      <w:bookmarkEnd w:id="117"/>
      <w:r/>
      <w:bookmarkStart w:id="118" w:name="_Hlt26954848"/>
      <w:r/>
      <w:bookmarkEnd w:id="118"/>
      <w:r/>
      <w:bookmarkStart w:id="119" w:name="_Hlt26670482"/>
      <w:r/>
      <w:bookmarkEnd w:id="119"/>
      <w:r/>
      <w:bookmarkStart w:id="120" w:name="_Hlt26954842"/>
      <w:r/>
      <w:bookmarkEnd w:id="120"/>
      <w:r/>
      <w:bookmarkStart w:id="121" w:name="_Hlt26954844"/>
      <w:r/>
      <w:bookmarkEnd w:id="121"/>
      <w:r/>
      <w:bookmarkStart w:id="122" w:name="_Hlt26954731"/>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13.1投标人需对招标文件中的技术要求与商务要求逐项作出响应或偏离说明。</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13.2投标人可以在投标文件中提供认为需要的其他技术文件或说明。</w:t>
      </w:r>
      <w:r>
        <w:rPr>
          <w:rFonts w:hint="eastAsia" w:ascii="宋体" w:hAnsi="宋体" w:eastAsia="宋体" w:cs="Times New Roman"/>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2"/>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6938540"/>
      <w:r/>
      <w:bookmarkStart w:id="131" w:name="_Toc120614217"/>
      <w:r/>
      <w:bookmarkStart w:id="132" w:name="_Toc513029224"/>
      <w:r/>
      <w:bookmarkStart w:id="133" w:name="_Toc20823296"/>
      <w:r/>
      <w:bookmarkStart w:id="134" w:name="_Hlt26954739"/>
      <w:r/>
      <w:bookmarkEnd w:id="134"/>
      <w:r/>
      <w:bookmarkStart w:id="135" w:name="_Hlt26954852"/>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20823297"/>
      <w:r/>
      <w:bookmarkStart w:id="138" w:name="_Toc462564084"/>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513029227"/>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.1投标截止时间后上传的任何投标文件将被拒绝。</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16938544"/>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.1投标文件的撤回</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.1.1投标人可在投标截止时间前撤回其电子投标文件，具体操作方法见《操作手册》。</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.1.2投标人撤回电子投标文件，则认为其不再参与本项目投标活动。</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.2投标文件的修改</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.2.2投标截止时间之后，投标人不得对其电子投标文件作任何修改。</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.3在投标截止时间至招标文件中规定的投标有效期满之间的这段时间内，投标人不得撤回其投标。</w:t>
      </w:r>
      <w:bookmarkStart w:id="149" w:name="_Toc20823301"/>
      <w:r/>
      <w:bookmarkStart w:id="150" w:name="_Toc120614218"/>
      <w:r/>
      <w:bookmarkStart w:id="151" w:name="_Toc513029229"/>
      <w:r/>
      <w:bookmarkStart w:id="152" w:name="_Toc16938545"/>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513029231"/>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.2评委会由采购人代表和有关方面专家组成，人员构成符合政府采购有关规定。</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.1投标文件审查分为资格审查和符合性审查。</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513029235"/>
      <w:r/>
      <w:bookmarkStart w:id="170" w:name="_Toc20823307"/>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.1.1投标人在苏采云系统规定的时间内未成功解密电子投标文件。</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.1.2投标人未按照招标文件要求上传电子投标文件。</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.1.3同一投标人提交两个（含两个）以上不同的投标报价。</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.1.4投标人不具备招标文件中规定资格要求。</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.1.6未通过符合性审查。</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.2.1符合资格条件的供应商或者对招标文件作实质响应的供应商不足三家。</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.2.2出现影响采购公正的违法、违规行为。</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.2.3因重大变故采购任务取消。</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.2.4评委会认定招标文件存在歧义、重大缺陷导致评审工作无法进行。</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.2.5因苏采云系统故障造成开标不成功。</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2"/>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20823310"/>
      <w:r/>
      <w:bookmarkStart w:id="174" w:name="_Toc16938554"/>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.4.1提供虚假材料谋取中标。</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.4.5采取不正当手段诋毁、排挤其他供应商。</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.5.1不同投标人的投标文件由同一单位或者个人编制。</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.5.2不同投标人委托同一单位或者个人办理投标事宜。</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.5.3不同投标人的投标文件载明的项目管理成员或者联系人员为同一人。</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.5.4不同投标人的投标文件异常一致或者投标报价呈规律性差异。</w:t>
      </w:r>
      <w:r>
        <w:rPr>
          <w:rFonts w:hint="eastAsia" w:ascii="宋体" w:hAnsi="宋体" w:eastAsia="宋体" w:cs="Times New Roman"/>
          <w:color w:val="000000"/>
          <w:sz w:val="24"/>
          <w:lang w:val="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16938553"/>
      <w:r/>
      <w:bookmarkStart w:id="182" w:name="_Toc513029237"/>
      <w:r/>
      <w:bookmarkStart w:id="183"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2"/>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2.1对采购文件提出质疑的，为收到采购文件之日或者采购文件公告期限届满之日。</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2.2对采购过程提出质疑的，为各采购程序环节结束之日。</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2.3对中标或者成交结果提出质疑的，为中标或者成交结果公告期限届满之日。</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2"/>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6.1超出政府采购法定期限的质疑；</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2"/>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2"/>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2"/>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rPr>
          <w:rFonts w:hint="eastAsia" w:ascii="宋体" w:hAnsi="宋体" w:eastAsia="宋体" w:cs="Times New Roman"/>
          <w:color w:val="000000"/>
          <w:sz w:val="24"/>
          <w:lang w:val="zh-CN"/>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2"/>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2"/>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2"/>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2"/>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2"/>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6"/>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w:t>
      </w:r>
      <w:r>
        <w:rPr>
          <w:rFonts w:hint="eastAsia" w:ascii="宋体" w:hAnsi="宋体" w:eastAsia="宋体" w:cs="Times New Roman"/>
          <w:color w:val="000000"/>
          <w:sz w:val="24"/>
          <w:lang w:val="zh-CN" w:eastAsia="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6"/>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2"/>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2"/>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2"/>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2"/>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2"/>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2"/>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2"/>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2"/>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4"/>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2"/>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513029243"/>
      <w:r/>
      <w:bookmarkStart w:id="186" w:name="_Toc16938559"/>
      <w:r/>
      <w:bookmarkStart w:id="187" w:name="_Toc462564139"/>
      <w:r/>
      <w:bookmarkStart w:id="188" w:name="_Hlt16619350"/>
      <w:r/>
      <w:bookmarkStart w:id="189" w:name="_Toc120614244"/>
      <w:r/>
      <w:bookmarkStart w:id="190" w:name="_Toc16938590"/>
      <w:r/>
      <w:bookmarkStart w:id="191" w:name="_Toc20823346"/>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2"/>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2"/>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2"/>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项目名称：项目编号：</w:t>
      </w:r>
      <w:r>
        <w:rPr>
          <w:rFonts w:ascii="宋体" w:hAnsi="宋体" w:cs="Courier New"/>
          <w:color w:val="000000"/>
          <w:sz w:val="24"/>
          <w:szCs w:val="24"/>
        </w:rPr>
      </w:r>
      <w:r/>
    </w:p>
    <w:p>
      <w:pPr>
        <w:pStyle w:val="872"/>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2"/>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2"/>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1.1标的名称：</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2"/>
        <w:spacing w:line="240" w:lineRule="auto"/>
        <w:rPr>
          <w:rFonts w:hint="eastAsia"/>
        </w:rPr>
        <w:outlineLvl w:val="9"/>
      </w:pPr>
      <w:r>
        <w:rPr>
          <w:rFonts w:ascii="宋体" w:hAnsi="宋体" w:eastAsia="宋体" w:cs="宋体"/>
          <w:sz w:val="24"/>
          <w:szCs w:val="24"/>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7.1乙方不得将合同标的转包给他人履行。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8.1.3满足合同约定支付条件的，甲方收到乙方发票后10个工作日内，将资金支付到合同约定的乙方账户。</w:t>
      </w:r>
      <w:r>
        <w:rPr>
          <w:rFonts w:hint="eastAsia" w:ascii="宋体" w:hAnsi="宋体" w:eastAsia="宋体" w:cs="Courier New"/>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2"/>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2"/>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11.1甲方依法组织履约验收工作。</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2"/>
        <w:spacing w:line="264" w:lineRule="auto"/>
        <w:rPr>
          <w:rFonts w:eastAsia="宋体"/>
          <w:lang w:val="en-US" w:eastAsia="zh-CN"/>
        </w:rPr>
      </w:pPr>
      <w:r>
        <w:rPr>
          <w:rFonts w:hint="eastAsia" w:ascii="宋体" w:hAnsi="宋体" w:eastAsia="宋体" w:cs="Courier New"/>
          <w:color w:val="000000"/>
          <w:sz w:val="24"/>
          <w:szCs w:val="24"/>
        </w:rPr>
        <w:t xml:space="preserve">11.6验收合格的项目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eastAsia="宋体"/>
          <w:lang w:val="en-US" w:eastAsia="zh-CN"/>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12.2使用说明书、质量检验证明书、随配附件和工具以及清单一并附于货物内。</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12.4货物在交付甲方前发生的风险均由乙方负责。</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13.3乙方逾期交付货物的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lang w:eastAsia="zh-CN"/>
        </w:rPr>
      </w:pPr>
      <w:r/>
      <w:bookmarkEnd w:id="184"/>
      <w:r/>
      <w:bookmarkEnd w:id="185"/>
      <w:r/>
      <w:bookmarkEnd w:id="186"/>
      <w:r/>
      <w:bookmarkStart w:id="193" w:name="_Hlt16619369"/>
      <w:r/>
      <w:bookmarkEnd w:id="193"/>
      <w:r>
        <w:rPr>
          <w:rFonts w:hint="eastAsia" w:hAnsi="宋体" w:eastAsia="宋体" w:cs="Courier New"/>
          <w:sz w:val="24"/>
          <w:szCs w:val="24"/>
          <w:lang w:eastAsia="zh-CN"/>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lang w:eastAsia="zh-CN"/>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lang w:eastAsia="zh-CN"/>
        </w:rPr>
      </w:r>
      <w:r/>
    </w:p>
    <w:p>
      <w:pPr>
        <w:pStyle w:val="912"/>
        <w:keepLines w:val="0"/>
        <w:keepNext w:val="0"/>
        <w:pageBreakBefore w:val="0"/>
        <w:spacing w:before="120" w:after="120" w:line="264" w:lineRule="auto"/>
        <w:widowControl w:val="off"/>
        <w:rPr>
          <w:rFonts w:hint="eastAsia" w:hAnsi="宋体" w:eastAsia="宋体" w:cs="Courier New"/>
          <w:sz w:val="24"/>
          <w:szCs w:val="24"/>
          <w:lang w:eastAsia="zh-CN"/>
        </w:rPr>
      </w:pPr>
      <w:r>
        <w:rPr>
          <w:rFonts w:hint="eastAsia" w:hAnsi="宋体" w:eastAsia="宋体" w:cs="Courier New"/>
          <w:sz w:val="24"/>
          <w:szCs w:val="24"/>
        </w:rPr>
        <w:t xml:space="preserve">地址：地址：</w:t>
      </w:r>
      <w:r>
        <w:rPr>
          <w:rFonts w:hint="eastAsia" w:hAnsi="宋体" w:eastAsia="宋体" w:cs="Courier New"/>
          <w:sz w:val="24"/>
          <w:szCs w:val="24"/>
          <w:lang w:eastAsia="zh-CN"/>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法定代表人或授权代表：法定代表人或授权代表：</w:t>
      </w:r>
      <w:r>
        <w:rPr>
          <w:rFonts w:hint="eastAsia" w:hAnsi="宋体" w:eastAsia="宋体" w:cs="Courier New"/>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lang w:eastAsia="zh-CN"/>
        </w:rPr>
      </w:pPr>
      <w:r>
        <w:rPr>
          <w:rFonts w:hint="eastAsia" w:hAnsi="宋体" w:eastAsia="宋体" w:cs="Courier New"/>
          <w:sz w:val="24"/>
          <w:szCs w:val="24"/>
        </w:rPr>
        <w:t xml:space="preserve">联系电话：联系电话：</w:t>
      </w:r>
      <w:r>
        <w:rPr>
          <w:rFonts w:hint="eastAsia" w:hAnsi="宋体" w:eastAsia="宋体" w:cs="Courier New"/>
          <w:sz w:val="24"/>
          <w:szCs w:val="24"/>
          <w:lang w:eastAsia="zh-CN"/>
        </w:rPr>
      </w:r>
      <w:r/>
    </w:p>
    <w:p>
      <w:pPr>
        <w:pStyle w:val="912"/>
        <w:keepLines w:val="0"/>
        <w:keepNext w:val="0"/>
        <w:pageBreakBefore w:val="0"/>
        <w:spacing w:before="120" w:after="120" w:line="264" w:lineRule="auto"/>
        <w:widowControl w:val="off"/>
        <w:rPr>
          <w:rFonts w:hint="eastAsia" w:hAnsi="宋体" w:eastAsia="宋体" w:cs="Courier New"/>
          <w:sz w:val="24"/>
          <w:szCs w:val="24"/>
          <w:lang w:eastAsia="zh-CN"/>
        </w:rPr>
      </w:pPr>
      <w:r>
        <w:rPr>
          <w:rFonts w:hint="eastAsia" w:hAnsi="宋体" w:eastAsia="宋体" w:cs="Courier New"/>
          <w:sz w:val="24"/>
          <w:szCs w:val="24"/>
          <w:lang w:eastAsia="zh-CN"/>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lang w:eastAsia="zh-CN"/>
        </w:rPr>
      </w:pPr>
      <w:r>
        <w:rPr>
          <w:rFonts w:hint="eastAsia" w:hAnsi="宋体" w:eastAsia="宋体" w:cs="Courier New"/>
          <w:sz w:val="24"/>
          <w:szCs w:val="24"/>
        </w:rPr>
        <w:t xml:space="preserve">签订日期：</w:t>
      </w:r>
      <w:r>
        <w:rPr>
          <w:rFonts w:hint="eastAsia" w:hAnsi="宋体" w:eastAsia="宋体" w:cs="Courier New"/>
          <w:sz w:val="24"/>
          <w:szCs w:val="24"/>
          <w:lang w:eastAsia="zh-CN"/>
        </w:rPr>
      </w:r>
      <w:r/>
    </w:p>
    <w:p>
      <w:pPr>
        <w:pStyle w:val="872"/>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2"/>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2"/>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2"/>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2"/>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2"/>
        <w:ind w:firstLine="480"/>
        <w:keepLines w:val="0"/>
        <w:keepNext w:val="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为</w:t>
      </w:r>
      <w:r>
        <w:rPr>
          <w:rFonts w:hint="eastAsia" w:ascii="宋体" w:hAnsi="宋体" w:eastAsia="宋体" w:cs="Times New Roman"/>
          <w:color w:val="000000"/>
          <w:sz w:val="24"/>
          <w:szCs w:val="24"/>
          <w:lang w:val="en-US" w:eastAsia="zh-CN"/>
        </w:rPr>
        <w:t xml:space="preserve">改善学校教学环境，满足学校教育教学需要，拟采购</w:t>
      </w:r>
      <w:r>
        <w:rPr>
          <w:rFonts w:hint="eastAsia" w:ascii="宋体" w:hAnsi="宋体"/>
          <w:color w:val="000000"/>
          <w:sz w:val="24"/>
          <w:szCs w:val="24"/>
          <w:lang w:val="en-US" w:eastAsia="zh-CN"/>
        </w:rPr>
        <w:t xml:space="preserve">南京市科利华中学梅园校区会议室LED电子屏、多校功能室改造空调、触控一体机等。</w:t>
      </w:r>
      <w:r>
        <w:rPr>
          <w:rFonts w:ascii="宋体" w:hAnsi="宋体" w:eastAsia="宋体" w:cs="Times New Roman"/>
          <w:color w:val="000000"/>
          <w:sz w:val="24"/>
          <w:szCs w:val="24"/>
          <w:lang w:val="en-US" w:eastAsia="zh-CN"/>
        </w:rPr>
      </w:r>
      <w:r/>
    </w:p>
    <w:p>
      <w:pPr>
        <w:pStyle w:val="87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7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72"/>
        <w:numPr>
          <w:ilvl w:val="0"/>
          <w:numId w:val="5"/>
        </w:num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资产配置标准</w:t>
      </w:r>
      <w:r>
        <w:rPr>
          <w:rFonts w:hint="eastAsia" w:ascii="宋体" w:hAnsi="宋体" w:eastAsia="宋体" w:cs="宋体"/>
          <w:bCs/>
          <w:color w:val="000000"/>
          <w:sz w:val="24"/>
          <w:szCs w:val="24"/>
          <w:lang w:val="en-US" w:eastAsia="zh-CN"/>
        </w:rPr>
      </w:r>
      <w:r/>
    </w:p>
    <w:p>
      <w:pPr>
        <w:pStyle w:val="872"/>
        <w:numPr>
          <w:ilvl w:val="0"/>
          <w:numId w:val="0"/>
        </w:num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符合《南京市市级行政事业单位资产配置标准》、《南京市中小学通用资产配置标准》要求。</w:t>
      </w:r>
      <w:r>
        <w:rPr>
          <w:rFonts w:hint="eastAsia" w:ascii="宋体" w:hAnsi="宋体" w:eastAsia="宋体" w:cs="宋体"/>
          <w:b w:val="0"/>
          <w:bCs/>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9"/>
        <w:tblW w:w="513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5"/>
        <w:gridCol w:w="2046"/>
        <w:gridCol w:w="758"/>
        <w:gridCol w:w="726"/>
        <w:gridCol w:w="1102"/>
        <w:gridCol w:w="1249"/>
        <w:gridCol w:w="1076"/>
        <w:gridCol w:w="1026"/>
        <w:gridCol w:w="1378"/>
      </w:tblGrid>
      <w:tr>
        <w:trPr>
          <w:trHeight w:val="470"/>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02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6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2"/>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86英寸交互一体机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98英寸交互一体机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68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65英寸交互一体机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书写板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教学管理平台（摄像头）</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无线快拍仪</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教室无线领夹麦克风套装（含接收器）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教室壁挂式扬声器套装（含接收器）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音乐教室音箱</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只</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3750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音乐教室功放</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无线话筒</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数字调音台2</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7280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立式钢琴</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12800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ff"/>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ff"/>
                <w:sz w:val="24"/>
                <w:szCs w:val="24"/>
                <w:highlight w:val="yellow"/>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电钢琴</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Times New Roman"/>
                <w:bCs/>
                <w:color w:val="000000"/>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Times New Roman"/>
                <w:bCs/>
                <w:color w:val="000000"/>
                <w:sz w:val="24"/>
                <w:szCs w:val="24"/>
                <w:highlight w:val="yellow"/>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高清摄像机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电子教室软件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接入交换机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2925</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计算机室管线及辅材</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室</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10277</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网络教室集成</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3900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计算机室强弱电布线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186</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录播主机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导播系统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互动系统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视频处理系统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无线云台摄像机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8600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云台摄像机图像处理系统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无线麦克风</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无线麦克风音频处理系统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摄像机三脚架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移动录播箱</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智能云盒</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多视窗交互系统软件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云台摄像机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校园电视台系统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一体化音频处理器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阵列话筒</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只</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无线头戴话筒（头戴）</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3135</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平板电脑</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是</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55寸电视机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会议室管材、线材及设备安装调试费</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9900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一拖四超指向性无线会议话筒</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6800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调音台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线阵</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专业功放</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音频处理器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电源时序控制器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1980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专业机柜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highlight w:val="yellow"/>
                <w:lang w:val="en-US" w:eastAsia="zh-CN" w:bidi="ar-SA"/>
              </w:rPr>
            </w:r>
            <w:r/>
          </w:p>
        </w:tc>
      </w:tr>
      <w:tr>
        <w:trPr>
          <w:trHeight w:val="400"/>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移动书写白板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highlight w:val="yellow"/>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highlight w:val="yellow"/>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双色屏</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箱体结构</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报告厅会标屏配套辅材及安装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报告厅管材、线材及设备安装调试费</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LED全彩显示屏</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6950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核心产品</w:t>
            </w:r>
            <w:r>
              <w:rPr>
                <w:rFonts w:hint="eastAsia" w:ascii="宋体" w:hAnsi="宋体" w:eastAsia="宋体" w:cs="宋体"/>
                <w:bCs/>
                <w:sz w:val="24"/>
                <w:szCs w:val="24"/>
                <w:lang w:val="en-US" w:eastAsia="zh-CN"/>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显示屏框架结构</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12.18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视频处理器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接收卡</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LED配电系统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4400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视频终端</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台</w:t>
            </w:r>
            <w:r>
              <w:rPr>
                <w:rFonts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配电箱</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LED屏安装施工调试</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主音箱</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只</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5445</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辅助音箱</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只</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1980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数字功放</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4180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数字调音台1</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15950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无线手持话筒</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238760" cy="165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74;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2"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238760" cy="165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75;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3"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238760" cy="165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76;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4"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238760" cy="165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77;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5"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238760" cy="165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78;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6"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238760" cy="165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83;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7"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238760" cy="165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79;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8"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238760" cy="1651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80;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19"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238760" cy="1651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85;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20"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238760" cy="165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81;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21"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0</wp:posOffset>
                      </wp:positionH>
                      <wp:positionV relativeFrom="paragraph">
                        <wp:posOffset>0</wp:posOffset>
                      </wp:positionV>
                      <wp:extent cx="238760" cy="165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84;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22"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238760" cy="1651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82;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23" o:title=""/>
                    </v:shape>
                  </w:pict>
                </mc:Fallback>
              </mc:AlternateContent>
            </w: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有线会议话筒（超指向）</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2420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音箱线及辅材</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5830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专业三脚架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238760" cy="952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89;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24"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238760" cy="95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88;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25"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238760" cy="952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87;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26"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238760" cy="952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86;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27"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238760" cy="952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90;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28" o:title=""/>
                    </v:shape>
                  </w:pict>
                </mc:Fallback>
              </mc:AlternateContent>
            </w: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LED面光灯</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数字灯控台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8路Dmx512放大分频器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1185</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舞台灯光线材及辅材</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3360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直饮水机1</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直饮水机2</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19800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IP网络解码器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个</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2448</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定压功放</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3428</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同轴吸顶扬声器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只</w:t>
            </w:r>
            <w:r>
              <w:rPr>
                <w:rFonts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广播线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米</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设备安装集成调试</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报告厅摄像头</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只</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24口接入POE交换机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83</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食堂监控系统整体拆移、安装集成、布线安装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84</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六类网络双绞线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箱</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85</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网络信息辅料</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ff"/>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86</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食堂无线AP拆移</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90"/>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87</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中考监控系统拆除及恢复</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83"/>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88</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面板AP</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895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89</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放装AP</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高密度AP</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壁挂机柜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w:t>
            </w:r>
            <w:r>
              <w:rPr>
                <w:rFonts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设备安装集成与维护</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3p吸顶空调</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6980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5p吸顶空调</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8935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1.5p挂机空调</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多联机5匹风管</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3840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多联机1.5匹风管</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3162</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多联机5匹吸顶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4335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多联机2匹风管</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3358</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报告厅多联机外机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29895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餐厅多联机外机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32660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主机铜管</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5匹机用铜管</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1.5匹/2匹/3匹用铜管</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风管机风道</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空调支架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空调人工安装及辅材</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教师演示台(生物)</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7900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教师演示台(化学)</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教师演示台(物理)</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美术演示台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可升降讲台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演示讲台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2770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计算机讲台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多功能电子讲台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5880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学生实验桌（化学）</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lang w:val="en-US" w:eastAsia="zh-CN"/>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学生实验桌（物生）</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主要产品</w:t>
            </w: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四人美术桌</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双人美术桌</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会议桌</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12600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折叠桌</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电脑桌</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计算机桌（两人位升降）</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3980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计算机桌（单人位升降）</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3358</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教师端升降中控</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学生凳</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学生方凳</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会议椅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折叠椅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前排会议椅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位</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中排会议椅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位</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后排会议椅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位</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音乐凳</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合唱台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3825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沙发+茶几</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茶杯收纳柜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准备台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茶水柜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荣誉展示柜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水柜1</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水柜2</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rPr>
                <w:rFonts w:ascii="宋体" w:hAnsi="宋体" w:eastAsia="宋体" w:cs="宋体"/>
                <w:bCs/>
                <w:color w:val="000000"/>
                <w:sz w:val="24"/>
                <w:szCs w:val="24"/>
                <w:lang w:val="en-US" w:eastAsia="zh-CN"/>
              </w:rPr>
            </w:pPr>
            <w:r>
              <w:rPr>
                <w:rFonts w:hint="eastAsia" w:ascii="等线" w:hAnsi="等线" w:eastAsia="等线" w:cs="等线"/>
                <w:i w:val="0"/>
                <w:iCs w:val="0"/>
                <w:color w:val="000000"/>
                <w:sz w:val="21"/>
                <w:szCs w:val="21"/>
                <w:u w:val="none"/>
                <w:lang w:val="en-US" w:eastAsia="zh-CN" w:bidi="ar"/>
              </w:rPr>
              <w:t xml:space="preserve">m</w:t>
            </w:r>
            <w:r>
              <w:rPr>
                <w:rFonts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边柜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边柜2</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rPr>
                <w:rFonts w:hint="eastAsia" w:ascii="宋体" w:hAnsi="宋体" w:eastAsia="宋体" w:cs="宋体"/>
                <w:bCs/>
                <w:color w:val="000000"/>
                <w:sz w:val="24"/>
                <w:szCs w:val="24"/>
                <w:lang w:val="en-US" w:eastAsia="zh-CN"/>
              </w:rPr>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美术后墙柜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组</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仪器柜1</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仪器柜2</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PP通风药品柜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软木板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展示墙</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书写白板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吸顶风扇</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万向吸风罩</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室内通风管道</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17480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箱式风机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有害气体净化装置</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3780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通风管道</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个</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无线智能溶氧气氧传感器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学生电源（升降）</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学生电源安装布线及调试</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三星水池</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2145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煮面小餐台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845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用餐边台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用餐凳</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烘焙工作台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2145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四层平板货架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1170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储物柜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打汤台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0.7</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备餐台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845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收纳高柜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卡座</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12.22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卡座桌</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卡座椅</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张</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收餐台</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多功能搅拌机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和面机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5980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压面机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6240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醒发箱</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三层烤箱</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10140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烤盘架</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保温台（5格）</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消毒柜</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开水器</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台</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2145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LED护眼黑板灯</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238760" cy="1651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96;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29"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0</wp:posOffset>
                      </wp:positionH>
                      <wp:positionV relativeFrom="paragraph">
                        <wp:posOffset>0</wp:posOffset>
                      </wp:positionV>
                      <wp:extent cx="238760" cy="1651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307;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30"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0</wp:posOffset>
                      </wp:positionH>
                      <wp:positionV relativeFrom="paragraph">
                        <wp:posOffset>0</wp:posOffset>
                      </wp:positionV>
                      <wp:extent cx="238760" cy="1651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300;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31"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0</wp:posOffset>
                      </wp:positionV>
                      <wp:extent cx="238760" cy="1651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99;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32"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238760" cy="1651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97;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33"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0</wp:posOffset>
                      </wp:positionH>
                      <wp:positionV relativeFrom="paragraph">
                        <wp:posOffset>0</wp:posOffset>
                      </wp:positionV>
                      <wp:extent cx="238760" cy="1651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98;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34"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238760" cy="952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301;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35"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238760" cy="1651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302;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36"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0</wp:posOffset>
                      </wp:positionH>
                      <wp:positionV relativeFrom="paragraph">
                        <wp:posOffset>0</wp:posOffset>
                      </wp:positionV>
                      <wp:extent cx="238760" cy="95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304;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37"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0</wp:posOffset>
                      </wp:positionH>
                      <wp:positionV relativeFrom="paragraph">
                        <wp:posOffset>0</wp:posOffset>
                      </wp:positionV>
                      <wp:extent cx="238760" cy="1651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303;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38"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0</wp:posOffset>
                      </wp:positionH>
                      <wp:positionV relativeFrom="paragraph">
                        <wp:posOffset>0</wp:posOffset>
                      </wp:positionV>
                      <wp:extent cx="238760" cy="95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305;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39"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0</wp:posOffset>
                      </wp:positionH>
                      <wp:positionV relativeFrom="paragraph">
                        <wp:posOffset>0</wp:posOffset>
                      </wp:positionV>
                      <wp:extent cx="238760" cy="952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306;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40"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238760" cy="1651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95;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41"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238760" cy="1651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94;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42"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0</wp:posOffset>
                      </wp:positionH>
                      <wp:positionV relativeFrom="paragraph">
                        <wp:posOffset>0</wp:posOffset>
                      </wp:positionV>
                      <wp:extent cx="238760" cy="1651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93;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43"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0</wp:posOffset>
                      </wp:positionH>
                      <wp:positionV relativeFrom="paragraph">
                        <wp:posOffset>0</wp:posOffset>
                      </wp:positionV>
                      <wp:extent cx="238760" cy="1651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238760" cy="1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92;o:allowoverlap:true;o:allowincell:true;mso-position-horizontal-relative:text;margin-left:0.0pt;mso-position-horizontal:absolute;mso-position-vertical-relative:text;margin-top:0.0pt;mso-position-vertical:absolute;width:18.8pt;height:1.3pt;mso-wrap-distance-left:9.0pt;mso-wrap-distance-top:0.0pt;mso-wrap-distance-right:9.0pt;mso-wrap-distance-bottom:0.0pt;" stroked="f">
                      <v:path textboxrect="0,0,0,0"/>
                      <v:imagedata r:id="rId44" o:title=""/>
                    </v:shape>
                  </w:pict>
                </mc:Fallback>
              </mc:AlternateContent>
            </w:r>
            <w:r>
              <w:rPr>
                <w:rFonts w:hint="eastAsia" w:ascii="等线" w:hAnsi="等线" w:eastAsia="等线" w:cs="等线"/>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238760" cy="952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2387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91;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45" o:title=""/>
                    </v:shape>
                  </w:pict>
                </mc:Fallback>
              </mc:AlternateContent>
            </w:r>
            <w:r>
              <w:rPr>
                <w:rFonts w:hint="eastAsia" w:ascii="等线" w:hAnsi="等线" w:eastAsia="等线" w:cs="等线"/>
                <w:i w:val="0"/>
                <w:iCs w:val="0"/>
                <w:color w:val="000000"/>
                <w:sz w:val="21"/>
                <w:szCs w:val="21"/>
                <w:u w:val="none"/>
                <w:lang w:val="en-US" w:eastAsia="zh-CN" w:bidi="ar"/>
              </w:rPr>
              <w:t xml:space="preserve">盏</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LED护眼教室灯</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盏</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室内顶部集成装置</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184</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墙面表层固化装置（防尘防裂）</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地面防水工艺</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419</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194</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防静电地板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不锈钢踢脚线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191</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墙面吸音装置</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192</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屏风隔断</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193</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文化卷帘</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83</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194</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明装筒灯</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套</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68</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195</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窗帘盒</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196</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布艺窗帘</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m</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197</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整室电路改造</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124</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198</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室内给排水布线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199</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整室弱电布线</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点</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r>
        <w:trPr>
          <w:trHeight w:val="414"/>
        </w:trPr>
        <w:tc>
          <w:tcPr>
            <w:tcW w:w="32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w:t>
            </w:r>
            <w:r>
              <w:rPr>
                <w:rFonts w:hint="eastAsia" w:ascii="宋体" w:hAnsi="宋体" w:eastAsia="宋体" w:cs="宋体"/>
                <w:bCs/>
                <w:color w:val="000000"/>
                <w:sz w:val="24"/>
                <w:szCs w:val="24"/>
                <w:lang w:val="en-US" w:eastAsia="zh-CN"/>
              </w:rPr>
            </w:r>
            <w:r/>
          </w:p>
        </w:tc>
        <w:tc>
          <w:tcPr>
            <w:tcW w:w="1021"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室内拆除及垃圾清运保洁</w:t>
            </w:r>
            <w:r>
              <w:rPr>
                <w:rFonts w:hint="eastAsia" w:ascii="宋体" w:hAnsi="宋体" w:eastAsia="宋体" w:cs="宋体"/>
                <w:bCs/>
                <w:color w:val="000000"/>
                <w:sz w:val="24"/>
                <w:szCs w:val="24"/>
                <w:lang w:val="en-US" w:eastAsia="zh-CN"/>
              </w:rPr>
            </w:r>
            <w:r/>
          </w:p>
        </w:tc>
        <w:tc>
          <w:tcPr>
            <w:tcW w:w="378"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362" w:type="dxa"/>
            <w:vAlign w:val="center"/>
            <w:textDirection w:val="lrTb"/>
            <w:noWrap w:val="false"/>
          </w:tcPr>
          <w:p>
            <w:pPr>
              <w:pStyle w:val="872"/>
              <w:jc w:val="center"/>
              <w:keepLines w:val="0"/>
              <w:keepNext w:val="0"/>
              <w:widowControl/>
              <w:rPr>
                <w:rFonts w:hint="eastAsia" w:ascii="宋体" w:hAnsi="宋体" w:eastAsia="宋体" w:cs="宋体"/>
                <w:bCs/>
                <w:color w:val="000000"/>
                <w:sz w:val="24"/>
                <w:szCs w:val="24"/>
                <w:lang w:val="en-US" w:eastAsia="zh-CN"/>
              </w:rPr>
              <w:suppressLineNumbers w:val="0"/>
            </w:pPr>
            <w:r>
              <w:rPr>
                <w:rFonts w:hint="eastAsia" w:ascii="等线" w:hAnsi="等线" w:eastAsia="等线" w:cs="等线"/>
                <w:i w:val="0"/>
                <w:iCs w:val="0"/>
                <w:color w:val="000000"/>
                <w:sz w:val="21"/>
                <w:szCs w:val="21"/>
                <w:u w:val="none"/>
                <w:lang w:val="en-US" w:eastAsia="zh-CN" w:bidi="ar"/>
              </w:rPr>
              <w:t xml:space="preserve">室</w:t>
            </w:r>
            <w:r>
              <w:rPr>
                <w:rFonts w:hint="eastAsia" w:ascii="宋体" w:hAnsi="宋体" w:eastAsia="宋体" w:cs="宋体"/>
                <w:bCs/>
                <w:color w:val="000000"/>
                <w:sz w:val="24"/>
                <w:szCs w:val="24"/>
                <w:lang w:val="en-US" w:eastAsia="zh-CN"/>
              </w:rPr>
            </w:r>
            <w:r/>
          </w:p>
        </w:tc>
        <w:tc>
          <w:tcPr>
            <w:tcW w:w="55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3500</w:t>
            </w:r>
            <w:r>
              <w:rPr>
                <w:rFonts w:ascii="宋体" w:hAnsi="宋体" w:eastAsia="宋体" w:cs="宋体"/>
                <w:bCs/>
                <w:color w:val="000000"/>
                <w:sz w:val="24"/>
                <w:szCs w:val="24"/>
                <w:lang w:val="en-US" w:eastAsia="zh-CN"/>
              </w:rPr>
            </w:r>
            <w:r/>
          </w:p>
        </w:tc>
        <w:tc>
          <w:tcPr>
            <w:tcW w:w="623"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537"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建筑业</w:t>
            </w:r>
            <w:r>
              <w:rPr>
                <w:rFonts w:hint="eastAsia" w:ascii="宋体" w:hAnsi="宋体" w:eastAsia="宋体" w:cs="宋体"/>
                <w:bCs/>
                <w:color w:val="000000"/>
                <w:sz w:val="24"/>
                <w:szCs w:val="24"/>
                <w:lang w:val="en-US" w:eastAsia="zh-CN"/>
              </w:rPr>
            </w:r>
            <w:r/>
          </w:p>
        </w:tc>
        <w:tc>
          <w:tcPr>
            <w:tcW w:w="512"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eastAsia="zh-CN"/>
              </w:rPr>
            </w:r>
            <w:r/>
          </w:p>
        </w:tc>
        <w:tc>
          <w:tcPr>
            <w:tcW w:w="687" w:type="dxa"/>
            <w:vAlign w:val="center"/>
            <w:textDirection w:val="lrTb"/>
            <w:noWrap w:val="false"/>
          </w:tcPr>
          <w:p>
            <w:pPr>
              <w:pStyle w:val="87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r>
    </w:tbl>
    <w:p>
      <w:pPr>
        <w:pStyle w:val="872"/>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2"/>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2"/>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lang w:val="en-US" w:eastAsia="zh-CN"/>
        </w:rPr>
        <w:t xml:space="preserve">1.产品技术指标要求</w:t>
      </w:r>
      <w:r>
        <w:rPr>
          <w:rFonts w:ascii="宋体" w:hAnsi="宋体" w:eastAsia="宋体" w:cs="宋体"/>
          <w:bCs/>
          <w:color w:val="000000"/>
          <w:sz w:val="24"/>
          <w:szCs w:val="24"/>
          <w:lang w:val="en-US" w:eastAsia="zh-CN"/>
        </w:rPr>
      </w:r>
      <w:r/>
    </w:p>
    <w:tbl>
      <w:tblPr>
        <w:tblW w:w="9965" w:type="dxa"/>
        <w:tblInd w:w="-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1"/>
        <w:gridCol w:w="1369"/>
        <w:gridCol w:w="1460"/>
        <w:gridCol w:w="6405"/>
      </w:tblGrid>
      <w:tr>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69"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1460"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参考尺寸（mm）</w:t>
            </w:r>
            <w:r>
              <w:rPr>
                <w:rFonts w:ascii="宋体" w:hAnsi="宋体" w:eastAsia="宋体" w:cs="宋体"/>
                <w:b/>
                <w:bCs w:val="0"/>
                <w:sz w:val="24"/>
                <w:szCs w:val="24"/>
                <w:lang w:val="en-US" w:eastAsia="zh-CN"/>
              </w:rPr>
            </w:r>
            <w:r/>
          </w:p>
        </w:tc>
        <w:tc>
          <w:tcPr>
            <w:tcW w:w="6405"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w:t>
            </w:r>
            <w:r>
              <w:rPr>
                <w:rFonts w:hint="eastAsia" w:ascii="宋体" w:hAnsi="宋体" w:eastAsia="宋体" w:cs="宋体"/>
                <w:b/>
                <w:bCs w:val="0"/>
                <w:sz w:val="24"/>
                <w:szCs w:val="24"/>
              </w:rPr>
              <w:t xml:space="preserve">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trHeight w:val="84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86英寸交互一体机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机尺寸86英寸，屏幕采用高清LED液晶显示屏，显示比例16：9，分辨率≥3840×2160；屏幕表面采用全物理钢化玻璃，支持防眩光功能，玻璃表面硬度≥9H。嵌入式系统版本≥Android13，内存≥2GB，存储空间≥8GB。采用红外触控技术，支持在Android等多系统中进行40点或以上触控。整机内置非独立外扩展阵列麦克风，麦克风拾音距离≥12米。整机全通道支持纸质护眼模式，可实现画面纹理的实时调整；支持纸质纹理：牛皮纸、素描纸、宣纸、水彩纸、水纹纸等；</w:t>
            </w:r>
            <w:r>
              <w:rPr>
                <w:rFonts w:hint="eastAsia" w:ascii="宋体" w:hAnsi="宋体" w:eastAsia="宋体" w:cs="宋体"/>
                <w:bCs/>
                <w:color w:val="000000"/>
                <w:sz w:val="24"/>
                <w:szCs w:val="24"/>
                <w:lang w:val="en-US" w:eastAsia="zh-CN"/>
              </w:rPr>
              <w:t xml:space="preserve">支持透明度调节；支持色温调节。整机支持≥5个自定义前置按键，至少包括“设置”、“音量-”，“音量+”，“录屏”“护眼”按键，可通过自定义设置实现前置面板功能按键一键启用任一全局小工具（批注、截屏、计时、降半屏、放大镜、倒数日、日历等）、快捷开关（节能模式、纸质护眼模式、经典护眼模式、自动亮度模式等）。整机支持不低于蓝牙Bluetooth5.4标准，固件版本号不低于HCI13.0/LMP13.0；Wi-Fi制式支持不低于IEEE802.11a/b/g/n/ac/ax，支持版本Wi-Fi6，Wi-Fi及AP热点</w:t>
            </w:r>
            <w:r>
              <w:rPr>
                <w:rFonts w:hint="eastAsia" w:ascii="宋体" w:hAnsi="宋体" w:eastAsia="宋体" w:cs="宋体"/>
                <w:bCs/>
                <w:color w:val="000000"/>
                <w:sz w:val="24"/>
                <w:szCs w:val="24"/>
                <w:lang w:val="en-US" w:eastAsia="zh-CN"/>
              </w:rPr>
              <w:t xml:space="preserve">支持频段不低于2.4GHz/5GHz。整机上边框内置非独立摄像头，采用一体化集成设计，摄像头运行时，有指示灯提示，可拍摄≥1300万像素数的照片，可拍摄输出4K分辨率的视频，摄像头对角线视场角≥120度，支持人脸识别、清点人数、随机抽人等；识别所有学生，显示标记，然后随机抽选，同时显示标记不少于60人，支持远程巡课。整机触控书写功能集成预测算法，在书写速度≥50cm/s，支持笔迹距离笔的距离小于20mm，书写触控延迟≤25ms，触摸响应≤4ms，触摸分辨率32768×32768。整机屏幕蓝光占比（有害蓝光4</w:t>
            </w:r>
            <w:r>
              <w:rPr>
                <w:rFonts w:hint="eastAsia" w:ascii="宋体" w:hAnsi="宋体" w:eastAsia="宋体" w:cs="宋体"/>
                <w:bCs/>
                <w:color w:val="000000"/>
                <w:sz w:val="24"/>
                <w:szCs w:val="24"/>
                <w:lang w:val="en-US" w:eastAsia="zh-CN"/>
              </w:rPr>
              <w:t xml:space="preserve">15～455nm能量综合）/（整体蓝光400～500能量综合）＜50%；背光系统支持DC调光方式，多级亮度调节，支持白颜色背景下最暗亮度≤100nit。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窗口。支持外接信号输入时自动唤醒功能，整机处于关机通电状态，外接电</w:t>
            </w:r>
            <w:r>
              <w:rPr>
                <w:rFonts w:hint="eastAsia" w:ascii="宋体" w:hAnsi="宋体" w:eastAsia="宋体" w:cs="宋体"/>
                <w:bCs/>
                <w:color w:val="000000"/>
                <w:sz w:val="24"/>
                <w:szCs w:val="24"/>
                <w:lang w:val="en-US" w:eastAsia="zh-CN"/>
              </w:rPr>
              <w:t xml:space="preserve">脑显示信号通过HDMI传输线连接至整机时，整机可智能识别外接电脑设备信号输入并自动开机。整机全通道侧边栏快捷菜单包含如下小工具：批注、降半屏、截屏、放大镜、倒计时、日历、聚光灯、秒表、冻屏、倒数日、答题、节拍器等；快捷菜单小工具支持自定义，支持设置对应小工具的显示/隐藏。整机内置触摸中控菜单，在整机全信号源通道下通过手势在屏幕上调取该触摸菜单；支持信号源通道切换、护眼、声音调节功能；支持切换智能息屏、经典护眼模式、纸质护眼模式、自动亮度模式等；并可支持调节音量、亮度，支持自动亮度模式，支持点击静音按钮静音。</w:t>
            </w:r>
            <w:r>
              <w:rPr>
                <w:rFonts w:ascii="宋体" w:hAnsi="宋体" w:eastAsia="宋体" w:cs="宋体"/>
                <w:bCs/>
                <w:color w:val="000000"/>
                <w:sz w:val="24"/>
                <w:szCs w:val="24"/>
                <w:lang w:val="en-US" w:eastAsia="zh-CN"/>
              </w:rPr>
            </w:r>
            <w:r/>
          </w:p>
        </w:tc>
      </w:tr>
      <w:tr>
        <w:trPr>
          <w:trHeight w:val="985"/>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98英寸交互一体机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机尺寸98英寸，屏幕采用高清LED液晶显示屏，显示比例16：9，分辨率≥3840×2160。侧置输入接口至少具备2路HDMI、1路RS232、1路USB接口，1路3.5mmAudioin音频输入接口；侧置输出接口至少具备1路3.5mmAudioout音频输出、1路触控USB输出；侧置输出接口至少具备1路HDMIout接口，支持最大4K60Hz分辨率输出；前置输入接口至少具备3路USB接口（包含1路Type-C、2路USB）</w:t>
            </w:r>
            <w:r>
              <w:rPr>
                <w:rFonts w:hint="eastAsia" w:ascii="宋体" w:hAnsi="宋体" w:eastAsia="宋体" w:cs="宋体"/>
                <w:bCs/>
                <w:color w:val="0000ff"/>
                <w:sz w:val="24"/>
                <w:szCs w:val="24"/>
                <w:lang w:val="en-US" w:eastAsia="zh-CN"/>
              </w:rPr>
              <w:t xml:space="preserve">。</w:t>
            </w:r>
            <w:r>
              <w:rPr>
                <w:rFonts w:hint="eastAsia" w:ascii="宋体" w:hAnsi="宋体" w:eastAsia="宋体" w:cs="宋体"/>
                <w:bCs/>
                <w:color w:val="000000"/>
                <w:sz w:val="24"/>
                <w:szCs w:val="24"/>
                <w:lang w:val="en-US" w:eastAsia="zh-CN"/>
              </w:rPr>
              <w:t xml:space="preserve">整机支持≥双路可插拔模块，一个槽位支持OPS模块插拔，另一个槽位支持AI模块插拔。嵌入式系统版本不低于Android13.0，内存≥4GB，存储空间≥32GB。采用红外触控方式，支持在Android等系统中进行40点或以上触控。整机系统支持书写触控延迟≤15ms。整机内置≥2.2声道扬声器，位于设备上边框，顶置朝前发声，前朝向≥10W高音扬声器2个，上朝向≥20W中低音扬声器2个，额定总功率≥60W。整机内置扬声器采用缝隙发声技术，喇叭采用槽式开口设计，不大于5.8mm。整</w:t>
            </w:r>
            <w:r>
              <w:rPr>
                <w:rFonts w:hint="eastAsia" w:ascii="宋体" w:hAnsi="宋体" w:eastAsia="宋体" w:cs="宋体"/>
                <w:bCs/>
                <w:color w:val="000000"/>
                <w:sz w:val="24"/>
                <w:szCs w:val="24"/>
                <w:lang w:val="en-US" w:eastAsia="zh-CN"/>
              </w:rPr>
              <w:t xml:space="preserve">机内置独立音频处理器，支持麦克风不少于3A算法（自动增益控制（AGC）、自动抑制噪声（ANC）、自动回声消除（AEC）），提升麦克风拾音效果。内置≥4核音频处理器，支持≥8路麦克风数据处理，采样率支持≥192K。整机支持色彩空间可选，不少于标准模式和sRGB模式，在sRGB模式下可做到高色准△E≤1.0。整机支持≥5个自定义前置按键，至少包含“设置”、“音量-”，“音量+”，“录屏”，“护眼”按键，可通过自定义设置实现前置面板功能按键一键启用至少包含任一全局小工具（批注、截屏、计时、降半屏、放大镜、倒数日、</w:t>
            </w:r>
            <w:r>
              <w:rPr>
                <w:rFonts w:hint="eastAsia" w:ascii="宋体" w:hAnsi="宋体" w:eastAsia="宋体" w:cs="宋体"/>
                <w:bCs/>
                <w:color w:val="000000"/>
                <w:sz w:val="24"/>
                <w:szCs w:val="24"/>
                <w:lang w:val="en-US" w:eastAsia="zh-CN"/>
              </w:rPr>
              <w:t xml:space="preserve">日历等）、快捷开关（节能模式、纸质护眼模式、经典护眼模式、自动亮度模式等）、课堂智能反馈。整机操作系统支持文件传输应用，至少支持通过扫码、wifi直联、超声三种方式与手机进行连接，实现文件传输功能。整机上边框内置非独立式摄像头，采用一体化集成设计，摄像头数量≥4个；视场角≥141度且水平视场角≥139度，可拍摄≥1600万像素的照片，支持输出≥8192×2048分辨率的照片和视频，支持画面畸变矫正功能。整机支持提笔书写，在操作系统下可实现无需点击任意功能入口，当检测到红外笔笔尖接触屏幕时，自动进入书写模式；</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整机支持蓝牙不低于Bluetooth5.4标准，固件版本号不低于HCI13.0/LMP13.0。16.整机至少内置双WiFi6无线网卡（不接受外接），在Android等多系统下，可实现Wi-Fi无线上网连接、AP无线热点发射。</w:t>
            </w:r>
            <w:r>
              <w:rPr>
                <w:rFonts w:ascii="宋体" w:hAnsi="宋体" w:eastAsia="宋体" w:cs="宋体"/>
                <w:bCs/>
                <w:color w:val="000000"/>
                <w:sz w:val="24"/>
                <w:szCs w:val="24"/>
                <w:lang w:val="en-US" w:eastAsia="zh-CN"/>
              </w:rPr>
            </w:r>
            <w:r/>
          </w:p>
        </w:tc>
      </w:tr>
      <w:tr>
        <w:trPr>
          <w:trHeight w:val="474"/>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65英寸交互一体机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机尺寸≥65英寸，屏幕采用高清LED液晶显示屏，显示比例16：9，分辨率≥3840×2160；屏幕表面采用全物理钢化玻璃，支持防眩光功能，玻璃表面硬度≥9H。嵌入式系统版本≥Android13，内存≥2GB，存储空间≥8GB。采用红外触控技术，支持在Android等多系统中进行40点或以上触控。整机内置≥2.2声道扬声器，位于设备上边框，顶置朝前发声，前朝向≥10W高音扬声器2个，上朝向≥20W中低音扬声器2个，额定总功率≥60W；采用缝隙发声</w:t>
            </w:r>
            <w:r>
              <w:rPr>
                <w:rFonts w:hint="eastAsia" w:ascii="宋体" w:hAnsi="宋体" w:eastAsia="宋体" w:cs="宋体"/>
                <w:bCs/>
                <w:color w:val="000000"/>
                <w:sz w:val="24"/>
                <w:szCs w:val="24"/>
                <w:lang w:val="en-US" w:eastAsia="zh-CN"/>
              </w:rPr>
              <w:t xml:space="preserve">技术，喇叭采用槽式开口设计，不大于5.8mm，扬声器在100%音量下，可做到1米处声压级≥88dB，10米处声压级≥79dB。整机内置非独立外扩展阵列麦克风，麦克风拾音距离≥12米。整机全通道支持纸质护眼模式，可实现画面纹理的实时调整；支持纸质纹理：牛皮纸、素描纸、宣纸、水彩纸、水纹纸等；支持透明度调节；支持色温调节等。整机支持≥5个自定义前置按键，至少包括“设置”、“音量-”，“音量+”，“录屏”“护眼”按键，可通过自定义设置实现前置面板功能按键一键启用任一全局小工具（批注、截屏、计时、降半屏、放大镜、倒</w:t>
            </w:r>
            <w:r>
              <w:rPr>
                <w:rFonts w:hint="eastAsia" w:ascii="宋体" w:hAnsi="宋体" w:eastAsia="宋体" w:cs="宋体"/>
                <w:bCs/>
                <w:color w:val="000000"/>
                <w:sz w:val="24"/>
                <w:szCs w:val="24"/>
                <w:lang w:val="en-US" w:eastAsia="zh-CN"/>
              </w:rPr>
              <w:t xml:space="preserve">数日、日历等）、快捷开关（节能模式、纸质护眼模式、经典护眼模式、自动亮度模式等）。整机支持发出频率不小于20kHz-22kHz超声波信号，智能手机通过麦克风等方式接收后，智能手机与整机无需在同一局域网内，可实现配对，一键投屏，用户无需手动输入投屏码或扫码获取投屏码。整机支持蓝牙≥Bluetooth5.4标准，固件版本号≥HCI13.0/LMP13.0；Wi-Fi制式支持≥IEEE802.11a/b/g/n/ac/ax，支持版本≥Wi-Fi6，Wi-Fi及AP热点支持频段≥2.4GHz/5GHz。整机上边框内</w:t>
            </w:r>
            <w:r>
              <w:rPr>
                <w:rFonts w:hint="eastAsia" w:ascii="宋体" w:hAnsi="宋体" w:eastAsia="宋体" w:cs="宋体"/>
                <w:bCs/>
                <w:color w:val="000000"/>
                <w:sz w:val="24"/>
                <w:szCs w:val="24"/>
                <w:lang w:val="en-US" w:eastAsia="zh-CN"/>
              </w:rPr>
              <w:t xml:space="preserve">置非独立摄像头，采用一体化集成设计，摄像头运行时，有指示灯提示，可拍摄≥1300万像素数的照片，可拍摄输出≥4K分辨率的视频，摄像头对角线视场角≥120度，支持人脸识别、清点人数、随机抽人等；识别所有学生，显示标记，然后随机抽选，同时显示标记不少于60人，支持远程巡课。整机触控书写功能集成预测算法，在书写速度≥50cm/s，支持笔迹距离笔的距离小于20mm，书写触控延迟≤25ms，触摸响应≤4ms，触摸分辨率≥32768×32768。整机屏幕蓝光占比（有害蓝光415～455nm能量综合）/（整体蓝光400～</w:t>
            </w:r>
            <w:r>
              <w:rPr>
                <w:rFonts w:hint="eastAsia" w:ascii="宋体" w:hAnsi="宋体" w:eastAsia="宋体" w:cs="宋体"/>
                <w:bCs/>
                <w:color w:val="000000"/>
                <w:sz w:val="24"/>
                <w:szCs w:val="24"/>
                <w:lang w:val="en-US" w:eastAsia="zh-CN"/>
              </w:rPr>
              <w:t xml:space="preserve">500能量综合）＜50%；背光系统支持DC等调光方式，多级亮度调节，支持白颜色背景下最暗亮度≤100nit，用于提升显示对比度。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在进行传屏；投屏时可以选择过滤特定应用窗口。支持外接信号输入时自动唤醒功能，整机处于关机通电状态，外接电脑显示信号通过HDMI传输线连接至整机时</w:t>
            </w:r>
            <w:r>
              <w:rPr>
                <w:rFonts w:hint="eastAsia" w:ascii="宋体" w:hAnsi="宋体" w:eastAsia="宋体" w:cs="宋体"/>
                <w:bCs/>
                <w:color w:val="000000"/>
                <w:sz w:val="24"/>
                <w:szCs w:val="24"/>
                <w:lang w:val="en-US" w:eastAsia="zh-CN"/>
              </w:rPr>
              <w:t xml:space="preserve">，整机可智能识别外接电脑设备信号输入并自动开机。整机全通道侧边栏快捷菜单包含如下小工具：批注、降半屏、截屏、放大镜、倒计时、日历、聚光灯、秒表、冻屏、倒数日、答题、节拍器等；快捷菜单小工具支持自定义，支持设置对应小工具的显示/隐藏。整机内置触摸中控菜单，在整机全信号源通道下通过手势在屏幕上调取该触摸菜单；支持信号源通道切换、护眼、声音调节功能；支持切换智能息屏、经典护眼模式、纸质护眼模式、自动亮度模式等；并可支持调节音量、亮度，支持自动亮度模式，支持点击静音按钮静音等。配套65寸一体机使用，钢制可移动支架。</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书写板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外径4000mm×1300mm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结构：左右推拉双层结构，支持电子白板或触控一体</w:t>
            </w:r>
            <w:r>
              <w:rPr>
                <w:rFonts w:hint="eastAsia" w:ascii="宋体" w:hAnsi="宋体" w:eastAsia="宋体" w:cs="宋体"/>
                <w:bCs/>
                <w:color w:val="000000"/>
                <w:sz w:val="24"/>
                <w:szCs w:val="24"/>
                <w:lang w:val="en-US" w:eastAsia="zh-CN"/>
              </w:rPr>
              <w:t xml:space="preserve">机偏置或居中镶嵌式安装。内层为固定书写板，与电子产品正面平齐，外层为滑动书写板，可左右推拉；滑动书写板可完全遮挡和保护触控设备。保证与电子产品尺寸有效对接，并可根据学校实际情况进行适当调整。书写面板：材质采用烤漆钢板，基板厚度0.40mm，整板无拼接；颜色：墨绿色、亚光，表面附有透明保护膜；硬度：涂层硬度8H；光泽度：光泽度≤6%，无明显眩光；板面书写流畅，字迹清晰，易写易擦。衬板：采用高强度、吸音、防潮、挺度好的聚苯乙烯泡沫板，厚度≥15mm，写字时板面不颤动。背板：采用蓝色彩涂钢板，厚度≥0.20mm。</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边框：材质采用亚光香槟色铝合金，在灯光下无明显眩光，不反光，保护学生视力；表面经氧化、磨砂涂层处理，无划伤，无色差，抗腐蚀，模具一次成型；内边框规格30mm×20mm，封闭管状，内加助筋，增加有效书写面积，提高书写板挺度；上横框规格≥60mm×90mm，采用双层加强结构，厚度≥15mm；轨道与边框一体化设计，隐藏式U型双凹槽吊轨，支持滑动板T型垂直吊装；轨道外有护板。包角：采用高强度、防老化、抗疲劳ABS工</w:t>
            </w:r>
            <w:r>
              <w:rPr>
                <w:rFonts w:hint="eastAsia" w:ascii="宋体" w:hAnsi="宋体" w:eastAsia="宋体" w:cs="宋体"/>
                <w:bCs/>
                <w:color w:val="000000"/>
                <w:sz w:val="24"/>
                <w:szCs w:val="24"/>
                <w:lang w:val="en-US" w:eastAsia="zh-CN"/>
              </w:rPr>
              <w:t xml:space="preserve">程防爆塑料插角，模具一次成型，一体化包角，无拼接。滑轮：每块滑动板安装≥4组滑轮（滑轮数量≥12个）；滑轮组隐形安装；每块滑动板上框均匀安装减震消音正吊滑轮组≥2组，聚酯材料滑轮，一体化，自行纠正的滑动方式；下框均匀安装一体化定位滑轮组≥2组，定位轮采用聚酰胺材质骨架≥2轮组合滑轮组。缓冲垫：黑板外框内部两侧安装橡胶缓冲垫，安装数目≥2个。除尘装置：粉尘刷与定位滑轮组一体化设计，安装于滑动板下方；下框两侧配置110mm×80mm±5mm抽拉式粉尘盒。安全性：黑板固定考虑到墙体的特殊性，保证黑板安装牢固可靠。</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教学管理平台（摄像头）</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成像：≥400万像素；≥1/3"CMOS；宽动态≥120DB。镜头：焦距2.8mm、4mm可选；水平视场角≥85°。侦测：支持画面移动侦测、多种事件检测、音频异常侦测。功能：内置麦克风；支持网线POE供电；支持红外补光；支持H.265/H.264编码；支持IP66。配件：摄像机支架、32G内置存储卡。</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无线快拍仪</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像素：≥800万。拍摄灵活性：可多关节，多角度调节拍摄方向，支持旋钮放大缩小。影像区域：≥A3幅面；连接：支持有线无线连接、含USB连接线和无线网卡等。电池续航：≥6小时，具有电量显示功能。无线传输距离：≥30米。</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教室无线领夹麦克风套装（含接收器）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系统组成：领夹麦克风（磁吸配件）、充电仓、接收器。对频方式：近距离磁感应后自动对频。无线性能：采用≥2.4G无线传输，≥30米稳定传输。电池：麦克风续航≥6小时，提供麦克风快充收纳盒。接收器：有源扬声器供电，无需外接电源。</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安装：含接收器安装及供电配件。</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教室壁挂式扬声器套装（含接收器）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系统组成：每套含1只全频有源音柱、1只全频无源音柱。单元组成：3*3英寸±0.5英寸。频响范围：≥100Hz-15kHz，波动范围为≤±3dB。灵敏度：≥88dB/1W。输入阻抗：≤2.6Ω(欧姆)。功率：额定输入功率≥2*50w，最大输入功率≥2*100w。</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啸叫抑制方式：DSP抑制等。安装：含布线、安装支架。</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音乐教室音箱</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频率响应：≥45Hz-20KHz。阻抗：≤8欧。灵敏度：≥90DB+2DB。</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瞬间功率：≥360W。额定功率：≥200W。单元结构：≥1*10寸低音≥2*3寸高音。专用吊装：钢制伸宿吊架，配套音响安装使用。</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音乐教室功放</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输出功率：≥200W*2。阻抗：≤8欧。信噪比：≥100DB。总谐波失真：≤0.1%。音调控制：≥+/－10DB。话筒控制：≥+/－10DB。额定电源：AC220V(+/-10%)50/60Hz。</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无线话筒</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UHF频段，锁相环(PLL)频率合成。≥100×2个信道，信道间隔≥250KHz。超外差≥二次变频设计。至少第一中频采用声表滤波器，第二中频采用三级陶瓷滤波器。采用消除麦克风开启和关闭的冲击噪声静音电路设计。电池续用时间≥6小时。麦克风采用电量下降不影响麦克风整体性能的升压设计。</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数字调音台2</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路单声道话筒/线路通道。≥2组立体声线路通道。≥1路SPIDF输入/输出通道。≥1路AES/EBU输出通道。≥8路可自定义分配的XLR输出端口。≥7条混音母线，包含6条AUX总线和1条MAIN总线。≥2条FX效果发送总线。≥1个31段GEQ图示均衡。≥1个耳机监听输出端口。支持U盘/蓝牙等音乐播放。≥7寸1024x600分辨率触摸屏。≥4个DCA音量编组和4个MUTEGROUP静音编组。安卓平板APP等无线控制。支持RS232等中控控制。≥32组场景保存与调用。</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立式钢琴</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钢琴脚踏：原装3踏。外壳：选用中纤板芯饰以涂料。音板：用鱼鳞云杉制作的不等厚加强型复合音板。琴弦：防滑防锈。击弦机：振动响应精准、迅速；能稳固击音、精准发音、自然传音；转动灵活，推行顺畅。踏板：不褪色精钢踏板。随琴配件：双人琴凳一张、擦琴手套、键盘布。</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电钢琴</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键盘：88键渐层式锤感标准键盘。脚踏：3踏。音色：内置10种音色，其中包含4种中国音色（琵琶、笛子、二胡、古筝）。复音数：64复音。功能：支持双音色模式、双人演奏模式，有4种混响效果，配备1个耳机插孔、USB-MIDIIN/OUT接口，可连接智能设备扩展功能。音响：双扬声器系统，功放输出为6Wx2。配木架、双人琴凳、谱架、电钢琴数据线、防尘琴罩。</w:t>
            </w:r>
            <w:r>
              <w:rPr>
                <w:rFonts w:hint="eastAsia" w:ascii="宋体" w:hAnsi="宋体" w:eastAsia="宋体" w:cs="宋体"/>
                <w:bCs/>
                <w:color w:val="000000"/>
                <w:sz w:val="24"/>
                <w:szCs w:val="24"/>
                <w:lang w:val="en-US" w:eastAsia="zh-CN"/>
              </w:rPr>
            </w:r>
            <w:r/>
          </w:p>
        </w:tc>
      </w:tr>
      <w:tr>
        <w:trPr>
          <w:trHeight w:val="122"/>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高清摄像机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≥4k超清画纸。至少带麦克风，带遥控器。光学变倍：≥8x。</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对焦：自动对焦。视频输出接口：至少包括USB-typeC/HDMI。</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电子教室软件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体要求：安装部署快捷，升级简易方便，全中文界面，支持主窗口功能按钮、浮动工具条、右键菜单、快捷键多项操作方式。软件的加密方式支持服务器端授权、在线序列号加密、离线文件加密、自定义短码激活、mac地址预置激活、绑定教学互动终端激活等多种方式的激活方式。兼容全系列操作系统，全面适配LoongArch、ARM、X86等架构，支持国产龙芯、飞腾、华为麒麟</w:t>
            </w:r>
            <w:r>
              <w:rPr>
                <w:rFonts w:hint="eastAsia" w:ascii="宋体" w:hAnsi="宋体" w:eastAsia="宋体" w:cs="宋体"/>
                <w:bCs/>
                <w:color w:val="000000"/>
                <w:sz w:val="24"/>
                <w:szCs w:val="24"/>
                <w:lang w:val="en-US" w:eastAsia="zh-CN"/>
              </w:rPr>
              <w:t xml:space="preserve">、华为盘古、海光、兆芯以及intel、AMD等主流CPU。课堂教学：屏幕广播：支持将教师机的屏幕和教师讲话声音实时广播给单一、部分或全体学生机以及所有教学互动终端，在对学生机进行屏幕广播时可选择全屏或窗口方式，支持教师选择音频输入设备。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文件提交：支持学生</w:t>
            </w:r>
            <w:r>
              <w:rPr>
                <w:rFonts w:hint="eastAsia" w:ascii="宋体" w:hAnsi="宋体" w:eastAsia="宋体" w:cs="宋体"/>
                <w:bCs/>
                <w:color w:val="000000"/>
                <w:sz w:val="24"/>
                <w:szCs w:val="24"/>
                <w:lang w:val="en-US" w:eastAsia="zh-CN"/>
              </w:rPr>
              <w:t xml:space="preserve">把做好的作业主动提交到教师电脑，教师可以选择接收和拒绝学生提交的文件；支持教师预设学生提交的文件的存储路径并限制学生提交文件的数目和大小。文件共享：支持通过课件点播实现教师上传文件供学生查看和下载；支持通过共享中心实现教师和学生上传文件，供全体师生查看和下载。教学评测：截屏互动：支持教师实时截屏发起互动答题，支持教师添加本地图片发起互动答题，支持教师手动输入问题发起互动答题；答题类型支持单选、多选、判断、算数、简答、投票、演示等，答题模式支持全体作答、挑人、抢答等。课堂报告：支持教师查看正在进行课堂和已结束</w:t>
            </w:r>
            <w:r>
              <w:rPr>
                <w:rFonts w:hint="eastAsia" w:ascii="宋体" w:hAnsi="宋体" w:eastAsia="宋体" w:cs="宋体"/>
                <w:bCs/>
                <w:color w:val="000000"/>
                <w:sz w:val="24"/>
                <w:szCs w:val="24"/>
                <w:lang w:val="en-US" w:eastAsia="zh-CN"/>
              </w:rPr>
              <w:t xml:space="preserve">课堂的参与人数、发起答题数、答题正确率、答题详情、答案分布等信息。考试：支持对全体学生发起统一的考试，支持添加ABCD卷对不同组别的学生发送不同试卷。支持教师实时查看学生答题进度。课堂管理：屏幕监看：支持通过教师机监视单一、部分、全体学生机的屏幕，支持教师设置电脑每屏可监看多个学生屏幕（1、4、9、16、25、36等画面）和监看视图持续时间。全体遥控：支持教师同时遥控所有学生机，如：批量打开网页、执行文件传输、软件安装等操作。U盘限制：支持对U盘访问权限的设定（不少于全部开放、只读、完全阻止等多种策略）。。</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接入交换机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个10/100/1000Base-T以太网端口，≥4个千兆SFP端口。交换容量≥336Gbps，整机包转发率≥96Mpps。不少于支持基于端口的VLAN，支持VLANVPN(QinQ)，支持VoiceVLAN，支持协议VLAN，支持MACVLAN。不少于支持STP/RSTP/MSTP，支持SmartLink。不少于支持IPv4和IPv6的三层路由功能。不少于支持SDN，支持OpenFlow1.3标准。</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计算机室管线及辅材</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纤模块（2块）：不少于单模光模块，SFP-GE-(1310nm,10km,LC接口)。双绞线(3箱）：不低于六类非屏蔽室内双绞线；≥23AWG，带宽≥250MHz；≥8根芯线用单股软铜线，每根芯线带有彩色绝缘层；紧护套结构，线对间十字隔离技术，PVC阻燃材质。理线器(3个）：19寸±1寸标准机架式，ABS料制造。可拆卸盖板。均匀琴键式理线宽口槽位。成品网络细跳线（2根）：规格：≥六类4对非屏蔽RJ45-RJ45跳线，带宽≥250MHz，长度≥2米。导体：≥30AWG。外径：3.0mm±0.</w:t>
            </w:r>
            <w:r>
              <w:rPr>
                <w:rFonts w:hint="eastAsia" w:ascii="宋体" w:hAnsi="宋体" w:eastAsia="宋体" w:cs="宋体"/>
                <w:bCs/>
                <w:color w:val="000000"/>
                <w:sz w:val="24"/>
                <w:szCs w:val="24"/>
                <w:lang w:val="en-US" w:eastAsia="zh-CN"/>
              </w:rPr>
              <w:t xml:space="preserve">2mm。芯线：≥8根多股软铜芯线，每根芯线有彩色绝缘层。护套：紧护套结构，用PVC材质，需满足多种颜色可供选择。强电插排（30个）：≥六位接线板，线长≥1.8米，带开关和指示灯。强电材料（1套）：≥4平方阻燃电线，单台电脑分支≥2.5平方阻燃电线。空气开关及配电器材。线槽线管（1套）：施工配套PVC线槽及线管。辅件（1套）：用于计算机教室，配套辅助材料，包括光纤跳线、固定五金件、音频线材、HDMI线、套接玻纹软管(每套学生机线路须规范束理）、PVC胶水、自攻螺丝、膨胀管、电工胶布、管接、管卡、标签、扎带等。</w:t>
            </w:r>
            <w:r>
              <w:rPr>
                <w:rFonts w:hint="eastAsia" w:ascii="宋体" w:hAnsi="宋体" w:eastAsia="宋体" w:cs="宋体"/>
                <w:bCs/>
                <w:color w:val="000000"/>
                <w:sz w:val="24"/>
                <w:szCs w:val="24"/>
                <w:lang w:val="en-US" w:eastAsia="zh-CN"/>
              </w:rPr>
            </w:r>
            <w:r/>
          </w:p>
        </w:tc>
      </w:tr>
      <w:tr>
        <w:trPr>
          <w:trHeight w:val="172"/>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网络教室集成</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网络教室集成服务，三年全系统上门质保服务等。</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计算机室强弱电布线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照明≥1.5平方阻燃电线、插座≥2.5平方阻燃电线、空调≥4平方阻燃电线，穿线管暗盒，含室内配电箱改造。插座：教室四周墙壁均安装五孔插座。学校原有设备布线均需保留，裸露布线整理平整。含计算机教室地面线槽线管布置、强电线缆及插座安装、弱电综合布线等。</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bookmarkStart w:id="196" w:name="OLE_LINK3"/>
            <w:r>
              <w:rPr>
                <w:rFonts w:hint="eastAsia" w:ascii="宋体" w:hAnsi="宋体" w:eastAsia="宋体" w:cs="宋体"/>
                <w:bCs/>
                <w:color w:val="000000"/>
                <w:sz w:val="24"/>
                <w:szCs w:val="24"/>
                <w:lang w:val="en-US" w:eastAsia="zh-CN"/>
              </w:rPr>
              <w:t xml:space="preserve">录播主机</w:t>
            </w:r>
            <w:bookmarkEnd w:id="196"/>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主机需采用ARM等架构处理器，具备≥6核CPU，Linux等操作系统。支持通过主机一体化屏幕对电池电量进行可视化监测，以百分比方式显示电量，充电状态、低电量状态、充满完成等均有对应的状态提示。支持多网互备，有线网络和WIFI网络等可以相互备份使用，两个网络链路可以实现动态切换。主机内置无线视频接入模块，支持≥4路无线视频信号输入。主机采用SSD硬盘，存储容量≥500GB。支持标准USB音</w:t>
            </w:r>
            <w:r>
              <w:rPr>
                <w:rFonts w:hint="eastAsia" w:ascii="宋体" w:hAnsi="宋体" w:eastAsia="宋体" w:cs="宋体"/>
                <w:bCs/>
                <w:color w:val="000000"/>
                <w:sz w:val="24"/>
                <w:szCs w:val="24"/>
                <w:lang w:val="en-US" w:eastAsia="zh-CN"/>
              </w:rPr>
              <w:t xml:space="preserve">视频信号输出，通过主机Type-C接口可以实现图像和声音同步输出，输出音频可通过主机控制软件实现混音，兼容主流视频会议软件，支持不小于4K图像输出。主机能够独立完成视频采集、音频采集、音频编码、视频编码、音频处理、视频处理、直播、录制、互动、导播、远程运维参数设置等功能。支持≥2个HDMI高清采集接口，支持≥4个RJ45接口，≥2个USB类型接口。支持≥4路高清视频输出，视频输出可同一时间输出不同视频源，且输出最大分辨率均≥4K，其中HDMI信号输出≥3路且UVC信号输出≥1路。支持≥2个线路立体声音频输入</w:t>
            </w:r>
            <w:r>
              <w:rPr>
                <w:rFonts w:hint="eastAsia" w:ascii="宋体" w:hAnsi="宋体" w:eastAsia="宋体" w:cs="宋体"/>
                <w:bCs/>
                <w:color w:val="000000"/>
                <w:sz w:val="24"/>
                <w:szCs w:val="24"/>
                <w:lang w:val="en-US" w:eastAsia="zh-CN"/>
              </w:rPr>
              <w:t xml:space="preserve">；≥2个线路立体声音频输出；支持≥1个阵列麦克风输入接口，可通过网线完成≥2个阵列麦克风接入主机，实现≥2个麦克风的供电、音频信号传输、音频参数设置，支持数字音频传输等功能。支持录制清晰度设定，支持可选择4K、1080p、720p、VGA、QVGA等；支持录制帧率设定，可选择至少包括25fps/30fps/60fps；支持录制画质选择，可选择≥5种等级；录制编码码率≥16Mbps。支持≥2种录制视频自动分段模式：支持按照文件大小分段，至少可选择500MB，1GB，2GB进行分段录制；支持按照录制时长分段，至</w:t>
            </w:r>
            <w:r>
              <w:rPr>
                <w:rFonts w:hint="eastAsia" w:ascii="宋体" w:hAnsi="宋体" w:eastAsia="宋体" w:cs="宋体"/>
                <w:bCs/>
                <w:color w:val="000000"/>
                <w:sz w:val="24"/>
                <w:szCs w:val="24"/>
                <w:lang w:val="en-US" w:eastAsia="zh-CN"/>
              </w:rPr>
              <w:t xml:space="preserve">少可选择30分钟、60分钟。支持串口通信，可通过中控协议实现中控控制，控制开关机、开始/暂停/停止录制等。支持通过平台或互联网查看设备在线和离线状态，查看设备ID地址、IP地址、激活时间信息等，实现对设备的远程配置，支持关机、重启、参数配置等操作。支持通过平台实现主机的远程升级。设备支持本地升级、可通过U盘等实现设备升级，同时支持OTA远程在线升级，升级过程支持版本号校验，支持在线下载升级包自动完成升级。主机采用≥15英寸触控电容屏，屏幕色域≥72%NTSC，表面硬度≥7H，屏幕分辨率≥1920*1080。</w:t>
            </w:r>
            <w:r>
              <w:rPr>
                <w:rFonts w:hint="eastAsia" w:ascii="宋体" w:hAnsi="宋体" w:eastAsia="宋体" w:cs="宋体"/>
                <w:bCs/>
                <w:color w:val="000000"/>
                <w:sz w:val="24"/>
                <w:szCs w:val="24"/>
                <w:lang w:val="en-US" w:eastAsia="zh-CN"/>
              </w:rPr>
            </w:r>
            <w:r/>
          </w:p>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val="0"/>
                <w:bCs/>
                <w:color w:val="000000"/>
                <w:sz w:val="24"/>
                <w:szCs w:val="24"/>
                <w:lang w:val="en-US" w:eastAsia="zh-CN"/>
              </w:rPr>
              <w:t xml:space="preserve">▲2.内置音频接收模块。无需外接无线音频接收模块，即可完成无线音频采集，支持同时≥2个无线麦克风接入，且同时支持≥2种对频模式。麦克风连接成功后，主机显示无线麦克风连接成功图标，可通过麦表动态查看声音采集状态。（签订合同时提供第三方检测报告）</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导播系统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支持多种画面模式，支持不少于单画面、2种画中画、左右等分、三画面、四画面6种画面合成模式。支持云台摄像机支持PTZ等控制，≥8个预置位设置及调用；同时支持通过鼠标点击画面进行云台摄像机跟踪，可通过鼠标滑轮实现镜头画面放大缩小。在导播界面的预览窗口可实时观看≥5路画面，点击可进行画面切换。预监画面可实时推流给资源平台，实现平台直播。支持外接导播键盘，可通过导播键盘实现对录播主机的录制控制、画面切换、云台跟踪、预置位设置和调用、音量调节等。支持≥7种导播切换特效，可通过主机的一</w:t>
            </w:r>
            <w:r>
              <w:rPr>
                <w:rFonts w:hint="eastAsia" w:ascii="宋体" w:hAnsi="宋体" w:eastAsia="宋体" w:cs="宋体"/>
                <w:bCs/>
                <w:color w:val="000000"/>
                <w:sz w:val="24"/>
                <w:szCs w:val="24"/>
                <w:lang w:val="en-US" w:eastAsia="zh-CN"/>
              </w:rPr>
              <w:t xml:space="preserve">体化触摸屏实现转场特效类型选择设置；特效保持时间支持自定义。支持通过U盘导入视频、图片等作为片头片尾素材；支持单个视频文件≥200MB，单个图片文件≥20MB，可保存≥10个素材；支持设定片头片尾保持时间，片头片尾素材可直接在主机一体化屏幕上进行删除。支持设定图片等台标，支持≥20MB台标文件，台标大小比例可通过主机一体化屏幕实现设置，台标位置可以通过主机设定在PGM任意位置，支持快速台标位置设定功能，支持≥4个快速位置。支持通过主机一体化屏幕进行云台摄像机控制，可任意转动云台方向，实现步进控制、连续控制。</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支持通过主机一体化触控幕实现云台摄像机的放大缩小变焦调节。</w:t>
            </w:r>
            <w:r>
              <w:rPr>
                <w:rFonts w:hint="eastAsia" w:ascii="宋体" w:hAnsi="宋体" w:eastAsia="宋体" w:cs="宋体"/>
                <w:bCs/>
                <w:color w:val="000000"/>
                <w:sz w:val="24"/>
                <w:szCs w:val="24"/>
                <w:lang w:val="en-US" w:eastAsia="zh-CN"/>
              </w:rPr>
            </w:r>
            <w:r/>
          </w:p>
          <w:p>
            <w:pPr>
              <w:pStyle w:val="872"/>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val="0"/>
                <w:bCs/>
                <w:color w:val="000000"/>
                <w:sz w:val="24"/>
                <w:szCs w:val="24"/>
                <w:lang w:val="en-US" w:eastAsia="zh-CN"/>
              </w:rPr>
              <w:t xml:space="preserve">▲2.支持通过主机一体化触控幕的虚拟摇杆拖动幅度实现云台摄像机的变速控制；支持≥3种云台转动灵敏度设置。（签订合同时提供第三方检测报告）</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互动系统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支持互动清晰度设置，可设置≥1080p@60fps的互动清晰度。分辨率可选择不少于1080p、720p，帧率可选择不少于60fps、30fps、25fps。互动画质可选择≥4个等级。支持微信扫码等无需单独输入账号方式登录，登陆后显示用户头像和用户名。</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支持通过主机一体化触控屏实现导播控制，过程中可选择自动导播、半自动导播和手动导播；支持通过软件进行远程导播控制。支持通过软件进行互动听课端列表查看、发言管理等功能。</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支持课堂互动功能，授课过程中可切换听课端为主画面，并支持与听课端实时连麦对讲。互动过程中，可在主机的一体化触控屏调出累计视频卡顿次数、累计音频卡顿次数和当前视频参数等信息，其中当前视频参数包括上行/下行带宽，丢包率，视频分辨率，当前句柄数量，处理器使用率等。支持授课预监功能，授课过程中可在授课端主机的一体化触控屏实时显示授课端和参与互动的听课端画面，用户可实时查看授课端拍摄画面和听课端拍摄画面。</w:t>
            </w:r>
            <w:r>
              <w:rPr>
                <w:rFonts w:hint="eastAsia" w:ascii="宋体" w:hAnsi="宋体" w:eastAsia="宋体" w:cs="宋体"/>
                <w:bCs/>
                <w:color w:val="000000"/>
                <w:sz w:val="24"/>
                <w:szCs w:val="24"/>
                <w:lang w:val="en-US" w:eastAsia="zh-CN"/>
              </w:rPr>
            </w:r>
            <w:r/>
          </w:p>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val="0"/>
                <w:bCs/>
                <w:color w:val="000000"/>
                <w:sz w:val="24"/>
                <w:szCs w:val="24"/>
                <w:lang w:val="en-US" w:eastAsia="zh-CN"/>
              </w:rPr>
              <w:t xml:space="preserve">▲2.支持进行网络检测，无需通过第三方软件，可在主机的一体化触控屏上主机网络状态；实现对网络联通性、网络稳定性、上行速度、下行速度、网络追踪性、网卡信息等实时检测；在一段时间内，支持以折线图方式实时呈现网络稳定性、上行速度和下行速度。（签订合同时提供第三方检测报告）</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视频处理系统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支持合成≥4KPGM画面，≥5个画面可调。支持多种类型视频信号接入，可接入网络视频信号、高速数字信号HDMI等。支持通过包括rtsp协议接入第三方摄像机视频流。支持≥3种编码复杂度设置。支持≥2种码率控制方式设置。主机支持通过网络对接入摄像机设备信息检索。支持接入POE摄像机。HDMI采集通道支持画面缩放，可完成≥3840×2160p图像采集。</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无线云台摄像机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支持≥1路RJ45网络接口，10M/100M/自适应以太网。支持≥1路HDMIOUT接口，≥1路3.5mmLinein接口，≥1路USBType-C接口。传感器尺寸≥CMOS1/1.8英寸，有效像素≥800万。支持最大水平视场角≥60°，最大垂直视场角≥35°。支持不少于40倍变焦，镜头畸变率≤1.5%。支持水平翻转、垂直翻转，水平转动范围：±170°，垂直转动范围：-27°~87°。</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7.支持可变速度转动：水平转速24档可调，最大转动速度≥70°/s；垂直转速20档可调，最大转动速度≥70°/s。支持包括标准USB音视频信号输出，可以同时支持UVC和UAC等协议，通过主机Type-C接口可以实现图像和声音同步输出，最大支持≥1920×1080@30fps输出，兼容主流视频会议软件。支持AAC音频等编码方式，音频采样率≥32kHz，音频采样精度≥16bit。支持通过无线网络实现电量信息、无线信号强度、摄像机参数、版本信息等显示，并进行设备升级。</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云台摄像机图像处理系统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支持畸变矫正功能。支持H.264、H.265、MJPG等编码协议。支持≥10路RTSP同时拉流，拉流码率≥1080P@30fps。支持基于不同使用场景的摄像机模式选择，包括室内模式、室外模式和专业模式等。支持音频混音，支持Micin和Linein等同时输入音频。支持人员检测，当开启跟踪时，即可实现对人员的跟踪拍摄。</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无线麦克风</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麦克风支持≥1个Pogopin接口，支持通过Pogopin接口进行充电。整机Pogopin接口≥2个。麦克风支持≥1个按键，可控制麦克风的开关机、静音和配对。麦克风支持≥2个音量控制按钮，可通过音量“+”“-”按钮控制麦克</w:t>
            </w:r>
            <w:r>
              <w:rPr>
                <w:rFonts w:hint="eastAsia" w:ascii="宋体" w:hAnsi="宋体" w:eastAsia="宋体" w:cs="宋体"/>
                <w:bCs/>
                <w:color w:val="000000"/>
                <w:sz w:val="24"/>
                <w:szCs w:val="24"/>
                <w:lang w:val="en-US" w:eastAsia="zh-CN"/>
              </w:rPr>
              <w:t xml:space="preserve">风输出音量。麦克风标配充电仓，可用于充电及收纳。麦克风充电仓支持电量指示，通过灯珠亮灭数量充电仓剩余电量及充电状态。整机标配≥两个无线麦克风，且支持≥两个麦克风同时工作。麦克风支持≥2种断开连接方式，可通过麦克风放入充电仓自动断开连接、关机自动断开连接等。麦克风支持通过音量调节按钮调节输出音量；音量调节过程中通过麦克风一体化屏幕动态提示当前音量等级。麦克风支持音量记忆功能，重启后麦克风恢复关机前的音量等级。支持红外和无线同时配对。麦克风屏幕支持显示麦克风电池电量、麦克风配对状态、麦克风所连接的设备、显示当前</w:t>
            </w:r>
            <w:r>
              <w:rPr>
                <w:rFonts w:hint="eastAsia" w:ascii="宋体" w:hAnsi="宋体" w:eastAsia="宋体" w:cs="宋体"/>
                <w:bCs/>
                <w:color w:val="000000"/>
                <w:sz w:val="24"/>
                <w:szCs w:val="24"/>
                <w:lang w:val="en-US" w:eastAsia="zh-CN"/>
              </w:rPr>
              <w:t xml:space="preserve">麦克风接收声音强度、无线连接信号强度。支持通过录播系统查看麦克风状态信息，包括版本信息、电量信息、信号强度信息。支持抗干扰能力，支持自动跳频技术，避免同频干扰问题，同一空间内有多个无线麦克风不会产生相互干扰。麦克风采用心型指向，麦克风音频采样率≥48kHz，音频采样精度≥16bit。通信保持状态下，支持在空旷环境下，有效传输距离≥100m；支持在室内使用场景下，穿墙后有效传输距离≥20m。麦克风音频编码方式采用LC3plus。支持啸叫抑制算法，本地扩声时不产生啸叫现象，支持降噪功能设置。支持多通道输入混音。</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无线麦克风音频处理系统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麦克风音频编码至少采用LC3plus的方式。支持啸叫抑制算法。支持降噪功能设置。支持多通道输入混音。</w:t>
            </w:r>
            <w:r>
              <w:rPr>
                <w:rFonts w:hint="eastAsia" w:ascii="宋体" w:hAnsi="宋体" w:eastAsia="宋体" w:cs="宋体"/>
                <w:bCs/>
                <w:color w:val="000000"/>
                <w:sz w:val="24"/>
                <w:szCs w:val="24"/>
                <w:lang w:val="en-US" w:eastAsia="zh-CN"/>
              </w:rPr>
            </w:r>
            <w:r/>
          </w:p>
        </w:tc>
      </w:tr>
      <w:tr>
        <w:trPr>
          <w:trHeight w:val="281"/>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摄像机三脚架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全金属材质。支持伸缩，最大高度≥2m。采用标准1/4英寸螺口。</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移动录播箱</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箱体聚丙烯复合材料，承重≥50KG。支持≥IP67防护等级。采用四个万向静音轮。具备可伸缩拉杆，人体工学把手，采用包胶设计。内衬设有各设备独立摆放仓。</w:t>
            </w:r>
            <w:r>
              <w:rPr>
                <w:rFonts w:hint="eastAsia" w:ascii="宋体" w:hAnsi="宋体" w:eastAsia="宋体" w:cs="宋体"/>
                <w:bCs/>
                <w:color w:val="000000"/>
                <w:sz w:val="24"/>
                <w:szCs w:val="24"/>
                <w:lang w:val="en-US" w:eastAsia="zh-CN"/>
              </w:rPr>
            </w:r>
            <w:r/>
          </w:p>
        </w:tc>
      </w:tr>
      <w:tr>
        <w:trPr>
          <w:trHeight w:val="41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智能云盒</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CPU：采用国产≤8nm制程工艺，不低于8核，主频≥2.4GHz。RAM：≥8GB。内置存储：≥32GB。内置硬盘：固态硬盘容量≥128GB，支持硬盘容量扩展，且扩展容量≥2TB，支持截屏图片、录制视频的存储与调用等。物理按键：不少于电源键*1，录制键*1。指示灯：三色LED电源指示灯。HDMI输入接口：HDMI输入接口≥2个，支持电脑、摄像头、实物展台等外部设备的有线接入，输入画质≥3840x2160分辨率。10.HDMI输出接口：HDMI输出接口≥2个，支持输出到2个不同的大屏端</w:t>
            </w:r>
            <w:r>
              <w:rPr>
                <w:rFonts w:hint="eastAsia" w:ascii="宋体" w:hAnsi="宋体" w:eastAsia="宋体" w:cs="宋体"/>
                <w:bCs/>
                <w:color w:val="000000"/>
                <w:sz w:val="24"/>
                <w:szCs w:val="24"/>
                <w:lang w:val="en-US" w:eastAsia="zh-CN"/>
              </w:rPr>
              <w:t xml:space="preserve">，输出画质≥3840x2160分辨率。音频接口：LineIn接口≥1路，支持麦克风的连接；LineOut接口≥1路，支持音箱的连接。USB接口：USB3.0Type-A接口≥3路，支持U盘、鼠标、键盘、摄像机的接入；USB2.0Type-B接口≥1路，支持连接电脑安装驱动。网络接口：以太网RJ45数据接口≥3个，其中2.5GBase-T(2500Mbps)自适应网口≥1个，1000MBase-T(1000Mbps)自适应网口≥2个。中控接口：RS232接口≥1个。网络：网络工作模式：支持路由、交换两种模式。</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支持定时重启功能，能够在每天自定义时间进行设备重启。支持通电自启动；支持通电以后延时启动功能，可自定义延迟启动时间，可设置最大启动延迟时间≥300秒。支持壁挂式安装，提供原厂安装支架。</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多视窗交互系统软件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numPr>
                <w:ilvl w:val="0"/>
                <w:numId w:val="6"/>
              </w:numPr>
              <w:jc w:val="left"/>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语言切换：系统支持简体中文、英文、韩文等多种语言模式的快速切换，满足多种语言教学的要求。屏幕工具条：可直接在触控显示屏上触控点击系统工具条，或通过鼠标点击工具条进行操作，工具条具有截屏、录播/录制、广播、布局、切屏、批注、白板、互动等功能按钮，并显示时间、设备名称、网络IP等信息。工具条支持在大屏的左边或右边显示，具有下拉功能。自定义工具条：支持根据教学要求进行自定义工具条按钮，选择常用的功能按钮显示在工具</w:t>
            </w:r>
            <w:r>
              <w:rPr>
                <w:rFonts w:hint="eastAsia" w:ascii="宋体" w:hAnsi="宋体" w:eastAsia="宋体" w:cs="宋体"/>
                <w:bCs/>
                <w:color w:val="000000"/>
                <w:sz w:val="24"/>
                <w:szCs w:val="24"/>
                <w:lang w:val="en-US" w:eastAsia="zh-CN"/>
              </w:rPr>
              <w:t xml:space="preserve">条上，具有应用、工具、属性、互动等不少于34个功能按钮，同时可自定义选择≥12个功能按钮在侧边工具条显示。支持隐藏截屏、录播/录制、广播、布局、切屏、批注、白板、互动等功能按钮，并支持添加App应用、Web应用、欢迎主题、扫码带走等工具按钮和单选、多选、投票、抢答等互动按钮；还可通过快捷方式设置自定义按钮，如设备源、分组源、网页源和应用程序源等，任一类型的上屏方式均可选择覆盖上屏或追加上屏。全屏缩放：支持在遥控器APP端或触控显示屏端对显示画面进行缩小、放大操作，能够对单屏或多屏画面进行最大≥400%放大。</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移动端无线投屏：支持≥16路终端设备同时接入教学互动终端，各操作系统设备无需安装任何APP即可直接投屏，支持通过各主流投屏协议无线投屏或通过传屏器一键投屏，并可自由拖动画面位置，支持对设备画面进行静音、旋转、全屏、移除等操作。WIFI分享：支持生成二维</w:t>
            </w:r>
            <w:r>
              <w:rPr>
                <w:rFonts w:hint="eastAsia" w:ascii="宋体" w:hAnsi="宋体" w:eastAsia="宋体" w:cs="宋体"/>
                <w:bCs/>
                <w:color w:val="000000"/>
                <w:sz w:val="24"/>
                <w:szCs w:val="24"/>
                <w:lang w:val="en-US" w:eastAsia="zh-CN"/>
              </w:rPr>
              <w:t xml:space="preserve">码，移动设备扫码直接连接教学互动终端的无线网络。国产化支持：支持在国产OS和国产CPU软硬件环境下，用纯软件实现≥16个国产电脑同时接入教学互动终端，支持≥16个画面同时显示。文件读取：系统支持查看U盘、内置硬盘、图库、分享的文件和下载的文件等，支持将外接U盘中的图片、视频、音频、文档等文件资料直接上屏展示；支持通过截屏和录制将存储在图库（U盘、内置硬盘）中的图片、视频直接上屏展示；支持将从云空间和存储设备中下载到本地的图片、视频、音频、文档等文件资料直接上屏展示；支持将扫码上传的文件和遥控器APP上传的文</w:t>
            </w:r>
            <w:r>
              <w:rPr>
                <w:rFonts w:hint="eastAsia" w:ascii="宋体" w:hAnsi="宋体" w:eastAsia="宋体" w:cs="宋体"/>
                <w:bCs/>
                <w:color w:val="000000"/>
                <w:sz w:val="24"/>
                <w:szCs w:val="24"/>
                <w:lang w:val="en-US" w:eastAsia="zh-CN"/>
              </w:rPr>
              <w:t xml:space="preserve">件资料直接上屏展示，支持将外接U盘中、遥控器APP上传的或云空间下载的PPT演示文稿以联动模式或演讲模式等进行放映，演讲模式下可实现PPT的动画效果和内嵌视频播放。文件管理：支持随时查看教学互动终端中的图片、视频、音频和文件等，并可以对所有文件进行上屏、发送到分组、添加到我的下载、下载到U盘、扫码带走、删除等操作。设备和文件分类：系统自动对设备（有线接入设备、无线投屏设备、网络摄像机、手写板等设备）、文件（U盘、内置硬盘、图库、分享的文件、我的下载）、分组（分组端教学互动终端）、电子教室（学生机电脑）等进行</w:t>
            </w:r>
            <w:r>
              <w:rPr>
                <w:rFonts w:hint="eastAsia" w:ascii="宋体" w:hAnsi="宋体" w:eastAsia="宋体" w:cs="宋体"/>
                <w:bCs/>
                <w:color w:val="000000"/>
                <w:sz w:val="24"/>
                <w:szCs w:val="24"/>
                <w:lang w:val="en-US" w:eastAsia="zh-CN"/>
              </w:rPr>
              <w:t xml:space="preserve">分类；支持对已连接的设备进行置顶、重命名、移动至分组、移除等操作。界面布局：支持全屏模式、显示工具条模式和研讨模式。全屏模式下，工具条自动隐藏，隐藏后可点击隐藏按钮再次显示，且无操作达到设定时间后，工具条会继续隐藏；显示工具条模式下，支持工具条显示在左边或右边；研讨模式下，自动隐藏切屏按钮，可选择在屏幕左边或右边始终显示设备缩略图，可将设备画面、文件画面、分组画面等快速上屏展示。布局还支持：布局快照、清除主屏等功能按钮的选择。一键截屏：支持一键截取当前屏幕的显示画面，支持对截屏的图片进行大小和区域的调整，截</w:t>
            </w:r>
            <w:r>
              <w:rPr>
                <w:rFonts w:hint="eastAsia" w:ascii="宋体" w:hAnsi="宋体" w:eastAsia="宋体" w:cs="宋体"/>
                <w:bCs/>
                <w:color w:val="000000"/>
                <w:sz w:val="24"/>
                <w:szCs w:val="24"/>
                <w:lang w:val="en-US" w:eastAsia="zh-CN"/>
              </w:rPr>
              <w:t xml:space="preserve">屏的图片可保存在外接U盘或内置硬盘中，支持将存储在外接U盘和内置硬盘中的图片下载到本地，支持通过遥控器APP分享到微信、微博、QQ等第三方应用程序。微课录制：支持多种方式开启微课录制，如教学互动终端的“录制”按键、屏幕工具条的“录播/录制”按钮和遥控器APP中的“录播/录制”按钮；支持屏幕多画面和外接麦克风声音同步录入，提供至少含720P和1080P视频显示格式可选，录制的视频可保存在外接U盘或内置硬盘的存储设备中，支持存储空间不足时提醒功能；录制结果至少含标准MP4格式等视频，录制过程中可随时暂停、停止。</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16.白板批注：系统提供画笔、激光笔、宽度、板擦、清空、撤销、恢复、聚焦、随写板等工具，支</w:t>
            </w:r>
            <w:r>
              <w:rPr>
                <w:rFonts w:hint="eastAsia" w:ascii="宋体" w:hAnsi="宋体" w:eastAsia="宋体" w:cs="宋体"/>
                <w:bCs/>
                <w:color w:val="000000"/>
                <w:sz w:val="24"/>
                <w:szCs w:val="24"/>
                <w:lang w:val="en-US" w:eastAsia="zh-CN"/>
              </w:rPr>
              <w:t xml:space="preserve">持普通画笔书写、荧光画笔书写和激光笔定位，提供红、橙、黄、绿、青、蓝、紫等≥9种画笔颜色和圆形、长方形、三角形、六边形等≥9种图形类别，并支持选择画笔书写和图形绘制的线条宽度；支持板擦手势擦除或滑动擦除当前书写内容；支持一键清空、撤销或重做；支持批注界面下的显示画面聚焦，可自由拖拽显示位置和显示比例，聚焦内容可以以图片形式发送到指定的小组，亦可保存到本地硬盘，讲解模式下可将当前显示区域截取到白板中，支持截取多张图片和置顶某张图片；关灯模式下可将当前显示区域以外的画面进行黑屏操作；支持白板界面下的随写板书写，</w:t>
            </w:r>
            <w:r>
              <w:rPr>
                <w:rFonts w:hint="eastAsia" w:ascii="宋体" w:hAnsi="宋体" w:eastAsia="宋体" w:cs="宋体"/>
                <w:bCs/>
                <w:color w:val="000000"/>
                <w:sz w:val="24"/>
                <w:szCs w:val="24"/>
                <w:lang w:val="en-US" w:eastAsia="zh-CN"/>
              </w:rPr>
              <w:t xml:space="preserve">可悬浮于屏幕画面的上层显示，并自由拖拽显示位置和显示比例，支持一键滑动清除、最小化、还原初始大小和翻页等操作；支持添加多页白板并进行上下翻页，可同时预览多页白板的缩略图，用户可自行新建白板≥50页；支持一键清空当前创建的所有白板。推拉流：支持RTMP协议推流，可实时将教学互动终端的画面、声音通过互联网直播，可完成≥16路投屏设备画面同步直播到互联网，推流画面支持自行选择大屏画面、录制直播画面、巡课画面和摄像机画面，支持预置≥20个推流地址，并同时向不同地址进行推流直播；同时还可支持拉流观看直播，将远端服务器</w:t>
            </w:r>
            <w:r>
              <w:rPr>
                <w:rFonts w:hint="eastAsia" w:ascii="宋体" w:hAnsi="宋体" w:eastAsia="宋体" w:cs="宋体"/>
                <w:bCs/>
                <w:color w:val="000000"/>
                <w:sz w:val="24"/>
                <w:szCs w:val="24"/>
                <w:lang w:val="en-US" w:eastAsia="zh-CN"/>
              </w:rPr>
              <w:t xml:space="preserve">已有的直播内容，通过教学互动终端进行拉流播放。Web应用：支持添加第三方Web端网页链接，可在屏幕端同时展示≥16个网页界面。欢迎主题：系统内置≥14种模板，可选择系统模板、自定义模板和文字模板，支持更换背景、插入文本、分割线和导入外接U盘的音乐、图片，可针对自定义内容保存为模板，自由导入、导出主题，并可同步展示到分组端显示。扫码带走：支持将教学互动终端中的图片、视频、文档等文件资料通过扫描二维码或下载链接保存到移动设备，用户可选择公网模式或局域网模式，在教学互动终端接入互联网或断开互联网时均可生成二维码。</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扫码上传：支持移动设备通过扫描二维码或访问链接将设备中的图片、视频、文档等文件资料上传到教学互动终端。设备监测：支持查看教学互动终端的内存、CPU、硬盘、网络等使用情况，还可支持详细查看视频质量和声音质量。音量调节：支持对屏幕端音视频的一键静音和解除静音，关闭麦克风和打开麦克风，并可手动调节音量大小和选择声音输入输</w:t>
            </w:r>
            <w:r>
              <w:rPr>
                <w:rFonts w:hint="eastAsia" w:ascii="宋体" w:hAnsi="宋体" w:eastAsia="宋体" w:cs="宋体"/>
                <w:bCs/>
                <w:color w:val="000000"/>
                <w:sz w:val="24"/>
                <w:szCs w:val="24"/>
                <w:lang w:val="en-US" w:eastAsia="zh-CN"/>
              </w:rPr>
              <w:t xml:space="preserve">出设备，还可支持播放测试音和启用侦听。反向控制：支持在触控显示屏上对HDMI有线接入的电脑进行反向控制操作，支持通过主流投屏协议无线投屏或通过传屏器一键投屏的部分设备进行反向控制操作，具有选择开启或关闭功能按钮，同时还支持在显示终端大屏触摸或通过教学互动终端外接鼠标以及遥控器APP进行反向控制。安全策略：支持设置随机PIN码和固定PIN码，移动端设备无线投屏或使用遥控器APP时均需输入对应的PIN码；还可支持设置管理员密码和密码提示信息，每次进入“设置”界面均需要输入管理员密码。个性化设置：支持修改教学互动</w:t>
            </w:r>
            <w:r>
              <w:rPr>
                <w:rFonts w:hint="eastAsia" w:ascii="宋体" w:hAnsi="宋体" w:eastAsia="宋体" w:cs="宋体"/>
                <w:bCs/>
                <w:color w:val="000000"/>
                <w:sz w:val="24"/>
                <w:szCs w:val="24"/>
                <w:lang w:val="en-US" w:eastAsia="zh-CN"/>
              </w:rPr>
              <w:t xml:space="preserve">终端名称、设置开机画面壁纸、选择默认屏幕布局、开启辅助控制和首页展示遥控器APP二维码等功能。分组互动：教师上课前，通过创建合作组，并随即生成一个入组验证码；小组屏通过输入验证码，加入到教师指定的合作组里；任何小组屏都可以作为教师端，进行创建和解散合作组。可勾选“开机广播”，即教师端下次开机后自动广播主屏幕给所有小组端。教师可以通过广播功能，把教师端显示内容同步到指定的单个或多个小组屏上,分组端可选择暂离广播或接收广播。通过切屏功能，可以抓取≥16个小组屏内容到教师端，进行对比教学,并支持广播至所有分组端。</w:t>
            </w:r>
            <w:r>
              <w:rPr>
                <w:rFonts w:hint="eastAsia" w:ascii="宋体" w:hAnsi="宋体" w:eastAsia="宋体" w:cs="宋体"/>
                <w:bCs/>
                <w:color w:val="000000"/>
                <w:sz w:val="24"/>
                <w:szCs w:val="24"/>
                <w:lang w:val="en-US" w:eastAsia="zh-CN"/>
              </w:rPr>
              <w:t xml:space="preserve">还可以把任何一个小组屏幕内容，演示到其他指定的单个或多个小组屏上。同时支持将教师端的图片、视频、文档等文件资料发送到分组端，支持在教师端查看U盘/内置硬盘/遥控器APP上传的本地文件和云空间下载文件，并发送到全部分组或指定分组；支持在教师端一键截屏当前屏幕画面，并发送到全部分组或指定分组；支持将教师端白板书写或批注状态下的画面发送到全部分组或指定分组；实现多样化的分组讨论场景。以上多屏小组互动，支持在教师端广播状态下进行批注或白板书写时，所有分组端可同步进行批注和白板书写，支持画笔、板擦、撤销、重做等功能。</w:t>
            </w:r>
            <w:r>
              <w:rPr>
                <w:rFonts w:hint="eastAsia" w:ascii="宋体" w:hAnsi="宋体" w:eastAsia="宋体" w:cs="宋体"/>
                <w:bCs/>
                <w:color w:val="000000"/>
                <w:sz w:val="24"/>
                <w:szCs w:val="24"/>
                <w:lang w:val="en-US" w:eastAsia="zh-CN"/>
              </w:rPr>
              <w:t xml:space="preserve">支持教师端对所有分组端发送一次性指令，如开始录制、结束录制、清空接收文件、息屏、唤醒、重启、关机、界面布局调整、音量调节等操作。扩展屏软件：支持在终端设备上安装扩展屏软件，支持显示教学互动终端的大屏画面、录制直播画面和同步课堂画面，当选择大屏画面时，扩展屏显示和大屏完全一样的内容，并支持声音传输；当选择录制直播画面时，教学互动终端开启录播后，扩展屏软件显示教学互动终端设置的录制和直播版式内容；当选择同步课堂画面时，教学互动终端开启同步课堂后，主讲端扩展屏显示任意听课教室画面，听课教室扩展屏显示主讲教室画面。</w:t>
            </w:r>
            <w:r>
              <w:rPr>
                <w:rFonts w:hint="eastAsia" w:ascii="宋体" w:hAnsi="宋体" w:eastAsia="宋体" w:cs="宋体"/>
                <w:bCs/>
                <w:color w:val="000000"/>
                <w:sz w:val="24"/>
                <w:szCs w:val="24"/>
                <w:lang w:val="en-US" w:eastAsia="zh-CN"/>
              </w:rPr>
            </w:r>
            <w:r/>
          </w:p>
          <w:p>
            <w:pPr>
              <w:pStyle w:val="872"/>
              <w:numPr>
                <w:ilvl w:val="0"/>
                <w:numId w:val="0"/>
              </w:num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val="0"/>
                <w:bCs/>
                <w:color w:val="000000"/>
                <w:sz w:val="24"/>
                <w:szCs w:val="24"/>
                <w:lang w:val="en-US" w:eastAsia="zh-CN"/>
              </w:rPr>
              <w:t xml:space="preserve">▲2.双屏显示：支持1个教学互动终端外接≥2个显示屏</w:t>
            </w:r>
            <w:r>
              <w:rPr>
                <w:rFonts w:hint="eastAsia" w:ascii="宋体" w:hAnsi="宋体" w:eastAsia="宋体" w:cs="宋体"/>
                <w:b w:val="0"/>
                <w:bCs/>
                <w:color w:val="000000"/>
                <w:sz w:val="24"/>
                <w:szCs w:val="24"/>
                <w:lang w:val="en-US" w:eastAsia="zh-CN"/>
              </w:rPr>
              <w:t xml:space="preserve">，显示模式包含镜像模式、扩展模式两种显示效果。镜像模式下，主副屏显示同样画面，支持两个屏幕同时触控；扩展模式下，支持在主屏通过手势向左、右划动将当前任意一个显示画面复制到副屏，向下划动可将复制到副屏的画面下屏，也可将任意显示画面发送到副屏，副屏可对复制和发送过来的画面进行单独控制，也可点击主屏画面右下角快捷键实现同样效果；支持设置主副屏自动上屏策略，支持设置HDMI输入的信号源和投屏信号源自动上屏，策略包括在单屏或Auto模式下自动上屏、单屏模式下自动上屏、Auto模式下自动上屏和禁止自动上屏，支持主副屏单</w:t>
            </w:r>
            <w:r>
              <w:rPr>
                <w:rFonts w:hint="eastAsia" w:ascii="宋体" w:hAnsi="宋体" w:eastAsia="宋体" w:cs="宋体"/>
                <w:b w:val="0"/>
                <w:bCs/>
                <w:color w:val="000000"/>
                <w:sz w:val="24"/>
                <w:szCs w:val="24"/>
                <w:lang w:val="en-US" w:eastAsia="zh-CN"/>
              </w:rPr>
              <w:t xml:space="preserve">独设置；支持在主屏将设备画面、分组画面、U盘/内置硬盘/遥控器APP上传的本地文件和云空间下载文件，发布到副屏展示，并支持单屏显示或Auto模式显示，Auto模式下可支持≥4组内容进行对比展示；支持主副屏的PPT联动，在主屏显示PPT内容时可一键开启联动模式，PPT每翻至下一页，副屏即自动显示PPT上一页内容，同时保留批注内容。PPT在放映模式下，具有页面缩略图预览，可以选择PPT任意页，上屏展示。支持一键同时截取主屏、副屏的显示画面，截屏的图片可保存在外接U盘或内置硬盘中。（签订合同时提供第三方检测报告）</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云台摄像机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1080P全高清。1/2.7英寸、≥207万有效像素的HDCMOS传感器，可实现≥1920x1080高分辨率的图像。1080P下输出帧频≥60fps。72.5°广角镜+16x数字变焦。采用72.5°超广焦镜头，光学变焦≥12倍，并支持≥16倍数字变焦。CMOS图像传感器可有效降低在低照度情况下的图像噪声，同时应用2D和3D降噪算法，降低图像噪声，超低照度情况下，保持画面干净清晰，图像信噪比≥55dB以上。远程控制，使用RS232和RS485串口，可对摄像机进行控制。</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校园电视台系统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直播类型：支持直播类型包括主机端直播、媒体直播和通知发布，输入直播名称和简介，选择收看方式、开始时间、直播时长等相关信息。主机端直播：支持用户输入直播名称和简介，选择年级、科目、主讲教师、收看主机端、收看方式、视频录制、重复直播、开始时间、直播时长等信息，即可完成主机端直播的创建；选择视频录制时，直播文件自动保存到服务器中。媒体直播：支持用户输入直播名称和简介，选择年级、科目、媒体文件（音频或视频）、收看方式、重复直播、开始时间、直播时长、循环播放</w:t>
            </w:r>
            <w:r>
              <w:rPr>
                <w:rFonts w:hint="eastAsia" w:ascii="宋体" w:hAnsi="宋体" w:eastAsia="宋体" w:cs="宋体"/>
                <w:bCs/>
                <w:color w:val="000000"/>
                <w:sz w:val="24"/>
                <w:szCs w:val="24"/>
                <w:lang w:val="en-US" w:eastAsia="zh-CN"/>
              </w:rPr>
              <w:t xml:space="preserve">等信息，即可完成媒体直播的创建；选择音频文件时，可支持上传直播封面图片；选择循环播放时，直播未结束状态下可一直循环播放。通知发布：支持用户输入通知名称和文字内容，选择年级、显示方式（顶部或底部跑马灯滚动显示）、收看方式、重复直播、开始时间、直播时长等信息，即可完成通知的发布。收看方式：支持主机端、直播ID、扫描二维码三种收看方式，选择主机端收看方式，可将其他主机端作为收看设备；选择直播ID收看方式，其他主机端需手动输入直播ID加入直播；选择扫描二维码收看方式，可通过移动端扫码观看直播。重复直播：支持设定具体</w:t>
            </w:r>
            <w:r>
              <w:rPr>
                <w:rFonts w:hint="eastAsia" w:ascii="宋体" w:hAnsi="宋体" w:eastAsia="宋体" w:cs="宋体"/>
                <w:bCs/>
                <w:color w:val="000000"/>
                <w:sz w:val="24"/>
                <w:szCs w:val="24"/>
                <w:lang w:val="en-US" w:eastAsia="zh-CN"/>
              </w:rPr>
              <w:t xml:space="preserve">时间，可按每天、每周、每月定时直播。直播时间：支持即时直播和定时直播两种直播方式，选择即时直播将开始直播，选择定时直播可输入具体时间，时间精确到年、月、日、时、分。直播时长：支持选择5、10、20、30、40、50、60分钟的不少于7种直播时长。直播优先级：支持选择强制直播，当多个直播同时进行时，该直播优先级最高。直播管理：支持通过直播类型、状态、年级、科目、关键字等不同筛选方式查询直播详情，还可选择按本月、本周或自定义时间段查询直播详情；支持批量删除直播详情。直播详情：支持在直播进行状态下查看直播ID、直</w:t>
            </w:r>
            <w:r>
              <w:rPr>
                <w:rFonts w:hint="eastAsia" w:ascii="宋体" w:hAnsi="宋体" w:eastAsia="宋体" w:cs="宋体"/>
                <w:bCs/>
                <w:color w:val="000000"/>
                <w:sz w:val="24"/>
                <w:szCs w:val="24"/>
                <w:lang w:val="en-US" w:eastAsia="zh-CN"/>
              </w:rPr>
              <w:t xml:space="preserve">播时长、直播优先级、二维码等信息，支持一键结束直播或锁定直播间，锁定后新设备将无法加入直播；支持查看当前收看设备详情，包括名称、状态、设备类型和加入方式。直播回看：支持在云盒直播模式下开启视频录制，并可在直播已结束状态下进行视频回看；支持手动拖拽播放进度、选择全屏播放和画中画播放。日历查询：支持通过日历查看所有已结束、进行中和未开始的直播间，可选择指定日期查看直播详情或进行视频回看。素材管理：支持新建文件夹和上传文件，文件类型包括图片、视频、音频和文档，创建媒体直播时可直接调用；同时支持上传文件的异地下载。</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一体化音频处理器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算法规格参数：支持算法：含不低于AFC、ANS、AEC、AGC、ARR等5种以上算法；声反馈增益≥18dB；降噪幅度≥30dB；回声消除幅度≥90dB；回声消除长度≥1s；混响抑制≥18dB。硬件规格参数：采样率≥48k；频率响应20Hz～20kHz，±0.3dB；失真度≦0.1%；输入和输出电平：≥4dBu；输入阻抗：≥20kΩ；输出阻</w:t>
            </w:r>
            <w:r>
              <w:rPr>
                <w:rFonts w:hint="eastAsia" w:ascii="宋体" w:hAnsi="宋体" w:eastAsia="宋体" w:cs="宋体"/>
                <w:bCs/>
                <w:color w:val="000000"/>
                <w:sz w:val="24"/>
                <w:szCs w:val="24"/>
                <w:lang w:val="en-US" w:eastAsia="zh-CN"/>
              </w:rPr>
              <w:t xml:space="preserve">抗：≥200Ω；电源输入满足DC24V/2.7A；含主麦克风、从麦克风、其他麦克风（幻想供电麦克风和无线麦克风，通过PC工具进行切换）接口；外部音频输入接口：一般可接入PC音频信号；回声音频信号输入接口：一般接入互动时远端信号；回声音频信号输出接口：一般输出到终端设备；功放输出：支持两路无源音箱接口，接30W8Ω无源音箱；含USB固件升级功能、WLAN处理器网络接口及RS485接口。其它参数：电源电压：100-240V，0.75A50/60Hz；工作电压：DC24V；尺寸(长x宽x高)：200x159x40</w:t>
            </w:r>
            <w:r>
              <w:rPr>
                <w:rFonts w:hint="eastAsia" w:ascii="宋体" w:hAnsi="宋体" w:eastAsia="宋体" w:cs="宋体"/>
                <w:bCs/>
                <w:color w:val="000000"/>
                <w:sz w:val="24"/>
                <w:szCs w:val="24"/>
                <w:lang w:val="en-US" w:eastAsia="zh-CN"/>
              </w:rPr>
              <w:t xml:space="preserve">mm±10mm；工作温度：-10℃~50℃；存储温度：-20℃~70℃。支持AI降噪技术，只对人声扩声，屏蔽脚步，敲击，风扇等各种噪声。支持声幕墙技术。讲台附近采用阵列麦；另外在学生区域安装1个或2个学生麦。扩声角度范围：老师麦扩声角度在0度~180度之间，在该区域内音量波动≤3db；远程教学时送给远端的拾音范围：学生麦和老师麦都是全向拾音。支持同时使用本地扩声和远程教学功能，不需要切换，在远程授课的同时，可进行本地扩声。支持自动反馈抑制：传声增益提升幅度：≥8dB，能防止本地啸叫。支持自动回声消除：消除由</w:t>
            </w:r>
            <w:r>
              <w:rPr>
                <w:rFonts w:hint="eastAsia" w:ascii="宋体" w:hAnsi="宋体" w:eastAsia="宋体" w:cs="宋体"/>
                <w:bCs/>
                <w:color w:val="000000"/>
                <w:sz w:val="24"/>
                <w:szCs w:val="24"/>
                <w:lang w:val="en-US" w:eastAsia="zh-CN"/>
              </w:rPr>
              <w:t xml:space="preserve">扬声器播放出来的声音被麦克风拾取的声音；此外本地扩声功能打开时，自动反馈抑制和自动回声消除功能不相互受影响。支持自动噪声抑制：抑制幅度≥30dB。支持自动增益控制：自动增益控制音量提升幅度≥15dB。支持混响抑制。内置2*30W功放模块。支持无线麦接入。除支持远程音频信号接入外，还支持另外一路外部音频信号接入。输出支持三路输出硬件接口。支持通过网络或485接口对设备进行软控制。支持在设备上对远端输入信号接口、输出给远端的接口、输出给喇叭的接口等调节模拟音量。通过集成的按键面板控制打开关闭扩声，增加减小音量。</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阵列话筒</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麦克风参数：拾音距离≥8米拾音；麦克风阵列指向性≥180°指向拾音；麦克风阵列数量≥6个；灵敏度范围-37dB±3dB；频率响应范围100-20KHz；信噪比≥70dB；失真度≦0.1%；工作温度：-10℃~50℃。硬件参数：指向麦RJ45接口；支架安装接口：1/4*6*6mm通孔。其它参数：线缆要求不低于超五类双绞屏蔽网线；RJ45网口供电；工作电压满足DC12V；尺寸≤446x50x46mm。</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无线头戴话筒（头戴）</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UHF频段，锁相环(PLL)频率合成，≥100×2个信道，信道间隔250KHz。真分集超外差二次变频设计。真正分集接收，采用双天线、双接收线路，接收距离≥100米。无线接收机：频率范围：640</w:t>
            </w:r>
            <w:r>
              <w:rPr>
                <w:rFonts w:hint="eastAsia" w:ascii="宋体" w:hAnsi="宋体" w:eastAsia="宋体" w:cs="宋体"/>
                <w:bCs/>
                <w:color w:val="000000"/>
                <w:sz w:val="24"/>
                <w:szCs w:val="24"/>
                <w:lang w:val="en-US" w:eastAsia="zh-CN"/>
              </w:rPr>
              <w:t xml:space="preserve">-689.75MHz。可调信道数：100×2。振荡方式：锁相环频率合成（PLL）。频率稳定度：±10ppm。接收方式：真分集超外差二次变频。导频方式：数字导频。音频频响：60-13000Hz。谐波失真：≤0.5%。信噪比≥50dB。10、音频输出：平衡输出和混合输出。接收灵敏度：≤-95dBm。电源规格：12VDC/2A。发射器：频率范围：640-689.75MHz。可调信道数：200个。振荡方式：锁相环频率合成（PLL）。谐波抑制：-30dB。调制方式：调频（FM）。调频方式：红外对频。拾音咪头：电容式。</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平板电脑</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≥11.5英寸液晶屏。分辨率≥2200*1440。内存≥6G；固态盘≥128G。</w:t>
            </w:r>
            <w:r>
              <w:rPr>
                <w:rFonts w:hint="eastAsia" w:ascii="宋体" w:hAnsi="宋体" w:eastAsia="宋体" w:cs="宋体"/>
                <w:bCs/>
                <w:color w:val="000000"/>
                <w:sz w:val="24"/>
                <w:szCs w:val="24"/>
                <w:lang w:val="en-US" w:eastAsia="zh-CN"/>
              </w:rPr>
            </w:r>
            <w:r/>
          </w:p>
        </w:tc>
      </w:tr>
      <w:tr>
        <w:trPr>
          <w:trHeight w:val="66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55寸电视机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55寸4K显示终端。吊装支架：满足55--75吊装需求，承重≥50KG。</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会议室管材、线材及设备安装调试费</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含安装所需PVC管、电源插头、电源线、音频线、HDMI线、网线、水晶头/卡农接头、6.5音频接头、3.5音频接头等。含98寸一体机安装管线预埋、布线、设备安装、调试等。含音频安装施工调试，满足现场安装调试。</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一拖四超指向性无线会议话筒</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频道组数：四通道。面板显示：LCD液晶显示可同时显示RF/AF信号强度，SQ设置，发射机的电池容量和工作频率。震荡模式：PLL相位锁定频率合成。射频稳定度：±0.005%（10～50℃）。载波频段：UHF：640.125MHz-690.000MHz；805.125MHz-823.750MHz。频带宽度：600MHz：50（6.25*4*2）MHz；800MHz：25（6.25*4*1）MHz。频率间隔：≥125KHz。</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可切换频率数：600MHz：≥400(50x4x2)个；800MHz：≥200(50x4x1)个。操作方式：手动调整。接收方式：真分集式。</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最大偏移度：±68KHz。综合S/N比：±105</w:t>
            </w:r>
            <w:r>
              <w:rPr>
                <w:rFonts w:hint="eastAsia" w:ascii="宋体" w:hAnsi="宋体" w:eastAsia="宋体" w:cs="宋体"/>
                <w:bCs/>
                <w:color w:val="000000"/>
                <w:sz w:val="24"/>
                <w:szCs w:val="24"/>
                <w:lang w:val="en-US" w:eastAsia="zh-CN"/>
              </w:rPr>
              <w:t xml:space="preserve">dB（1KHz-A）。综合失真度：≤0.5%@1KHz。综合频率响应：100Hz～18KHz±3dB具低频衰减滤频电路。输出插座：XLR平衡式插座独立输出及Φ6.3不平衡式插座混合输出。无阻接收距离：无障碍阻隔接收距离≥80m。DC电源供应：12V/1A。传声器类：双咪芯超指向性电容音头。灵敏度：-34dB±2dB(1dB=1V/Paat1KHz)。频率响应：40Hz-20000Hz。输出抗阻：500Ω。话筒杆长度：≥200mm。话筒自带锂电池，容量≥3.7V2000MA，可续航10-15小时，锂电池可取。</w:t>
            </w:r>
            <w:r>
              <w:rPr>
                <w:rFonts w:hint="eastAsia" w:ascii="宋体" w:hAnsi="宋体" w:eastAsia="宋体" w:cs="宋体"/>
                <w:bCs/>
                <w:color w:val="000000"/>
                <w:sz w:val="24"/>
                <w:szCs w:val="24"/>
                <w:lang w:val="en-US" w:eastAsia="zh-CN"/>
              </w:rPr>
            </w:r>
            <w:r/>
          </w:p>
        </w:tc>
      </w:tr>
      <w:tr>
        <w:trPr>
          <w:trHeight w:val="98"/>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调音台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≥12通道带效果模拟调音台，12个单声道和2个立体声输入。内置效果器。配置GB30前置放大器。≥2路辅助输出，AUX发送全部可切换到推子前或推子后。满足48V幻象电源供电。</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线阵</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扬声器组成≥2x3"。频率响应：120Hz-20KHz。标称阻抗：16Ω。承受功率：≥60W。灵敏度级：≥93dB。最高声压级：≥110dB。覆盖角度：≤95°x25°。吊挂架：标配壁挂架（水平和垂直角度可调节）。</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专业功放</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Ω额定功率：2×350w。4Ω额定功率：2×525w。电压增益：34.5dB。输入灵敏度：1Vrms。串扰抑制：≥75dB。频率响应：0~-1dB。输入阻抗：20KΩ（平衡）,10KΩ（非平衡）。信噪比（A记权，20Hz-20KHz）：≥100dB。电源要求：AC～100-240V(50-60Hz)。保护：过热保护、过载保护、输出直流保护、温度功率控制。</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音频处理器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每个声道≥12个滤波器频率反馈自动搜寻，智能处理。≥24种完全可编程参量均衡器，可通过手工或MIDI接口调整。单点模式自动搜寻并处理和锁定滤波。手动模式可设置≥2×12个滤波器的所有参数；伺服平衡输入和输出，XLR和TRS端子；每个滤波器均有单点，自动，手动三种模式。两个并行处理块，左右通道可单独和联合调节；24-BitDSP处理核，开关软启动；具有噪声门功能；背光2×16字符LCD显示全MIDI实时控制，可记忆用户设定参数。</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电源时序控制器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≥8路时序电源控制；具有RS232控制端口，支持电脑软件通过本端口控制设备开关，也可本地控制；支持与中控等第三方系统对接，支持接入第三方温湿度等传</w:t>
            </w:r>
            <w:r>
              <w:rPr>
                <w:rFonts w:hint="eastAsia" w:ascii="宋体" w:hAnsi="宋体" w:eastAsia="宋体" w:cs="宋体"/>
                <w:bCs/>
                <w:color w:val="000000"/>
                <w:sz w:val="24"/>
                <w:szCs w:val="24"/>
                <w:lang w:val="en-US" w:eastAsia="zh-CN"/>
              </w:rPr>
              <w:t xml:space="preserve">感器，实现环境监测管理；支持通过网络控制实现远程管理功能（如通过APP进行管理），可远程查看状态信息与使用情况，可实现定时任务、批量控制、单独控制、远程监测每个端口的开与关及系统运行态等操作。支持扩展能耗统计功能，内置功率计，电压、电流、功率、功率因数实时显示并且实时上传手机远程监控；支持电量统计，可查看所有的电源的电量使用情况，并可通过网络检测总负载电流/电压。支持手机/PAD等控制终端管理多台设备，当无实墙等物体遮挡情况下，WIFI传输距离≥30m，当多台同时管理时，可自定义每台设备名称及每路电源名称。</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专业机柜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600*600*1600mm±10mm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主体冷轧钢板，框架≥2.0mm，柜门≥0.8钢化玻璃。</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移动书写白板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900*1800mm±10mm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铝合金边框，磁性面板，双面可用。可调节高度，双面翻转。带移动支架，下配万向轮。</w:t>
            </w:r>
            <w:r>
              <w:rPr>
                <w:rFonts w:hint="eastAsia" w:ascii="宋体" w:hAnsi="宋体" w:eastAsia="宋体" w:cs="宋体"/>
                <w:bCs/>
                <w:color w:val="000000"/>
                <w:sz w:val="24"/>
                <w:szCs w:val="24"/>
                <w:lang w:val="en-US" w:eastAsia="zh-CN"/>
              </w:rPr>
            </w:r>
            <w:r/>
          </w:p>
        </w:tc>
      </w:tr>
      <w:tr>
        <w:trPr>
          <w:trHeight w:val="184"/>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双色屏</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8810*450mm±50mm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集成点阵块封装，Ø3.75mm双色，作为文字宣传屏。</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箱体结构</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304不锈钢包边：宽度包边≧30mm，高度包边≧30mm。箱体整体厚度不超过150mm。</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报告厅会标屏配套辅材及安装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开关电源：5V/40A（不低于16块）。显示屏异步发送卡（1块）。配套RVV3*2.5m㎡电源线（不低于40m）。会标屏安装、管线预埋、布线、设备安装、调试等。</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报告厅管材、线材及设备安装调试费</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含一体机所需PVC管、电源插头、电源线、音频线、HDMI线、网线、水晶头。一体机安装施工调试：一体机安装、管线预埋、布线、设备安装、调试等。</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LED全彩显示屏</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P1.86-表贴全彩；屏体尺寸：4.48m（宽）*2.56m（高）=11.47㎡，像素间距为≤1.86mm，像素密度≥288906点/㎡。亮度：显示单元亮度≥600nits，亮度调节0～100%无极可调，白平衡亮度≥600cd/㎡；（6500K校正后）。显</w:t>
            </w:r>
            <w:r>
              <w:rPr>
                <w:rFonts w:hint="eastAsia" w:ascii="宋体" w:hAnsi="宋体" w:eastAsia="宋体" w:cs="宋体"/>
                <w:bCs/>
                <w:color w:val="000000"/>
                <w:sz w:val="24"/>
                <w:szCs w:val="24"/>
                <w:lang w:val="en-US" w:eastAsia="zh-CN"/>
              </w:rPr>
              <w:t xml:space="preserve">示屏可视角度：水平角度≥160°，垂直角度≥160°；亮度均匀性≥97%；色度均匀性±0.005Cx,Cy之内；对比度5000∶1。白场色坐标符合SJ/T11141-20175.10.5规定范围。刷新率：≥3840Hz。灰度等级：红，绿，蓝各256级；支持EPWM灰阶控制技术，支持软件实现0-100%不同亮度情况下，灰度10-22bits任意灰度设置：100%亮度22bit灰度；提升低灰视觉效果。峰值≤400W/㎡，平均≤135W/㎡；休眠模式功耗(W/m²）：显示屏黑屏不点亮时，功耗≤40W/m²。平均使</w:t>
            </w:r>
            <w:r>
              <w:rPr>
                <w:rFonts w:hint="eastAsia" w:ascii="宋体" w:hAnsi="宋体" w:eastAsia="宋体" w:cs="宋体"/>
                <w:bCs/>
                <w:color w:val="000000"/>
                <w:sz w:val="24"/>
                <w:szCs w:val="24"/>
                <w:lang w:val="en-US" w:eastAsia="zh-CN"/>
              </w:rPr>
              <w:t xml:space="preserve">用寿命：≥150000小时，MTBF平均失效间隔时间：≥150000小时。基板要求：环氧玻璃布层压板，机械性能、电性能、耐高湿性能以及耐焊接性能符合要求，使用温度130℃。防护等级：≥IP65。用户级模组维护：模组支持带电维护，热插拔不超过10秒，更换模组；支待自动校正。模组工作电压＜4.5V。模组底壳采用高强度塑胶大件，防护性能大大提高；模组采用磁吸固定方式，模组磁吸固定点≥8个。低亮高灰：具备低亮高灰功能。色温误差：色温为6500K时，100%，75%，50%，25%四档电平白场调节色温误差≤200K。</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电源要求：供电开关电源采用宽动态电源，电压具有高适应性，在一定范围内不同等级的电压都能应用。电源采用无风扇设计，带主动PFC功能的高效率电源，功率因数＞0.99,带同步镇流功能，转换效率≥0.92。抗风安全性能：LED显示屏满足抗风荷载试验各项参数正常使用的安全要求，抗拉力≥15kN。</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图像增强：采用先进的γ校正技术，可</w:t>
            </w:r>
            <w:r>
              <w:rPr>
                <w:rFonts w:hint="eastAsia" w:ascii="宋体" w:hAnsi="宋体" w:eastAsia="宋体" w:cs="宋体"/>
                <w:bCs/>
                <w:color w:val="000000"/>
                <w:sz w:val="24"/>
                <w:szCs w:val="24"/>
                <w:lang w:val="en-US" w:eastAsia="zh-CN"/>
              </w:rPr>
              <w:t xml:space="preserve">通过调整γ曲线提升图像清晰度、对比度、饱和度、色度和流畅度等视觉效果。安全防护功能：具有防潮，完全防尘，防腐蚀，防静电、抗震动、防撞、防摔、抗雷击等功能，具有电源过压、过流、断电保护、分布上电措施，具有实时监控温度、故障报警功能。图像处理：具有视频降噪、增强、运动补偿、色彩变换、色坐标变换、钝化、消除鬼影拖尾等图像处理功能；具有亮度、对比度、色度调节、视觉修正等图像调整功能；LED图像无失真现象；LED图像显示画面无重影、毛毛虫及鬼影现象，无几何失真和非线性失真。信号支持效果：支持4K、8K超高分辩率显示。</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显示屏框架结构</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箱体整体厚度不超过150mm,外框装饰采用厚度≥1mm哑光304不锈钢板包边，包边宽度≥50mm。框架尺寸：4.58m（宽）*2.66m（高）=12.18㎡前维护方式，屏体主结构框架采用40*80mm、40*40mm镀锌钢管制作，防腐防锈处理，含挂壁安装槽钢构件、安装结构须满足现场情况。</w:t>
            </w:r>
            <w:r>
              <w:rPr>
                <w:rFonts w:hint="eastAsia" w:ascii="宋体" w:hAnsi="宋体" w:eastAsia="宋体" w:cs="宋体"/>
                <w:bCs/>
                <w:color w:val="000000"/>
                <w:sz w:val="24"/>
                <w:szCs w:val="24"/>
                <w:lang w:val="en-US" w:eastAsia="zh-CN"/>
              </w:rPr>
            </w:r>
            <w:r/>
          </w:p>
        </w:tc>
      </w:tr>
      <w:tr>
        <w:trPr>
          <w:trHeight w:val="138"/>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5V/40A，200W；110~264Va输入范围。窄面宽设计不高于：30~96mm。最高效率范围≥89~96%；过电压等级不低于III。</w:t>
            </w:r>
            <w:r>
              <w:rPr>
                <w:rFonts w:hint="eastAsia" w:ascii="宋体" w:hAnsi="宋体" w:eastAsia="宋体" w:cs="宋体"/>
                <w:bCs/>
                <w:color w:val="000000"/>
                <w:sz w:val="24"/>
                <w:szCs w:val="24"/>
                <w:lang w:val="en-US" w:eastAsia="zh-CN"/>
              </w:rPr>
            </w:r>
            <w:r/>
          </w:p>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≥-40~+70℃超宽运行温度范围。</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视频处理器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视频输入接口包括≥1路HDMI2.0；≥1路DP1.2；≥4路DVI；≥2路SDI。输入分辨率：≥3840*2160@60Hz，支持分辨率任意设置。视频输出带载能力：≥650万像素。支持≥7个画中画，位置、大小可自由调节。支持视频源任意切换，可根据显示屏分辨率对输入图像进行拼接、缩放。双USB2.0高速通讯接口，用于电脑调试和卡间级联。支持多发送器任意拼接级联，严格同步。支持亮度和色温调节。支持低亮高灰。支持HDCP。支持跨平台设置大屏参数。支持网口备份。</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接收卡</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集成HUB75，无需再配转接板。支持常规芯片实现高刷新、高灰度、高亮度。支持14bit精度的色度、亮度一体化逐点校正。</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支持所有常规芯片、PWM芯片和灯饰芯片。支持静态屏、1/2~1/32扫之间的任意扫描类型。支持任意抽点，支持数据偏移。单卡支持≥16组RGB信号输出。支持单卡带载128*512，256*256。支持DC3.3V~6V超宽工作电压。</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LED配电系统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供电电缆（不低于80m）：YJV5*4mm²阻燃。屏内电源线(不低于100m)：RVV3*2.5mm²阻燃。网线（不低于150m）：6类,视频数据传输线。</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视频终端</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处理器：i5,10代以上。内存：8GBDDR4。硬盘：128GB固态硬盘。显卡：独立显卡。显示器：23.8寸。</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配电箱</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≥20KW；设备系统应具有手动控制、远程控制、定时控制、单时段控制和多时段控制。具备防雷装置，现场异常远程报警功能。</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LED屏安装施工调试</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含led屏安装、管线预埋、布线、设备安装、调试等。</w:t>
            </w:r>
            <w:r>
              <w:rPr>
                <w:rFonts w:hint="eastAsia" w:ascii="宋体" w:hAnsi="宋体" w:eastAsia="宋体" w:cs="宋体"/>
                <w:bCs/>
                <w:color w:val="000000"/>
                <w:sz w:val="24"/>
                <w:szCs w:val="24"/>
                <w:lang w:val="en-US" w:eastAsia="zh-CN"/>
              </w:rPr>
            </w:r>
            <w:r/>
          </w:p>
        </w:tc>
      </w:tr>
      <w:tr>
        <w:trPr>
          <w:trHeight w:val="382"/>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主音箱</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线阵列音柱扬声器,由≥16个2寸单元组成。带恒定波宽专利电路,角度可选。定阻功率：≥150瓦/8欧,定压功率：≥60瓦,70V/100V。频率响应80Hz-20kHz,灵敏度≥90dB。最大声压级115dB/121dB(峰值)。体积(高x宽x深)：≤530x100x155mm。≥10个M6吊挂点，包含墙装支架。</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辅助音箱</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高音采用反球顶号角高音。音箱的分频器线路设计高音啸叫保护装置。额定功率≥140W。最大功率≥280W。频响范围55Hz-20KHz。阻抗:8Ω。灵敏度≥92dB。最大声压级≥113dB。辐射角≤H80°V60°。</w:t>
            </w:r>
            <w:r>
              <w:rPr>
                <w:rFonts w:hint="eastAsia" w:ascii="宋体" w:hAnsi="宋体" w:eastAsia="宋体" w:cs="宋体"/>
                <w:bCs/>
                <w:color w:val="000000"/>
                <w:sz w:val="24"/>
                <w:szCs w:val="24"/>
                <w:lang w:val="en-US" w:eastAsia="zh-CN"/>
              </w:rPr>
            </w:r>
            <w:r/>
          </w:p>
        </w:tc>
      </w:tr>
      <w:tr>
        <w:trPr>
          <w:trHeight w:val="179"/>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数字功放</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8Ω额定功率：2×450w。电压增益：34.5dB。输入灵敏度：1Vrms。</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串扰抑制：≥75dB。频率响应：0~-1dB。输入阻抗：20KΩ（平衡）,10KΩ（非平衡）。信噪比（A记权，20Hz-20KHz）：≥100dB。电源要求：AC～100-240V(50-60Hz)。保护：过热保护、过载保护、输出直流保护、温度功率控制。</w:t>
            </w:r>
            <w:r>
              <w:rPr>
                <w:rFonts w:hint="eastAsia" w:ascii="宋体" w:hAnsi="宋体" w:eastAsia="宋体" w:cs="宋体"/>
                <w:bCs/>
                <w:color w:val="000000"/>
                <w:sz w:val="24"/>
                <w:szCs w:val="24"/>
                <w:lang w:val="en-US" w:eastAsia="zh-CN"/>
              </w:rPr>
            </w:r>
            <w:r/>
          </w:p>
        </w:tc>
      </w:tr>
      <w:tr>
        <w:trPr>
          <w:trHeight w:val="129"/>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数字调音台1</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具有≥10寸电容触摸屏，≥13个100mm电动推子。输入通道接口：≥14路麦克风输入、2路线路输入/1组USB/1组S/PDIF/1组optical。输入支持≥20路自动混音功能，具有两个独立自动混音组。每个输入通道具有独立的反相功能、反馈抑制器、噪声门、压缩器、高通滤波器/HPF、低通滤波器、4段参量均衡/PEQ（PEQ参数调整可独立存储，自定义存储预设≥100个，且支持数据的导入、导出）。输出通道：≥1组立体声L/R输出、≥6路BUS母线输出、≥2路AUX辅助输出、≥1组AES</w:t>
            </w:r>
            <w:r>
              <w:rPr>
                <w:rFonts w:hint="eastAsia" w:ascii="宋体" w:hAnsi="宋体" w:eastAsia="宋体" w:cs="宋体"/>
                <w:bCs/>
                <w:color w:val="000000"/>
                <w:sz w:val="24"/>
                <w:szCs w:val="24"/>
                <w:lang w:val="en-US" w:eastAsia="zh-CN"/>
              </w:rPr>
              <w:t xml:space="preserve">、≥1组耳机监听输出）。输出通道具有反相功能、≥8段参量均衡/PEQ、高通滤波器/HPF、低通滤波器/LPF。≥2路独立效果器总线，效果总线支持3段参量均衡/PEQ，高通滤波器/HPF、低通滤波器/LPF、单路效果总线内置预设≥6个效果类型（支持≥22个用户效果预设库）。输入、输出层分别支持≥8组link及输入通道的立体声Link；内置信号发生器。具有系统锁功能，可对输入、输出中的增益、反相、通道静音、参量均衡/PEQ、推子、效果器、场景预设调用等全部锁定。输入、输出通道名称支持中、英文命名；支持≥100种</w:t>
            </w:r>
            <w:r>
              <w:rPr>
                <w:rFonts w:hint="eastAsia" w:ascii="宋体" w:hAnsi="宋体" w:eastAsia="宋体" w:cs="宋体"/>
                <w:bCs/>
                <w:color w:val="000000"/>
                <w:sz w:val="24"/>
                <w:szCs w:val="24"/>
                <w:lang w:val="en-US" w:eastAsia="zh-CN"/>
              </w:rPr>
              <w:t xml:space="preserve">场景预设存储，预设存储场景可单个或全部导入、导出。11.具有≥1个RS-232接口、一个100M以太网口(PC连接及网络升级)，提供开放式TCP/IP、RS-232第三方控制协议；2个USB接口。具有全功能ipadapp、PC操作软件、安卓app，支持≥8个应用终端同时控制。软件设置界面能实时监测各功能模块运行是否正常。操作界面支持中英文切换。可选配全通滤波器、动态均衡器功能、双机同步热备份功能。信噪比：≥110dB。频率响应：优于20Hz-20kHz。总谐波失真：≤0.005%。输出最大电平：≥18dB。</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无线手持话筒</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524288;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41;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42;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43;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44;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45;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46;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588645</wp:posOffset>
                      </wp:positionH>
                      <wp:positionV relativeFrom="paragraph">
                        <wp:posOffset>0</wp:posOffset>
                      </wp:positionV>
                      <wp:extent cx="238760" cy="1587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47;o:allowoverlap:true;o:allowincell:true;mso-position-horizontal-relative:text;margin-left:46.3pt;mso-position-horizontal:absolute;mso-position-vertical-relative:text;margin-top:0.0pt;mso-position-vertical:absolute;width:18.8pt;height:1.2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238760" cy="1587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48;o:allowoverlap:true;o:allowincell:true;mso-position-horizontal-relative:text;margin-left:0.0pt;mso-position-horizontal:absolute;mso-position-vertical-relative:text;margin-top:0.0pt;mso-position-vertical:absolute;width:18.8pt;height:1.2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238760" cy="1587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49;o:allowoverlap:true;o:allowincell:true;mso-position-horizontal-relative:text;margin-left:0.0pt;mso-position-horizontal:absolute;mso-position-vertical-relative:text;margin-top:0.0pt;mso-position-vertical:absolute;width:18.8pt;height:1.2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238760" cy="1587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50;o:allowoverlap:true;o:allowincell:true;mso-position-horizontal-relative:text;margin-left:0.0pt;mso-position-horizontal:absolute;mso-position-vertical-relative:text;margin-top:0.0pt;mso-position-vertical:absolute;width:18.8pt;height:1.2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238760" cy="1587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238760" cy="1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51;o:allowoverlap:true;o:allowincell:true;mso-position-horizontal-relative:text;margin-left:0.0pt;mso-position-horizontal:absolute;mso-position-vertical-relative:text;margin-top:0.0pt;mso-position-vertical:absolute;width:18.8pt;height:1.2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bCs/>
                <w:color w:val="000000"/>
                <w:sz w:val="24"/>
                <w:szCs w:val="24"/>
                <w:lang w:val="en-US" w:eastAsia="zh-CN"/>
              </w:rPr>
              <w:t xml:space="preserve">UHF频段，锁相环(PLL)频率合成，≥100×2个信道，信道间隔250KHz。真分集超外差二次变频设计。真正分集接收，采用双天线、双接收线路，接收距离≥100米。无线接收机：</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频率范围：640-689.75MHz。可调信道数：100×2。振荡方式：锁相环频率合成（PLL）。频率稳定度：±10ppm。接收方式：真分集超外差二次变频。导频方式：数字导频。音频频响：60-13000Hz。谐波失真：≤0.5%。信噪比≥50dB。10、音频输出：平衡输出和混合输出。接收灵敏度：≤-95dBm。电源规格：12VDC/2A。发射器：频率范围：640-689.75MHz。可调信道数：200个。振荡方式：锁相环频率合成（PLL）。谐波抑制：-30dB。</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调制方式：调频（FM）。调频方式：红外对频；拾音咪头：动圈式。</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有线会议话筒（超指向）</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鹅颈电容话筒，内置前置放大器，静音开关，灯环，心形，黑色，含话筒底座。输出阻抗：180Ω。灵敏度：–33dBV/Pa[1](22mV)。最大声压级：120dBSPL。信噪比(参考94dB声压级)：≥67dB。动态范围：≥93dB。共模抑制(10Hz至100kHz)：≥45dB。前置放大器输出限幅电平(1%THD)：-7dBV。</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音箱线及辅材</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音箱线（300m）：300支无氧铜专业音响线。音频线(100m)：128编/37芯。地插(2套）：地面隐藏式插座，含音频、网络、HDMI等信息插座。音箱辅材（1批）：音箱插头、卡侬插头、大三芯、莲花插头。</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专业三脚架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588645</wp:posOffset>
                      </wp:positionH>
                      <wp:positionV relativeFrom="paragraph">
                        <wp:posOffset>0</wp:posOffset>
                      </wp:positionV>
                      <wp:extent cx="238760" cy="889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23876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52;o:allowoverlap:true;o:allowincell:true;mso-position-horizontal-relative:text;margin-left:46.3pt;mso-position-horizontal:absolute;mso-position-vertical-relative:text;margin-top:0.0pt;mso-position-vertical:absolute;width:18.8pt;height:0.7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588645</wp:posOffset>
                      </wp:positionH>
                      <wp:positionV relativeFrom="paragraph">
                        <wp:posOffset>0</wp:posOffset>
                      </wp:positionV>
                      <wp:extent cx="238760" cy="889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23876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53;o:allowoverlap:true;o:allowincell:true;mso-position-horizontal-relative:text;margin-left:46.3pt;mso-position-horizontal:absolute;mso-position-vertical-relative:text;margin-top:0.0pt;mso-position-vertical:absolute;width:18.8pt;height:0.7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588645</wp:posOffset>
                      </wp:positionH>
                      <wp:positionV relativeFrom="paragraph">
                        <wp:posOffset>0</wp:posOffset>
                      </wp:positionV>
                      <wp:extent cx="238760" cy="889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23876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54;o:allowoverlap:true;o:allowincell:true;mso-position-horizontal-relative:text;margin-left:46.3pt;mso-position-horizontal:absolute;mso-position-vertical-relative:text;margin-top:0.0pt;mso-position-vertical:absolute;width:18.8pt;height:0.7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588645</wp:posOffset>
                      </wp:positionH>
                      <wp:positionV relativeFrom="paragraph">
                        <wp:posOffset>0</wp:posOffset>
                      </wp:positionV>
                      <wp:extent cx="238760" cy="889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23876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55;o:allowoverlap:true;o:allowincell:true;mso-position-horizontal-relative:text;margin-left:46.3pt;mso-position-horizontal:absolute;mso-position-vertical-relative:text;margin-top:0.0pt;mso-position-vertical:absolute;width:18.8pt;height:0.7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238760" cy="889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23876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56;o:allowoverlap:true;o:allowincell:true;mso-position-horizontal-relative:text;margin-left:0.0pt;mso-position-horizontal:absolute;mso-position-vertical-relative:text;margin-top:0.0pt;mso-position-vertical:absolute;width:18.8pt;height:0.7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bCs/>
                <w:color w:val="000000"/>
                <w:sz w:val="24"/>
                <w:szCs w:val="24"/>
                <w:lang w:val="en-US" w:eastAsia="zh-CN"/>
              </w:rPr>
              <w:t xml:space="preserve">表面采用铝合金材质。55mm碗径流体阻尼云台。面板防滑保险。两段式可调手柄，两侧都可以安装手柄。竖直方向锁紧手钮，满足云台+70°和-90°俯仰拍摄定位。水平锁紧手钮，满足云台360°拍摄。内置水平珠。3段式脚架。脚管节数：3节。折合高度：830mm±30mm。最低工作高度：860mm±30mm。最高工作高度：1890mm±30mm。云台类型：三维阻尼云台。</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LED面光灯</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额定电压：AC100—240V50Hz—60Hz。额定功率：≥200W。产品尺寸：600*480*110mm±10mm。开孔尺寸：570*420mm±10mm。</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5.灯珠数量：≥512颗。显色指数：≥95%。颜色：白色。外壳材质：铝型材。出光角度：≥120度。使用寿命：≥50000小时。色温：3200K—5700K。翻转角度：DMX512信号控制调角度≥0-65度。工作温度：≥-20℃至50℃。</w:t>
            </w:r>
            <w:r>
              <w:rPr>
                <w:rFonts w:hint="eastAsia" w:ascii="宋体" w:hAnsi="宋体" w:eastAsia="宋体" w:cs="宋体"/>
                <w:bCs/>
                <w:color w:val="000000"/>
                <w:sz w:val="24"/>
                <w:szCs w:val="24"/>
                <w:lang w:val="en-US" w:eastAsia="zh-CN"/>
              </w:rPr>
            </w:r>
            <w:r/>
          </w:p>
        </w:tc>
      </w:tr>
      <w:tr>
        <w:trPr>
          <w:trHeight w:val="28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数字灯控台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240路DMX512信号控台,采用CPU处理技术，有DMX极性选择开关。有MIDI接口,用MIDI信号控制,具有MIDI触发,BANK/CHAES和BANKOUT功能。有12个SCANNER，每个SCANNER中包含16个通道，分A页（1-8）和B页（9-16）。可任意设置通道位置微步调节，或暂停运行，A,B页叠加操作。</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可编程≥30个BANK，每个BANK中包含8个可编程的SCENCE。</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在编程时点亮按下FINE键时对应LED亮时，可设置摇杆值。</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可编程≥6个CHASES可叠加运行。每个CHASES可编≥240步（即30个BANKSCENE）具有自动.手动.声控三种运行模式。在自动运行模式中，FADE可选择具有ALL或X/Y。都具有SPEED调节。每个SCANNER中都可设置摇杆或求反。控台之间可相互传递内部的已编程数据,具有Blackout输出功能。满足≥8*2LCD液晶显示器内背光英汉显示操作步骤；各按键均设有对应LED指示灯。有DC接口,配置直流电源。</w:t>
            </w:r>
            <w:r>
              <w:rPr>
                <w:rFonts w:hint="eastAsia" w:ascii="宋体" w:hAnsi="宋体" w:eastAsia="宋体" w:cs="宋体"/>
                <w:bCs/>
                <w:color w:val="000000"/>
                <w:sz w:val="24"/>
                <w:szCs w:val="24"/>
                <w:lang w:val="en-US" w:eastAsia="zh-CN"/>
              </w:rPr>
            </w:r>
            <w:r/>
          </w:p>
        </w:tc>
      </w:tr>
      <w:tr>
        <w:trPr>
          <w:trHeight w:val="205"/>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8路Dmx512放大分频器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≥2路输入/8路输出/信号放大隔离器。</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舞台灯光线材及辅材</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灯光信号线（不低于60m）：采用专业无氧铜线，满足Dmx512控制抗干扰需求。灯光电源线(不低于100m)：BZ4平方阻燃线缆。舞台灯光辅材（1批）：满足现场需求10A胶木，卡龙。</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直饮水机1</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供水方式：一开一温。功率：≥1.8KW，电源：220V50Hz。水胆容量：≥18L。单次温开水供水量≥11L。滤芯配置：前置复合滤芯：卷绕PP棉+炭纤维+阻垢滤芯；后置复合滤芯：后置活性炭+MF微滤膜。</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直饮水机2</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供水方式：一开三温。功率：≥3KW，电源：380V50Hz。水胆容量：≥45L。单次温开水供水量≥35L。滤芯：置复合滤芯（12寸）+800GRO+活性炭炭棒复合滤芯。</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IP网络解码器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自带双口集线器(HUB)，网络故障自我诊断，网络及服务状态显示。具有≥1路线路输出，可将网络上数字</w:t>
            </w:r>
            <w:r>
              <w:rPr>
                <w:rFonts w:hint="eastAsia" w:ascii="宋体" w:hAnsi="宋体" w:eastAsia="宋体" w:cs="宋体"/>
                <w:bCs/>
                <w:color w:val="000000"/>
                <w:sz w:val="24"/>
                <w:szCs w:val="24"/>
                <w:lang w:val="en-US" w:eastAsia="zh-CN"/>
              </w:rPr>
              <w:t xml:space="preserve">音频转换为模拟音频信号，可以连接普通传统摸拟功放。自带SD卡，具有SD卡本地播放功能，支持多种歌曲格式。强切功能，当有消防信号启动时会自动输出24V电信号打开音量控制器。支持协议：TCP/IP、UDP、IGMP、FTP、ICMP、ARP、支持跨网关跨路由配置，具有脱机功能。网络延时：文件播放≤50ms，寻呼广播≤5ms，具有自动缓存功能。频率响应：≥20Hz~16KHz。谐波失真：≤0.3%。信噪比：≥75dB。线路输入：250mVRCA。线路输出：1VRCA。话筒输入：10mV/100mV，2路话筒输入。</w:t>
            </w:r>
            <w:r>
              <w:rPr>
                <w:rFonts w:hint="eastAsia" w:ascii="宋体" w:hAnsi="宋体" w:eastAsia="宋体" w:cs="宋体"/>
                <w:bCs/>
                <w:color w:val="000000"/>
                <w:sz w:val="24"/>
                <w:szCs w:val="24"/>
                <w:lang w:val="en-US" w:eastAsia="zh-CN"/>
              </w:rPr>
            </w:r>
            <w:r/>
          </w:p>
        </w:tc>
      </w:tr>
      <w:tr>
        <w:trPr>
          <w:trHeight w:val="976"/>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定压功放</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路话筒输入，2路线路输入，1路辅助输出。高音和低音音调控制总音量控制。≥4分区选择输出。有话筒静音功能，便于插入优先广播。各通道有独立音量控制。完善的输出短路保护以及整机过热、过压、过流、中点保护。100K/70K定压输出和8Ω定阻输出。</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同轴吸顶扬声器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≥5w/100V，4寸喷塑钢网,同轴扬声器。</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79</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广播线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无氧铜RVV2x1.0m㎡。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设备安装集成调试</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设备安装、设备集成、设备调试、客户培训等</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81</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报告厅摄像头</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具有≥400万像素CMOS传感器。最低照度彩色≥0.005lx，黑白≥0.0005lx。具有白光/红外双补光，白光最远≥30m，红外最远≥50m。动态范围≥120dB。内置1个麦克风。支持IP67防尘防水。支持DC12V及poe供电。</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82</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24口接入POE交换机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千兆接入交换机,24个10/100/1000M自适应电口，4个1GSFP光口，1-24口支持PoE/PoE+，固化交流电源和风扇，整机PoE最大输出≥370W。支持PoE+交换容量672Gbps/6.72Tbps,包转发率171Mpps,支持动态路由协议（RIP、OSPF）、VSU、802.X认证、ERPS环网保护协议、链路聚合,支持云管理及本地管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83</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食堂监控系统整体拆移、安装集成、布线安装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要求把现有食堂22只及报告厅6只摄像头及存储系统拆移到新建成食堂及报告厅，满足安装使用。含监控设备安装、设备集成、设备调试等、线路敷设、标签制作等。</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84</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六类网络双绞线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六类非屏蔽双绞线，执行标准GB/T18015.5-2007。导体23AWG无氧铜，带撕裂绳，带宽≥250MHz。8根芯线采用单股软铜线，每根芯线带有彩色绝缘层。</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85</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网络信息辅料</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网络信息面板(6个）:ABS塑料，阻燃级别≥94V-0。模块(6个）：六类RJ45非屏蔽网络模块，传输参数≥250MHz。网络水晶头(3盒）：六类非屏蔽水晶头。</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86</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食堂无线AP拆移</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要求把现有食堂无线AP（2个）先拆除，移装到新建成食堂，满足安装调试使用。</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87</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中考监控系统拆除及恢复</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中标后配合原建设单位（电信），把现有中考监控系统先行拆除，等</w:t>
            </w:r>
            <w:r>
              <w:rPr>
                <w:rFonts w:hint="eastAsia" w:ascii="宋体" w:hAnsi="宋体" w:eastAsia="宋体" w:cs="宋体"/>
                <w:b w:val="0"/>
                <w:bCs/>
                <w:color w:val="000000"/>
                <w:sz w:val="24"/>
                <w:szCs w:val="24"/>
                <w:lang w:val="en-US" w:eastAsia="zh-CN"/>
              </w:rPr>
              <w:t xml:space="preserve">新报告厅装修时同步布线，设备恢复调试（签订合同时提供承诺函）。</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88</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面板AP</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内置天线双频四流802.11ax/ac/n面板型无线接入点(5*GE)-FIT。</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89</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放装AP</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内置天线双频四流802.11ax/ac/n室内放装型无线接入点(1*GE+1*2.5G内置SC光接口)-FIT。</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高密度AP</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Wi-Fi6三射频通用级高密放装型无线接入点，支持≥2.4GHz和5GHz频段，整机可提供最高5.375Gbps的无线接入速率，可支持802.11a/b/g/n/ac和802.11ax工作，支持胖/瘦模式切换，支持802.3af/at/bt供电和本地DC电源供电。</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壁挂机柜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600×450×500mm±10mm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主体冷轧钢板，框架≥2.0mm，柜门≥0.8钢化玻璃。</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w:t>
            </w:r>
            <w:r>
              <w:rPr>
                <w:rFonts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设备安装集成与维护</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综合布线点位放线施工。多媒体箱安装。网络设备安装等。</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3p吸顶空调</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匹数：3匹。变频/定频：变频。冷暖类型：冷暖。制冷量：≥7200W。制热量：≥8800W。额定电压：220V。循环风量：≥1200m³/H。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5p吸顶空调</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匹数：5匹。变频/定频：变频。冷暖类型：冷暖。制冷量：≥12000W。制热量：≥13000W。额定电压：220V。循环风量：≥2100m³/h。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1.5p挂机空调</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匹数：1.5匹。变频/定频：变频。冷暖类型：冷暖。制冷量：≥3500W。制热量：≥5000W。额定电压：220V。循环风量：≥640m³/h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多联机5匹风管</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匹数：5匹。制冷量：≥12500W。制热量：≥14000W。制冷输入功率：≥390W。制热输入功率：≥420W。额定电压：220V。循环风量：≥1800m³/H。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多联机1.5匹风管</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匹数：1.5匹。制冷量：≥3200W。制热量：≥3600W。制冷输入功率：≥60W。制热输入功率：≥70W。额定电压：220V。循环风量：≥560m³/H。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多联机5匹吸顶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匹数：5匹。制冷量：≥12500W。制热量：≥14000W。制冷输入功率：≥200W。制热输入功率：≥220W。额定电压：220V。</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循环风量：≥1800m³/H。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多联机2匹风管</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匹数：2匹。制冷量≥4500W。制热量：≥5000W。制冷输入功率：≥70W。制热输入功率：≥80W。额定电压：220V。循环风量：≥800m³/H。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报告厅多联机外机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匹数：14匹。制冷量：≥40000W。制热量：≥45000W。制冷输入功率：≥11000W。制热输入功率：≥10400W。额定电压：380V。</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餐厅多联机外机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匹数：16匹。制冷量：≥45000W。制热量：≥50000W。制冷输入功率：≥12000W。制热输入功率：≥12000W。额定电压：380V。</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主机铜管</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细管（高压/液管）外径28.16mm，粗管（低压/气管）外径16mm。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5匹机用铜管</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细管（高压/液管）外径10.16mm，粗管（低压/气管）外径16mm。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1.5匹/2匹/3匹用铜管</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细管（高压/液管）外径6.12mm，粗管（低压/气管）外径12mm。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风管机风道</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风道采用单面彩钢制作。风道尺寸匹配机型。搭配标准进出风口。安装牢固无漏风。</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空调支架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材质：热镀锌角钢。板材厚度：≥3.0mm。承重：≥400kg。工艺：满焊加固，防锈喷塑。配件：配套M10膨胀螺栓，安装牢固防松动。</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空调人工安装及辅材</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线：220V或380v专线供电，独立回路，地线齐全。插座：配套32A独立空开专用插座。排水：采用PVC专用排水管，全程保持1%排水坡度，排水顺畅无积水。开孔：人工规范开孔，内低外高，完工密封封堵。吊装：采用镀锌加厚吊架、Φ10mm实心吊杆，加装减震垫，安装牢固平稳。完工：标准试压调试，运行平稳无异常。</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教师演示台(生物)</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3000*700*850mm±10mm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lang w:val="en-US" w:eastAsia="zh-CN"/>
              </w:rPr>
            </w:pPr>
            <w:r>
              <w:rPr>
                <w:rFonts w:hint="eastAsia" w:ascii="宋体" w:hAnsi="宋体" w:eastAsia="宋体" w:cs="宋体"/>
                <w:bCs/>
                <w:color w:val="000000"/>
                <w:sz w:val="24"/>
                <w:szCs w:val="24"/>
                <w:lang w:val="en-US" w:eastAsia="zh-CN"/>
              </w:rPr>
              <w:t xml:space="preserve">材质：实芯理化板+冷轧板。台面：采用厚度≥12mm耐酸碱腐蚀、抗污染、防水、防火实芯理化板，台面立面倒角、打磨，各处光滑。台身：采用全钢结构，厚度≥1.0mm冷轧板制作,表面采用环氧树脂粉末静电喷涂处理，无毛</w:t>
            </w:r>
            <w:r>
              <w:rPr>
                <w:rFonts w:hint="eastAsia" w:ascii="宋体" w:hAnsi="宋体" w:eastAsia="宋体" w:cs="宋体"/>
                <w:bCs/>
                <w:color w:val="000000"/>
                <w:sz w:val="24"/>
                <w:szCs w:val="24"/>
                <w:lang w:val="en-US" w:eastAsia="zh-CN"/>
              </w:rPr>
              <w:t xml:space="preserve">刺，整体可拆装，带电源位置，设有抽屉及带柜门柜体，中间设置便于坐人凹柜；台身配有带USB及Type-c插口的10A/16A嵌入式五孔插座2组。铰链：采用静音阻尼铰链。滑轨：采用三节静音滑轨。底部设有底脚，底脚高度可调，采用ABS工程塑料与金属螺杆一次注塑成型，确保整体承重，接缝严密。防撞胶垫：装于抽屉及门板内侧，减缓碰撞，保护柜体与门板。水槽：550mm×450mm×310mm±10mm，水池采用5mm厚高密度防腐蚀PP（聚丙烯）材料，采用专用模具一次高压成型,电绝缘性、化学稳定性、抗酸碱腐蚀性强，排水口设</w:t>
            </w:r>
            <w:r>
              <w:rPr>
                <w:rFonts w:hint="eastAsia" w:ascii="宋体" w:hAnsi="宋体" w:eastAsia="宋体" w:cs="宋体"/>
                <w:bCs/>
                <w:color w:val="000000"/>
                <w:sz w:val="24"/>
                <w:szCs w:val="24"/>
                <w:lang w:val="en-US" w:eastAsia="zh-CN"/>
              </w:rPr>
              <w:t xml:space="preserve">有水封装置。水嘴：双联可折叠铜制水嘴，耐腐蚀防老化环氧树脂涂层；开关采用耐酸碱腐蚀PP材质旋转手柄；出水嘴一平一尖嘴，控制不同水压；水龙头不使用时可折叠至水槽内。实芯理化板表面耐污染性能通过GB/T17657-2022标准检测，不少于130项酸、碱及其它化学试剂的检测，检测结果为5级；静曲强度≥180Mpa、弹性模量≥14000Mpa、抗拉强度≥130Mpa、顺纹抗压强度≥170Mpa、含水率≤0.9%、24h吸水率≤0.1%、密度≥1.43g/cm³、漆膜硬度＞9H、表面耐磨性能≥1500r，未出现磨损。</w:t>
            </w:r>
            <w:r>
              <w:rPr>
                <w:rFonts w:hint="eastAsia"/>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教师演示台(化学)</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2400*700*850mm±10mm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材质：实芯理化板+冷轧板。台面：采用厚度≥12mm耐酸碱腐蚀、抗污染、防水、防火实芯理化板，台面立面倒角、打磨，各处光滑。台身：采用全钢结构。厚度≥1.0mm冷轧板制作,表面采用环氧树脂粉末静</w:t>
            </w:r>
            <w:r>
              <w:rPr>
                <w:rFonts w:hint="eastAsia" w:ascii="宋体" w:hAnsi="宋体" w:eastAsia="宋体" w:cs="宋体"/>
                <w:bCs/>
                <w:color w:val="000000"/>
                <w:sz w:val="24"/>
                <w:szCs w:val="24"/>
                <w:lang w:val="en-US" w:eastAsia="zh-CN"/>
              </w:rPr>
              <w:t xml:space="preserve">电喷涂处理，无毛刺，整体可拆装，带电源位置，设有抽屉及带柜门柜体，中间设置便于坐人凹柜；台身配有带USB及Type-c插口的10A/16A嵌入式五孔插座2组。铰链：采用静音阻尼铰链。滑轨：采用三节静音滑轨；底部设有底脚，底脚高度可调，采用ABS工程塑料与金属螺杆一次注塑成型，确保整体承重，接缝严密。防撞胶垫：装于抽屉及门板内侧，减缓碰撞，保护柜体与门板。水槽：550mm×450mm×310mm±10mm，水池采用5mm厚高密度防腐蚀PP（聚丙烯）材料，采用专用模具一次高压成型,电绝缘性、化学稳定性、抗酸碱腐</w:t>
            </w:r>
            <w:r>
              <w:rPr>
                <w:rFonts w:hint="eastAsia" w:ascii="宋体" w:hAnsi="宋体" w:eastAsia="宋体" w:cs="宋体"/>
                <w:bCs/>
                <w:color w:val="000000"/>
                <w:sz w:val="24"/>
                <w:szCs w:val="24"/>
                <w:lang w:val="en-US" w:eastAsia="zh-CN"/>
              </w:rPr>
              <w:t xml:space="preserve">蚀性强，排水口设有水封装置。水嘴：双联可折叠铜制水嘴，耐腐蚀防老化环氧树脂涂层；开关采用耐酸碱腐蚀PP材质旋转手柄；出水嘴一平一尖嘴，控制不同水压；水龙头不使用时可折叠至水槽内。紧急洗眼器：a.洗眼器壳体为ABS注塑成形，手感舒适无毛刺，符合人体工学设计；b.台面安装方式，平时放置于台面，紧急使用时可随意抽起；c.出水孔做过特殊变径处理；d.压力等级：公称压力：0.4MPa；密封压力：0.45MPa；工作压力：0.2～0.4MPa；流量≥6L/min；适用条件：常温纯水或符合卫生标准用水；佩单独水压调节阀。</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教师演示台(物理)</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3000*700*850mm±10mm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抗倍特板+冷轧板。台面：采用厚度≥12mm抗污染、防水、防火实芯抗倍特板，台面立面倒角、打磨，各处光滑。台身：采用全钢结构，厚度≥1.0mm冷轧板制作,表面采用环氧树脂粉末静电喷涂处理，无毛刺，整体可拆装，带电源位置，设有抽屉及带柜门柜体，中间设置便于坐人凹柜；台身配有带USB及Type-c插口的10A/16A嵌入式五孔插座2组。铰链：采用静音阻尼铰链。</w:t>
            </w:r>
            <w:r>
              <w:rPr>
                <w:rFonts w:hint="eastAsia" w:ascii="宋体" w:hAnsi="宋体" w:eastAsia="宋体" w:cs="宋体"/>
                <w:bCs/>
                <w:color w:val="000000"/>
                <w:sz w:val="24"/>
                <w:szCs w:val="24"/>
                <w:lang w:val="en-US" w:eastAsia="zh-CN"/>
              </w:rPr>
              <w:t xml:space="preserve">滑轨：采用三节静音滑轨；底部设有底脚，底脚高度可调，采用ABS工程塑料与金属螺杆一次注塑成型，确保整体承重，接缝严密。防撞胶垫：装于抽屉及门板内侧，减缓碰撞，保护柜体与门板。水槽：550mm×450mm×310mm±10mm，水槽采用厚度≥5mm高密度防腐蚀PP（聚丙烯）材料，采用专用模具一次高压成型,电绝缘性、化学稳定性、抗酸碱腐蚀性强，排水口设有水封装置。水嘴：双联可折叠铜制水嘴，耐腐蚀防老化环氧树脂涂层；开关采用耐酸碱腐蚀PP材质旋转手柄；出水嘴一平一尖嘴，控制不同水压；水龙头不使用时可折叠至水槽内。</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美术演示台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1800*700*850mm±10mm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材质：实芯抗倍特板+实木多层板+钢架。台面：采用厚度≥12mm抗污染、防水、防火实芯抗倍特板，台面立面倒角、打磨，各处光滑。柜体基材采用厚度≥</w:t>
            </w:r>
            <w:r>
              <w:rPr>
                <w:rFonts w:hint="eastAsia" w:ascii="宋体" w:hAnsi="宋体" w:eastAsia="宋体" w:cs="宋体"/>
                <w:bCs/>
                <w:color w:val="000000"/>
                <w:sz w:val="24"/>
                <w:szCs w:val="24"/>
                <w:lang w:val="en-US" w:eastAsia="zh-CN"/>
              </w:rPr>
              <w:t xml:space="preserve">18mmE1级实木多层板,面贴三聚氰胺纸，采用激光封边；桌腿：采用≥60×30×1.2mm门字形钢架，左右桌架采用≥0.8mm激光铣型冷轧钢板；前横梁、中间横梁全部采用≥40×20×1.2mm方管；连接件采用铝合金注塑模具一次成型，各部分连接设置便于组装及拆卸专用定位件,易碰撞处全部倒圆角；金属表面经环氧树脂粉末喷涂高温固化处理。演示台底部配备储物移动柜，底部配备可移动万向轮。台面配A3拷贝台，工作电压：DC12V，额定功率：3.6W；配备40000毫安时充电宝以及转换数据线。桌面下配蛇形管布线给拷贝台用。</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可升降讲台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750*500*（690-1080）mm±10mm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材质：实木多层板+气压升降钢架。台面：基材采用厚度≥18mmE1级实木多层板,面贴三聚氰胺纸，采用激光封边。台面下部带置物抽屉，台身气动升降配升降把手，前侧蜂窝造型挡板，全钢底座，配万向轮。</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演示讲台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1400*700*750mm（条桌）</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600*700*1000mm（柜体）±10mm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抗倍特板+实木多层板+钢架。台面：采用厚度≥12mm抗污染、防水、防火实芯抗倍特板，台面立面倒角、打磨，各处光滑；台身钢架：采用φ50mm（±5mm）圆管，横梁：采用≥40×20×1.2mm方管。台身基材采用厚度≥18mmE1级实木多层板,面贴三聚氰胺纸，采用激光封边。演示台及侧柜底部配轻便可移动万向轮，侧柜配备柜体可储物,用于放置对应的教学用具。</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计算机讲台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2000*700*750mm±10mm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钢架。台面：采用厚度≥25mmE1级实木多层板,面贴三聚氰胺纸，采用激光封边，台面开有走线孔；桌腿采用≥50×50×1.5mm门字形方管，底部配可调节脚垫，横梁连接管采用≥30×50×1.2mm矩形管；桌面箱体≥1.0mm冷轧板制作。桌下设收纳箱体，对开门设计，柜门带锁，箱体开散热孔，内部可放置电源插排、主机等设备。配套椅：网布+钢架;椅座不低于60mm厚定型绵；椅脚PP五星脚；可升降高度。</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多功能电子讲台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1624*812*（750-1250）mm±10mm</w:t>
            </w: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材质：实木多层板+钢架。台面：</w:t>
            </w:r>
            <w:r>
              <w:rPr>
                <w:rFonts w:hint="eastAsia" w:ascii="宋体" w:hAnsi="宋体" w:eastAsia="宋体" w:cs="宋体"/>
                <w:bCs/>
                <w:color w:val="000000"/>
                <w:sz w:val="24"/>
                <w:szCs w:val="24"/>
                <w:lang w:val="en-US" w:eastAsia="zh-CN"/>
              </w:rPr>
              <w:t xml:space="preserve">采用厚度≥18mmE1级实木多层板,面贴三聚氰胺纸，采用激光封边，内侧环绕型设计；桌板前部用围挡设计，台面下配木质抽屉一组。台身台面下设置钢制物品收纳空间，同时设置电脑支架；背部用完整平面的前挡板设计；方形收纳线缆蛇形管设计。升降桌架参数：矩形二节正装（80*50*1.5mm,75*45*1.5mm）；桌架升降后桌高调节范围：不小于700-1200mm。伸缩框架（伸缩范围：不小于1150-1570mm）。噪音水平：≤40dB。整桌最大负载：不小于100kg。升降最大速度：不小于30mm/s。表面：喷塑白色。</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配套椅：网布+钢架;椅座不低于60mm厚定型绵；椅脚PP五星脚；可升降高度。</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学生实验桌（化学）</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1200×600×780mm±10mm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理化板+铝合金。台面：采用厚度≥12mm耐酸碱腐蚀、抗污染、防水、防火实芯理化板，台面立面倒角、打磨，各处光滑。台面围栏采用铝合金型材，规格尺寸为：85mm×8（12）mm×1.5mm；台面底部托架采用30mm×20mm×1.2mm方管焊接而成，侧面开孔与立腿固定；台身：桌腿侧面采用铸铝模具腿，铝合金内部厚度≥2.0mm，桌腿采用铸铝模具成型，由主副腿组成，主腿壁厚</w:t>
            </w:r>
            <w:r>
              <w:rPr>
                <w:rFonts w:hint="eastAsia" w:ascii="宋体" w:hAnsi="宋体" w:eastAsia="宋体" w:cs="宋体"/>
                <w:bCs/>
                <w:color w:val="000000"/>
                <w:sz w:val="24"/>
                <w:szCs w:val="24"/>
                <w:lang w:val="en-US" w:eastAsia="zh-CN"/>
              </w:rPr>
              <w:t xml:space="preserve">≥4mm，副腿壁厚≥2mm；顶部采用尼龙内外侧固定架与台面连接结构；中部横梁采用壁厚≥1.5mm的高强度椭圆形铝合金连接，整体稳定不晃动；内部安装静电喷涂切割金属板，静电喷涂，要求平整；采用流线形设计，易碰撞处全部倒圆角，金属表面需要经环氧树脂粉未喷涂高温固化处理，符合承重性能强和耐酸碱、耐腐蚀要求；底部设有底脚，底脚高度可调，采用ABS工程塑料与金属螺杆一次注塑成型，确保整体承重，接缝严密。书包斗采用注塑模具一次成型，尺寸为398mm×465mm×125mm,注塑整体壁厚≥5mm，镂空设计，中间设挂凳卡。</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学生实验桌（物生）</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1200×600×780mm±10mm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理化板+铝合金。台面：采用厚度≥12mm耐酸碱腐蚀、抗污染、防水、防火实芯理化板，台面立面倒角、打磨，各处光滑。台面围栏采用铝合金型材，规格尺寸为：85mm×8（12）mm×1.5mm；台面底部托架采用30mm×20mm×1.2mm方管焊接而成，侧面开孔与立腿固定；台身桌腿采用内部厚度≥2.0mm的高强度铝合金，采用倾斜式结构设</w:t>
            </w:r>
            <w:r>
              <w:rPr>
                <w:rFonts w:hint="eastAsia" w:ascii="宋体" w:hAnsi="宋体" w:eastAsia="宋体" w:cs="宋体"/>
                <w:bCs/>
                <w:color w:val="000000"/>
                <w:sz w:val="24"/>
                <w:szCs w:val="24"/>
                <w:lang w:val="en-US" w:eastAsia="zh-CN"/>
              </w:rPr>
              <w:t xml:space="preserve">计，框架规格565mm×750mm，后端支撑梁宽度≥60mm；中部横梁采用厚度≥1.5mm的高强度椭圆形铝合金连接，整体稳定不晃动；内部安装静电喷涂切割金属板，静电喷涂，要求稳定和美观；采用流线形设计，易碰撞处全部倒圆角，金属表面需要经环氧树脂粉未喷涂高温固化处理，符合承重性能强和耐酸碱、耐腐蚀要求；底部设有底脚，底脚高度可调，采用ABS工程塑料与金属螺杆一次注塑成型，确保整体承重，接缝严密。书包斗采用注塑模具一次成型，尺寸为398mm×465mm×125mm,注塑整体壁厚≥5mm，镂空设计，中间设挂凳卡。</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四人美术桌</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1200*700*730mm±30mm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抗倍特板+实木多层板+钢架。台面：采用厚度≥12mm抗污染、防水、防火实芯抗倍特板，台面立面倒角、打磨，各处光滑；书斗采用厚度≥18mmE1级实木多层板,面贴三聚氰胺纸，采用激光封边；桌腿：采用≥60×30×1.2mm门字形钢架，左右桌架采用≥0.8mm激光铣型冷轧钢板；前横梁、中间横梁全部采用≥40×20×1.2mm方管；连接件采用铝合金注塑模具一次成型，各部分连接设置便于组装及拆卸专用定位件,易碰撞处全部倒圆角；金属表面经环氧树脂粉末喷涂高温固化处理。台身可放置美术教具和书本。</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双人美术桌</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600*700*730mm±30mm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抗倍特板+实木多层板+钢架。台面：采用厚度≥12mm抗污染、防水、防火实芯抗倍特板，台面立面倒角、打磨，各处光滑；桌腿：采用≥60×30×1.2mm门字形钢架，左右桌架采用≥0.8mm激光铣型冷轧钢板；前横梁、中间横梁全部采用≥40×20×1.2mm方管；连接件采用铝合金注塑模具一次成型，各部分连接设置便于组装及拆卸专用定位件,易碰撞处全部倒圆角；金属表面经环氧树脂粉末喷涂高温固化处理。书斗采用厚度≥18mmE1级实木多层板,面贴三聚氰胺纸，采用激光封边，可放置美术教具和书本。</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会议桌</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4000*1600*750mm±10mm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台面：采用厚度≥50mm国家标准E1级实木多层板,面贴三聚氰胺纸，铝合金造型封边；台身采用厚度≥18mmE1级实木多层板,面贴三聚氰胺纸，采用激光封边；五金件：三合一连接件连接，经防锈处理。桌面配嵌入式电动翻转多媒体盒（6个）：至少含HDMI电源、音频、网络、USB模块。</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折叠桌</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1200*550*750mm±10mm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材质：实木多层板+铝合金+钢架。台面：采用厚度≥25mmE</w:t>
            </w:r>
            <w:r>
              <w:rPr>
                <w:rFonts w:hint="eastAsia" w:ascii="宋体" w:hAnsi="宋体" w:eastAsia="宋体" w:cs="宋体"/>
                <w:bCs/>
                <w:color w:val="000000"/>
                <w:sz w:val="24"/>
                <w:szCs w:val="24"/>
                <w:lang w:val="en-US" w:eastAsia="zh-CN"/>
              </w:rPr>
              <w:t xml:space="preserve">1级实木多层板,面贴三聚氰胺纸，采用激光封边；钢架：外脚管采用压铸铝合金，内脚管采用异型钢管，厚度≥1.5mm,横梁冷轧钢，直径≥35mm，厚度≥1.5mm，上托使用≥2mm厚度钣金上托。两脚跨度≥500mm。连接接头为铝合金压铸件，所有金属件均需经过酸洗磷化，表面静电喷粉处理工艺；结构：倒Y型金属下脚，不带轮；挡板：ABS塑料挡板。台身使用旋转卡扣翻转机构，翻转台面时左右两边都可操作，联动翻转。加大扳手一键开合，台面翻转即可多数量推叠。开合锁定，两边上托内嵌气杆，开合无声缓降，翻转锁止；书斗：折叠式书斗。</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电脑桌</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(1200-1500)*600*750mm±10mm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钢架。台面：采用厚度≥25mmE1级实木多层板,面贴三聚氰胺纸，采用激光封边，台面开有走线孔；桌腿采用50×50×1.5mm门字形方管，底部配可调节脚垫，横梁连接管采用30×50×1.2mm矩形管。桌下设收纳箱体，对开门设计，柜门带锁，箱体开散热孔，内部可放置电源插排、主机等设备。</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计算机桌（两人位升降）</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1300*700*750mm±10mm</w:t>
            </w: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材质：实芯抗倍特板+钢架。台面：采用厚度≥12mm抗污染、防水、防火实芯抗倍特板，台面立面倒角、打磨</w:t>
            </w:r>
            <w:r>
              <w:rPr>
                <w:rFonts w:hint="eastAsia" w:ascii="宋体" w:hAnsi="宋体" w:eastAsia="宋体" w:cs="宋体"/>
                <w:bCs/>
                <w:color w:val="000000"/>
                <w:sz w:val="24"/>
                <w:szCs w:val="24"/>
                <w:lang w:val="en-US" w:eastAsia="zh-CN"/>
              </w:rPr>
              <w:t xml:space="preserve">，各处光滑；显示器翻转盖板配气弹簧自动回弹装置；台面下配键盘托；台身桌腿用≥1.2mm厚钢管，横梁用≥1.2mm厚方管，两侧面配主机拖架用≥1.0mm冷轧钢板制作，表面静电喷涂工艺处理；升降桌配显示器收纳箱体，采用厚度≥18mmE1级实木多层板,面贴三聚氰胺纸，采用激光封边。升降器可同时控制两个显示器的升降。升降器参数：用双层升降杆设计，升降杆总行程不低于500mm，升降行程内任意位置可调；最低安装距离660mm。顶部安装包胶导向轴承，升降器配手控器；每桌配一套带usb及tp-c五孔插座（设计在安全位置）。</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计算机桌（单人位升降）</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650*700*750mm±10mm</w:t>
            </w: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材质：实芯抗倍特板+钢架。台面：采用厚度≥12mm抗污染、防水、防火实芯抗倍特板，台面立面倒角</w:t>
            </w:r>
            <w:r>
              <w:rPr>
                <w:rFonts w:hint="eastAsia" w:ascii="宋体" w:hAnsi="宋体" w:eastAsia="宋体" w:cs="宋体"/>
                <w:bCs/>
                <w:color w:val="000000"/>
                <w:sz w:val="24"/>
                <w:szCs w:val="24"/>
                <w:lang w:val="en-US" w:eastAsia="zh-CN"/>
              </w:rPr>
              <w:t xml:space="preserve">、打磨，各处光滑；显示器翻转盖板配气弹簧自动回弹装置；台面下配键盘托；台身桌腿用≥1.2mm厚钢管，横梁用≥1.2mm厚方管，两侧面配主机拖架用≥1.0mm冷轧钢板制作，表面静电喷涂工艺处理；升降桌配显示器收纳箱体，采用厚度≥18mmE1级实木多层板,面贴三聚氰胺纸，采用激光封边。升降器控制一个显示器的升降。升降器参数：用双层升降杆设计，升降杆总行程不低于500mm，升降行程内任意位置可调；最低安装距离660mm。顶部安装包胶导向轴承，升降器配手控器；每桌配一套带usb及tp-c五孔插座（设计在安全位置）。</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教师端升降中控</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集控端界面采用触摸屏设计，UI用户交互界面。教师端对学生端升降电源一键升降；或学生端电脑升降系统控制，实现一键升降，间隔升降，分列升降。</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学生凳</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φ300*420mm±30mm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ABS+钢管。凳面：材质采用厚度≥4mm环保型ABS改性塑料，尺寸直径190mm×厚度2.5mm带有螺孔铁板与凳面注塑成型；凳腿无缝双u型弯弧钢架，尺寸：16.5mm×34mm×1.5mm；所有铁板经高温粉体烤漆处理，凳腿采用金属螺丝与凳面连接;脚垫材质：采用PP加耐磨纤维质塑料。所有零部件采用不松散、脱落，永久性固定方式；凳子可悬挂于桌子上。</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学生方凳</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345*245*420mm±30mm</w:t>
            </w:r>
            <w:r>
              <w:rPr>
                <w:rFonts w:hint="eastAsia" w:ascii="宋体" w:hAnsi="宋体" w:eastAsia="宋体" w:cs="宋体"/>
                <w:bCs/>
                <w:color w:val="000000"/>
                <w:sz w:val="24"/>
                <w:szCs w:val="24"/>
                <w:lang w:val="en-US" w:eastAsia="zh-CN"/>
              </w:rPr>
            </w:r>
            <w:r/>
          </w:p>
        </w:tc>
        <w:tc>
          <w:tcPr>
            <w:tcW w:w="6405" w:type="dxa"/>
            <w:vAlign w:val="top"/>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PP+钢管。凳面：用共聚丙烯工程塑料模具注塑成型，凳面内镶嵌四颗≥Φ6mm螺杆，螺栓与凳面在注塑过程中一体成型，符合人体工程学凳面。凳身：凳体用全钢框架，钢管壁厚不低于1.2mm,经酸洗磷化处理，表面喷塑，底脚用专业ABS模具成型。所有零部件采用不松散、脱落，永久性固定方式。</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510*460*780mm±10mm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PP+钢架；椅背：双拼插扣结构无钉安装结构；全新工程PP+玻纤，通过材料性质实现靠背倾仰，舒缓背部压力；椅脚：采用≥Φ19mm*1.5mm壁厚钢管，满焊焊接，表面经高速打砂除锈，喷粉高温烤漆工艺处理；脚垫材质：采用PP加耐磨纤维质塑料。上下可叠加4-6张，节省空间。</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会议椅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590*730*990mm±10mm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材质：西皮+钢架。椅面和靠背：西皮；椅背：12mm厚单层板+切割绵；椅座：12mm厚单层板+切割绵；扶手：扪皮扶手面；椅脚：1.8mm厚扁管扶手连体弓形架。柔软性回弹性好，舒适耐用。</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折叠椅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595*635*810mm±10mm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pp+布艺+钢架。椅背PP+玻纤材质，一体注塑成型，靠背倾仰机构设计，前后滑动扶手，有效距离2.5mm，符合人体工程学原理,配PP工程塑料防尘底壳;椅架：≥20*30*1.5mm碳素钢椅架，满焊焊接，高速打砂除锈处理，表面高温喷涂防腐，抗氧化烤漆。椅架全折叠收纳。</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前排会议椅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520*950mm±10mm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防火板+铝合金；椅面：采用多层旋切木皮经模具热压成型并面压防火板，厚度≥15mm；站脚采用铝合金材质，经模具高温压铸一体成型，表面经打磨、抛光、除蜡、清洗、喷专用金属漆、高温烤焗等工序。整体牢固安装地面，弧形安全设计。</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中排会议椅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520*785*450mm±10mm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防火板+铝合金；椅座：采用多层旋切木皮经模具热压成型并面压防火板，厚度≥15mm。边部采用油漆防水工艺处理，座板与角码采用穿透方式连接，板面配有不锈钢螺套,保证永不生锈。座板打开540mm。椅座角码：采用铝合金经模具一次性压铸成型，表面经正常打磨后采用金属漆饰面，并与座板直接进行连接，外部不经过塑料盖等修饰。具有防夹手功能角码宽度121mm±10mm，长度218mm±10mm。椅背：采用中纤板热压成型，面压防火板，厚度≥10mm,背部</w:t>
            </w:r>
            <w:r>
              <w:rPr>
                <w:rFonts w:hint="eastAsia" w:ascii="宋体" w:hAnsi="宋体" w:eastAsia="宋体" w:cs="宋体"/>
                <w:bCs/>
                <w:color w:val="000000"/>
                <w:sz w:val="24"/>
                <w:szCs w:val="24"/>
                <w:lang w:val="en-US" w:eastAsia="zh-CN"/>
              </w:rPr>
              <w:t xml:space="preserve">舒适度采用45°设计，符合人体工程设计。背板配有上中下≥5mm厚铝条定位，采用嵌入式设计。上铝条宽度为≥22mm,中铝条为≥13mm，下铝条为≥18mm.；站脚：采用铝合金材质，经模具高温压铸一体成型，表面经打磨、抛光、除蜡、清洗、喷专用金属漆、高温烤焗等工序。重量≥2.2kg。站脚采用左右开叉式触地固定；站脚顶部采用与地面垂直设计（可适应150mm-450mm的阶梯高度的安装），站脚高度910mm±10mm，触地部分宽度275mm±10mm，扶手宽度为250mm±10mm。中座尺寸：座椅高度910mm±1</w:t>
            </w:r>
            <w:r>
              <w:rPr>
                <w:rFonts w:hint="eastAsia" w:ascii="宋体" w:hAnsi="宋体" w:eastAsia="宋体" w:cs="宋体"/>
                <w:bCs/>
                <w:color w:val="000000"/>
                <w:sz w:val="24"/>
                <w:szCs w:val="24"/>
                <w:lang w:val="en-US" w:eastAsia="zh-CN"/>
              </w:rPr>
              <w:t xml:space="preserve">0mm，座椅中心距520mm±10mm，座包打开540mm±10mm，座包基准点离地445mm±10mm。椅座回复机构与材质：采用重力回复机构，并具备防夹手功能。重力块采用生铁模压成型，表面经金属漆喷涂处理。重力回复机构重量要达到≥0.26kg。规格尺寸：218mm×121mm±10mm。写字台：台面板采用中纤板基材面压防火板（面板宽300mm±10mm、厚度为25mm±2mm），半圆边，固定式托臂采用≥2mm厚钢板冲压成型。书网架：连接在写字台下方，与写字台平行；采用冷拉钢碰焊成型，表面经喷涂或电镀处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后排会议椅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520*510*450mm±10mm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防火板+铝合金；椅座：采用多层旋切木皮经模具热压成型并面压防火板，厚度≥15mm。边部采用油漆防水工艺处理，座板与角码采用穿透方式连接，板面配有不锈钢螺套,保证永不生锈。座板打开540mm。椅座角码：采用铝合金经模具</w:t>
            </w:r>
            <w:r>
              <w:rPr>
                <w:rFonts w:hint="eastAsia" w:ascii="宋体" w:hAnsi="宋体" w:eastAsia="宋体" w:cs="宋体"/>
                <w:bCs/>
                <w:color w:val="000000"/>
                <w:sz w:val="24"/>
                <w:szCs w:val="24"/>
                <w:lang w:val="en-US" w:eastAsia="zh-CN"/>
              </w:rPr>
              <w:t xml:space="preserve">一次性压铸成型，表面经正常打磨后采用金属漆饰面，并与座板直接进行连接，外部不经过塑料盖等修饰。具有防夹手功能角码宽度121mm±10mm，长度218mm±10mm。椅背：采用中纤板热压成型，面压防火板，厚度≥10mm,背部舒适度采用45°设计，符合人体工程设计。背板配有上中下≥5mm厚铝条定位，采用嵌入式设计。上铝条宽度为≥22mm,中铝条为≥13mm，下铝条为≥18mm.；站脚：采用铝合金材质，经模具高温压铸一体成型，表面经打磨、抛光、除蜡、清洗、喷专用金属漆、高温烤焗等工序。重量≥2.2kg。站脚采用左</w:t>
            </w:r>
            <w:r>
              <w:rPr>
                <w:rFonts w:hint="eastAsia" w:ascii="宋体" w:hAnsi="宋体" w:eastAsia="宋体" w:cs="宋体"/>
                <w:bCs/>
                <w:color w:val="000000"/>
                <w:sz w:val="24"/>
                <w:szCs w:val="24"/>
                <w:lang w:val="en-US" w:eastAsia="zh-CN"/>
              </w:rPr>
              <w:t xml:space="preserve">右开叉式触地固定；站脚顶部采用与地面垂直设计（可适应150mm-450mm的阶梯高度的安装），站脚高度910mm±10mm，触地部分宽度275mm±10mm，扶手宽度为250mm±10mm。中座尺寸：座椅高度910mm±10mm，座椅中心距520mm±10mm，座包打开540mm±10mm，座包基准点离地445mm±10mm。椅座回复机构与材质：采用重力回复机构，并具备防夹手功能。重力块采用生铁模压成型，表面经金属漆喷涂处理。重力回复机构重量要达到≥0.26kg。规格尺寸：218mm×121mm±10m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音乐凳</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300*250*410mm±10mm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材质：实木多层板+钢架；凳体：基材采用≥18mmE1级实木多层板加工制作，面贴三聚氰胺纸，采用激光封边，内置加厚钢架，pvc包边，内部钢架全包围结构，护角设置子母凹凸卡扣。可叠放，一侧配手扣。</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合唱台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1220*1150*610mm±10mm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材质：PE。台身：模具一体成型吹塑制作，表面带有音乐元素；三层尺寸1220*1150*610±20mm；每层台阶高380±10mm，高200±20mm；转换成小舞台尺寸：1530*1220*300±20mm。</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3、功能：合唱台台阶可翻转，可调整为两层合唱台也可以变为小舞台，侧面安装轮子。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沙发+茶几</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沙发820*860*780mm±10mm</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茶几600*600*430mm±10mm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人沙发（2张）：材质：西皮+实木框架。面料：采用防潮腐处理，透气性强，皮面柔软，韧性强西皮。泡绵：环保型高密度、高回弹PU泡绵，附不含氟氨化合物的高弹力定型海绵及多层丝棉乳胶作填充，座垫泡棉密度大于40kg/m³，靠垫泡棉密度大于25kg/m³。内框架：实木内框架，使用含水率≤10%，无腐朽、无虫蚀木材；高强度S形弹簧和高弹力绷带打底；底脚：五金脚，耐磨脚垫。茶几（1张）：材质：生态免漆板。基材采用18mm生态免漆板,面贴三聚氰胺纸，采用激光封边。所有五金件作防锈、防腐处理。下配一层储物隔板。</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茶杯收纳柜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1150*230*1000mm±10mm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材质：冷轧钢板；台身：整体材质≥0.7mm厚冷轧钢板，静电喷塑工艺；单格直径110mm±10mm，适配常规口径水杯。5层斜插式置物层，共50个水杯位；移动配置：底部4寸万向脚轮，含2个带刹车轮。</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准备台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延米×600×780mm±10mm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理化板+实木多层板。台面：采用厚度≥12mm耐酸碱腐蚀、抗污染、防水、防火实芯理化板，台面立面倒角、打磨，各处光滑；台身：下设有柜门组，柜体内设底板。基材采用≥18mmE1级实木多层板制作，面贴三聚氰胺纸，采用激光封边,专用连接</w:t>
            </w:r>
            <w:r>
              <w:rPr>
                <w:rFonts w:hint="eastAsia" w:ascii="宋体" w:hAnsi="宋体" w:eastAsia="宋体" w:cs="宋体"/>
                <w:bCs/>
                <w:color w:val="000000"/>
                <w:sz w:val="24"/>
                <w:szCs w:val="24"/>
                <w:lang w:val="en-US" w:eastAsia="zh-CN"/>
              </w:rPr>
              <w:t xml:space="preserve">件连接。隐藏式一字拉手，三节滑轨及铰链，所有开孔部位配件封堵，板材断面不直接裸露在外；实验台下裙条（≥78mm）采用铝合金模具成型，内镶嵌18mm厚实木多层板，板材距地≥20mm；防撞胶垫：装于抽屉及门板内侧，减缓碰撞，保护柜体与门板。水槽：550mm×450mm×310mm±10mm，水池采用5mm厚高密度、电绝缘性、化学稳定性、抗酸碱腐蚀性强PP（聚丙烯）材料，一次高压成型,排水口设有水封装置；水嘴：双联水嘴，耐腐蚀防老化环氧树脂涂层；开关采用耐酸碱腐蚀PP材质旋转手柄；出水嘴一平一尖嘴，控制不同水压。</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茶水柜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800*400*850mm±10mm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材质：实木多层板；台身：采用厚度≥18mmE1级实木多层板,面贴三聚氰胺纸，采用激光封边。下部板式对开门，内设隔板一层，上部抽屉两组。</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荣誉展示柜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7250*400*2900mm±10mm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材质：实木多层板；台身：采用厚度≥18mmE1级实木多层板,面贴三聚氰胺纸，采用激光封边。左右两侧带门高柜，内置活动隔板可储物，下方设有双开门，上方为不同规格开放式展示格；柜体配灯带。</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水柜1</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延米*（550-600）*780mm±10mm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材质：实芯理化板+实木多层板。台面：采用厚度≥12m</w:t>
            </w:r>
            <w:r>
              <w:rPr>
                <w:rFonts w:hint="eastAsia" w:ascii="宋体" w:hAnsi="宋体" w:eastAsia="宋体" w:cs="宋体"/>
                <w:bCs/>
                <w:color w:val="000000"/>
                <w:sz w:val="24"/>
                <w:szCs w:val="24"/>
                <w:lang w:val="en-US" w:eastAsia="zh-CN"/>
              </w:rPr>
              <w:t xml:space="preserve">m耐酸碱腐蚀、抗污染、防水、防火实芯理化板，台面立面倒角、打磨，各处光滑；台身：下设有柜门组，柜体内设底板。基材采用≥18mmE1级实木多层板制作，面贴三聚氰胺纸，采用激光封边,专用连接件连接。隐藏式一字拉手，三节滑轨及铰链，所有开孔部位配件封堵，板材断面不直接裸露在外；实验台下裙条（≥78mm）采用铝合金模具成型，内镶嵌18mm厚实木多层板，板材距地≥20mm；防撞胶垫：装于抽屉及门板内侧，减缓碰撞，保护柜体与门板。水槽采用304不锈钢水盆；水嘴：单联不锈钢防喷溅水嘴，不低于每600mm长配一套水嘴水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水柜2</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延米*（550-600）*780mm±10mm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材质：实芯理化板+实木多层板。台面：采用厚度≥</w:t>
            </w:r>
            <w:r>
              <w:rPr>
                <w:rFonts w:hint="eastAsia" w:ascii="宋体" w:hAnsi="宋体" w:eastAsia="宋体" w:cs="宋体"/>
                <w:bCs/>
                <w:color w:val="000000"/>
                <w:sz w:val="24"/>
                <w:szCs w:val="24"/>
                <w:lang w:val="en-US" w:eastAsia="zh-CN"/>
              </w:rPr>
              <w:t xml:space="preserve">12mm耐酸碱腐蚀、抗污染、防水、防火实芯理化板，台面立面倒角、打磨，各处光滑；台身：下设有柜门组，柜体内设底板。基材采用≥18mmE1级实木多层板制作，面贴三聚氰胺纸，采用激光封边,专用连接件连接。隐藏式一字拉手，三节滑轨及铰链，所有开孔部位配件封堵，板材断面不直接裸露在外；实验台下裙条（≥78mm）采用铝合金模具成型，内镶嵌18mm厚实木多层板，板材距地≥20mm；防撞胶垫：装于抽屉及门板内侧，减缓碰撞，保护柜体与门板。水槽采用耐腐蚀pp水槽；水嘴：配双联双水压龙头，不低于每600mm长配一套水嘴水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边柜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延米*（350-600）*780mm±10mm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材质：实木多层板。台面：实木多层板，柜体基材≥18mmE1级实木多层板加工制作，面贴三聚氰胺纸，采用激光封边。根据学校要求定制大小，部分空间彩色搭配。</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边柜2</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延米*（350-600）*780mm±10mm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芯理化板+实木多层板。工艺：台面：采用厚度≥12mm耐酸碱腐蚀、抗污染、防水、防火实芯理化板，台面立面倒角、打磨，各处光滑，柜体基材≥18mmE1级实木多层板加工制作，面贴三聚氰胺纸，采用激光封边。功能：根据学校要求定制大小，部分空间彩色搭配。</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美术后墙柜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4000*500*2200mm±10mm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基材≥18mmE1级实木多层板加工制作，面贴三聚氰胺纸，采用激光封边。其他：五金件：阻尼铰链和三节静音滑轨。一侧移动门板采用磁性板贴面，内置一层隔板；底部配备工具小车两组，版画夹两组及工具收纳盒；一侧高柜展示储物造型，下部板式对开门内置一层隔板。</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仪器柜1</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1000*500*2400mm±10mm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材质：实木多层板+铝合金框架。柜体铝合金框架规格：前侧立柱横截面≥25×35×1</w:t>
            </w:r>
            <w:r>
              <w:rPr>
                <w:rFonts w:hint="eastAsia" w:ascii="宋体" w:hAnsi="宋体" w:eastAsia="宋体" w:cs="宋体"/>
                <w:bCs/>
                <w:color w:val="000000"/>
                <w:sz w:val="24"/>
                <w:szCs w:val="24"/>
                <w:lang w:val="en-US" w:eastAsia="zh-CN"/>
              </w:rPr>
              <w:t xml:space="preserve">.2㎜，后侧立柱横截面≥35×35×1.2㎜，基材采用≥18mmE1级实木多层板加工制作，面贴三聚氰胺纸，采用激光封边,上部铝合金边框对开门，铝合金边框连接件采用ABS塑料模具成型，塑料连接件顶部要略高于铝合金。上部铝合金边框对开门边框规格≥40×16×1.5mm，内嵌厚度≥4mm钢化玻璃，中部内设多层≥18mm厚可活动隔板。下部为板式对开门，内设多层≥18mm厚可活动隔板。隔板后端采用U型钢槽加固，中隔板下采用≥50×25×1.2mm厚钢制喷塑方管加固支撑。隔板前端镶装铝合金模具成型可插分色条U形隔板槽。</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仪器柜2</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1500*500*2400mm±10mm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材质：实木多层板+铝合金框架。柜体铝合金框架规格：前侧立柱横截面≥25×35×1</w:t>
            </w:r>
            <w:r>
              <w:rPr>
                <w:rFonts w:hint="eastAsia" w:ascii="宋体" w:hAnsi="宋体" w:eastAsia="宋体" w:cs="宋体"/>
                <w:bCs/>
                <w:color w:val="000000"/>
                <w:sz w:val="24"/>
                <w:szCs w:val="24"/>
                <w:lang w:val="en-US" w:eastAsia="zh-CN"/>
              </w:rPr>
              <w:t xml:space="preserve">.2㎜，后侧立柱横截面≥35×35×1.2㎜，基材采用≥18mmE1级实木多层板加工制作，面贴三聚氰胺纸，采用激光封边,上部铝合金边框对开门，铝合金边框连接件采用ABS塑料模具成型，塑料连接件顶部要略高于铝合金。上部铝合金边框对开门边框规格≥40×16×1.5mm，内嵌厚度≥4mm钢化玻璃，中部内设多层≥18mm厚可活动隔板。下部为板式对开门，内设多层≥18mm厚可活动隔板。隔板后端采用U型钢槽加固，中隔板下采用≥50×25×1.2mm厚钢制喷塑方管加固支撑。隔板前端镶装铝合金模具成型可插分色条U形隔板槽。</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PP通风药品柜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900*450*1800mm±10mm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pp。分上下柜；柜体采用瓷白色≥8mm厚添加增强剂、稳定剂、抗老化剂、阻燃剂PP（聚丙烯）板材；表面平整，光泽度高，耐强酸、强碱腐蚀；柜体经同色焊条无缝焊接处理。功能：柜门采用与柜体同材质板折边制作；边框加厚≥16mm，板材采用贴膜保护，无缝焊接；防酸碱腐蚀双挂锁结构，门上配警示标识。配层板3块：组合抽拉式PP（聚丙烯）盛</w:t>
            </w:r>
            <w:r>
              <w:rPr>
                <w:rFonts w:hint="eastAsia" w:ascii="宋体" w:hAnsi="宋体" w:eastAsia="宋体" w:cs="宋体"/>
                <w:bCs/>
                <w:color w:val="000000"/>
                <w:sz w:val="24"/>
                <w:szCs w:val="24"/>
                <w:lang w:val="en-US" w:eastAsia="zh-CN"/>
              </w:rPr>
              <w:t xml:space="preserve">漏液层板，一体注塑成型，层板上有规律密布漏液通风孔；层板下部内嵌抽拉式一次注塑成型托盘。层板外沿镶装48.5mm×16.5mm±5mmPVC一次成型护栏，护栏中间嵌有（警示红，警示蓝，警示黄等多种可选）≥0.5mm厚度的PVC装饰条，可区分药品种类。层板承重≥30KG，高度上下可调；绞链及把手：塑胶射出一体成型，耐酸碱腐蚀；配漏液收集托盘≥2块，采用厚度≥5mm瓷白色PP聚丙烯原料板制作，四周设有防溢漏立边，深度≥45mm；柜门须贴有醒目的警示标识，包括腐蚀性及佩戴防护设备等警示标识；柜体上预留进出风风道。</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软木板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800*1200mm±10mm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材质：软木板。基层：≥9mm中纤板打底，面层：≥9mm软木板饰面，边框：≥40mm实木边框。用于展示学生作品。</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展示墙</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3500*1800mm±10mm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材质：毛毡板。基层：≥18mm木工板基层，面层：≥9mm毛毡板，边框：≥12mmpvc造型。用于展示学生作品。</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书写白板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2000*1200*100mm±10mm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书写板面：采用厚度≥0.27㎜板面，板面颜色为白色。夹层材料：采用厚度≥10mm，容重≥25kg/m3，面层平整，无折痕，不变形。背板：厚度≥0.2mm防锈热镀锌钢板；镀层牢固、刚性好，不变形，整板无拼接。板面、衬板、背板粘贴：使用黑板多元醇胶。边框：整体采用铝合金；外框尺寸45*100mm±5mm；黑板大框为一次成型整体结构，无拼接，配置同色铝合金封边。包角材料：采用ABS工程塑料，四周包角不小于R40mm的圆角。安装：隐形安装、没有外露的挂接件，配套安全挂钩。</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吸顶风扇</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天花吸顶式风扇，导风/定向双从模式。可三档调节，风量：1500m³/h。</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万向吸风罩</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关节：高密度PP材质，可360°旋转调节方向。关节密封圈：不易老化高密度橡胶。关节链接杆：304不锈钢。关节松紧旋钮：高密度PP材质，内嵌不锈钢轴承，与关节连接杆锁合。气流调节阀：手动调节外部阀门旋钮，控制进入气流量。拱形/环形集气罩：高密度PP/PC材质。伸缩导管：Φ75mmPP。360°旋转装置：以固定架为中心最大活动半径可达1500mm。固定底座：高密度PVC材质，模具注塑一体成型。</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室内通风管道</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通风管道：采用耐酸碱腐蚀、防污染、抗高压、抗龟裂的UPVC塑料专用管道。实验室主管道φ300㎜,支管管道φ200㎜,内壁光滑、材质坚固、连接性好的塑料管道，管道壁厚≥5㎜。</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箱式风机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风量：≥900m³/h。噪音：≤40dB，最大静压：385Pa，功率：≥230W。墙面开关控制风机开关。</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有害气体净化装置</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用于低浓度、小风量的废气净化，用于含有有机气体及恶臭味气体和含有微量重金属等气体的吸附。有机废气净化效率≥90%。处理器整体采用耐强酸碱、耐腐蚀纯PP板制作。</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通风管道</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材质：UPVC。主管道壁厚为≥6mm(以柜\个计算)。</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无线智能溶氧气氧传感器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下载和分析。结构及外观：</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由传感器主体和溶解氧、气氧探头构成。主体至少包含电源按钮、电源、蓝牙指示灯、蓝牙编号、Type-C接口、BNC接口等。</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功能：用于灵敏、精确，快速测量气体和液体中的氧气含量。</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传感器内置蓝牙无线模块：使用蓝牙不低于5.0技术。可脱机进行数据采集。传感器具有便于数据终端选择性连接唯一蓝牙编号。可实现溶解氧标定，气氧校准功能。连接方式：蓝牙、无线或有线等。节能方式：传感器打开电源，但无连接或连接无活动，有定时自动关闭电源功能。支持固件空中升级。支持平台：Android、Linux、HarmonyOS、统信UOS等系统。量程：溶解氧：</w:t>
            </w:r>
            <w:r>
              <w:rPr>
                <w:rFonts w:hint="eastAsia" w:ascii="宋体" w:hAnsi="宋体" w:eastAsia="宋体" w:cs="宋体"/>
                <w:bCs/>
                <w:color w:val="000000"/>
                <w:sz w:val="24"/>
                <w:szCs w:val="24"/>
                <w:lang w:val="en-US" w:eastAsia="zh-CN"/>
              </w:rPr>
              <w:t xml:space="preserve">≥0~20mg/L；氧气：≥0~100%。分辨率：溶解氧：≤0.01mg/L；氧气：≤0.1%。精度：溶解氧：≤±0.5mg/L（10~35℃）；氧气：≤±2%F.S。采样速率：≥100次/秒。连续使用时间：≥30小时。通讯距离：≥30m（空旷无遮挡）。可充电锂电池≥250mAh。典型实验至少可用于：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rPr>
                <w:rFonts w:hint="eastAsia" w:ascii="宋体" w:hAnsi="宋体" w:eastAsia="宋体" w:cs="宋体"/>
                <w:bCs/>
                <w:color w:val="000000"/>
                <w:sz w:val="24"/>
                <w:szCs w:val="24"/>
                <w:lang w:val="en-US" w:eastAsia="zh-CN"/>
              </w:rPr>
            </w:r>
            <w:r/>
          </w:p>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val="0"/>
                <w:bCs/>
                <w:color w:val="000000"/>
                <w:sz w:val="24"/>
                <w:szCs w:val="24"/>
                <w:lang w:val="en-US" w:eastAsia="zh-CN"/>
              </w:rPr>
              <w:t xml:space="preserve">▲2.传感器与数据采集终端（电脑、平板或手机）直接通过蓝牙无线连接，运动情况下可进行数据测量能在各种实验环境中，无需数据采集器实现溶解氧、气氧数据采集。（签订合同时提供第三方检测报告）</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学生电源（升降）</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顶部多模块电源供应装置：采用ABS材质，模具一体成型。模块内预留高压位置。模块储藏装置：440mm×380mm×135mm±50mm；采用ABS材质，模具一体成型；顶部配置可当吊灯使用灯罩。高压电源模块：二面六个五孔插座，配usb口和Type-c插口，可设置升降距离，到顶自动限位装置。智能升降机构：260mm×250mm×300mm±50mm；采用自动升降系统，自带保护功能。</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学生电源安装布线及调试</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电源布线耗材：2.5平方阻燃电线。支架：环氧树脂喷涂金属吊杆。吊装系统调试：升降功能、电源系统调试。标准化集成顶装。</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三星水池</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1800*700*950mm±10mm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厚度≥1.5mm304不锈钢，星盆斗尺寸500*500*300mm±5mm。支脚采用∅≥38mm、厚度≥1.5mm304不锈钢圆管。底脚：采用不锈钢可调子弹脚。加强筋采用厚度≥1.5mm304不锈钢板材。横档采用∅≥25mm、厚度≥1.5mm304不锈钢圆管，无前横档。裙板采用厚度≥1.0mm304不锈钢板制作。</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煮面小餐台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700*400*750mm±10mm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台面采用厚度≥1.5mm304不锈钢拉丝板下衬厚度25mm±2mm多层免漆板，多层板底部采用厚度≥0.8mm304不锈钢覆盖。支脚采用∅≥38mm、厚度≥1.5mm304不锈钢圆管。层板采用厚度≥1.2mm304不锈钢板材。底脚：采用不锈钢可调子弹脚。加强筋采用厚度≥1.5mm304不锈钢板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用餐边台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1200*400*1050mm±10mm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桌面：厚度≥40mm厚贴三底两面环保油漆、贴胡桃木色白蜡木皮多层板，多层板厚≥38mm。底座：工字铁脚，≥40*40×1.2mm门字形钢架，金属表面经环氧树脂粉末喷涂高温固化处理。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用餐凳</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450*380*750mm±10mm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凳面：20mm厚实木凳面。铁艺支架，承重≥100kg；金属表面经环氧树脂粉末喷涂高温固化处理。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烘焙工作台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1800*700*750mm±10mm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台面采用厚度≥1.5mm304不锈钢拉丝板下衬厚度≥25mm多层免漆板，多层板底部采用厚度≥0.8mm304不锈钢覆盖。支脚采用厚度≥2.0mm、Ø≥38mm304不锈钢圆管。层板采用厚度≥1.5mm304不锈钢板材。底脚：采用不锈钢可调子弹脚。加强筋采用厚度≥2.0mm304不锈钢板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四层平板货架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1200*500*1550mm±10mm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材质：板材采用304不锈钢拉丝板。结构：层板厚度≥1.2mm304不锈钢，立柱采用厚度≥1.5mm、Ø≥38mm304不锈钢圆管，层面板下加2根厚度≥1.5mm不锈钢加强筋,连接处满焊，配全钢Ø≥38mm可调节子弹脚。</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储物柜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1200*500*1800mm±10mm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材质：板材采用304不锈钢拉丝板。结构：层板厚度≥1.2mm304不锈钢，立柱采用厚度≥1.5mm、Ø≥38mm304不锈钢圆管，层面板下加2根厚度≥1.5mm不锈钢加强筋,连接处满焊，配全钢Ø≥38mm可调节子弹脚。</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打汤台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700*500*750mm±10mm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厚度≥15mm大理石台面，下挂厚度≥15mm。台身：整体框架≥18mm实木多层板加工制作，台身板式对开门，内置一层隔板。台下裙条高度78mm±5mm，采用铝合金模具成型，内镶嵌厚度≥18mm国家标准E1级实木多层板。</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备餐台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1000*400*750mm±10mm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台面采用厚度≥1.5mm304不锈钢拉丝板下衬厚度≥25mm多层免漆板，多层板底部采用厚度≥0.8mm304不锈钢覆盖。支脚采用厚度≥2.0mm、Ø≥38mm304不锈钢圆管。层板采用厚度≥1.5mm304不锈钢板材。底脚：采用不锈钢可调子弹脚。加强筋采用厚度≥2.0mm304不锈钢板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收纳高柜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1200*500*2400mm±10mm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材质：实木多层板。柜体：基材采用厚度≥18mmE1级实木多层板,面贴三聚氰胺纸，采用激光封边。下部板式对开门，内设隔板一层，中部设备台，上部板式对开门，内置隔板一层。</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卡座</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延米*500*850mm±10mm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框架：≥20mm厚贴三底两面环保油漆、贴胡桃木色白蜡木皮多层板，多层板厚≥18mm。坐垫：密度≥40kg/m³、高回弹性海绵。面料：防尘、防油、防汗pu皮。</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卡座桌</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1200*600*750mm±10mm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桌面：厚度≥40mm厚贴三底两面环保油漆、贴胡桃木色白蜡木皮多层板，多层板厚≥38mm。底座：重≥7KG双圆腿方形烤漆铁脚。</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卡座椅</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590*440*450mm±10mm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材质：橡胶木，框架全实木。工艺：榫卯结构+五金加固，表面环保漆。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收餐台</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1400*600*800mm±10mm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工作台面采用厚度≥1.5mm304不锈钢拉丝板，下衬厚度25mm±2mm实木多层板，多层板底部采用厚度≥0.8mm304不锈钢覆盖。支脚采用∅≥38mm、厚度≥1.5mm304不锈钢圆管。层板采用厚度≥1.2mm304不锈钢板材。底脚：采用不锈钢可调子弹脚。加强筋采用厚度≥1.5mm304不锈钢板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多功能搅拌机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430*530*780mm±10mm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档变速纯铜电机，含不低于揉面钩、搅拌桨、打蛋器等三种桨叶搅拌头。带锁环固定料桶，升降行程开关。安全防护及保护罩，保护罩开启状态下搅拌停止。电压380V、功率≥1.1kw、频率50Hz。料筒容积：≥20L。搅拌速度：至少包括84rpm、145rpm、352rp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和面机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445*765*875mm±10mm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正反向旋转，配防护罩开关，开盖急停装置。电机过载急停开关，电流电机负荷超重暂停设备。具备少面量也可成团功能的不锈钢搅拌钩。电压/功率/频率：380v、≥1.5kw、50Hz。和面量：≥12.5kg。料筒容积：≥30L。搅拌速度：至少包括250rpm、125rp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压面机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530*460*1110mm±10mm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纯铜电机。机内接触食物的零部件，全部采用304不锈钢。具有旋转按钮调节压面厚度功能。压面可调厚度不小于0-25mm。电压380v、功率≥1.5kw、频率50Hz。滚轮转速：≥129rpm。</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压辊尺寸：120*350mm±5mm。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醒发箱</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670*710*2000mm±10mm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不锈钢机身设计。可调控温湿度旋钮控制面板。玻璃视窗推拉门。加厚食品级硅胶封条。浮球防止干烧：自动进水，自动控水防干烧。电压220v、功率≥2.6kw/、频率50Hz。烤盘尺寸：400*600mm±10mm。摆盘方式：竖放。</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三层烤箱</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1210*805*1475mm±10mm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机身：304不锈钢板材，内膛选用耐高温、抗腐蚀镀铝板材。微电脑智能控制，带有≥99分钟定时提醒功能。平衡红远外发热管。双层隔热可视窗，内置高温防爆照明灯。电压380v、功率≥21kw、频率50Hz。烤盘尺寸：400*600mm±10mm。摆盘方式：竖放。开门方式：下拉式。</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烤盘架</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750*550*1950mm±10mm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材质：板材采用304不锈钢拉丝板。结构：层板厚度≥1.2mm304不锈钢，立柱采用厚度≥1.5mm、Ø≥38mm304不锈钢圆管，层面板下加2根厚度≥1.5mm不锈钢加强筋,连接处满焊，配带刹车万向轮。</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保温台（5格）</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1500*700*800mm±10mm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板材采用304不锈钢拉丝板。台面：水箱：厚度≥1.5mm不锈钢拉丝板，加强筋、侧板、后背板：厚度≥1.0mm304不锈钢雪花拉丝板；柜身厚度≥1.0mm304不锈钢板；趟门外壳厚度≥1.0mm不锈钢板，门内封厚度≥0.8mm不锈钢板，配静音耐磨吊轮。设备功率：≥3KW，管脚：38×38mm±5mm厚度≥1.2mm不锈钢方管,脚：不锈钢可调子弹脚，配备份数盆≥5套带盖，尺寸为：530*330*150mm±10m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消毒柜</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1380*680*1950mm±10mm</w:t>
            </w:r>
            <w:r>
              <w:rPr>
                <w:rFonts w:hint="eastAsia" w:ascii="宋体" w:hAnsi="宋体" w:eastAsia="宋体" w:cs="宋体"/>
                <w:b w:val="0"/>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1.材质：不锈钢。容积：≥880L。消毒方式：不少于热风循环高温消毒、中温烘干等模式。消毒温度：≥125℃。消毒时间：≥30分钟。电源：220V-50Hz。额定功率：≥3200W。层架材质：不锈钢层架。</w:t>
            </w:r>
            <w:r>
              <w:rPr>
                <w:rFonts w:hint="eastAsia" w:ascii="宋体" w:hAnsi="宋体" w:eastAsia="宋体" w:cs="宋体"/>
                <w:b w:val="0"/>
                <w:bCs/>
                <w:color w:val="000000"/>
                <w:sz w:val="24"/>
                <w:szCs w:val="24"/>
                <w:lang w:val="en-US" w:eastAsia="zh-CN"/>
              </w:rPr>
              <w:br w:type="textWrapping" w:clear="all"/>
            </w:r>
            <w:r>
              <w:rPr>
                <w:rFonts w:hint="eastAsia" w:ascii="宋体" w:hAnsi="宋体" w:eastAsia="宋体" w:cs="宋体"/>
                <w:b w:val="0"/>
                <w:bCs/>
                <w:color w:val="000000"/>
                <w:sz w:val="24"/>
                <w:szCs w:val="24"/>
                <w:lang w:val="en-US" w:eastAsia="zh-CN"/>
              </w:rPr>
              <w:t xml:space="preserve">▲2.消毒柜符合GB/T26572-2011《电子电气产品中限用物质的限量要求》、《电器电子产品有害物质限制使用自愿性认证实施规则》、《达标管理目录限用物质应用例外清单》的检测依据，符合GB/T10125-2021《人造气氛腐蚀试验盐雾试验》、GB/T6461-2002《金属基体上金属和其他无机覆盖层经腐蚀试验后的试样和试件的评级》的国家标准，且耐腐蚀等级达到10级试验周期≥1200h（签订合同时提供第三方检测报告）。</w:t>
            </w:r>
            <w:r>
              <w:rPr>
                <w:rFonts w:hint="eastAsia" w:ascii="宋体" w:hAnsi="宋体" w:eastAsia="宋体" w:cs="宋体"/>
                <w:b w:val="0"/>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开水器</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480*500*1345mm±10mm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功率：≥12KW。容积：≥90L。供水量：≥150L/小时。整体发泡;304内胆;内外盖封闭式内胆;浮球式纯开水技术底部进水;落地底座，抽屉式电盘。</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LED护眼黑板灯</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57;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58;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59;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60;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588645</wp:posOffset>
                      </wp:positionH>
                      <wp:positionV relativeFrom="paragraph">
                        <wp:posOffset>0</wp:posOffset>
                      </wp:positionV>
                      <wp:extent cx="238760" cy="1079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238760"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61;o:allowoverlap:true;o:allowincell:true;mso-position-horizontal-relative:text;margin-left:46.3pt;mso-position-horizontal:absolute;mso-position-vertical-relative:text;margin-top:0.0pt;mso-position-vertical:absolute;width:18.8pt;height:0.8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62;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63;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64;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588645</wp:posOffset>
                      </wp:positionH>
                      <wp:positionV relativeFrom="paragraph">
                        <wp:posOffset>0</wp:posOffset>
                      </wp:positionV>
                      <wp:extent cx="238760" cy="2159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65;o:allowoverlap:true;o:allowincell:true;mso-position-horizontal-relative:text;margin-left:46.3pt;mso-position-horizontal:absolute;mso-position-vertical-relative:text;margin-top:0.0pt;mso-position-vertical:absolute;width:18.8pt;height:1.7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588645</wp:posOffset>
                      </wp:positionH>
                      <wp:positionV relativeFrom="paragraph">
                        <wp:posOffset>0</wp:posOffset>
                      </wp:positionV>
                      <wp:extent cx="238760" cy="1079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238760"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66;o:allowoverlap:true;o:allowincell:true;mso-position-horizontal-relative:text;margin-left:46.3pt;mso-position-horizontal:absolute;mso-position-vertical-relative:text;margin-top:0.0pt;mso-position-vertical:absolute;width:18.8pt;height:0.8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588645</wp:posOffset>
                      </wp:positionH>
                      <wp:positionV relativeFrom="paragraph">
                        <wp:posOffset>0</wp:posOffset>
                      </wp:positionV>
                      <wp:extent cx="238760" cy="10795"/>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238760"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67;o:allowoverlap:true;o:allowincell:true;mso-position-horizontal-relative:text;margin-left:46.3pt;mso-position-horizontal:absolute;mso-position-vertical-relative:text;margin-top:0.0pt;mso-position-vertical:absolute;width:18.8pt;height:0.8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588645</wp:posOffset>
                      </wp:positionH>
                      <wp:positionV relativeFrom="paragraph">
                        <wp:posOffset>0</wp:posOffset>
                      </wp:positionV>
                      <wp:extent cx="238760" cy="1079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238760"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68;o:allowoverlap:true;o:allowincell:true;mso-position-horizontal-relative:text;margin-left:46.3pt;mso-position-horizontal:absolute;mso-position-vertical-relative:text;margin-top:0.0pt;mso-position-vertical:absolute;width:18.8pt;height:0.8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0</wp:posOffset>
                      </wp:positionH>
                      <wp:positionV relativeFrom="paragraph">
                        <wp:posOffset>0</wp:posOffset>
                      </wp:positionV>
                      <wp:extent cx="238760" cy="2159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69;o:allowoverlap:true;o:allowincell:true;mso-position-horizontal-relative:text;margin-left:0.0pt;mso-position-horizontal:absolute;mso-position-vertical-relative:text;margin-top:0.0pt;mso-position-vertical:absolute;width:18.8pt;height:1.7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0</wp:posOffset>
                      </wp:positionH>
                      <wp:positionV relativeFrom="paragraph">
                        <wp:posOffset>0</wp:posOffset>
                      </wp:positionV>
                      <wp:extent cx="238760" cy="2159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70;o:allowoverlap:true;o:allowincell:true;mso-position-horizontal-relative:text;margin-left:0.0pt;mso-position-horizontal:absolute;mso-position-vertical-relative:text;margin-top:0.0pt;mso-position-vertical:absolute;width:18.8pt;height:1.7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0</wp:posOffset>
                      </wp:positionH>
                      <wp:positionV relativeFrom="paragraph">
                        <wp:posOffset>0</wp:posOffset>
                      </wp:positionV>
                      <wp:extent cx="238760" cy="2159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71;o:allowoverlap:true;o:allowincell:true;mso-position-horizontal-relative:text;margin-left:0.0pt;mso-position-horizontal:absolute;mso-position-vertical-relative:text;margin-top:0.0pt;mso-position-vertical:absolute;width:18.8pt;height:1.7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0</wp:posOffset>
                      </wp:positionV>
                      <wp:extent cx="238760" cy="2159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238760" cy="2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272;o:allowoverlap:true;o:allowincell:true;mso-position-horizontal-relative:text;margin-left:0.0pt;mso-position-horizontal:absolute;mso-position-vertical-relative:text;margin-top:0.0pt;mso-position-vertical:absolute;width:18.8pt;height:1.7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bCs/>
                <w:color w:val="00000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0</wp:posOffset>
                      </wp:positionV>
                      <wp:extent cx="238760" cy="10795"/>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238760"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73;o:allowoverlap:true;o:allowincell:true;mso-position-horizontal-relative:text;margin-left:0.0pt;mso-position-horizontal:absolute;mso-position-vertical-relative:text;margin-top:0.0pt;mso-position-vertical:absolute;width:18.8pt;height:0.8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bCs/>
                <w:color w:val="000000"/>
                <w:sz w:val="24"/>
                <w:szCs w:val="24"/>
                <w:lang w:val="en-US" w:eastAsia="zh-CN"/>
              </w:rPr>
              <w:t xml:space="preserve">一体式LED防眩灯具，尺寸≥900mm，灯具主体不易变形抗氧化金属材质，嵌入加螺丝螺帽连接固定。经过科学匀光处理照明灯具。隔离型恒流驱动电源，电源有外壳并可靠固定。足够数量小功率LED灯珠，灯珠实际使用功率不超过额定功率的50%。</w:t>
            </w:r>
            <w:r>
              <w:rPr>
                <w:rFonts w:hint="eastAsia" w:ascii="宋体" w:hAnsi="宋体" w:eastAsia="宋体" w:cs="宋体"/>
                <w:bCs/>
                <w:color w:val="000000"/>
                <w:sz w:val="24"/>
                <w:szCs w:val="24"/>
                <w:lang w:val="en-US" w:eastAsia="zh-CN"/>
              </w:rPr>
              <w:t xml:space="preserve">功率≤45W。光效（或灯具效能）≥80lm/W。色温（或相关色温）4300K-5300K。显色指数Ra＞90、R9＞50。色容差（色品容差）≤5SDCM。蓝光危害等级为RG0（或0类危险）。频闪无危害或无显著影响或无频闪危害。具备IP40或以上灰尘防护等级。LED黑板灯依据GB/T33721-2017LED灯具温度可靠性认证。在最高试验温度45℃和最低试验温度-5℃的温度循环试验下，循环250次，试验后光通量相对于初始光通量的变化≤10%。LED黑板灯依据QB/T5533-2020通过教室照明灯具性能认证。</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LED护眼教室灯</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额定功率≤36W。长</w:t>
            </w:r>
            <w:r>
              <w:rPr>
                <w:rFonts w:hint="eastAsia" w:ascii="宋体" w:hAnsi="宋体" w:eastAsia="宋体" w:cs="宋体"/>
                <w:bCs/>
                <w:color w:val="000000"/>
                <w:sz w:val="24"/>
                <w:szCs w:val="24"/>
                <w:lang w:val="en-US" w:eastAsia="zh-CN"/>
              </w:rPr>
              <w:t xml:space="preserve">度≥1000mm或600±50*600±50mm；一体式微晶防眩面板灯。色温（或相关色温）4300-5300K，显色指数Ra≥90、R9≥70，色容差≤5SDCM。色彩保真度Rf≥95。频闪无危害或无频闪危害或无显著影响。蓝光危害等级为RG0（或0类危险）。LED教室灯依据GB/T33721-2017LED灯具温度可靠性认证。在最高试验温度45℃和最低试验温度-5℃的温度循环试验下，循环250次，试验后光通量相对于初始光通量的变化≤10%。LED教室灯依据QB/T5533-2020通过教室照明灯具性能认证。</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室内顶部集成装置</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1200*300mm</w:t>
            </w: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基材：基底为铝合金板，厚度≤0.9mm，铝扣板表面穿孔，采用喷塑涂层，防锈，防氧化。安装方式：采用暗架系统卡扣式安装；吊杆间距不超过1.2米，50主龙，三角龙骨与主龙垂直，放入扣板，保持平整。安装时要进行跳色处理，功能室按比例喷刷两至三种颜色，安装前需和采购人确认跳色布局，实验室无需跳色。</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墙面表层固化装置（防尘防裂）</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材料说明：现调腻子或成品腻子和辅材，净味乳胶漆。工艺说明：清扫、配浆、批腻子、找补腻子、磨砂纸、刷乳胶漆、手刷工艺。墙面彩色乳胶漆部分颜色需与学校确认，原墙面瓷砖不动。</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地面防水工艺</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地胶卷材：耐磨层厚度≥0.4mm。厚度≥2mm。含地面自流平及铺装损耗。室内地面找平。同材质墙面底脚防撞保护装置，地胶上墙60mm高，窄铝合金收边条收边。</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防静电地板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全钢，600*600*35（mm），完成面250（mm）。材质及要求：HPL。高耐磨贴面，尺寸：≥1.2（mm）（厚）。钢材壁厚≥1.0mm。</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不锈钢踢脚线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踢脚线高度：100（mm）。不低于9（mm）多层板基层。外饰面304不锈钢。</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191</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墙面吸音装置</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材质：≥8mm厚聚酯纤维吸音板。施工说明：基层清理后安装基层木线及木条后安装吸音板。后墙定制pvc及亚克力音乐符号造型配合。前墙部分设计钢琴键造型。</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192</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屏风隔断</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可折叠推拉铝合金包边屏风。高强度钢质骨架，75型重型轨道。铝合金轨道。360°旋转轮。表面硬包。屏风内置高密度吸音棉隔音。</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193</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文化卷帘</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高清环保油墨印刷，高遮光，涤纶材质，立体面料，双面防水涂层。POM拉珠升降，铝合金上下卷管。图案内容根据成品模板或采购人要求内容进行定制设计。</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194</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明装筒灯</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灯体采用铝材加工，高透亚克力面罩，灯体彩色明装造型；7W节能环保无辐射LED光源。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195</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窗帘盒</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厚度15mm阻燃板做框架。厚度9mm石膏板封面，含批腻子刷乳胶漆。</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196</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布艺窗帘</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布艺窗帘，纯色全遮光窗帘，含轨道辅件等。褶皱系数2.0。</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197</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整室电路改造</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改造范围：本工程涵盖建筑空间内墙面、地面、顶部区域的整体电路改造工程，采用暗敷工艺系统。电气配置标准：墙面系统：各墙面均配置不少于1组带USB接口的五孔插座（暗装式），单相三线制布线，更换开关面板。顶面系统：独立回路供电，满足中央空调机组、吊装设备及智能照明系统用电需求。地面系统：预埋过线管路，保证全屋动线布管连贯性。施工标准：</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线管系统：采用阻燃PVC管（Φ20，壁厚≥1.6mm），弯管曲率半径≥6D。线材规格：ZR-BV铜芯阻燃线，照明回路≥2.5mm²阻燃，大功率设备回路≥4mm²阻燃。工艺要求：穿线管填充率≤40%、强弱电间距≥300mm、绝缘电阻值≥0.5MΩ（500V兆欧表检测）、线盒安装垂直度偏差≤1.5mm。工程要求：含综合人工费、辅材消耗（含线管固定件、绝缘材料等）、墙面开槽修复及垃圾清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198</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室内给排水布线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程范围：本工程涵盖建筑室内外给排水系统整体改造，包含室外给水主管道接驳、室内水管网敷设及生活排水系统改造。配置标准：给水系统：主给水管：PPR管，壁厚≥3.5mm。支管配置：DN20明装管件采用黄铜镀镍活接，暗埋管段无接头敷设。排水系统：主排水管：PVC-U排水管（壁厚≥2.0mm），DN110主管道：支管系统：DN50排水支管，按区域设置存水弯及检修口坡度控制：DN50管≥25‰，DN75管≥15‰，DN110管≥12‰。工程要求：含施工人工、管件辅材（含管卡、密封胶圈等）、开槽修复及建筑垃圾清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199</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整室弱电布线</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工程范围：本工程涵盖室内一体机，音响，摄像头改造项。</w:t>
            </w:r>
            <w:r>
              <w:rPr>
                <w:rFonts w:hint="eastAsia" w:ascii="宋体" w:hAnsi="宋体" w:eastAsia="宋体" w:cs="宋体"/>
                <w:bCs/>
                <w:color w:val="000000"/>
                <w:sz w:val="24"/>
                <w:szCs w:val="24"/>
                <w:lang w:val="en-US" w:eastAsia="zh-CN"/>
              </w:rPr>
              <w:br w:type="textWrapping" w:clear="all"/>
            </w:r>
            <w:r>
              <w:rPr>
                <w:rFonts w:hint="eastAsia" w:ascii="宋体" w:hAnsi="宋体" w:eastAsia="宋体" w:cs="宋体"/>
                <w:bCs/>
                <w:color w:val="000000"/>
                <w:sz w:val="24"/>
                <w:szCs w:val="24"/>
                <w:lang w:val="en-US" w:eastAsia="zh-CN"/>
              </w:rPr>
              <w:t xml:space="preserve">配置标准：六类屏蔽网线，外套护线管或线槽。两端有水晶头、线标明确。工程要求：含施工人工、管件辅材、开槽修复及建筑垃圾清运。</w:t>
            </w:r>
            <w:r>
              <w:rPr>
                <w:rFonts w:hint="eastAsia" w:ascii="宋体" w:hAnsi="宋体" w:eastAsia="宋体" w:cs="宋体"/>
                <w:bCs/>
                <w:color w:val="000000"/>
                <w:sz w:val="24"/>
                <w:szCs w:val="24"/>
                <w:lang w:val="en-US" w:eastAsia="zh-CN"/>
              </w:rPr>
            </w:r>
            <w:r/>
          </w:p>
        </w:tc>
      </w:tr>
      <w:tr>
        <w:trPr>
          <w:trHeight w:val="90"/>
        </w:trPr>
        <w:tc>
          <w:tcPr>
            <w:tcW w:w="731" w:type="dxa"/>
            <w:vAlign w:val="center"/>
            <w:textDirection w:val="lrTb"/>
            <w:noWrap w:val="false"/>
          </w:tcPr>
          <w:p>
            <w:pPr>
              <w:pStyle w:val="872"/>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200</w:t>
            </w:r>
            <w:r>
              <w:rPr>
                <w:rFonts w:hint="eastAsia" w:ascii="宋体" w:hAnsi="宋体" w:eastAsia="宋体" w:cs="宋体"/>
                <w:bCs/>
                <w:color w:val="000000"/>
                <w:sz w:val="24"/>
                <w:szCs w:val="24"/>
                <w:lang w:val="en-US" w:eastAsia="zh-CN"/>
              </w:rPr>
            </w:r>
            <w:r/>
          </w:p>
        </w:tc>
        <w:tc>
          <w:tcPr>
            <w:tcW w:w="1369"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室内拆除及垃圾清运保洁</w:t>
            </w:r>
            <w:r>
              <w:rPr>
                <w:rFonts w:hint="eastAsia" w:ascii="宋体" w:hAnsi="宋体" w:eastAsia="宋体" w:cs="宋体"/>
                <w:bCs/>
                <w:color w:val="000000"/>
                <w:sz w:val="24"/>
                <w:szCs w:val="24"/>
                <w:lang w:val="en-US" w:eastAsia="zh-CN"/>
              </w:rPr>
            </w:r>
            <w:r/>
          </w:p>
        </w:tc>
        <w:tc>
          <w:tcPr>
            <w:tcW w:w="1460"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c>
          <w:tcPr>
            <w:tcW w:w="6405" w:type="dxa"/>
            <w:vAlign w:val="center"/>
            <w:textDirection w:val="lrTb"/>
            <w:noWrap w:val="false"/>
          </w:tcPr>
          <w:p>
            <w:pPr>
              <w:pStyle w:val="872"/>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不限于室内原有吊顶、地面拆除，墙面拆除。原木器运至学校及环保指定位置等。学校需要保留的摄像头、音箱等不动。室内改造后垃圾运至学校指定位置，专业人员室内保洁。</w:t>
            </w:r>
            <w:r>
              <w:rPr>
                <w:rFonts w:hint="eastAsia" w:ascii="宋体" w:hAnsi="宋体" w:eastAsia="宋体" w:cs="宋体"/>
                <w:bCs/>
                <w:color w:val="000000"/>
                <w:sz w:val="24"/>
                <w:szCs w:val="24"/>
                <w:lang w:val="en-US" w:eastAsia="zh-CN"/>
              </w:rPr>
            </w:r>
            <w:r/>
          </w:p>
        </w:tc>
      </w:tr>
    </w:tbl>
    <w:p>
      <w:pPr>
        <w:pStyle w:val="872"/>
        <w:ind w:firstLine="480"/>
        <w:keepLines w:val="0"/>
        <w:keepNext w:val="0"/>
        <w:pageBreakBefore w:val="0"/>
        <w:spacing w:line="264" w:lineRule="auto"/>
        <w:widowControl w:val="off"/>
        <w:rPr>
          <w:rFonts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Times New Roman"/>
          <w:b w:val="0"/>
          <w:bCs w:val="0"/>
          <w:i w:val="0"/>
          <w:iCs w:val="0"/>
          <w:color w:val="000000"/>
          <w:sz w:val="24"/>
          <w:u w:val="none"/>
          <w:lang w:val="en-US" w:eastAsia="zh-CN"/>
        </w:rPr>
        <w:t xml:space="preserve">2.其他技术要求</w:t>
      </w:r>
      <w:r>
        <w:rPr>
          <w:rFonts w:ascii="宋体" w:hAnsi="宋体" w:eastAsia="宋体" w:cs="Times New Roman"/>
          <w:b w:val="0"/>
          <w:bCs w:val="0"/>
          <w:i w:val="0"/>
          <w:iCs w:val="0"/>
          <w:color w:val="000000"/>
          <w:sz w:val="24"/>
          <w:u w:val="none"/>
          <w:lang w:val="en-US" w:eastAsia="zh-CN"/>
        </w:rPr>
      </w:r>
      <w:r/>
    </w:p>
    <w:p>
      <w:pPr>
        <w:pStyle w:val="872"/>
        <w:ind w:firstLine="480"/>
        <w:keepLines w:val="0"/>
        <w:keepNext w:val="0"/>
        <w:pageBreakBefore w:val="0"/>
        <w:spacing w:line="264" w:lineRule="auto"/>
        <w:widowControl w:val="off"/>
        <w:rPr>
          <w:rFonts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t xml:space="preserve">本项目中所投水嘴通过节能认证，签订合同时提供认证证书。</w:t>
      </w:r>
      <w:r>
        <w:rPr>
          <w:rFonts w:ascii="宋体" w:hAnsi="宋体" w:eastAsia="宋体" w:cs="Times New Roman"/>
          <w:b w:val="0"/>
          <w:bCs w:val="0"/>
          <w:i w:val="0"/>
          <w:iCs w:val="0"/>
          <w:color w:val="000000"/>
          <w:sz w:val="24"/>
          <w:u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2"/>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2"/>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2"/>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①供应商中标后提供设备安装日程计划。</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②供应商应及时与采购人联系，对本项目所有产品的规格尺寸、款式、颜色等要求进一步确认，得到采购人的签字盖章认可后方可生产，并确保产品质量。所有产品进场需要先向学校报备，签设备进场报验单。</w:t>
      </w:r>
      <w:r>
        <w:rPr>
          <w:rFonts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要求。交货时所有货物应完好，物品配件齐全，否则视为不合格产品。</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本项目整体质保期五年（自验收合格之日起，进入质保期）。</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每年维护保养1次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w:t>
      </w:r>
      <w:r>
        <w:rPr>
          <w:rFonts w:ascii="宋体" w:hAnsi="宋体" w:eastAsia="宋体" w:cs="宋体"/>
          <w:b w:val="0"/>
          <w:bCs w:val="0"/>
          <w:color w:val="000000"/>
          <w:sz w:val="24"/>
          <w:szCs w:val="24"/>
          <w:highlight w:val="none"/>
          <w:lang w:val="en-US" w:eastAsia="zh-CN"/>
        </w:rPr>
        <w:t xml:space="preserve">用包含在投标总价中。</w:t>
      </w:r>
      <w:r>
        <w:rPr>
          <w:rFonts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供应商接到报修请求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w:t>
      </w:r>
      <w:r>
        <w:rPr>
          <w:rFonts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ascii="宋体" w:hAnsi="宋体" w:eastAsia="宋体" w:cs="宋体"/>
          <w:b w:val="0"/>
          <w:bCs w:val="0"/>
          <w:color w:val="000000"/>
          <w:sz w:val="24"/>
          <w:szCs w:val="24"/>
          <w:highlight w:val="none"/>
          <w:lang w:val="en-US" w:eastAsia="zh-CN"/>
        </w:rPr>
      </w:r>
      <w:r/>
    </w:p>
    <w:p>
      <w:pPr>
        <w:pStyle w:val="872"/>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2"/>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2"/>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2"/>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50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2"/>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2"/>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2"/>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7"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7"/>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2"/>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（三）视频</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2"/>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视频时长总计不超过</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2"/>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2.演示内容详见“第五章评标方法与评标标准”。</w:t>
      </w:r>
      <w:r>
        <w:rPr>
          <w:rFonts w:hint="eastAsia" w:ascii="宋体" w:hAnsi="宋体" w:eastAsia="宋体" w:cs="Times New Roman"/>
          <w:color w:val="000000"/>
          <w:sz w:val="24"/>
          <w:szCs w:val="24"/>
          <w:highlight w:val="none"/>
          <w:lang w:val="en-US" w:eastAsia="zh-CN"/>
        </w:rPr>
      </w:r>
      <w:r/>
    </w:p>
    <w:p>
      <w:pPr>
        <w:pStyle w:val="884"/>
        <w:rPr>
          <w:rFonts w:hint="eastAsia"/>
          <w:lang w:eastAsia="zh-CN"/>
        </w:rPr>
      </w:pPr>
      <w:r>
        <w:rPr>
          <w:rFonts w:hint="eastAsia"/>
          <w:lang w:eastAsia="zh-CN"/>
        </w:rPr>
      </w:r>
      <w:r/>
    </w:p>
    <w:p>
      <w:pPr>
        <w:pStyle w:val="872"/>
        <w:rPr>
          <w:rFonts w:hint="eastAsia" w:ascii="宋体" w:hAnsi="宋体" w:eastAsia="宋体" w:cs="宋体"/>
          <w:sz w:val="24"/>
          <w:szCs w:val="24"/>
        </w:rPr>
      </w:pPr>
      <w:r>
        <w:rPr>
          <w:rFonts w:hint="eastAsia" w:ascii="宋体" w:hAnsi="宋体" w:eastAsia="宋体" w:cs="宋体"/>
          <w:sz w:val="24"/>
          <w:szCs w:val="24"/>
        </w:rPr>
      </w:r>
      <w:r/>
    </w:p>
    <w:p>
      <w:pPr>
        <w:pStyle w:val="872"/>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_Toc120614281"/>
      <w:r>
        <w:rPr>
          <w:rFonts w:hint="eastAsia" w:ascii="方正小标宋简体" w:hAnsi="方正小标宋简体" w:eastAsia="方正小标宋简体" w:cs="方正小标宋简体"/>
          <w:color w:val="000000"/>
          <w:sz w:val="36"/>
          <w:szCs w:val="36"/>
        </w:rPr>
      </w:r>
      <w:r/>
    </w:p>
    <w:p>
      <w:pPr>
        <w:pStyle w:val="872"/>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第五章评标方法与评标标准</w:t>
      </w:r>
      <w:r>
        <w:rPr>
          <w:rFonts w:hint="eastAsia" w:ascii="方正小标宋简体" w:hAnsi="方正小标宋简体" w:eastAsia="方正小标宋简体" w:cs="方正小标宋简体"/>
          <w:color w:val="000000"/>
          <w:sz w:val="36"/>
          <w:szCs w:val="36"/>
        </w:rPr>
      </w:r>
      <w:r/>
    </w:p>
    <w:p>
      <w:pPr>
        <w:pStyle w:val="872"/>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2"/>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2"/>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w:t>
      </w:r>
      <w:r>
        <w:rPr>
          <w:rFonts w:hint="eastAsia" w:ascii="宋体" w:hAnsi="宋体" w:eastAsia="宋体" w:cs="宋体"/>
          <w:sz w:val="24"/>
          <w:szCs w:val="24"/>
          <w:lang w:eastAsia="zh-CN"/>
        </w:rPr>
        <w:t xml:space="preserve">标候选人。</w:t>
      </w:r>
      <w:r>
        <w:rPr>
          <w:rFonts w:hint="eastAsia" w:ascii="宋体" w:hAnsi="宋体" w:eastAsia="宋体" w:cs="宋体"/>
          <w:sz w:val="24"/>
          <w:szCs w:val="24"/>
          <w:lang w:eastAsia="zh-CN"/>
        </w:rPr>
      </w:r>
      <w:r/>
    </w:p>
    <w:p>
      <w:pPr>
        <w:pStyle w:val="872"/>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2"/>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2"/>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2"/>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2"/>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2"/>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2"/>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2"/>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2"/>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2"/>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pPr w:horzAnchor="page" w:tblpX="1088" w:vertAnchor="text" w:tblpY="128" w:leftFromText="180" w:topFromText="0" w:rightFromText="180" w:bottomFromText="0"/>
        <w:tblW w:w="491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1148"/>
        <w:gridCol w:w="6144"/>
        <w:gridCol w:w="426"/>
        <w:gridCol w:w="1536"/>
      </w:tblGrid>
      <w:tr>
        <w:trPr>
          <w:trHeight w:val="23"/>
        </w:trPr>
        <w:tc>
          <w:tcPr>
            <w:tcW w:w="531" w:type="dxa"/>
            <w:vAlign w:val="top"/>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rPr>
                <w:rFonts w:hint="eastAsia" w:ascii="宋体" w:hAnsi="宋体" w:eastAsia="宋体" w:cs="宋体"/>
                <w:b w:val="0"/>
                <w:bCs w:val="0"/>
                <w:i w:val="0"/>
                <w:iCs w:val="0"/>
                <w:color w:val="000000"/>
                <w:sz w:val="21"/>
                <w:szCs w:val="21"/>
                <w:highlight w:val="none"/>
                <w:u w:val="none"/>
              </w:rPr>
            </w:r>
            <w:r/>
          </w:p>
        </w:tc>
        <w:tc>
          <w:tcPr>
            <w:tcW w:w="1148" w:type="dxa"/>
            <w:vAlign w:val="top"/>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评审因素</w:t>
            </w:r>
            <w:r>
              <w:rPr>
                <w:rFonts w:hint="eastAsia" w:ascii="宋体" w:hAnsi="宋体" w:eastAsia="宋体" w:cs="宋体"/>
                <w:b w:val="0"/>
                <w:bCs w:val="0"/>
                <w:i w:val="0"/>
                <w:iCs w:val="0"/>
                <w:color w:val="000000"/>
                <w:sz w:val="21"/>
                <w:szCs w:val="21"/>
                <w:highlight w:val="none"/>
                <w:u w:val="none"/>
              </w:rPr>
            </w:r>
            <w:r/>
          </w:p>
        </w:tc>
        <w:tc>
          <w:tcPr>
            <w:tcW w:w="6144" w:type="dxa"/>
            <w:vAlign w:val="top"/>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评审细则</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分值</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类型</w:t>
            </w:r>
            <w:r>
              <w:rPr>
                <w:rFonts w:hint="eastAsia" w:ascii="宋体" w:hAnsi="宋体" w:eastAsia="宋体" w:cs="宋体"/>
                <w:b w:val="0"/>
                <w:bCs w:val="0"/>
                <w:i w:val="0"/>
                <w:iCs w:val="0"/>
                <w:color w:val="000000"/>
                <w:sz w:val="21"/>
                <w:szCs w:val="21"/>
                <w:highlight w:val="none"/>
                <w:u w:val="none"/>
              </w:rPr>
            </w:r>
            <w:r/>
          </w:p>
        </w:tc>
      </w:tr>
      <w:tr>
        <w:trPr>
          <w:trHeight w:val="23"/>
        </w:trPr>
        <w:tc>
          <w:tcPr>
            <w:gridSpan w:val="5"/>
            <w:tcW w:w="9785" w:type="dxa"/>
            <w:vAlign w:val="top"/>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1.价格</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1.1</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价格分</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jc w:val="left"/>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价格分</w:t>
            </w:r>
            <w:r>
              <w:rPr>
                <w:rFonts w:hint="eastAsia" w:ascii="宋体" w:hAnsi="宋体" w:eastAsia="宋体" w:cs="宋体"/>
                <w:b w:val="0"/>
                <w:bCs w:val="0"/>
                <w:i w:val="0"/>
                <w:iCs w:val="0"/>
                <w:color w:val="000000"/>
                <w:sz w:val="21"/>
                <w:szCs w:val="21"/>
                <w:highlight w:val="none"/>
                <w:u w:val="none"/>
              </w:rPr>
            </w:r>
            <w:r/>
          </w:p>
        </w:tc>
      </w:tr>
      <w:tr>
        <w:trPr>
          <w:trHeight w:val="23"/>
        </w:trPr>
        <w:tc>
          <w:tcPr>
            <w:gridSpan w:val="5"/>
            <w:tcW w:w="9785" w:type="dxa"/>
            <w:vAlign w:val="top"/>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2.技术</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2.1</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产品技术参数</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产品技术参数全部满足招标要求的得满分；打▲指标（6项）为重要指标，有1项负偏离扣2分；其余指标有1项负偏离扣0.1分，扣完为止。</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23</w:t>
            </w:r>
            <w:r>
              <w:rPr>
                <w:rFonts w:ascii="宋体" w:hAnsi="宋体" w:eastAsia="宋体" w:cs="宋体"/>
                <w:b w:val="0"/>
                <w:bCs w:val="0"/>
                <w:i w:val="0"/>
                <w:iCs w:val="0"/>
                <w:color w:val="000000"/>
                <w:sz w:val="21"/>
                <w:szCs w:val="21"/>
                <w:highlight w:val="none"/>
                <w:u w:val="none"/>
                <w:lang w:val="en-US"/>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2.2</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深化设计方案</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framePr w:vAnchor="text" w:hAnchor="page" w:x="1088" w:y="128"/>
              <w:suppressLineNumbers w:val="0"/>
            </w:pPr>
            <w:r/>
            <w:bookmarkStart w:id="199" w:name="OLE_LINK5"/>
            <w:r>
              <w:rPr>
                <w:rFonts w:hint="eastAsia" w:ascii="宋体" w:hAnsi="宋体" w:eastAsia="宋体" w:cs="宋体"/>
                <w:sz w:val="21"/>
                <w:szCs w:val="21"/>
                <w:highlight w:val="none"/>
                <w:lang w:val="en-US" w:eastAsia="zh-CN" w:bidi="ar"/>
              </w:rPr>
              <w:t xml:space="preserve">根据本项目采购需求及相关要求编制方案，内容包含</w:t>
            </w:r>
            <w:bookmarkEnd w:id="199"/>
            <w:r>
              <w:rPr>
                <w:rFonts w:hint="eastAsia" w:ascii="宋体" w:hAnsi="宋体" w:eastAsia="宋体" w:cs="宋体"/>
                <w:sz w:val="21"/>
                <w:szCs w:val="21"/>
                <w:highlight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1、南京市科利华中学梅园校区报告厅；2、南京市科利华中学梅园校区教工餐厅；3、南京理工大学附属中学（弘光中学）物理实验室</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sz w:val="21"/>
                <w:szCs w:val="21"/>
                <w:highlight w:val="none"/>
                <w:lang w:val="en-US" w:eastAsia="zh-CN" w:bidi="ar"/>
              </w:rPr>
              <w:t xml:space="preserve">以上每项内容逐项评分：</w:t>
            </w:r>
            <w:r>
              <w:rPr>
                <w:rFonts w:hint="eastAsia" w:ascii="Times New Roman" w:hAnsi="Times New Roman" w:eastAsia="宋体" w:cs="Times New Roman"/>
                <w:sz w:val="21"/>
                <w:szCs w:val="21"/>
                <w:highlight w:val="none"/>
              </w:rPr>
            </w:r>
            <w:r/>
          </w:p>
          <w:p>
            <w:pPr>
              <w:pStyle w:val="872"/>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framePr w:vAnchor="text" w:hAnchor="page" w:x="1088" w:y="128"/>
              <w:suppressLineNumbers w:val="0"/>
            </w:pPr>
            <w:r>
              <w:rPr>
                <w:rFonts w:hint="eastAsia" w:ascii="宋体" w:hAnsi="宋体" w:eastAsia="宋体" w:cs="宋体"/>
                <w:sz w:val="21"/>
                <w:szCs w:val="21"/>
                <w:highlight w:val="none"/>
                <w:lang w:val="en-US" w:eastAsia="zh-CN" w:bidi="ar"/>
              </w:rPr>
              <w:t xml:space="preserve">方案内容与提供的平面布置图对应，功能区域布局合理，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sz w:val="21"/>
                <w:szCs w:val="21"/>
                <w:highlight w:val="none"/>
              </w:rPr>
            </w:r>
            <w:r/>
          </w:p>
          <w:p>
            <w:pPr>
              <w:pStyle w:val="872"/>
              <w:jc w:val="both"/>
              <w:keepLines w:val="0"/>
              <w:keepNext w:val="0"/>
              <w:widowControl/>
              <w:rPr>
                <w:rFonts w:hint="eastAsia" w:ascii="宋体" w:hAnsi="宋体" w:eastAsia="宋体" w:cs="宋体"/>
                <w:color w:val="000000"/>
                <w:sz w:val="21"/>
                <w:szCs w:val="21"/>
                <w:highlight w:val="none"/>
                <w:lang w:val="en-US" w:eastAsia="zh-CN"/>
              </w:rPr>
              <w:framePr w:vAnchor="text" w:hAnchor="page" w:x="1088" w:y="128"/>
              <w:suppressLineNumbers w:val="0"/>
            </w:pPr>
            <w:r>
              <w:rPr>
                <w:rFonts w:hint="eastAsia" w:ascii="宋体" w:hAnsi="宋体" w:eastAsia="宋体" w:cs="宋体"/>
                <w:sz w:val="21"/>
                <w:szCs w:val="21"/>
                <w:highlight w:val="none"/>
                <w:lang w:val="en-US" w:eastAsia="zh-CN" w:bidi="ar"/>
              </w:rPr>
              <w:t xml:space="preserve">上述每项内容符合得</w:t>
            </w:r>
            <w:r>
              <w:rPr>
                <w:rFonts w:ascii="Times New Roman" w:hAnsi="Times New Roman" w:eastAsia="宋体" w:cs="Times New Roman"/>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分；部分符合得</w:t>
            </w:r>
            <w:r>
              <w:rPr>
                <w:rFonts w:ascii="Times New Roman" w:hAnsi="Times New Roman" w:eastAsia="宋体" w:cs="Times New Roman"/>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分；不符合或不提供不得分</w:t>
            </w:r>
            <w:r>
              <w:rPr>
                <w:rFonts w:hint="eastAsia" w:ascii="宋体" w:hAnsi="宋体" w:eastAsia="宋体" w:cs="宋体"/>
                <w:color w:val="000000"/>
                <w:sz w:val="21"/>
                <w:szCs w:val="21"/>
                <w:highlight w:val="none"/>
                <w:lang w:val="en-US" w:eastAsia="zh-CN"/>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主观分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lang w:val="en-US"/>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2.3</w:t>
            </w:r>
            <w:r>
              <w:rPr>
                <w:rFonts w:hint="eastAsia" w:ascii="宋体" w:hAnsi="宋体" w:eastAsia="宋体" w:cs="宋体"/>
                <w:b w:val="0"/>
                <w:bCs w:val="0"/>
                <w:i w:val="0"/>
                <w:iCs w:val="0"/>
                <w:color w:val="000000"/>
                <w:sz w:val="21"/>
                <w:szCs w:val="21"/>
                <w:highlight w:val="none"/>
                <w:u w:val="none"/>
                <w:lang w:val="en-US"/>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产品检测报告</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投标人或所投产品制造商提供第三方检测报告，具体检测内容如下：</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1.</w:t>
            </w:r>
            <w:r>
              <w:rPr>
                <w:rStyle w:val="1006"/>
                <w:rFonts w:hint="eastAsia" w:ascii="宋体" w:hAnsi="宋体" w:eastAsia="宋体" w:cs="宋体"/>
                <w:b w:val="0"/>
                <w:bCs w:val="0"/>
                <w:color w:val="000000"/>
                <w:sz w:val="21"/>
                <w:szCs w:val="21"/>
                <w:highlight w:val="none"/>
                <w:lang w:val="en-US" w:eastAsia="zh-CN" w:bidi="ar"/>
              </w:rPr>
              <w:t xml:space="preserve">LED全彩显示屏</w:t>
            </w:r>
            <w:r>
              <w:rPr>
                <w:rStyle w:val="1007"/>
                <w:rFonts w:hint="eastAsia" w:ascii="宋体" w:hAnsi="宋体" w:eastAsia="宋体" w:cs="宋体"/>
                <w:b w:val="0"/>
                <w:bCs w:val="0"/>
                <w:color w:val="000000"/>
                <w:sz w:val="21"/>
                <w:szCs w:val="21"/>
                <w:highlight w:val="none"/>
                <w:lang w:val="en-US" w:eastAsia="zh-CN" w:bidi="ar"/>
              </w:rPr>
              <w:t xml:space="preserve">（产品清单53）：</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①智能节电：具备自动关机节能功能，支持自动检测屏幕前是否有人，当有人时屏幕正常点亮；当无人时，一段时间后（可设置)屏幕自动调暗或黑屏，智能(黑屏)节电功能开启智能节电功能比没有开启节能80%以上；</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②摩尔纹抑制：支持抑制摩尔纹功能。减轻摩尔纹视觉主观效果80%；</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③灰度等级：红，绿，蓝各256级；支持EPWM灰阶控制技术，支持软件实现0-100%不同亮度情况下，灰度10-22bits任意灰度设置：100%亮度22bit灰度；提升低灰视觉效果；</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以上每项内容满足要求得1分，最多得3分；</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2、</w:t>
            </w:r>
            <w:r>
              <w:rPr>
                <w:rStyle w:val="1006"/>
                <w:rFonts w:hint="eastAsia" w:ascii="宋体" w:hAnsi="宋体" w:eastAsia="宋体" w:cs="宋体"/>
                <w:b w:val="0"/>
                <w:bCs w:val="0"/>
                <w:color w:val="000000"/>
                <w:sz w:val="21"/>
                <w:szCs w:val="21"/>
                <w:highlight w:val="none"/>
                <w:lang w:val="en-US" w:eastAsia="zh-CN" w:bidi="ar"/>
              </w:rPr>
              <w:t xml:space="preserve">电源时序控制器</w:t>
            </w:r>
            <w:r>
              <w:rPr>
                <w:rStyle w:val="1007"/>
                <w:rFonts w:hint="eastAsia" w:ascii="宋体" w:hAnsi="宋体" w:eastAsia="宋体" w:cs="宋体"/>
                <w:b w:val="0"/>
                <w:bCs w:val="0"/>
                <w:color w:val="000000"/>
                <w:sz w:val="21"/>
                <w:szCs w:val="21"/>
                <w:highlight w:val="none"/>
                <w:lang w:val="en-US" w:eastAsia="zh-CN" w:bidi="ar"/>
              </w:rPr>
              <w:t xml:space="preserve">（产品清单46）</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①面板配置彩色LCD液晶显示屏，可显示工作状态;</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②具有断电记忆功能，当设备突然断电数据自动储存。</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以上内容全部满足要求得1分；</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2.5</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视频演示1</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ind w:left="0" w:right="0"/>
              <w:jc w:val="both"/>
              <w:keepLines w:val="0"/>
              <w:keepNext w:val="0"/>
              <w:spacing w:before="0" w:beforeAutospacing="0" w:after="0" w:afterAutospacing="0"/>
              <w:widowControl w:val="off"/>
              <w:rPr>
                <w:rStyle w:val="1007"/>
                <w:rFonts w:hint="eastAsia" w:ascii="宋体" w:hAnsi="宋体" w:eastAsia="宋体" w:cs="宋体"/>
                <w:b w:val="0"/>
                <w:bCs w:val="0"/>
                <w:color w:val="000000"/>
                <w:sz w:val="21"/>
                <w:szCs w:val="21"/>
                <w:highlight w:val="none"/>
                <w:lang w:val="en-US" w:eastAsia="zh-CN" w:bidi="ar"/>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评委根据投标人提供的产品演示内容评分（总演示时间不超过5分钟）：</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演示一：</w:t>
            </w:r>
            <w:r>
              <w:rPr>
                <w:rStyle w:val="1006"/>
                <w:rFonts w:hint="eastAsia" w:ascii="宋体" w:hAnsi="宋体" w:eastAsia="宋体" w:cs="宋体"/>
                <w:b w:val="0"/>
                <w:bCs w:val="0"/>
                <w:color w:val="000000"/>
                <w:sz w:val="21"/>
                <w:szCs w:val="21"/>
                <w:highlight w:val="none"/>
                <w:lang w:val="en-US" w:eastAsia="zh-CN" w:bidi="ar"/>
              </w:rPr>
              <w:t xml:space="preserve">智能云盒、多视窗交互系统软件等</w:t>
            </w:r>
            <w:r>
              <w:rPr>
                <w:rStyle w:val="1007"/>
                <w:rFonts w:hint="eastAsia" w:ascii="宋体" w:hAnsi="宋体" w:eastAsia="宋体" w:cs="宋体"/>
                <w:b w:val="0"/>
                <w:bCs w:val="0"/>
                <w:color w:val="000000"/>
                <w:sz w:val="21"/>
                <w:szCs w:val="21"/>
                <w:highlight w:val="none"/>
                <w:lang w:val="en-US" w:eastAsia="zh-CN" w:bidi="ar"/>
              </w:rPr>
              <w:t xml:space="preserve">（产品清单31、32）（满分6分）</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演示内容如下：</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1、软件遥控器：互动控制系统无需硬件遥控器或USB切换器，用户只需扫码下载遥控器APP，即可将移动终端作为控制端，支持多系统安装控制端软件。遥控器APP可支持批注、录制、截屏、切换设备、切换布局模式等功能；使用遥控器APP可拍摄多达16张照片或录制多达16段短视频上传至屏幕显示，亦可将遥控器（手机/平板/电脑端）本地的多达16个文件，上传至屏幕分屏显示。（2分，有一条参数不满足，即不得分）</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2、多种画面布局显示：支持不少于16个投屏设备同时接入智能云盒，不少于同时16个画面显示，且支持Auto（自适应）画面、1</w:t>
            </w:r>
            <w:r>
              <w:rPr>
                <w:rStyle w:val="1007"/>
                <w:rFonts w:hint="eastAsia" w:ascii="宋体" w:hAnsi="宋体" w:eastAsia="宋体" w:cs="宋体"/>
                <w:b w:val="0"/>
                <w:bCs w:val="0"/>
                <w:color w:val="000000"/>
                <w:sz w:val="21"/>
                <w:szCs w:val="21"/>
                <w:highlight w:val="none"/>
                <w:lang w:val="en-US" w:eastAsia="zh-CN" w:bidi="ar"/>
              </w:rPr>
              <w:t xml:space="preserve">画面、2画面、3画面、4画面、6画面、8画面、9画面、16画面切换模式，不少于10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支持：布局快照、清除主屏、清除副屏等功能按钮的选择。（2分，有一条参数不满足，即不得分）</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3、课堂互动：支持学生使用手写板、反馈器、微信小程序参与课堂答题互动，手写板与反馈器需要在后台绑定教师授课班级信息，设备与学生学号姓名绑定，便于答题数据的统计。学生可通过微信扫码签到，输入课程ID号，加入教师创建的班级。对于迟到的学生，</w:t>
            </w:r>
            <w:r>
              <w:rPr>
                <w:rStyle w:val="1007"/>
                <w:rFonts w:hint="eastAsia" w:ascii="宋体" w:hAnsi="宋体" w:eastAsia="宋体" w:cs="宋体"/>
                <w:b w:val="0"/>
                <w:bCs w:val="0"/>
                <w:color w:val="000000"/>
                <w:sz w:val="21"/>
                <w:szCs w:val="21"/>
                <w:highlight w:val="none"/>
                <w:lang w:val="en-US" w:eastAsia="zh-CN" w:bidi="ar"/>
              </w:rPr>
              <w:t xml:space="preserve">教师可随时再次发起签到，让学生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下课。（2分，有一条参数不满足，即不得分）</w:t>
            </w:r>
            <w:r>
              <w:rPr>
                <w:rStyle w:val="1007"/>
                <w:rFonts w:hint="eastAsia" w:ascii="宋体" w:hAnsi="宋体" w:eastAsia="宋体" w:cs="宋体"/>
                <w:b w:val="0"/>
                <w:bCs w:val="0"/>
                <w:color w:val="000000"/>
                <w:sz w:val="21"/>
                <w:szCs w:val="21"/>
                <w:highlight w:val="none"/>
                <w:lang w:val="en-US" w:eastAsia="zh-CN" w:bidi="ar"/>
              </w:rPr>
            </w:r>
            <w:r/>
          </w:p>
          <w:p>
            <w:pPr>
              <w:pStyle w:val="872"/>
              <w:ind w:left="0" w:right="0"/>
              <w:jc w:val="both"/>
              <w:keepLines w:val="0"/>
              <w:keepNext w:val="0"/>
              <w:spacing w:before="0" w:beforeAutospacing="0" w:after="0" w:afterAutospacing="0"/>
              <w:widowControl w:val="off"/>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sz w:val="21"/>
                <w:szCs w:val="21"/>
                <w:highlight w:val="none"/>
                <w:lang w:val="en-US" w:eastAsia="zh-CN" w:bidi="ar"/>
              </w:rPr>
              <w:t xml:space="preserve">注：投标人未提供视频文件或因投标人自身原因视频文件无法打开或视频画面不清晰无法辨认的不得分。</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2.6</w:t>
            </w:r>
            <w:r>
              <w:rPr>
                <w:rFonts w:ascii="宋体" w:hAnsi="宋体" w:eastAsia="宋体" w:cs="宋体"/>
                <w:b w:val="0"/>
                <w:bCs w:val="0"/>
                <w:i w:val="0"/>
                <w:iCs w:val="0"/>
                <w:color w:val="000000"/>
                <w:sz w:val="21"/>
                <w:szCs w:val="21"/>
                <w:highlight w:val="none"/>
                <w:u w:val="none"/>
                <w:lang w:val="en-US" w:eastAsia="zh-CN" w:bidi="ar"/>
              </w:rPr>
            </w:r>
            <w:r/>
          </w:p>
        </w:tc>
        <w:tc>
          <w:tcPr>
            <w:tcW w:w="1148"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视频演示2</w:t>
            </w:r>
            <w:r>
              <w:rPr>
                <w:rFonts w:ascii="宋体" w:hAnsi="宋体" w:eastAsia="宋体" w:cs="宋体"/>
                <w:b w:val="0"/>
                <w:bCs w:val="0"/>
                <w:i w:val="0"/>
                <w:iCs w:val="0"/>
                <w:color w:val="000000"/>
                <w:sz w:val="21"/>
                <w:szCs w:val="21"/>
                <w:highlight w:val="none"/>
                <w:u w:val="none"/>
                <w:lang w:val="en-US" w:eastAsia="zh-CN" w:bidi="ar"/>
              </w:rPr>
            </w:r>
            <w:r/>
          </w:p>
        </w:tc>
        <w:tc>
          <w:tcPr>
            <w:tcW w:w="6144" w:type="dxa"/>
            <w:vAlign w:val="center"/>
            <w:textDirection w:val="lrTb"/>
            <w:noWrap w:val="false"/>
          </w:tcPr>
          <w:p>
            <w:pPr>
              <w:pStyle w:val="872"/>
              <w:ind w:left="0" w:right="0"/>
              <w:jc w:val="both"/>
              <w:keepLines w:val="0"/>
              <w:keepNext w:val="0"/>
              <w:spacing w:before="0" w:beforeAutospacing="0" w:after="0" w:afterAutospacing="0"/>
              <w:widowControl w:val="off"/>
              <w:rPr>
                <w:rFonts w:hint="eastAsia" w:ascii="宋体" w:hAnsi="宋体" w:eastAsia="宋体" w:cs="宋体"/>
                <w:sz w:val="21"/>
                <w:szCs w:val="21"/>
                <w:highlight w:val="none"/>
                <w:lang w:val="en-US" w:eastAsia="zh-CN" w:bidi="ar-SA"/>
              </w:rPr>
              <w:framePr w:vAnchor="text" w:hAnchor="page" w:x="1088" w:y="128"/>
              <w:suppressLineNumbers w:val="0"/>
            </w:pPr>
            <w:r>
              <w:rPr>
                <w:rFonts w:hint="eastAsia" w:ascii="宋体" w:hAnsi="宋体" w:eastAsia="宋体" w:cs="宋体"/>
                <w:sz w:val="21"/>
                <w:szCs w:val="21"/>
                <w:highlight w:val="none"/>
                <w:lang w:val="en-US" w:eastAsia="zh-CN" w:bidi="ar"/>
              </w:rPr>
              <w:t xml:space="preserve">评委根据投标人提供的</w:t>
            </w:r>
            <w:r>
              <w:rPr>
                <w:rStyle w:val="1007"/>
                <w:rFonts w:hint="eastAsia" w:ascii="宋体" w:hAnsi="宋体" w:eastAsia="宋体" w:cs="宋体"/>
                <w:b w:val="0"/>
                <w:bCs w:val="0"/>
                <w:color w:val="000000"/>
                <w:sz w:val="21"/>
                <w:szCs w:val="21"/>
                <w:highlight w:val="none"/>
                <w:lang w:val="en-US" w:eastAsia="zh-CN" w:bidi="ar"/>
              </w:rPr>
              <w:t xml:space="preserve">学生实验桌（化学）（产品清单116）全铝桌腿</w:t>
            </w:r>
            <w:r>
              <w:rPr>
                <w:rFonts w:hint="eastAsia" w:ascii="宋体" w:hAnsi="宋体" w:eastAsia="宋体" w:cs="宋体"/>
                <w:sz w:val="21"/>
                <w:szCs w:val="21"/>
                <w:highlight w:val="none"/>
                <w:lang w:val="en-US" w:eastAsia="zh-CN" w:bidi="ar"/>
              </w:rPr>
              <w:t xml:space="preserve">视频展示（所有的制作标准和要求与本次采购项目一致，每家投标人视频时长总计不超过2分钟）综合评分：</w:t>
            </w:r>
            <w:r>
              <w:rPr>
                <w:rFonts w:hint="eastAsia" w:ascii="宋体" w:hAnsi="宋体" w:eastAsia="宋体" w:cs="宋体"/>
                <w:sz w:val="21"/>
                <w:szCs w:val="21"/>
                <w:highlight w:val="none"/>
                <w:lang w:val="en-US" w:eastAsia="zh-CN" w:bidi="ar-SA"/>
              </w:rPr>
            </w:r>
            <w:r/>
          </w:p>
          <w:p>
            <w:pPr>
              <w:pStyle w:val="872"/>
              <w:jc w:val="both"/>
              <w:keepLines w:val="0"/>
              <w:keepNext w:val="0"/>
              <w:widowControl/>
              <w:rPr>
                <w:rStyle w:val="1007"/>
                <w:rFonts w:ascii="宋体" w:hAnsi="宋体" w:eastAsia="宋体" w:cs="宋体"/>
                <w:b w:val="0"/>
                <w:bCs w:val="0"/>
                <w:color w:val="000000"/>
                <w:sz w:val="21"/>
                <w:szCs w:val="21"/>
                <w:highlight w:val="none"/>
                <w:lang w:val="en-US" w:eastAsia="zh-CN" w:bidi="ar"/>
              </w:rPr>
              <w:framePr w:vAnchor="text" w:hAnchor="page" w:x="1088" w:y="128"/>
              <w:suppressLineNumbers w:val="0"/>
            </w:pPr>
            <w:r>
              <w:rPr>
                <w:rStyle w:val="1007"/>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根据游标卡尺测量桌腿壁厚的特写镜头，</w:t>
            </w:r>
            <w:r>
              <w:rPr>
                <w:rStyle w:val="1007"/>
                <w:rFonts w:hint="eastAsia" w:ascii="宋体" w:hAnsi="宋体" w:eastAsia="宋体" w:cs="宋体"/>
                <w:b w:val="0"/>
                <w:bCs w:val="0"/>
                <w:color w:val="000000"/>
                <w:sz w:val="21"/>
                <w:szCs w:val="21"/>
                <w:highlight w:val="none"/>
                <w:lang w:val="en-US" w:eastAsia="zh-CN" w:bidi="ar"/>
              </w:rPr>
              <w:t xml:space="preserve">壁厚≥4mm的得2分；壁厚4mm-3mm的得1分；壁厚小于3mm的不得分；</w:t>
            </w:r>
            <w:r>
              <w:rPr>
                <w:rStyle w:val="1007"/>
                <w:rFonts w:ascii="宋体" w:hAnsi="宋体" w:eastAsia="宋体" w:cs="宋体"/>
                <w:b w:val="0"/>
                <w:bCs w:val="0"/>
                <w:color w:val="000000"/>
                <w:sz w:val="21"/>
                <w:szCs w:val="21"/>
                <w:highlight w:val="none"/>
                <w:lang w:val="en-US" w:eastAsia="zh-CN" w:bidi="ar"/>
              </w:rPr>
            </w:r>
            <w:r/>
          </w:p>
          <w:p>
            <w:pPr>
              <w:pStyle w:val="872"/>
              <w:ind w:left="0" w:right="0"/>
              <w:jc w:val="both"/>
              <w:keepLines w:val="0"/>
              <w:keepNext w:val="0"/>
              <w:spacing w:before="0" w:beforeAutospacing="0" w:after="0" w:afterAutospacing="0"/>
              <w:widowControl w:val="off"/>
              <w:rPr>
                <w:rStyle w:val="1007"/>
                <w:rFonts w:hint="eastAsia" w:ascii="宋体" w:hAnsi="宋体" w:eastAsia="宋体" w:cs="宋体"/>
                <w:b w:val="0"/>
                <w:bCs w:val="0"/>
                <w:color w:val="000000"/>
                <w:sz w:val="21"/>
                <w:szCs w:val="21"/>
                <w:highlight w:val="none"/>
                <w:lang w:val="en-US" w:eastAsia="zh-CN" w:bidi="ar"/>
              </w:rPr>
              <w:framePr w:vAnchor="text" w:hAnchor="page" w:x="1088" w:y="128"/>
              <w:suppressLineNumbers w:val="0"/>
            </w:pPr>
            <w:r>
              <w:rPr>
                <w:rStyle w:val="1007"/>
                <w:rFonts w:hint="eastAsia" w:ascii="宋体" w:hAnsi="宋体" w:eastAsia="宋体" w:cs="宋体"/>
                <w:b w:val="0"/>
                <w:bCs w:val="0"/>
                <w:color w:val="000000"/>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根据桌腿的特写镜头，</w:t>
            </w:r>
            <w:r>
              <w:rPr>
                <w:rStyle w:val="1007"/>
                <w:rFonts w:hint="eastAsia" w:ascii="宋体" w:hAnsi="宋体" w:eastAsia="宋体" w:cs="宋体"/>
                <w:b w:val="0"/>
                <w:bCs w:val="0"/>
                <w:color w:val="000000"/>
                <w:sz w:val="21"/>
                <w:szCs w:val="21"/>
                <w:highlight w:val="none"/>
                <w:lang w:val="en-US" w:eastAsia="zh-CN" w:bidi="ar"/>
              </w:rPr>
              <w:t xml:space="preserve">连接边口处理完善光滑、整体表面平整、光泽度高得2分；连接边口处理凹凸、整体表面不光滑、暗沉得1分；连接边口有毛刺、整体表面凹凸不平、</w:t>
            </w:r>
            <w:r>
              <w:rPr>
                <w:rFonts w:hint="eastAsia"/>
                <w:lang w:val="en-US" w:eastAsia="zh-CN"/>
              </w:rPr>
              <w:t xml:space="preserve">无光泽度</w:t>
            </w:r>
            <w:r>
              <w:rPr>
                <w:rStyle w:val="1007"/>
                <w:rFonts w:hint="eastAsia" w:ascii="宋体" w:hAnsi="宋体" w:eastAsia="宋体" w:cs="宋体"/>
                <w:b w:val="0"/>
                <w:bCs w:val="0"/>
                <w:color w:val="000000"/>
                <w:sz w:val="21"/>
                <w:szCs w:val="21"/>
                <w:highlight w:val="none"/>
                <w:lang w:val="en-US" w:eastAsia="zh-CN" w:bidi="ar"/>
              </w:rPr>
              <w:t xml:space="preserve">不得分；</w:t>
            </w:r>
            <w:r>
              <w:rPr>
                <w:rStyle w:val="1007"/>
                <w:rFonts w:hint="eastAsia" w:ascii="宋体" w:hAnsi="宋体" w:eastAsia="宋体" w:cs="宋体"/>
                <w:b w:val="0"/>
                <w:bCs w:val="0"/>
                <w:color w:val="000000"/>
                <w:sz w:val="21"/>
                <w:szCs w:val="21"/>
                <w:highlight w:val="none"/>
                <w:lang w:val="en-US" w:eastAsia="zh-CN" w:bidi="ar"/>
              </w:rPr>
              <w:br w:type="textWrapping" w:clear="all"/>
            </w:r>
            <w:r>
              <w:rPr>
                <w:rStyle w:val="1007"/>
                <w:rFonts w:hint="eastAsia" w:ascii="宋体" w:hAnsi="宋体" w:eastAsia="宋体" w:cs="宋体"/>
                <w:b w:val="0"/>
                <w:bCs w:val="0"/>
                <w:color w:val="000000"/>
                <w:sz w:val="21"/>
                <w:szCs w:val="21"/>
                <w:highlight w:val="none"/>
                <w:lang w:val="en-US" w:eastAsia="zh-CN" w:bidi="ar"/>
              </w:rPr>
              <w:t xml:space="preserve">注：投标人不按照要求提供视频、未提供视频文件或因投标人自身原因视频文件无法打开或视频画面不清晰无法辨认的不得分。</w:t>
            </w:r>
            <w:r>
              <w:rPr>
                <w:rStyle w:val="1007"/>
                <w:rFonts w:hint="eastAsia" w:ascii="宋体" w:hAnsi="宋体" w:eastAsia="宋体" w:cs="宋体"/>
                <w:b w:val="0"/>
                <w:bCs w:val="0"/>
                <w:color w:val="000000"/>
                <w:sz w:val="21"/>
                <w:szCs w:val="21"/>
                <w:highlight w:val="none"/>
                <w:lang w:val="en-US" w:eastAsia="zh-CN" w:bidi="ar"/>
              </w:rPr>
            </w:r>
            <w:r/>
          </w:p>
        </w:tc>
        <w:tc>
          <w:tcPr>
            <w:tcW w:w="426"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ascii="宋体" w:hAnsi="宋体" w:eastAsia="宋体" w:cs="宋体"/>
                <w:b w:val="0"/>
                <w:bCs w:val="0"/>
                <w:i w:val="0"/>
                <w:iCs w:val="0"/>
                <w:color w:val="000000"/>
                <w:sz w:val="21"/>
                <w:szCs w:val="21"/>
                <w:highlight w:val="none"/>
                <w:u w:val="none"/>
                <w:lang w:val="en-US" w:eastAsia="zh-CN" w:bidi="ar"/>
              </w:rPr>
            </w:r>
            <w:r/>
          </w:p>
        </w:tc>
        <w:tc>
          <w:tcPr>
            <w:tcW w:w="1536"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主观分</w:t>
            </w:r>
            <w:r>
              <w:rPr>
                <w:rFonts w:ascii="宋体" w:hAnsi="宋体" w:eastAsia="宋体" w:cs="宋体"/>
                <w:b w:val="0"/>
                <w:bCs w:val="0"/>
                <w:i w:val="0"/>
                <w:iCs w:val="0"/>
                <w:color w:val="000000"/>
                <w:sz w:val="21"/>
                <w:szCs w:val="21"/>
                <w:highlight w:val="none"/>
                <w:u w:val="none"/>
                <w:lang w:val="en-US" w:eastAsia="zh-CN" w:bidi="ar"/>
              </w:rPr>
            </w:r>
            <w:r/>
          </w:p>
        </w:tc>
      </w:tr>
      <w:tr>
        <w:trPr>
          <w:trHeight w:val="23"/>
        </w:trPr>
        <w:tc>
          <w:tcPr>
            <w:gridSpan w:val="5"/>
            <w:tcW w:w="9785"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3.服务</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3.1</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实施方案</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993"/>
              <w:widowControl/>
              <w:rPr>
                <w:rFonts w:hint="eastAsia" w:ascii="宋体" w:hAnsi="宋体" w:eastAsia="宋体" w:cs="宋体"/>
                <w:sz w:val="21"/>
                <w:szCs w:val="21"/>
                <w:highlight w:val="none"/>
              </w:rPr>
              <w:framePr w:vAnchor="text" w:hAnchor="page" w:x="1088" w:y="128"/>
            </w:pPr>
            <w:r>
              <w:rPr>
                <w:rFonts w:hint="eastAsia" w:ascii="宋体" w:hAnsi="宋体" w:eastAsia="宋体" w:cs="宋体"/>
                <w:sz w:val="21"/>
                <w:szCs w:val="21"/>
                <w:highlight w:val="none"/>
              </w:rPr>
              <w:t xml:space="preserve">根据本项目采购需求及相关要求编制方案，内容包含：1.</w:t>
            </w:r>
            <w:r>
              <w:rPr>
                <w:rFonts w:hint="eastAsia" w:ascii="宋体" w:hAnsi="宋体" w:eastAsia="宋体" w:cs="宋体"/>
                <w:sz w:val="21"/>
                <w:szCs w:val="21"/>
                <w:highlight w:val="none"/>
              </w:rPr>
              <w:t xml:space="preserve">供货进度保证措施；2.质量保证措施；3.协调配合措施；4.项目人员配置。</w:t>
            </w:r>
            <w:r>
              <w:rPr>
                <w:rFonts w:hint="eastAsia" w:ascii="宋体" w:hAnsi="宋体" w:eastAsia="宋体" w:cs="宋体"/>
                <w:sz w:val="21"/>
                <w:szCs w:val="21"/>
                <w:highlight w:val="none"/>
              </w:rPr>
              <w:t xml:space="preserve">以上每项内容逐条阐述。</w:t>
            </w:r>
            <w:r>
              <w:rPr>
                <w:rFonts w:hint="eastAsia" w:ascii="宋体" w:hAnsi="宋体" w:eastAsia="宋体" w:cs="宋体"/>
                <w:sz w:val="21"/>
                <w:szCs w:val="21"/>
                <w:highlight w:val="none"/>
              </w:rPr>
            </w:r>
            <w:r/>
          </w:p>
          <w:p>
            <w:pPr>
              <w:pStyle w:val="872"/>
              <w:ind w:left="0" w:right="0"/>
              <w:jc w:val="both"/>
              <w:keepLines w:val="0"/>
              <w:keepNext w:val="0"/>
              <w:spacing w:before="0" w:beforeAutospacing="0" w:after="0" w:afterAutospacing="0"/>
              <w:widowControl w:val="off"/>
              <w:rPr>
                <w:rFonts w:ascii="Times New Roman" w:hAnsi="Times New Roman" w:eastAsia="宋体" w:cs="Times New Roman"/>
                <w:sz w:val="21"/>
                <w:szCs w:val="21"/>
                <w:highlight w:val="none"/>
              </w:rPr>
              <w:framePr w:vAnchor="text" w:hAnchor="page" w:x="1088" w:y="128"/>
              <w:suppressLineNumbers w:val="0"/>
            </w:pPr>
            <w:r>
              <w:rPr>
                <w:rFonts w:hint="eastAsia" w:ascii="宋体" w:hAnsi="宋体" w:eastAsia="宋体" w:cs="宋体"/>
                <w:sz w:val="21"/>
                <w:szCs w:val="21"/>
                <w:highlight w:val="none"/>
                <w:lang w:val="en-US" w:eastAsia="zh-CN" w:bidi="ar"/>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sz w:val="21"/>
                <w:szCs w:val="21"/>
                <w:highlight w:val="none"/>
              </w:rPr>
            </w:r>
            <w:r/>
          </w:p>
          <w:p>
            <w:pPr>
              <w:pStyle w:val="872"/>
              <w:ind w:left="0" w:right="0"/>
              <w:jc w:val="both"/>
              <w:keepLines w:val="0"/>
              <w:keepNext w:val="0"/>
              <w:spacing w:before="0" w:beforeAutospacing="0" w:after="0" w:afterAutospacing="0"/>
              <w:widowControl w:val="off"/>
              <w:rPr>
                <w:rFonts w:hint="eastAsia" w:ascii="宋体" w:hAnsi="宋体" w:eastAsia="宋体" w:cs="宋体"/>
                <w:sz w:val="21"/>
                <w:szCs w:val="21"/>
                <w:highlight w:val="none"/>
                <w:lang w:val="en-US" w:eastAsia="zh-CN" w:bidi="ar-SA"/>
              </w:rPr>
              <w:framePr w:vAnchor="text" w:hAnchor="page" w:x="1088" w:y="128"/>
              <w:suppressLineNumbers w:val="0"/>
            </w:pPr>
            <w:r>
              <w:rPr>
                <w:rFonts w:hint="eastAsia" w:ascii="宋体" w:hAnsi="宋体" w:eastAsia="宋体" w:cs="宋体"/>
                <w:sz w:val="21"/>
                <w:szCs w:val="21"/>
                <w:highlight w:val="none"/>
                <w:lang w:val="en-US" w:eastAsia="zh-CN" w:bidi="ar"/>
              </w:rPr>
              <w:t xml:space="preserve">上述每项内容符合得</w:t>
            </w:r>
            <w:r>
              <w:rPr>
                <w:rFonts w:ascii="Times New Roman" w:hAnsi="Times New Roman" w:eastAsia="宋体" w:cs="Times New Roman"/>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分；部分符合得</w:t>
            </w:r>
            <w:r>
              <w:rPr>
                <w:rFonts w:ascii="Times New Roman" w:hAnsi="Times New Roman" w:eastAsia="宋体" w:cs="Times New Roman"/>
                <w:sz w:val="21"/>
                <w:szCs w:val="21"/>
                <w:highlight w:val="none"/>
                <w:lang w:val="en-US" w:eastAsia="zh-CN" w:bidi="ar"/>
              </w:rPr>
              <w:t xml:space="preserve">0.5</w:t>
            </w:r>
            <w:r>
              <w:rPr>
                <w:rFonts w:hint="eastAsia" w:ascii="宋体" w:hAnsi="宋体" w:eastAsia="宋体" w:cs="宋体"/>
                <w:sz w:val="21"/>
                <w:szCs w:val="21"/>
                <w:highlight w:val="none"/>
                <w:lang w:val="en-US" w:eastAsia="zh-CN" w:bidi="ar"/>
              </w:rPr>
              <w:t xml:space="preserve">分；不符合或不提供不得分。</w:t>
            </w:r>
            <w:r>
              <w:rPr>
                <w:rFonts w:hint="eastAsia" w:ascii="宋体" w:hAnsi="宋体" w:eastAsia="宋体" w:cs="宋体"/>
                <w:sz w:val="21"/>
                <w:szCs w:val="21"/>
                <w:highlight w:val="none"/>
                <w:lang w:val="en-US" w:eastAsia="zh-CN" w:bidi="ar-SA"/>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主观分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3.2</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售后服务方案</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ind w:left="0" w:right="0"/>
              <w:jc w:val="left"/>
              <w:keepLines w:val="0"/>
              <w:keepNext w:val="0"/>
              <w:spacing w:before="0" w:beforeAutospacing="0" w:after="0" w:afterAutospacing="0" w:line="264" w:lineRule="auto"/>
              <w:widowControl/>
              <w:rPr>
                <w:rFonts w:ascii="Times New Roman" w:hAnsi="Times New Roman" w:eastAsia="宋体" w:cs="Times New Roman"/>
                <w:color w:val="000000"/>
                <w:sz w:val="21"/>
                <w:szCs w:val="21"/>
                <w:highlight w:val="none"/>
              </w:rPr>
              <w:framePr w:vAnchor="text" w:hAnchor="page" w:x="1088" w:y="128"/>
              <w:suppressLineNumbers w:val="0"/>
            </w:pPr>
            <w:r>
              <w:rPr>
                <w:rFonts w:hint="eastAsia" w:ascii="宋体" w:hAnsi="宋体" w:eastAsia="宋体" w:cs="宋体"/>
                <w:color w:val="000000"/>
                <w:sz w:val="21"/>
                <w:szCs w:val="21"/>
                <w:highlight w:val="none"/>
                <w:lang w:val="en-US" w:eastAsia="zh-CN" w:bidi="ar"/>
              </w:rPr>
              <w:t xml:space="preserve">根据本项目采购需求及相关要求编制方案，内容包括：</w:t>
            </w:r>
            <w:r>
              <w:rPr>
                <w:rFonts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售后服务内容；</w:t>
            </w:r>
            <w:r>
              <w:rPr>
                <w:rFonts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售后服务流程；</w:t>
            </w:r>
            <w:r>
              <w:rPr>
                <w:rFonts w:ascii="Times New Roman" w:hAnsi="Times New Roman" w:eastAsia="宋体" w:cs="Times New Roman"/>
                <w:color w:val="000000"/>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故障解决方案；4.</w:t>
            </w:r>
            <w:r>
              <w:rPr>
                <w:rFonts w:hint="eastAsia" w:ascii="宋体" w:hAnsi="宋体" w:eastAsia="宋体" w:cs="宋体"/>
                <w:color w:val="000000"/>
                <w:sz w:val="21"/>
                <w:szCs w:val="21"/>
                <w:highlight w:val="none"/>
                <w:lang w:val="en-US" w:eastAsia="zh-CN" w:bidi="ar"/>
              </w:rPr>
              <w:t xml:space="preserve">服务保障体系；</w:t>
            </w:r>
            <w:r>
              <w:rPr>
                <w:rFonts w:ascii="Times New Roman" w:hAnsi="Times New Roman" w:eastAsia="宋体" w:cs="Times New Roman"/>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应急处置措施。以上每项内容逐条阐述。</w:t>
            </w:r>
            <w:r>
              <w:rPr>
                <w:rFonts w:ascii="Times New Roman" w:hAnsi="Times New Roman" w:eastAsia="宋体" w:cs="Times New Roman"/>
                <w:color w:val="000000"/>
                <w:sz w:val="21"/>
                <w:szCs w:val="21"/>
                <w:highlight w:val="none"/>
              </w:rPr>
            </w:r>
            <w:r/>
          </w:p>
          <w:p>
            <w:pPr>
              <w:pStyle w:val="872"/>
              <w:ind w:left="0" w:right="0"/>
              <w:jc w:val="both"/>
              <w:keepLines w:val="0"/>
              <w:keepNext w:val="0"/>
              <w:spacing w:before="0" w:beforeAutospacing="0" w:after="0" w:afterAutospacing="0"/>
              <w:widowControl w:val="off"/>
              <w:rPr>
                <w:rFonts w:ascii="Times New Roman" w:hAnsi="Times New Roman" w:eastAsia="宋体" w:cs="Times New Roman"/>
                <w:color w:val="000000"/>
                <w:sz w:val="21"/>
                <w:szCs w:val="21"/>
                <w:highlight w:val="none"/>
              </w:rPr>
              <w:framePr w:vAnchor="text" w:hAnchor="page" w:x="1088" w:y="128"/>
              <w:suppressLineNumbers w:val="0"/>
            </w:pPr>
            <w:r>
              <w:rPr>
                <w:rFonts w:hint="eastAsia" w:ascii="宋体" w:hAnsi="宋体" w:eastAsia="宋体" w:cs="宋体"/>
                <w:color w:val="000000"/>
                <w:sz w:val="21"/>
                <w:szCs w:val="21"/>
                <w:highlight w:val="none"/>
                <w:lang w:val="en-US" w:eastAsia="zh-CN" w:bidi="ar"/>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rPr>
            </w:r>
            <w:r/>
          </w:p>
          <w:p>
            <w:pPr>
              <w:pStyle w:val="872"/>
              <w:ind w:left="0" w:right="0"/>
              <w:jc w:val="both"/>
              <w:keepLines w:val="0"/>
              <w:keepNext w:val="0"/>
              <w:spacing w:before="0" w:beforeAutospacing="0" w:after="0" w:afterAutospacing="0"/>
              <w:widowControl w:val="off"/>
              <w:rPr>
                <w:rFonts w:hint="eastAsia" w:ascii="Calibri" w:hAnsi="Calibri" w:cs="宋体"/>
                <w:color w:val="000000"/>
                <w:sz w:val="20"/>
                <w:szCs w:val="20"/>
                <w:highlight w:val="none"/>
                <w:lang w:val="en-US" w:eastAsia="zh-CN" w:bidi="ar-SA"/>
              </w:rPr>
              <w:framePr w:vAnchor="text" w:hAnchor="page" w:x="1088" w:y="128"/>
              <w:suppressLineNumbers w:val="0"/>
            </w:pPr>
            <w:r>
              <w:rPr>
                <w:rFonts w:hint="eastAsia" w:ascii="宋体" w:hAnsi="宋体" w:eastAsia="宋体" w:cs="宋体"/>
                <w:color w:val="000000"/>
                <w:sz w:val="21"/>
                <w:szCs w:val="21"/>
                <w:highlight w:val="none"/>
                <w:lang w:val="en-US" w:eastAsia="zh-CN" w:bidi="ar"/>
              </w:rPr>
              <w:t xml:space="preserve">上述每项内容符合得</w:t>
            </w:r>
            <w:r>
              <w:rPr>
                <w:rFonts w:ascii="Times New Roman" w:hAnsi="Times New Roman" w:eastAsia="宋体" w:cs="Times New Roman"/>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分；部分符合得</w:t>
            </w:r>
            <w:r>
              <w:rPr>
                <w:rFonts w:ascii="Times New Roman" w:hAnsi="Times New Roman"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分；不符合或不提供不得分。</w:t>
            </w:r>
            <w:r>
              <w:rPr>
                <w:rFonts w:hint="eastAsia" w:ascii="Calibri" w:hAnsi="Calibri" w:cs="宋体"/>
                <w:color w:val="000000"/>
                <w:sz w:val="20"/>
                <w:szCs w:val="20"/>
                <w:highlight w:val="none"/>
                <w:lang w:val="en-US" w:eastAsia="zh-CN" w:bidi="ar-SA"/>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主观分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3.3</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质保承诺</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投标人承诺本项目在质保服务五年的基础上，每增加一年质保得1分，最高得3分，质保费用包含在投标总价中（提供承诺函，格式自拟）。</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w:t>
            </w:r>
            <w:r>
              <w:rPr>
                <w:rFonts w:hint="eastAsia" w:ascii="宋体" w:hAnsi="宋体" w:eastAsia="宋体" w:cs="宋体"/>
                <w:b w:val="0"/>
                <w:bCs w:val="0"/>
                <w:i w:val="0"/>
                <w:iCs w:val="0"/>
                <w:color w:val="000000"/>
                <w:sz w:val="21"/>
                <w:szCs w:val="21"/>
                <w:highlight w:val="none"/>
                <w:u w:val="none"/>
                <w:lang w:val="en-US" w:eastAsia="zh-CN" w:bidi="ar"/>
              </w:rPr>
              <w:t xml:space="preserve">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3.4</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本地化服务</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jc w:val="left"/>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投标人具有本地化服务能力，得1分（提供承诺函或其他证明材料，承诺函格式自拟）。</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rPr>
            </w:r>
            <w:r/>
          </w:p>
        </w:tc>
      </w:tr>
      <w:tr>
        <w:trPr>
          <w:trHeight w:val="23"/>
        </w:trPr>
        <w:tc>
          <w:tcPr>
            <w:gridSpan w:val="5"/>
            <w:tcW w:w="9785"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4.业绩</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4.1</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投标人业绩</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sz w:val="21"/>
                <w:szCs w:val="21"/>
                <w:highlight w:val="none"/>
                <w:lang w:val="en-US" w:eastAsia="zh-CN" w:bidi="ar"/>
              </w:rPr>
              <w:t xml:space="preserve">投标人提供2023年1月1日（含）以来类似项目业绩或产品业绩（至少含多媒体系统和功能室建设，内容缺项不得分）</w:t>
            </w:r>
            <w:r>
              <w:rPr>
                <w:rFonts w:hint="eastAsia" w:ascii="宋体" w:hAnsi="宋体" w:eastAsia="宋体" w:cs="宋体"/>
                <w:b w:val="0"/>
                <w:bCs w:val="0"/>
                <w:i w:val="0"/>
                <w:iCs w:val="0"/>
                <w:color w:val="000000"/>
                <w:sz w:val="21"/>
                <w:szCs w:val="21"/>
                <w:highlight w:val="none"/>
                <w:u w:val="none"/>
                <w:lang w:val="en-US" w:eastAsia="zh-CN" w:bidi="ar"/>
              </w:rPr>
              <w:t xml:space="preserve">，每提供1个得1分，最多得3分，未提供不得分（时间以合同签订时间为准，提供有效合同，合同页须清晰可见相应内容）。</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rPr>
            </w:r>
            <w:r/>
          </w:p>
        </w:tc>
      </w:tr>
      <w:tr>
        <w:trPr>
          <w:trHeight w:val="23"/>
        </w:trPr>
        <w:tc>
          <w:tcPr>
            <w:gridSpan w:val="5"/>
            <w:tcW w:w="9785" w:type="dxa"/>
            <w:vAlign w:val="top"/>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5.履约能力</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5.1</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履约能力1</w:t>
            </w:r>
            <w:r>
              <w:rPr>
                <w:rFonts w:ascii="宋体" w:hAnsi="宋体" w:eastAsia="宋体" w:cs="宋体"/>
                <w:b w:val="0"/>
                <w:bCs w:val="0"/>
                <w:i w:val="0"/>
                <w:iCs w:val="0"/>
                <w:color w:val="000000"/>
                <w:sz w:val="21"/>
                <w:szCs w:val="21"/>
                <w:highlight w:val="none"/>
                <w:u w:val="none"/>
                <w:lang w:val="en-US"/>
              </w:rPr>
            </w:r>
            <w:r/>
          </w:p>
        </w:tc>
        <w:tc>
          <w:tcPr>
            <w:tcW w:w="6144" w:type="dxa"/>
            <w:vAlign w:val="top"/>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投标人或所投核心产品或主要产品制造商具有有效期内的“</w:t>
            </w:r>
            <w:r>
              <w:rPr>
                <w:rFonts w:hint="eastAsia" w:ascii="宋体" w:hAnsi="宋体" w:eastAsia="宋体" w:cs="宋体"/>
                <w:color w:val="000000"/>
                <w:sz w:val="21"/>
                <w:szCs w:val="21"/>
                <w:highlight w:val="none"/>
                <w:lang w:val="en-US" w:eastAsia="zh-CN"/>
              </w:rPr>
              <w:t xml:space="preserve">知识产权管理体系认证证书</w:t>
            </w:r>
            <w:r>
              <w:rPr>
                <w:rStyle w:val="1003"/>
                <w:rFonts w:hint="eastAsia" w:ascii="宋体" w:hAnsi="宋体" w:eastAsia="宋体" w:cs="宋体"/>
                <w:b w:val="0"/>
                <w:bCs w:val="0"/>
                <w:color w:val="000000"/>
                <w:sz w:val="21"/>
                <w:szCs w:val="21"/>
                <w:highlight w:val="none"/>
                <w:lang w:val="en-US" w:eastAsia="zh-CN" w:bidi="ar"/>
              </w:rPr>
              <w:t xml:space="preserve">”</w:t>
            </w:r>
            <w:r>
              <w:rPr>
                <w:rStyle w:val="1007"/>
                <w:rFonts w:hint="eastAsia" w:ascii="宋体" w:hAnsi="宋体" w:eastAsia="宋体" w:cs="宋体"/>
                <w:b w:val="0"/>
                <w:bCs w:val="0"/>
                <w:color w:val="000000"/>
                <w:sz w:val="21"/>
                <w:szCs w:val="21"/>
                <w:highlight w:val="none"/>
                <w:lang w:val="en-US" w:eastAsia="zh-CN" w:bidi="ar"/>
              </w:rPr>
              <w:t xml:space="preserve">，提供得1分，</w:t>
            </w:r>
            <w:r>
              <w:rPr>
                <w:rFonts w:hint="eastAsia" w:ascii="宋体" w:hAnsi="宋体" w:eastAsia="宋体" w:cs="宋体"/>
                <w:sz w:val="21"/>
                <w:szCs w:val="21"/>
                <w:highlight w:val="none"/>
                <w:lang w:val="en-US" w:eastAsia="zh-CN" w:bidi="ar"/>
              </w:rPr>
              <w:t xml:space="preserve">未提供的不得分</w:t>
            </w:r>
            <w:r>
              <w:rPr>
                <w:rStyle w:val="1007"/>
                <w:rFonts w:hint="eastAsia" w:ascii="宋体" w:hAnsi="宋体" w:eastAsia="宋体" w:cs="宋体"/>
                <w:b w:val="0"/>
                <w:bCs w:val="0"/>
                <w:color w:val="000000"/>
                <w:sz w:val="21"/>
                <w:szCs w:val="21"/>
                <w:highlight w:val="none"/>
                <w:lang w:val="en-US" w:eastAsia="zh-CN" w:bidi="ar"/>
              </w:rPr>
              <w:t xml:space="preserve">。(提供有效证书)</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5.2</w:t>
            </w:r>
            <w:r>
              <w:rPr>
                <w:rFonts w:ascii="宋体" w:hAnsi="宋体" w:eastAsia="宋体" w:cs="宋体"/>
                <w:b w:val="0"/>
                <w:bCs w:val="0"/>
                <w:i w:val="0"/>
                <w:iCs w:val="0"/>
                <w:color w:val="000000"/>
                <w:sz w:val="21"/>
                <w:szCs w:val="21"/>
                <w:highlight w:val="none"/>
                <w:u w:val="none"/>
                <w:lang w:val="en-US" w:eastAsia="zh-CN" w:bidi="ar"/>
              </w:rPr>
            </w:r>
            <w:r/>
          </w:p>
        </w:tc>
        <w:tc>
          <w:tcPr>
            <w:tcW w:w="1148" w:type="dxa"/>
            <w:vAlign w:val="center"/>
            <w:textDirection w:val="lrTb"/>
            <w:noWrap w:val="false"/>
          </w:tcPr>
          <w:p>
            <w:pPr>
              <w:pStyle w:val="872"/>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履约能力2</w:t>
            </w:r>
            <w:r>
              <w:rPr>
                <w:rFonts w:ascii="宋体" w:hAnsi="宋体" w:eastAsia="宋体" w:cs="宋体"/>
                <w:b w:val="0"/>
                <w:bCs w:val="0"/>
                <w:i w:val="0"/>
                <w:iCs w:val="0"/>
                <w:color w:val="000000"/>
                <w:sz w:val="21"/>
                <w:szCs w:val="21"/>
                <w:highlight w:val="none"/>
                <w:u w:val="none"/>
                <w:lang w:val="en-US" w:eastAsia="zh-CN" w:bidi="ar"/>
              </w:rPr>
            </w:r>
            <w:r/>
          </w:p>
        </w:tc>
        <w:tc>
          <w:tcPr>
            <w:tcW w:w="6144" w:type="dxa"/>
            <w:vAlign w:val="top"/>
            <w:textDirection w:val="lrTb"/>
            <w:noWrap w:val="false"/>
          </w:tcPr>
          <w:p>
            <w:pPr>
              <w:pStyle w:val="872"/>
              <w:jc w:val="both"/>
              <w:keepLines w:val="0"/>
              <w:keepNext w:val="0"/>
              <w:widowControl/>
              <w:rPr>
                <w:rFonts w:hint="eastAsia" w:ascii="宋体" w:hAnsi="宋体" w:eastAsia="宋体" w:cs="宋体"/>
                <w:b w:val="0"/>
                <w:bCs w:val="0"/>
                <w:color w:val="000000"/>
                <w:sz w:val="21"/>
                <w:szCs w:val="21"/>
                <w:highlight w:val="none"/>
                <w:u w:val="none"/>
                <w:lang w:val="en-US" w:eastAsia="zh-CN" w:bidi="ar"/>
              </w:rPr>
              <w:framePr w:vAnchor="text" w:hAnchor="page" w:x="1088" w:y="128"/>
              <w:suppressLineNumbers w:val="0"/>
            </w:pPr>
            <w:r/>
            <w:bookmarkStart w:id="200" w:name="OLE_LINK4"/>
            <w:r>
              <w:rPr>
                <w:rStyle w:val="1007"/>
                <w:rFonts w:hint="eastAsia" w:ascii="宋体" w:hAnsi="宋体" w:eastAsia="宋体" w:cs="宋体"/>
                <w:b w:val="0"/>
                <w:bCs w:val="0"/>
                <w:color w:val="000000"/>
                <w:sz w:val="21"/>
                <w:szCs w:val="21"/>
                <w:highlight w:val="none"/>
                <w:lang w:val="en-US" w:eastAsia="zh-CN" w:bidi="ar"/>
              </w:rPr>
              <w:t xml:space="preserve">所投</w:t>
            </w:r>
            <w:r>
              <w:rPr>
                <w:rFonts w:hint="eastAsia" w:ascii="宋体" w:hAnsi="宋体" w:eastAsia="宋体" w:cs="宋体"/>
                <w:color w:val="000000"/>
                <w:sz w:val="21"/>
                <w:szCs w:val="21"/>
                <w:highlight w:val="none"/>
                <w:lang w:val="en-US" w:eastAsia="zh-CN"/>
              </w:rPr>
              <w:t xml:space="preserve">LED显示屏制造商入围有效期内的绿色制造公示名单--绿色工厂</w:t>
            </w:r>
            <w:bookmarkEnd w:id="200"/>
            <w:r>
              <w:rPr>
                <w:rStyle w:val="1003"/>
                <w:rFonts w:hint="eastAsia" w:ascii="宋体" w:hAnsi="宋体" w:eastAsia="宋体" w:cs="宋体"/>
                <w:b w:val="0"/>
                <w:bCs w:val="0"/>
                <w:color w:val="000000"/>
                <w:sz w:val="21"/>
                <w:szCs w:val="21"/>
                <w:highlight w:val="none"/>
                <w:lang w:val="en-US" w:eastAsia="zh-CN" w:bidi="ar"/>
              </w:rPr>
              <w:t xml:space="preserve">的得1分，</w:t>
            </w:r>
            <w:r>
              <w:rPr>
                <w:rFonts w:hint="eastAsia" w:ascii="宋体" w:hAnsi="宋体" w:eastAsia="宋体" w:cs="宋体"/>
                <w:sz w:val="21"/>
                <w:szCs w:val="21"/>
                <w:highlight w:val="none"/>
                <w:lang w:val="en-US" w:eastAsia="zh-CN" w:bidi="ar"/>
              </w:rPr>
              <w:t xml:space="preserve">未提供的不得分（提供</w:t>
            </w:r>
            <w:r>
              <w:rPr>
                <w:rFonts w:hint="eastAsia" w:ascii="宋体" w:hAnsi="宋体" w:eastAsia="宋体" w:cs="宋体"/>
                <w:color w:val="000000"/>
                <w:sz w:val="21"/>
                <w:szCs w:val="21"/>
                <w:highlight w:val="none"/>
                <w:lang w:val="en-US" w:eastAsia="zh-CN"/>
              </w:rPr>
              <w:t xml:space="preserve">入围名单或相关证明材料）</w:t>
            </w:r>
            <w:r>
              <w:rPr>
                <w:rStyle w:val="1003"/>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u w:val="none"/>
                <w:lang w:val="en-US" w:eastAsia="zh-CN" w:bidi="ar"/>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SA"/>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lang w:val="en-US" w:eastAsia="zh-CN" w:bidi="ar-SA"/>
              </w:rPr>
            </w:r>
            <w:r/>
          </w:p>
        </w:tc>
      </w:tr>
      <w:tr>
        <w:trPr>
          <w:trHeight w:val="23"/>
        </w:trPr>
        <w:tc>
          <w:tcPr>
            <w:gridSpan w:val="5"/>
            <w:tcW w:w="9785"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6.节能环保</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6.1</w:t>
            </w:r>
            <w:r>
              <w:rPr>
                <w:rFonts w:hint="eastAsia" w:ascii="宋体" w:hAnsi="宋体" w:eastAsia="宋体" w:cs="宋体"/>
                <w:b w:val="0"/>
                <w:bCs w:val="0"/>
                <w:i w:val="0"/>
                <w:iCs w:val="0"/>
                <w:color w:val="000000"/>
                <w:sz w:val="21"/>
                <w:szCs w:val="21"/>
                <w:highlight w:val="none"/>
                <w:u w:val="none"/>
              </w:rPr>
            </w:r>
            <w:r/>
          </w:p>
        </w:tc>
        <w:tc>
          <w:tcPr>
            <w:tcW w:w="1148"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节能环保</w:t>
            </w:r>
            <w:r>
              <w:rPr>
                <w:rFonts w:hint="eastAsia" w:ascii="宋体" w:hAnsi="宋体" w:eastAsia="宋体" w:cs="宋体"/>
                <w:b w:val="0"/>
                <w:bCs w:val="0"/>
                <w:i w:val="0"/>
                <w:iCs w:val="0"/>
                <w:color w:val="000000"/>
                <w:sz w:val="21"/>
                <w:szCs w:val="21"/>
                <w:highlight w:val="none"/>
                <w:u w:val="none"/>
              </w:rPr>
            </w:r>
            <w:r/>
          </w:p>
        </w:tc>
        <w:tc>
          <w:tcPr>
            <w:tcW w:w="6144" w:type="dxa"/>
            <w:vAlign w:val="center"/>
            <w:textDirection w:val="lrTb"/>
            <w:noWrap w:val="false"/>
          </w:tcPr>
          <w:p>
            <w:pPr>
              <w:pStyle w:val="872"/>
              <w:jc w:val="both"/>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1.投标产品属于财政部、国家发改委公布的“节能产品品目清单”范围内的，投标人提供国家认证机构出具并处于有效期内的节能产品认证证书，有1个得1分，最多得2分。</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2.投标产品属于财政部、生态环境部公布的“环境标志产品品目清单”范围内的，投标人提供国家认证机构出具并处于有效期内的环保产品认证证书的，有1个得1分，最多得2分。</w:t>
            </w:r>
            <w:r>
              <w:rPr>
                <w:rFonts w:hint="eastAsia" w:ascii="宋体" w:hAnsi="宋体" w:eastAsia="宋体" w:cs="宋体"/>
                <w:b w:val="0"/>
                <w:bCs w:val="0"/>
                <w:i w:val="0"/>
                <w:iCs w:val="0"/>
                <w:color w:val="000000"/>
                <w:sz w:val="21"/>
                <w:szCs w:val="21"/>
                <w:highlight w:val="none"/>
                <w:u w:val="none"/>
              </w:rPr>
            </w:r>
            <w:r/>
          </w:p>
        </w:tc>
        <w:tc>
          <w:tcPr>
            <w:tcW w:w="42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rPr>
            </w:r>
            <w:r/>
          </w:p>
        </w:tc>
        <w:tc>
          <w:tcPr>
            <w:tcW w:w="1536"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客观分</w:t>
            </w:r>
            <w:r>
              <w:rPr>
                <w:rFonts w:hint="eastAsia" w:ascii="宋体" w:hAnsi="宋体" w:eastAsia="宋体" w:cs="宋体"/>
                <w:b w:val="0"/>
                <w:bCs w:val="0"/>
                <w:i w:val="0"/>
                <w:iCs w:val="0"/>
                <w:color w:val="000000"/>
                <w:sz w:val="21"/>
                <w:szCs w:val="21"/>
                <w:highlight w:val="none"/>
                <w:u w:val="none"/>
              </w:rPr>
            </w:r>
            <w:r/>
          </w:p>
        </w:tc>
      </w:tr>
      <w:tr>
        <w:trPr>
          <w:trHeight w:val="23"/>
        </w:trPr>
        <w:tc>
          <w:tcPr>
            <w:tcW w:w="531"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合计</w:t>
            </w:r>
            <w:r>
              <w:rPr>
                <w:rFonts w:hint="eastAsia" w:ascii="宋体" w:hAnsi="宋体" w:eastAsia="宋体" w:cs="宋体"/>
                <w:b w:val="0"/>
                <w:bCs w:val="0"/>
                <w:i w:val="0"/>
                <w:iCs w:val="0"/>
                <w:color w:val="000000"/>
                <w:sz w:val="21"/>
                <w:szCs w:val="21"/>
                <w:highlight w:val="none"/>
                <w:u w:val="none"/>
              </w:rPr>
            </w:r>
            <w:r/>
          </w:p>
        </w:tc>
        <w:tc>
          <w:tcPr>
            <w:gridSpan w:val="2"/>
            <w:tcW w:w="7292" w:type="dxa"/>
            <w:vAlign w:val="center"/>
            <w:textDirection w:val="lrTb"/>
            <w:noWrap w:val="false"/>
          </w:tcPr>
          <w:p>
            <w:pPr>
              <w:pStyle w:val="872"/>
              <w:jc w:val="center"/>
              <w:rPr>
                <w:rFonts w:hint="eastAsia" w:ascii="宋体" w:hAnsi="宋体" w:eastAsia="宋体" w:cs="宋体"/>
                <w:b w:val="0"/>
                <w:bCs w:val="0"/>
                <w:i w:val="0"/>
                <w:iCs w:val="0"/>
                <w:color w:val="000000"/>
                <w:sz w:val="21"/>
                <w:szCs w:val="21"/>
                <w:highlight w:val="none"/>
                <w:u w:val="none"/>
              </w:rPr>
              <w:framePr w:vAnchor="text" w:hAnchor="page" w:x="1088" w:y="128"/>
            </w:pPr>
            <w:r>
              <w:rPr>
                <w:rFonts w:hint="eastAsia" w:ascii="宋体" w:hAnsi="宋体" w:eastAsia="宋体" w:cs="宋体"/>
                <w:b w:val="0"/>
                <w:bCs w:val="0"/>
                <w:i w:val="0"/>
                <w:iCs w:val="0"/>
                <w:color w:val="000000"/>
                <w:sz w:val="21"/>
                <w:szCs w:val="21"/>
                <w:highlight w:val="none"/>
                <w:u w:val="none"/>
              </w:rPr>
            </w:r>
            <w:r/>
          </w:p>
        </w:tc>
        <w:tc>
          <w:tcPr>
            <w:gridSpan w:val="2"/>
            <w:tcW w:w="1962" w:type="dxa"/>
            <w:vAlign w:val="center"/>
            <w:textDirection w:val="lrTb"/>
            <w:noWrap w:val="false"/>
          </w:tcPr>
          <w:p>
            <w:pPr>
              <w:pStyle w:val="872"/>
              <w:jc w:val="center"/>
              <w:keepLines w:val="0"/>
              <w:keepNext w:val="0"/>
              <w:widowControl/>
              <w:rPr>
                <w:rFonts w:hint="eastAsia" w:ascii="宋体" w:hAnsi="宋体" w:eastAsia="宋体" w:cs="宋体"/>
                <w:b w:val="0"/>
                <w:bCs w:val="0"/>
                <w:i w:val="0"/>
                <w:iCs w:val="0"/>
                <w:color w:val="000000"/>
                <w:sz w:val="21"/>
                <w:szCs w:val="21"/>
                <w:highlight w:val="none"/>
                <w:u w:val="none"/>
              </w:rPr>
              <w:framePr w:vAnchor="text" w:hAnchor="page" w:x="1088" w:y="128"/>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w:t>
            </w:r>
            <w:r>
              <w:rPr>
                <w:rFonts w:hint="eastAsia" w:ascii="宋体" w:hAnsi="宋体" w:eastAsia="宋体" w:cs="宋体"/>
                <w:b w:val="0"/>
                <w:bCs w:val="0"/>
                <w:i w:val="0"/>
                <w:iCs w:val="0"/>
                <w:color w:val="000000"/>
                <w:sz w:val="21"/>
                <w:szCs w:val="21"/>
                <w:highlight w:val="none"/>
                <w:u w:val="none"/>
              </w:rPr>
            </w:r>
            <w:r/>
          </w:p>
        </w:tc>
      </w:tr>
    </w:tbl>
    <w:p>
      <w:pPr>
        <w:pStyle w:val="87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2"/>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2"/>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42"/>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2"/>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2"/>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2"/>
        <w:rPr>
          <w:rFonts w:hint="eastAsia"/>
          <w:lang w:val="en-US" w:eastAsia="zh-CN"/>
        </w:rPr>
      </w:pPr>
      <w:r>
        <w:rPr>
          <w:rFonts w:hint="eastAsia"/>
          <w:lang w:val="en-US" w:eastAsia="zh-CN"/>
        </w:rPr>
      </w:r>
      <w:r/>
    </w:p>
    <w:p>
      <w:pPr>
        <w:pStyle w:val="942"/>
        <w:rPr>
          <w:rFonts w:hint="eastAsia"/>
          <w:lang w:val="en-US" w:eastAsia="zh-CN"/>
        </w:rPr>
      </w:pPr>
      <w:r>
        <w:rPr>
          <w:rFonts w:hint="eastAsia"/>
          <w:lang w:val="en-US" w:eastAsia="zh-CN"/>
        </w:rPr>
      </w:r>
      <w:r/>
    </w:p>
    <w:p>
      <w:pPr>
        <w:pStyle w:val="872"/>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2"/>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End w:id="187"/>
      <w:r/>
      <w:bookmarkEnd w:id="192"/>
      <w:r/>
      <w:bookmarkEnd w:id="194"/>
      <w:r/>
      <w:bookmarkEnd w:id="195"/>
      <w:r/>
      <w:bookmarkEnd w:id="198"/>
      <w:r>
        <w:rPr>
          <w:rFonts w:hint="eastAsia" w:ascii="方正小标宋简体" w:hAnsi="方正小标宋简体" w:eastAsia="方正小标宋简体" w:cs="方正小标宋简体"/>
          <w:color w:val="000000"/>
          <w:sz w:val="36"/>
          <w:szCs w:val="36"/>
        </w:rPr>
        <w:t xml:space="preserve">第六章  投标文件格式 </w:t>
      </w:r>
      <w:r>
        <w:rPr>
          <w:rFonts w:hint="eastAsia" w:ascii="方正小标宋简体" w:hAnsi="方正小标宋简体" w:eastAsia="方正小标宋简体" w:cs="方正小标宋简体"/>
          <w:color w:val="000000"/>
          <w:sz w:val="36"/>
          <w:szCs w:val="36"/>
        </w:rPr>
      </w:r>
      <w:r/>
    </w:p>
    <w:p>
      <w:pPr>
        <w:pStyle w:val="872"/>
        <w:jc w:val="center"/>
        <w:rPr>
          <w:rFonts w:hint="eastAsia" w:ascii="宋体" w:hAnsi="宋体"/>
          <w:b/>
          <w:color w:val="000000"/>
          <w:sz w:val="72"/>
          <w:szCs w:val="21"/>
        </w:rPr>
      </w:pPr>
      <w:r/>
      <w:bookmarkStart w:id="201" w:name="_Hlt26671244"/>
      <w:r/>
      <w:bookmarkEnd w:id="201"/>
      <w:r/>
      <w:bookmarkStart w:id="202" w:name="_Hlt26955039"/>
      <w:r/>
      <w:bookmarkEnd w:id="202"/>
      <w:r/>
      <w:bookmarkStart w:id="203" w:name="_Toc120614282"/>
      <w:r/>
      <w:bookmarkStart w:id="204" w:name="_Toc26554094"/>
      <w:r/>
      <w:bookmarkStart w:id="205" w:name="_Toc49090576"/>
      <w:r>
        <w:rPr>
          <w:rFonts w:hint="eastAsia" w:ascii="宋体" w:hAnsi="宋体"/>
          <w:b/>
          <w:color w:val="000000"/>
          <w:sz w:val="72"/>
          <w:szCs w:val="21"/>
        </w:rPr>
      </w:r>
      <w:r/>
    </w:p>
    <w:p>
      <w:pPr>
        <w:pStyle w:val="87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2"/>
        <w:jc w:val="center"/>
        <w:rPr>
          <w:rFonts w:hint="eastAsia" w:ascii="宋体" w:hAnsi="宋体"/>
          <w:b/>
          <w:color w:val="000000"/>
          <w:sz w:val="72"/>
          <w:szCs w:val="21"/>
        </w:rPr>
      </w:pPr>
      <w:r>
        <w:rPr>
          <w:rFonts w:hint="eastAsia" w:ascii="宋体" w:hAnsi="宋体"/>
          <w:b/>
          <w:color w:val="000000"/>
          <w:sz w:val="72"/>
          <w:szCs w:val="21"/>
        </w:rPr>
      </w:r>
      <w:r/>
    </w:p>
    <w:p>
      <w:pPr>
        <w:pStyle w:val="872"/>
        <w:jc w:val="center"/>
        <w:rPr>
          <w:rFonts w:hint="eastAsia" w:ascii="宋体" w:hAnsi="宋体"/>
          <w:b/>
          <w:color w:val="000000"/>
          <w:sz w:val="72"/>
          <w:szCs w:val="21"/>
        </w:rPr>
      </w:pPr>
      <w:r>
        <w:rPr>
          <w:rFonts w:hint="eastAsia" w:ascii="宋体" w:hAnsi="宋体"/>
          <w:b/>
          <w:color w:val="000000"/>
          <w:sz w:val="72"/>
          <w:szCs w:val="21"/>
        </w:rPr>
      </w:r>
      <w:r/>
    </w:p>
    <w:p>
      <w:pPr>
        <w:pStyle w:val="872"/>
        <w:jc w:val="center"/>
        <w:rPr>
          <w:rFonts w:hint="eastAsia" w:ascii="宋体" w:hAnsi="宋体"/>
          <w:b/>
          <w:color w:val="000000"/>
          <w:sz w:val="36"/>
          <w:szCs w:val="21"/>
        </w:rPr>
      </w:pPr>
      <w:r>
        <w:rPr>
          <w:rFonts w:hint="eastAsia" w:ascii="宋体" w:hAnsi="宋体"/>
          <w:b/>
          <w:color w:val="000000"/>
          <w:sz w:val="36"/>
          <w:szCs w:val="21"/>
        </w:rPr>
      </w:r>
      <w:r/>
    </w:p>
    <w:p>
      <w:pPr>
        <w:pStyle w:val="872"/>
        <w:jc w:val="center"/>
        <w:rPr>
          <w:rFonts w:hint="eastAsia" w:ascii="宋体" w:hAnsi="宋体"/>
          <w:b/>
          <w:color w:val="000000"/>
          <w:sz w:val="36"/>
          <w:szCs w:val="21"/>
        </w:rPr>
      </w:pPr>
      <w:r>
        <w:rPr>
          <w:rFonts w:hint="eastAsia" w:ascii="宋体" w:hAnsi="宋体"/>
          <w:b/>
          <w:color w:val="000000"/>
          <w:sz w:val="36"/>
          <w:szCs w:val="21"/>
        </w:rPr>
      </w:r>
      <w:r/>
    </w:p>
    <w:p>
      <w:pPr>
        <w:pStyle w:val="872"/>
        <w:jc w:val="center"/>
        <w:rPr>
          <w:rFonts w:hint="eastAsia" w:ascii="宋体" w:hAnsi="宋体"/>
          <w:b/>
          <w:color w:val="000000"/>
          <w:sz w:val="36"/>
          <w:szCs w:val="21"/>
        </w:rPr>
      </w:pPr>
      <w:r>
        <w:rPr>
          <w:rFonts w:hint="eastAsia" w:ascii="宋体" w:hAnsi="宋体"/>
          <w:b/>
          <w:color w:val="000000"/>
          <w:sz w:val="36"/>
          <w:szCs w:val="21"/>
        </w:rPr>
      </w:r>
      <w:r/>
    </w:p>
    <w:p>
      <w:pPr>
        <w:pStyle w:val="872"/>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2"/>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2"/>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2"/>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2"/>
        <w:spacing w:line="440" w:lineRule="exact"/>
        <w:rPr>
          <w:rFonts w:ascii="宋体" w:hAnsi="宋体"/>
          <w:color w:val="000000"/>
          <w:szCs w:val="21"/>
        </w:rPr>
      </w:pPr>
      <w:r>
        <w:rPr>
          <w:rFonts w:ascii="宋体" w:hAnsi="宋体"/>
          <w:color w:val="000000"/>
          <w:szCs w:val="21"/>
        </w:rPr>
      </w:r>
      <w:r/>
    </w:p>
    <w:p>
      <w:pPr>
        <w:pStyle w:val="872"/>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203"/>
      <w:r/>
      <w:bookmarkEnd w:id="204"/>
      <w:r/>
      <w:bookmarkEnd w:id="205"/>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2"/>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b w:val="0"/>
          <w:bCs w:val="0"/>
          <w:i w:val="0"/>
          <w:sz w:val="28"/>
          <w:szCs w:val="28"/>
          <w:u w:val="none"/>
          <w:lang w:val="en-US" w:eastAsia="zh-CN"/>
        </w:rPr>
      </w:r>
      <w:r/>
    </w:p>
    <w:p>
      <w:pPr>
        <w:pStyle w:val="872"/>
        <w:ind w:firstLine="560"/>
        <w:spacing w:line="600" w:lineRule="exact"/>
        <w:rPr>
          <w:rFonts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十四、分包承诺书（如有）</w:t>
      </w:r>
      <w:r>
        <w:rPr>
          <w:rFonts w:ascii="宋体" w:hAnsi="宋体" w:eastAsia="宋体" w:cs="宋体"/>
          <w:b w:val="0"/>
          <w:bCs w:val="0"/>
          <w:i w:val="0"/>
          <w:sz w:val="28"/>
          <w:szCs w:val="28"/>
          <w:u w:val="none"/>
          <w:lang w:val="en-US" w:eastAsia="zh-CN"/>
        </w:rPr>
      </w:r>
      <w:r/>
    </w:p>
    <w:p>
      <w:pPr>
        <w:pStyle w:val="872"/>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2"/>
        <w:ind w:firstLine="480"/>
        <w:spacing w:line="440" w:lineRule="exact"/>
        <w:rPr>
          <w:rFonts w:ascii="宋体" w:hAnsi="宋体"/>
          <w:sz w:val="24"/>
        </w:rPr>
      </w:pPr>
      <w:r>
        <w:rPr>
          <w:rFonts w:ascii="宋体" w:hAnsi="宋体"/>
          <w:sz w:val="24"/>
        </w:rPr>
      </w:r>
      <w:r/>
    </w:p>
    <w:p>
      <w:pPr>
        <w:pStyle w:val="872"/>
        <w:ind w:firstLine="480"/>
        <w:spacing w:line="440" w:lineRule="exact"/>
        <w:rPr>
          <w:rFonts w:ascii="宋体" w:hAnsi="宋体"/>
          <w:sz w:val="24"/>
        </w:rPr>
      </w:pPr>
      <w:r>
        <w:rPr>
          <w:rFonts w:ascii="宋体" w:hAnsi="宋体"/>
          <w:sz w:val="24"/>
        </w:rPr>
      </w:r>
      <w:r/>
    </w:p>
    <w:p>
      <w:pPr>
        <w:pStyle w:val="872"/>
        <w:ind w:firstLine="480"/>
        <w:spacing w:line="440" w:lineRule="exact"/>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990"/>
        <w:rPr>
          <w:rFonts w:ascii="宋体" w:hAnsi="宋体"/>
          <w:sz w:val="24"/>
        </w:rPr>
      </w:pPr>
      <w:r>
        <w:rPr>
          <w:rFonts w:ascii="宋体" w:hAnsi="宋体"/>
          <w:sz w:val="24"/>
        </w:rPr>
      </w:r>
      <w:r/>
    </w:p>
    <w:p>
      <w:pPr>
        <w:pStyle w:val="87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2"/>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2"/>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2"/>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2"/>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2"/>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pStyle w:val="872"/>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2"/>
        <w:rPr>
          <w:sz w:val="24"/>
          <w:szCs w:val="24"/>
        </w:rPr>
      </w:pPr>
      <w:r>
        <w:rPr>
          <w:sz w:val="24"/>
          <w:szCs w:val="24"/>
        </w:rPr>
      </w:r>
      <w:r/>
    </w:p>
    <w:p>
      <w:pPr>
        <w:pStyle w:val="872"/>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72"/>
        <w:rPr>
          <w:rFonts w:hint="eastAsia"/>
        </w:rPr>
      </w:pPr>
      <w:r>
        <w:rPr>
          <w:rFonts w:hint="eastAsia"/>
        </w:rPr>
      </w:r>
      <w:r/>
    </w:p>
    <w:p>
      <w:pPr>
        <w:pStyle w:val="87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2"/>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2"/>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2"/>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2"/>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1"/>
        <w:ind w:firstLine="480"/>
        <w:spacing w:line="420" w:lineRule="exact"/>
        <w:tabs>
          <w:tab w:val="left" w:pos="360" w:leader="none"/>
        </w:tabs>
        <w:rPr>
          <w:rFonts w:hint="eastAsia"/>
          <w:sz w:val="24"/>
          <w:szCs w:val="24"/>
        </w:rPr>
      </w:pP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1"/>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Hlt26671380"/>
      <w:r/>
      <w:bookmarkEnd w:id="207"/>
      <w:r/>
      <w:bookmarkStart w:id="208" w:name="_Hlt26955070"/>
      <w:r/>
      <w:bookmarkEnd w:id="208"/>
      <w:r/>
      <w:bookmarkStart w:id="209" w:name="_格式3__银行出具的资信证明"/>
      <w:r/>
      <w:bookmarkEnd w:id="209"/>
      <w:r>
        <w:rPr>
          <w:rFonts w:hint="eastAsia"/>
          <w:sz w:val="24"/>
          <w:szCs w:val="24"/>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ind w:firstLine="0"/>
        <w:rPr>
          <w:rFonts w:hint="eastAsia"/>
        </w:rPr>
      </w:pPr>
      <w:r>
        <w:rPr>
          <w:rFonts w:hint="eastAsia"/>
        </w:rPr>
      </w:r>
      <w:r/>
    </w:p>
    <w:p>
      <w:pPr>
        <w:pStyle w:val="872"/>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2"/>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2"/>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2"/>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2"/>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2"/>
        <w:ind w:firstLine="240"/>
        <w:jc w:val="center"/>
        <w:spacing w:line="560" w:lineRule="exact"/>
        <w:rPr>
          <w:rFonts w:hint="eastAsia" w:ascii="宋体" w:hAnsi="宋体"/>
          <w:bCs/>
          <w:sz w:val="24"/>
        </w:rPr>
      </w:pPr>
      <w:r>
        <w:rPr>
          <w:rFonts w:hint="eastAsia" w:ascii="宋体" w:hAnsi="宋体"/>
          <w:bCs/>
          <w:sz w:val="24"/>
        </w:rPr>
      </w:r>
      <w:r/>
    </w:p>
    <w:p>
      <w:pPr>
        <w:pStyle w:val="87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2"/>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2"/>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2"/>
        <w:ind w:firstLine="0"/>
        <w:rPr>
          <w:sz w:val="24"/>
          <w:szCs w:val="24"/>
        </w:rPr>
      </w:pPr>
      <w:r>
        <w:rPr>
          <w:rFonts w:hint="eastAsia" w:ascii="宋体" w:hAnsi="宋体"/>
          <w:sz w:val="24"/>
          <w:szCs w:val="24"/>
        </w:rPr>
        <w:t xml:space="preserve">项目名称：</w:t>
      </w:r>
      <w:r>
        <w:rPr>
          <w:sz w:val="24"/>
          <w:szCs w:val="24"/>
        </w:rPr>
      </w:r>
      <w:r/>
    </w:p>
    <w:p>
      <w:pPr>
        <w:pStyle w:val="872"/>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2"/>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3"/>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2"/>
        <w:rPr>
          <w:rFonts w:ascii="宋体" w:hAnsi="宋体"/>
          <w:sz w:val="24"/>
          <w:szCs w:val="24"/>
        </w:rPr>
      </w:pPr>
      <w:r>
        <w:rPr>
          <w:rFonts w:ascii="宋体" w:hAnsi="宋体"/>
          <w:sz w:val="24"/>
          <w:szCs w:val="24"/>
        </w:rPr>
      </w:r>
      <w:r/>
    </w:p>
    <w:p>
      <w:pPr>
        <w:pStyle w:val="872"/>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2"/>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2"/>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2"/>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2"/>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2"/>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2"/>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2"/>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2"/>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2"/>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2"/>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2"/>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2"/>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2"/>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2"/>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2"/>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2"/>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2"/>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2"/>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2"/>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2"/>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2"/>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2"/>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2"/>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2"/>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2"/>
        <w:ind w:firstLine="0"/>
        <w:rPr>
          <w:sz w:val="24"/>
          <w:szCs w:val="24"/>
        </w:rPr>
      </w:pPr>
      <w:r>
        <w:rPr>
          <w:rFonts w:hint="eastAsia" w:ascii="宋体" w:hAnsi="宋体"/>
          <w:sz w:val="24"/>
          <w:szCs w:val="24"/>
        </w:rPr>
        <w:t xml:space="preserve">项目名称：</w:t>
      </w:r>
      <w:r>
        <w:rPr>
          <w:sz w:val="24"/>
          <w:szCs w:val="24"/>
        </w:rPr>
      </w:r>
      <w:r/>
    </w:p>
    <w:p>
      <w:pPr>
        <w:pStyle w:val="872"/>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2"/>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2"/>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2"/>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2"/>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2"/>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2"/>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2"/>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2"/>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2"/>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2"/>
        <w:ind w:firstLine="0"/>
        <w:rPr>
          <w:rFonts w:hint="eastAsia" w:ascii="宋体" w:hAnsi="宋体"/>
          <w:sz w:val="24"/>
          <w:szCs w:val="24"/>
        </w:rPr>
      </w:pPr>
      <w:r>
        <w:rPr>
          <w:rFonts w:hint="eastAsia" w:ascii="宋体" w:hAnsi="宋体"/>
          <w:sz w:val="24"/>
          <w:szCs w:val="24"/>
        </w:rPr>
      </w:r>
      <w:r/>
    </w:p>
    <w:p>
      <w:pPr>
        <w:pStyle w:val="872"/>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2"/>
        <w:ind w:firstLine="480"/>
        <w:rPr>
          <w:rFonts w:hint="eastAsia" w:ascii="宋体" w:hAnsi="宋体"/>
          <w:sz w:val="24"/>
          <w:szCs w:val="24"/>
        </w:rPr>
      </w:pPr>
      <w:r>
        <w:rPr>
          <w:rFonts w:hint="eastAsia" w:ascii="宋体" w:hAnsi="宋体"/>
          <w:sz w:val="24"/>
          <w:szCs w:val="24"/>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2"/>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2"/>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2"/>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bl>
    <w:p>
      <w:pPr>
        <w:pStyle w:val="872"/>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2"/>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2"/>
        <w:rPr>
          <w:rFonts w:hint="eastAsia"/>
          <w:lang w:val="en-US" w:eastAsia="zh-CN"/>
        </w:rPr>
      </w:pPr>
      <w:r>
        <w:rPr>
          <w:rFonts w:hint="eastAsia"/>
          <w:lang w:val="en-US" w:eastAsia="zh-CN"/>
        </w:rPr>
      </w:r>
      <w:r/>
    </w:p>
    <w:p>
      <w:pPr>
        <w:pStyle w:val="87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2"/>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2"/>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bl>
    <w:p>
      <w:pPr>
        <w:pStyle w:val="872"/>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2"/>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2"/>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2"/>
        <w:spacing w:line="480" w:lineRule="auto"/>
        <w:rPr>
          <w:rFonts w:hint="eastAsia" w:ascii="宋体" w:hAnsi="宋体"/>
          <w:color w:val="000000"/>
          <w:sz w:val="24"/>
          <w:szCs w:val="21"/>
        </w:rPr>
      </w:pPr>
      <w:r>
        <w:rPr>
          <w:rFonts w:hint="eastAsia" w:ascii="宋体" w:hAnsi="宋体"/>
          <w:color w:val="000000"/>
          <w:sz w:val="24"/>
          <w:szCs w:val="21"/>
        </w:rPr>
      </w:r>
      <w:r/>
    </w:p>
    <w:p>
      <w:pPr>
        <w:pStyle w:val="872"/>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2"/>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2"/>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4"/>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2"/>
        <w:rPr>
          <w:rFonts w:hint="eastAsia"/>
          <w:lang w:val="en-US" w:eastAsia="zh-CN"/>
        </w:rPr>
      </w:pPr>
      <w:r>
        <w:rPr>
          <w:rFonts w:hint="eastAsia"/>
          <w:lang w:val="en-US" w:eastAsia="zh-CN"/>
        </w:rPr>
      </w:r>
      <w:r/>
    </w:p>
    <w:p>
      <w:pPr>
        <w:pStyle w:val="872"/>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2"/>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2"/>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2"/>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2"/>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2"/>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2"/>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2"/>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4"/>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2"/>
        <w:keepLines w:val="0"/>
        <w:keepNext w:val="0"/>
        <w:pageBreakBefore w:val="0"/>
        <w:spacing w:line="336" w:lineRule="auto"/>
        <w:widowControl w:val="off"/>
        <w:rPr>
          <w:rFonts w:hint="eastAsia"/>
          <w:lang w:eastAsia="zh-CN"/>
        </w:rPr>
      </w:pPr>
      <w:r>
        <w:rPr>
          <w:rFonts w:hint="eastAsia"/>
          <w:lang w:eastAsia="zh-CN"/>
        </w:rPr>
      </w:r>
      <w:r/>
    </w:p>
    <w:p>
      <w:pPr>
        <w:pStyle w:val="872"/>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2"/>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2"/>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2"/>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2"/>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2"/>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2"/>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2"/>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4"/>
        <w:rPr>
          <w:rFonts w:hint="eastAsia" w:ascii="宋体" w:hAnsi="宋体"/>
          <w:sz w:val="24"/>
          <w:szCs w:val="24"/>
          <w:lang w:eastAsia="zh-CN"/>
        </w:rPr>
      </w:pPr>
      <w:r>
        <w:rPr>
          <w:rFonts w:hint="eastAsia" w:ascii="宋体" w:hAnsi="宋体"/>
          <w:sz w:val="24"/>
          <w:szCs w:val="24"/>
          <w:lang w:eastAsia="zh-CN"/>
        </w:rPr>
      </w:r>
      <w:r/>
    </w:p>
    <w:p>
      <w:pPr>
        <w:pStyle w:val="872"/>
        <w:rPr>
          <w:rFonts w:hint="eastAsia"/>
          <w:lang w:eastAsia="zh-CN"/>
        </w:rPr>
      </w:pPr>
      <w:r>
        <w:rPr>
          <w:rFonts w:hint="eastAsia"/>
          <w:lang w:eastAsia="zh-CN"/>
        </w:rPr>
      </w:r>
      <w:r/>
    </w:p>
    <w:p>
      <w:pPr>
        <w:pStyle w:val="872"/>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2"/>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2"/>
        <w:ind w:firstLine="480"/>
        <w:spacing w:line="588" w:lineRule="exact"/>
        <w:rPr>
          <w:rFonts w:hint="eastAsia" w:ascii="宋体" w:hAnsi="宋体"/>
          <w:sz w:val="24"/>
        </w:rPr>
      </w:pPr>
      <w:r>
        <w:rPr>
          <w:rFonts w:hint="eastAsia" w:ascii="宋体" w:hAnsi="宋体"/>
          <w:sz w:val="24"/>
        </w:rPr>
      </w:r>
      <w:r/>
    </w:p>
    <w:p>
      <w:pPr>
        <w:pStyle w:val="872"/>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2"/>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2"/>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2"/>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0"/>
      </w:pPr>
      <w:r/>
      <w:r/>
    </w:p>
    <w:p>
      <w:pPr>
        <w:pStyle w:val="872"/>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2"/>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2"/>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2"/>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2"/>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2"/>
        <w:ind w:firstLine="645"/>
        <w:spacing w:line="560" w:lineRule="exact"/>
        <w:rPr>
          <w:rFonts w:hint="eastAsia" w:ascii="宋体" w:hAnsi="宋体"/>
          <w:sz w:val="24"/>
        </w:rPr>
      </w:pPr>
      <w:r>
        <w:rPr>
          <w:rFonts w:hint="eastAsia" w:ascii="宋体" w:hAnsi="宋体"/>
          <w:sz w:val="24"/>
        </w:rPr>
      </w:r>
      <w:r/>
    </w:p>
    <w:p>
      <w:pPr>
        <w:pStyle w:val="87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2"/>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2"/>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2"/>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2"/>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2"/>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2"/>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2"/>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2"/>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2"/>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8"/>
          <w:rFonts w:hint="eastAsia"/>
          <w:i w:val="0"/>
          <w:u w:val="single"/>
          <w:shd w:val="clear" w:color="auto" w:fill="ffffff"/>
        </w:rPr>
        <w:t xml:space="preserve">（产品名称1）</w:t>
      </w:r>
      <w:r>
        <w:rPr>
          <w:rStyle w:val="94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8"/>
          <w:rFonts w:hint="eastAsia"/>
          <w:i w:val="0"/>
          <w:u w:val="single"/>
          <w:shd w:val="clear" w:color="auto" w:fill="ffffff"/>
        </w:rPr>
        <w:t xml:space="preserve">（厂名）</w:t>
      </w:r>
      <w:r>
        <w:rPr>
          <w:rStyle w:val="948"/>
          <w:rFonts w:hint="eastAsia"/>
          <w:i w:val="0"/>
          <w:shd w:val="clear" w:color="auto" w:fill="ffffff"/>
          <w:vertAlign w:val="superscript"/>
        </w:rPr>
        <w:t xml:space="preserve">2</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8"/>
          <w:rFonts w:hint="eastAsia"/>
          <w:i/>
          <w:strike w:val="0"/>
          <w:u w:val="single"/>
          <w:shd w:val="clear" w:color="auto" w:fill="ffffff"/>
        </w:rPr>
        <w:t xml:space="preserve">（规定比例）</w:t>
      </w:r>
      <w:r>
        <w:rPr>
          <w:rStyle w:val="948"/>
          <w:rFonts w:hint="eastAsia"/>
          <w:i w:val="0"/>
          <w:shd w:val="clear" w:color="auto" w:fill="ffffff"/>
          <w:vertAlign w:val="superscript"/>
        </w:rPr>
        <w:t xml:space="preserve">3</w:t>
      </w:r>
      <w:r>
        <w:rPr>
          <w:rFonts w:hint="eastAsia"/>
          <w:strike w:val="0"/>
          <w:shd w:val="clear" w:color="auto" w:fill="ffffff"/>
        </w:rPr>
        <w:t xml:space="preserve">。</w:t>
      </w:r>
      <w:r>
        <w:rPr>
          <w:rStyle w:val="948"/>
          <w:rFonts w:hint="eastAsia"/>
          <w:i/>
          <w:strike w:val="0"/>
          <w:u w:val="single"/>
          <w:shd w:val="clear" w:color="auto" w:fill="ffffff"/>
        </w:rPr>
        <w:t xml:space="preserve">（产品名称1）</w:t>
      </w:r>
      <w:r>
        <w:rPr>
          <w:rFonts w:hint="eastAsia"/>
          <w:strike w:val="0"/>
          <w:shd w:val="clear" w:color="auto" w:fill="ffffff"/>
        </w:rPr>
        <w:t xml:space="preserve">的</w:t>
      </w:r>
      <w:r>
        <w:rPr>
          <w:rStyle w:val="948"/>
          <w:rFonts w:hint="eastAsia"/>
          <w:i/>
          <w:strike w:val="0"/>
          <w:u w:val="single"/>
          <w:shd w:val="clear" w:color="auto" w:fill="ffffff"/>
        </w:rPr>
        <w:t xml:space="preserve">（关键组件）</w:t>
      </w:r>
      <w:r>
        <w:rPr>
          <w:rStyle w:val="948"/>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8"/>
          <w:rFonts w:hint="eastAsia"/>
          <w:i/>
          <w:strike w:val="0"/>
          <w:u w:val="single"/>
          <w:shd w:val="clear" w:color="auto" w:fill="ffffff"/>
        </w:rPr>
        <w:t xml:space="preserve">（产品名称1）</w:t>
      </w:r>
      <w:r>
        <w:rPr>
          <w:rFonts w:hint="eastAsia"/>
          <w:strike w:val="0"/>
          <w:shd w:val="clear" w:color="auto" w:fill="ffffff"/>
        </w:rPr>
        <w:t xml:space="preserve">的</w:t>
      </w:r>
      <w:r>
        <w:rPr>
          <w:rStyle w:val="948"/>
          <w:rFonts w:hint="eastAsia"/>
          <w:i/>
          <w:strike w:val="0"/>
          <w:u w:val="single"/>
          <w:shd w:val="clear" w:color="auto" w:fill="ffffff"/>
        </w:rPr>
        <w:t xml:space="preserve">（关键工序）</w:t>
      </w:r>
      <w:r>
        <w:rPr>
          <w:rStyle w:val="948"/>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6"/>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8"/>
          <w:rFonts w:hint="eastAsia"/>
          <w:i w:val="0"/>
          <w:u w:val="single"/>
          <w:shd w:val="clear" w:color="auto" w:fill="ffffff"/>
        </w:rPr>
        <w:t xml:space="preserve">（产品名称2）</w:t>
      </w:r>
      <w:r>
        <w:rPr>
          <w:rFonts w:hint="eastAsia"/>
          <w:shd w:val="clear" w:color="auto" w:fill="ffffff"/>
        </w:rPr>
        <w:t xml:space="preserve">，生产厂为</w:t>
      </w:r>
      <w:r>
        <w:rPr>
          <w:rStyle w:val="948"/>
          <w:rFonts w:hint="eastAsia"/>
          <w:i w:val="0"/>
          <w:u w:val="single"/>
          <w:shd w:val="clear" w:color="auto" w:fill="ffffff"/>
        </w:rPr>
        <w:t xml:space="preserve">（厂名）</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8"/>
          <w:rFonts w:hint="eastAsia"/>
          <w:i/>
          <w:strike w:val="0"/>
          <w:u w:val="single"/>
          <w:shd w:val="clear" w:color="auto" w:fill="ffffff"/>
        </w:rPr>
        <w:t xml:space="preserve">（规定比例）</w:t>
      </w:r>
      <w:r>
        <w:rPr>
          <w:rFonts w:hint="eastAsia"/>
          <w:strike w:val="0"/>
          <w:shd w:val="clear" w:color="auto" w:fill="ffffff"/>
        </w:rPr>
        <w:t xml:space="preserve">。</w:t>
      </w:r>
      <w:r>
        <w:rPr>
          <w:rStyle w:val="948"/>
          <w:rFonts w:hint="eastAsia"/>
          <w:i/>
          <w:strike w:val="0"/>
          <w:u w:val="single"/>
          <w:shd w:val="clear" w:color="auto" w:fill="ffffff"/>
        </w:rPr>
        <w:t xml:space="preserve">（产品名称2）</w:t>
      </w:r>
      <w:r>
        <w:rPr>
          <w:rFonts w:hint="eastAsia"/>
          <w:strike w:val="0"/>
          <w:shd w:val="clear" w:color="auto" w:fill="ffffff"/>
        </w:rPr>
        <w:t xml:space="preserve">的</w:t>
      </w:r>
      <w:r>
        <w:rPr>
          <w:rStyle w:val="948"/>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8"/>
          <w:rFonts w:hint="eastAsia"/>
          <w:i/>
          <w:strike w:val="0"/>
          <w:u w:val="single"/>
          <w:shd w:val="clear" w:color="auto" w:fill="ffffff"/>
        </w:rPr>
        <w:t xml:space="preserve">（产品名称2）</w:t>
      </w:r>
      <w:r>
        <w:rPr>
          <w:rFonts w:hint="eastAsia"/>
          <w:strike w:val="0"/>
          <w:shd w:val="clear" w:color="auto" w:fill="ffffff"/>
        </w:rPr>
        <w:t xml:space="preserve">的</w:t>
      </w:r>
      <w:r>
        <w:rPr>
          <w:rStyle w:val="948"/>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6"/>
        <w:ind w:firstLine="420"/>
        <w:spacing w:before="24" w:beforeAutospacing="0" w:after="24" w:afterAutospacing="0" w:line="360" w:lineRule="auto"/>
        <w:shd w:val="clear" w:color="auto" w:fill="ffffff"/>
        <w:rPr>
          <w:rFonts w:hint="eastAsia"/>
        </w:rPr>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rPr>
          <w:rFonts w:hint="eastAsia"/>
        </w:rPr>
      </w:r>
      <w:r/>
    </w:p>
    <w:p>
      <w:pPr>
        <w:pStyle w:val="93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6"/>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6"/>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2"/>
        <w:jc w:val="both"/>
        <w:rPr>
          <w:rFonts w:hint="eastAsia" w:ascii="黑体" w:hAnsi="黑体" w:eastAsia="黑体" w:cs="Times New Roman"/>
          <w:i w:val="0"/>
          <w:iCs w:val="0"/>
          <w:sz w:val="32"/>
          <w:szCs w:val="32"/>
          <w:u w:val="none"/>
          <w:lang w:val="en-US" w:eastAsia="zh-CN"/>
        </w:rPr>
      </w:pPr>
      <w:r>
        <w:br w:type="page" w:clear="all"/>
      </w:r>
      <w:bookmarkEnd w:id="206"/>
      <w:r>
        <w:rPr>
          <w:rFonts w:hint="eastAsia" w:ascii="黑体" w:hAnsi="黑体" w:eastAsia="黑体" w:cs="Times New Roman"/>
          <w:i w:val="0"/>
          <w:iCs w:val="0"/>
          <w:sz w:val="32"/>
          <w:szCs w:val="32"/>
          <w:u w:val="none"/>
          <w:lang w:val="en-US" w:eastAsia="zh-CN"/>
        </w:rPr>
        <w:t xml:space="preserve">十四、分包承诺书</w:t>
      </w:r>
      <w:r>
        <w:rPr>
          <w:rFonts w:hint="eastAsia" w:ascii="黑体" w:hAnsi="黑体" w:eastAsia="黑体" w:cs="Times New Roman"/>
          <w:i w:val="0"/>
          <w:iCs w:val="0"/>
          <w:sz w:val="32"/>
          <w:szCs w:val="32"/>
          <w:u w:val="none"/>
          <w:lang w:val="en-US" w:eastAsia="zh-CN"/>
        </w:rPr>
      </w:r>
      <w:r/>
    </w:p>
    <w:p>
      <w:pPr>
        <w:pStyle w:val="872"/>
        <w:jc w:val="center"/>
        <w:spacing w:line="360" w:lineRule="auto"/>
        <w:rPr>
          <w:rFonts w:hint="eastAsia" w:ascii="方正小标宋简体" w:hAnsi="方正小标宋简体" w:eastAsia="方正小标宋简体" w:cs="方正小标宋简体"/>
          <w:color w:val="000000"/>
          <w:sz w:val="32"/>
          <w:szCs w:val="32"/>
          <w:lang w:val="zh-CN" w:eastAsia="zh-CN"/>
        </w:rPr>
      </w:pPr>
      <w:r>
        <w:rPr>
          <w:rFonts w:hint="eastAsia" w:ascii="方正小标宋简体" w:hAnsi="方正小标宋简体" w:eastAsia="方正小标宋简体" w:cs="方正小标宋简体"/>
          <w:color w:val="000000"/>
          <w:sz w:val="32"/>
          <w:szCs w:val="32"/>
          <w:lang w:val="zh-CN" w:eastAsia="zh-CN"/>
        </w:rPr>
        <w:t xml:space="preserve">分包承诺书</w:t>
      </w:r>
      <w:r>
        <w:rPr>
          <w:rFonts w:hint="eastAsia" w:ascii="方正小标宋简体" w:hAnsi="方正小标宋简体" w:eastAsia="方正小标宋简体" w:cs="方正小标宋简体"/>
          <w:color w:val="000000"/>
          <w:sz w:val="32"/>
          <w:szCs w:val="32"/>
          <w:lang w:val="zh-CN" w:eastAsia="zh-CN"/>
        </w:rPr>
      </w:r>
      <w:r/>
    </w:p>
    <w:p>
      <w:pPr>
        <w:pStyle w:val="872"/>
        <w:spacing w:line="588" w:lineRule="exact"/>
        <w:rPr>
          <w:rFonts w:hint="eastAsia" w:ascii="宋体" w:hAnsi="宋体" w:eastAsia="宋体" w:cs="Times New Roman"/>
          <w:sz w:val="24"/>
        </w:rPr>
      </w:pPr>
      <w:r>
        <w:rPr>
          <w:rFonts w:hint="eastAsia" w:ascii="宋体" w:hAnsi="宋体" w:eastAsia="宋体" w:cs="Times New Roman"/>
          <w:sz w:val="24"/>
          <w:u w:val="single"/>
        </w:rPr>
        <w:t xml:space="preserve">                            </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采购人名称</w:t>
      </w:r>
      <w:r>
        <w:rPr>
          <w:rFonts w:hint="eastAsia" w:ascii="宋体" w:hAnsi="宋体" w:eastAsia="宋体" w:cs="Times New Roman"/>
          <w:sz w:val="24"/>
          <w:lang w:eastAsia="zh-CN"/>
        </w:rPr>
        <w:t xml:space="preserve">）</w:t>
      </w:r>
      <w:r>
        <w:rPr>
          <w:rFonts w:hint="eastAsia" w:ascii="宋体" w:hAnsi="宋体" w:eastAsia="宋体" w:cs="Times New Roman"/>
          <w:sz w:val="24"/>
        </w:rPr>
      </w:r>
      <w:r/>
    </w:p>
    <w:p>
      <w:pPr>
        <w:pStyle w:val="872"/>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我公司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（供应商名称）郑重承诺：</w:t>
      </w:r>
      <w:r>
        <w:rPr>
          <w:rFonts w:hint="eastAsia" w:ascii="宋体" w:hAnsi="宋体" w:eastAsia="宋体" w:cs="Times New Roman"/>
          <w:sz w:val="24"/>
        </w:rPr>
      </w:r>
      <w:r/>
    </w:p>
    <w:p>
      <w:pPr>
        <w:pStyle w:val="872"/>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如果我公司中标（成交）</w:t>
      </w:r>
      <w:r>
        <w:rPr>
          <w:rFonts w:hint="eastAsia" w:ascii="宋体" w:hAnsi="宋体" w:eastAsia="宋体" w:cs="Times New Roman"/>
          <w:sz w:val="24"/>
          <w:u w:val="single"/>
        </w:rPr>
        <w:t xml:space="preserve">                            </w:t>
      </w:r>
      <w:r>
        <w:rPr>
          <w:rFonts w:hint="eastAsia" w:ascii="宋体" w:hAnsi="宋体" w:eastAsia="宋体" w:cs="Times New Roman"/>
          <w:sz w:val="24"/>
          <w:lang w:val="en-US" w:eastAsia="zh-CN"/>
        </w:rPr>
        <w:t xml:space="preserve">（项目名称）</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拟将项目中的</w:t>
      </w:r>
      <w:r>
        <w:rPr>
          <w:rFonts w:hint="eastAsia" w:ascii="宋体" w:hAnsi="宋体" w:eastAsia="宋体" w:cs="Times New Roman"/>
          <w:sz w:val="24"/>
          <w:u w:val="single"/>
          <w:lang w:val="en-US" w:eastAsia="zh-CN"/>
        </w:rPr>
        <w:t xml:space="preserve">建筑装修装饰</w:t>
      </w:r>
      <w:r>
        <w:rPr>
          <w:rFonts w:hint="eastAsia" w:ascii="宋体" w:hAnsi="宋体" w:eastAsia="宋体" w:cs="Times New Roman"/>
          <w:sz w:val="24"/>
        </w:rPr>
        <w:t xml:space="preserve">建设内容，分包给具有相应资质证书且经采购人认可的供应商实施。</w:t>
      </w:r>
      <w:r>
        <w:rPr>
          <w:rFonts w:hint="eastAsia" w:ascii="宋体" w:hAnsi="宋体" w:eastAsia="宋体" w:cs="Times New Roman"/>
          <w:sz w:val="24"/>
        </w:rPr>
      </w:r>
      <w:r/>
    </w:p>
    <w:p>
      <w:pPr>
        <w:pStyle w:val="872"/>
        <w:ind w:firstLine="480"/>
        <w:spacing w:line="588" w:lineRule="exact"/>
        <w:rPr>
          <w:rFonts w:hint="eastAsia" w:ascii="宋体" w:hAnsi="宋体" w:eastAsia="宋体" w:cs="Times New Roman"/>
          <w:sz w:val="24"/>
        </w:rPr>
      </w:pPr>
      <w:r>
        <w:rPr>
          <w:rFonts w:hint="eastAsia" w:ascii="宋体" w:hAnsi="宋体" w:eastAsia="宋体" w:cs="Times New Roman"/>
          <w:sz w:val="24"/>
        </w:rPr>
      </w:r>
      <w:r/>
    </w:p>
    <w:p>
      <w:pPr>
        <w:pStyle w:val="872"/>
        <w:ind w:right="180" w:firstLine="360"/>
        <w:jc w:val="right"/>
        <w:spacing w:line="560" w:lineRule="exact"/>
        <w:rPr>
          <w:rFonts w:hint="eastAsia" w:ascii="宋体" w:hAnsi="宋体"/>
          <w:sz w:val="24"/>
          <w:szCs w:val="24"/>
        </w:rPr>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w:t>
      </w: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2"/>
        <w:ind w:firstLine="6240"/>
        <w:spacing w:line="336"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2"/>
        <w:jc w:val="both"/>
        <w:rPr>
          <w:lang w:val="en-US" w:eastAsia="zh-CN"/>
        </w:rPr>
      </w:pPr>
      <w:r>
        <w:rPr>
          <w:lang w:val="en-US" w:eastAsia="zh-CN"/>
        </w:rPr>
      </w:r>
      <w:r/>
    </w:p>
    <w:p>
      <w:pPr>
        <w:pStyle w:val="872"/>
        <w:jc w:val="center"/>
      </w:pPr>
      <w:r/>
      <w:r/>
    </w:p>
    <w:p>
      <w:pPr>
        <w:pStyle w:val="872"/>
        <w:jc w:val="center"/>
      </w:pPr>
      <w:r/>
      <w:r/>
    </w:p>
    <w:p>
      <w:pPr>
        <w:pStyle w:val="872"/>
        <w:jc w:val="center"/>
      </w:pPr>
      <w:r/>
      <w:r/>
    </w:p>
    <w:p>
      <w:pPr>
        <w:pStyle w:val="884"/>
      </w:pPr>
      <w:r/>
      <w:r/>
    </w:p>
    <w:p>
      <w:pPr>
        <w:pStyle w:val="872"/>
      </w:pPr>
      <w:r/>
      <w:r/>
    </w:p>
    <w:p>
      <w:pPr>
        <w:pStyle w:val="884"/>
      </w:pPr>
      <w:r/>
      <w:r/>
    </w:p>
    <w:p>
      <w:pPr>
        <w:pStyle w:val="872"/>
      </w:pPr>
      <w:r/>
      <w:r/>
    </w:p>
    <w:p>
      <w:pPr>
        <w:pStyle w:val="884"/>
      </w:pPr>
      <w:r/>
      <w:r/>
    </w:p>
    <w:p>
      <w:pPr>
        <w:pStyle w:val="872"/>
      </w:pPr>
      <w:r/>
      <w:r/>
    </w:p>
    <w:p>
      <w:pPr>
        <w:pStyle w:val="884"/>
      </w:pPr>
      <w:r/>
      <w:r/>
    </w:p>
    <w:p>
      <w:pPr>
        <w:pStyle w:val="872"/>
        <w:jc w:val="center"/>
      </w:pPr>
      <w:r/>
      <w:r/>
    </w:p>
    <w:p>
      <w:pPr>
        <w:pStyle w:val="872"/>
        <w:jc w:val="center"/>
      </w:pPr>
      <w:r/>
      <w:r/>
    </w:p>
    <w:p>
      <w:pPr>
        <w:pStyle w:val="872"/>
        <w:jc w:val="center"/>
      </w:pPr>
      <w:r/>
      <w:r/>
    </w:p>
    <w:p>
      <w:pPr>
        <w:pStyle w:val="872"/>
        <w:jc w:val="center"/>
      </w:pPr>
      <w:r/>
      <w:r/>
    </w:p>
    <w:p>
      <w:pPr>
        <w:pStyle w:val="884"/>
      </w:pPr>
      <w:r/>
      <w:r/>
    </w:p>
    <w:p>
      <w:pPr>
        <w:pStyle w:val="872"/>
      </w:pPr>
      <w:r/>
      <w:r/>
    </w:p>
    <w:p>
      <w:pPr>
        <w:pStyle w:val="884"/>
      </w:pPr>
      <w:r/>
      <w:r/>
    </w:p>
    <w:p>
      <w:pPr>
        <w:pStyle w:val="872"/>
      </w:pPr>
      <w:r/>
      <w:r/>
    </w:p>
    <w:p>
      <w:pPr>
        <w:pStyle w:val="884"/>
      </w:pPr>
      <w:r/>
      <w:r/>
    </w:p>
    <w:p>
      <w:pPr>
        <w:pStyle w:val="872"/>
      </w:pPr>
      <w:r/>
      <w:r/>
    </w:p>
    <w:p>
      <w:pPr>
        <w:pStyle w:val="884"/>
      </w:pPr>
      <w:r/>
      <w:r/>
    </w:p>
    <w:p>
      <w:pPr>
        <w:pStyle w:val="872"/>
      </w:pPr>
      <w:r/>
      <w:r/>
    </w:p>
    <w:p>
      <w:pPr>
        <w:pStyle w:val="884"/>
      </w:pPr>
      <w:r/>
      <w:r/>
    </w:p>
    <w:p>
      <w:pPr>
        <w:pStyle w:val="872"/>
      </w:pPr>
      <w:r/>
      <w:r/>
    </w:p>
    <w:p>
      <w:pPr>
        <w:pStyle w:val="884"/>
      </w:pPr>
      <w:r/>
      <w:r/>
    </w:p>
    <w:p>
      <w:pPr>
        <w:pStyle w:val="872"/>
      </w:pPr>
      <w:r/>
      <w:r/>
    </w:p>
    <w:p>
      <w:pPr>
        <w:pStyle w:val="884"/>
      </w:pPr>
      <w:r/>
      <w:r/>
    </w:p>
    <w:p>
      <w:pPr>
        <w:pStyle w:val="872"/>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2"/>
        <w:rPr>
          <w:rFonts w:hint="eastAsia" w:ascii="宋体" w:hAnsi="宋体"/>
          <w:sz w:val="24"/>
          <w:szCs w:val="24"/>
        </w:rPr>
      </w:pPr>
      <w:r>
        <w:rPr>
          <w:rFonts w:hint="eastAsia" w:ascii="宋体" w:hAnsi="宋体"/>
          <w:sz w:val="24"/>
          <w:szCs w:val="24"/>
        </w:rPr>
      </w:r>
      <w:r/>
    </w:p>
    <w:p>
      <w:pPr>
        <w:pStyle w:val="872"/>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2"/>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2"/>
        <w:spacing w:line="480" w:lineRule="exact"/>
        <w:rPr>
          <w:rFonts w:hint="eastAsia" w:ascii="宋体" w:hAnsi="宋体"/>
          <w:b w:val="0"/>
          <w:bCs/>
          <w:sz w:val="24"/>
          <w:szCs w:val="24"/>
        </w:rPr>
      </w:pPr>
      <w:r>
        <w:rPr>
          <w:rFonts w:hint="eastAsia" w:ascii="宋体" w:hAnsi="宋体"/>
          <w:b w:val="0"/>
          <w:bCs/>
          <w:sz w:val="24"/>
          <w:szCs w:val="24"/>
        </w:rPr>
      </w:r>
      <w:r/>
    </w:p>
    <w:p>
      <w:pPr>
        <w:pStyle w:val="872"/>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2"/>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2"/>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2"/>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pStyle w:val="872"/>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eastAsia="宋体"/>
        <w:b/>
        <w:i/>
        <w:lang w:eastAsia="zh-CN"/>
      </w:rPr>
    </w:pPr>
    <w:r>
      <w:rPr>
        <w:rFonts w:hint="eastAsia" w:eastAsia="宋体"/>
        <w:b/>
        <w:i/>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2"/>
        <w:ind w:left="1440" w:hanging="360"/>
      </w:pPr>
      <w:rPr>
        <w:rFonts w:ascii="Courier New" w:hAnsi="Courier New" w:eastAsia="Courier New" w:cs="Courier New"/>
      </w:rPr>
    </w:lvl>
    <w:lvl w:ilvl="2">
      <w:start w:val="1"/>
      <w:numFmt w:val="bullet"/>
      <w:isLgl w:val="false"/>
      <w:suff w:val="tab"/>
      <w:lvlText w:val="§"/>
      <w:lvlJc w:val="left"/>
      <w:pPr>
        <w:pStyle w:val="872"/>
        <w:ind w:left="2160" w:hanging="360"/>
      </w:pPr>
      <w:rPr>
        <w:rFonts w:ascii="Wingdings" w:hAnsi="Wingdings" w:eastAsia="Wingdings" w:cs="Wingdings"/>
      </w:rPr>
    </w:lvl>
    <w:lvl w:ilvl="3">
      <w:start w:val="1"/>
      <w:numFmt w:val="bullet"/>
      <w:isLgl w:val="false"/>
      <w:suff w:val="tab"/>
      <w:lvlText w:val="·"/>
      <w:lvlJc w:val="left"/>
      <w:pPr>
        <w:pStyle w:val="872"/>
        <w:ind w:left="2880" w:hanging="360"/>
      </w:pPr>
      <w:rPr>
        <w:rFonts w:ascii="Symbol" w:hAnsi="Symbol" w:eastAsia="Symbol" w:cs="Symbol"/>
      </w:rPr>
    </w:lvl>
    <w:lvl w:ilvl="4">
      <w:start w:val="1"/>
      <w:numFmt w:val="bullet"/>
      <w:isLgl w:val="false"/>
      <w:suff w:val="tab"/>
      <w:lvlText w:val="o"/>
      <w:lvlJc w:val="left"/>
      <w:pPr>
        <w:pStyle w:val="872"/>
        <w:ind w:left="3600" w:hanging="360"/>
      </w:pPr>
      <w:rPr>
        <w:rFonts w:ascii="Courier New" w:hAnsi="Courier New" w:eastAsia="Courier New" w:cs="Courier New"/>
      </w:rPr>
    </w:lvl>
    <w:lvl w:ilvl="5">
      <w:start w:val="1"/>
      <w:numFmt w:val="bullet"/>
      <w:isLgl w:val="false"/>
      <w:suff w:val="tab"/>
      <w:lvlText w:val="§"/>
      <w:lvlJc w:val="left"/>
      <w:pPr>
        <w:pStyle w:val="872"/>
        <w:ind w:left="4320" w:hanging="360"/>
      </w:pPr>
      <w:rPr>
        <w:rFonts w:ascii="Wingdings" w:hAnsi="Wingdings" w:eastAsia="Wingdings" w:cs="Wingdings"/>
      </w:rPr>
    </w:lvl>
    <w:lvl w:ilvl="6">
      <w:start w:val="1"/>
      <w:numFmt w:val="bullet"/>
      <w:isLgl w:val="false"/>
      <w:suff w:val="tab"/>
      <w:lvlText w:val="·"/>
      <w:lvlJc w:val="left"/>
      <w:pPr>
        <w:pStyle w:val="872"/>
        <w:ind w:left="5040" w:hanging="360"/>
      </w:pPr>
      <w:rPr>
        <w:rFonts w:ascii="Symbol" w:hAnsi="Symbol" w:eastAsia="Symbol" w:cs="Symbol"/>
      </w:rPr>
    </w:lvl>
    <w:lvl w:ilvl="7">
      <w:start w:val="1"/>
      <w:numFmt w:val="bullet"/>
      <w:isLgl w:val="false"/>
      <w:suff w:val="tab"/>
      <w:lvlText w:val="o"/>
      <w:lvlJc w:val="left"/>
      <w:pPr>
        <w:pStyle w:val="872"/>
        <w:ind w:left="5760" w:hanging="360"/>
      </w:pPr>
      <w:rPr>
        <w:rFonts w:ascii="Courier New" w:hAnsi="Courier New" w:eastAsia="Courier New" w:cs="Courier New"/>
      </w:rPr>
    </w:lvl>
    <w:lvl w:ilvl="8">
      <w:start w:val="1"/>
      <w:numFmt w:val="bullet"/>
      <w:isLgl w:val="false"/>
      <w:suff w:val="tab"/>
      <w:lvlText w:val="§"/>
      <w:lvlJc w:val="left"/>
      <w:pPr>
        <w:pStyle w:val="872"/>
        <w:ind w:left="6480" w:hanging="360"/>
      </w:pPr>
      <w:rPr>
        <w:rFonts w:ascii="Wingdings" w:hAnsi="Wingdings" w:eastAsia="Wingdings" w:cs="Wingdings"/>
      </w:rPr>
    </w:lvl>
  </w:abstractNum>
  <w:abstractNum w:abstractNumId="3">
    <w:multiLevelType w:val="hybridMultilevel"/>
    <w:lvl w:ilvl="0">
      <w:start w:val="1"/>
      <w:numFmt w:val="upperLetter"/>
      <w:pStyle w:val="955"/>
      <w:isLgl w:val="false"/>
      <w:suff w:val="tab"/>
      <w:lvlText w:val="附录%1."/>
      <w:lvlJc w:val="left"/>
      <w:pPr>
        <w:pStyle w:val="8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val="false"/>
      <w:suff w:val="tab"/>
      <w:lvlText w:val="%1."/>
      <w:lvlJc w:val="left"/>
      <w:pPr>
        <w:pStyle w:val="872"/>
        <w:ind w:left="709" w:hanging="709"/>
        <w:tabs>
          <w:tab w:val="num" w:pos="709" w:leader="none"/>
        </w:tabs>
      </w:pPr>
      <w:rPr>
        <w:rFonts w:hint="eastAsia"/>
      </w:rPr>
    </w:lvl>
    <w:lvl w:ilvl="1">
      <w:start w:val="1"/>
      <w:numFmt w:val="decimal"/>
      <w:isLgl w:val="false"/>
      <w:suff w:val="tab"/>
      <w:lvlText w:val="%1.%2"/>
      <w:lvlJc w:val="left"/>
      <w:pPr>
        <w:pStyle w:val="872"/>
        <w:ind w:left="709" w:hanging="709"/>
        <w:tabs>
          <w:tab w:val="num" w:pos="709" w:leader="none"/>
        </w:tabs>
      </w:pPr>
      <w:rPr>
        <w:rFonts w:hint="eastAsia"/>
      </w:rPr>
    </w:lvl>
    <w:lvl w:ilvl="2">
      <w:start w:val="1"/>
      <w:numFmt w:val="decimal"/>
      <w:isLgl w:val="false"/>
      <w:suff w:val="tab"/>
      <w:lvlText w:val="%1.%2.%3."/>
      <w:lvlJc w:val="left"/>
      <w:pPr>
        <w:pStyle w:val="872"/>
        <w:ind w:left="425" w:hanging="425"/>
        <w:tabs>
          <w:tab w:val="num" w:pos="425" w:leader="none"/>
        </w:tabs>
      </w:pPr>
      <w:rPr>
        <w:rFonts w:hint="eastAsia"/>
      </w:rPr>
    </w:lvl>
    <w:lvl w:ilvl="3">
      <w:start w:val="1"/>
      <w:numFmt w:val="decimal"/>
      <w:isLgl w:val="false"/>
      <w:suff w:val="tab"/>
      <w:lvlText w:val="%1.%2.%3.%4."/>
      <w:lvlJc w:val="left"/>
      <w:pPr>
        <w:pStyle w:val="872"/>
        <w:ind w:left="851" w:hanging="851"/>
        <w:tabs>
          <w:tab w:val="num" w:pos="851" w:leader="none"/>
        </w:tabs>
      </w:pPr>
      <w:rPr>
        <w:rFonts w:hint="eastAsia"/>
      </w:rPr>
    </w:lvl>
    <w:lvl w:ilvl="4">
      <w:start w:val="1"/>
      <w:numFmt w:val="decimal"/>
      <w:isLgl w:val="false"/>
      <w:suff w:val="tab"/>
      <w:lvlText w:val="%1.%2.%3.%4.%5."/>
      <w:lvlJc w:val="left"/>
      <w:pPr>
        <w:pStyle w:val="872"/>
        <w:ind w:left="992" w:hanging="992"/>
        <w:tabs>
          <w:tab w:val="num" w:pos="992" w:leader="none"/>
        </w:tabs>
      </w:pPr>
      <w:rPr>
        <w:rFonts w:hint="eastAsia"/>
      </w:rPr>
    </w:lvl>
    <w:lvl w:ilvl="5">
      <w:start w:val="1"/>
      <w:numFmt w:val="decimal"/>
      <w:isLgl w:val="false"/>
      <w:suff w:val="tab"/>
      <w:lvlText w:val="%1.%2.%3.%4.%5.%6."/>
      <w:lvlJc w:val="left"/>
      <w:pPr>
        <w:pStyle w:val="872"/>
        <w:ind w:left="1134" w:hanging="1134"/>
        <w:tabs>
          <w:tab w:val="num" w:pos="1134" w:leader="none"/>
        </w:tabs>
      </w:pPr>
      <w:rPr>
        <w:rFonts w:hint="eastAsia"/>
      </w:rPr>
    </w:lvl>
    <w:lvl w:ilvl="6">
      <w:start w:val="1"/>
      <w:numFmt w:val="decimal"/>
      <w:isLgl w:val="false"/>
      <w:suff w:val="tab"/>
      <w:lvlText w:val="%1.%2.%3.%4.%5.%6.%7."/>
      <w:lvlJc w:val="left"/>
      <w:pPr>
        <w:pStyle w:val="872"/>
        <w:ind w:left="1276" w:hanging="1276"/>
        <w:tabs>
          <w:tab w:val="num" w:pos="1276" w:leader="none"/>
        </w:tabs>
      </w:pPr>
      <w:rPr>
        <w:rFonts w:hint="eastAsia"/>
      </w:rPr>
    </w:lvl>
    <w:lvl w:ilvl="7">
      <w:start w:val="1"/>
      <w:numFmt w:val="decimal"/>
      <w:isLgl w:val="false"/>
      <w:suff w:val="tab"/>
      <w:lvlText w:val="%1.%2.%3.%4.%5.%6.%7.%8."/>
      <w:lvlJc w:val="left"/>
      <w:pPr>
        <w:pStyle w:val="872"/>
        <w:ind w:left="1418" w:hanging="1418"/>
        <w:tabs>
          <w:tab w:val="num" w:pos="1418" w:leader="none"/>
        </w:tabs>
      </w:pPr>
      <w:rPr>
        <w:rFonts w:hint="eastAsia"/>
      </w:rPr>
    </w:lvl>
    <w:lvl w:ilvl="8">
      <w:start w:val="1"/>
      <w:numFmt w:val="decimal"/>
      <w:isLgl w:val="false"/>
      <w:suff w:val="tab"/>
      <w:lvlText w:val="%1.%2.%3.%4.%5.%6.%7.%8.%9."/>
      <w:lvlJc w:val="left"/>
      <w:pPr>
        <w:pStyle w:val="87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2"/>
        <w:ind w:left="0" w:firstLine="0"/>
      </w:pPr>
      <w:rPr>
        <w:rFonts w:hint="eastAsia"/>
      </w:rPr>
    </w:lvl>
    <w:lvl w:ilvl="1">
      <w:start w:val="1"/>
      <w:numFmt w:val="decimal"/>
      <w:isLgl w:val="false"/>
      <w:suff w:val="nothing"/>
      <w:lvlText w:val="%2、"/>
      <w:lvlJc w:val="left"/>
      <w:pPr>
        <w:pStyle w:val="872"/>
        <w:ind w:left="0" w:firstLine="0"/>
      </w:pPr>
      <w:rPr>
        <w:rFonts w:hint="eastAsia"/>
      </w:rPr>
    </w:lvl>
    <w:lvl w:ilvl="2">
      <w:start w:val="1"/>
      <w:numFmt w:val="decimal"/>
      <w:isLgl w:val="false"/>
      <w:suff w:val="nothing"/>
      <w:lvlText w:val="%2.%3 "/>
      <w:lvlJc w:val="left"/>
      <w:pPr>
        <w:pStyle w:val="872"/>
        <w:ind w:left="0" w:firstLine="0"/>
      </w:pPr>
      <w:rPr>
        <w:rFonts w:hint="eastAsia"/>
      </w:rPr>
    </w:lvl>
    <w:lvl w:ilvl="3">
      <w:start w:val="1"/>
      <w:numFmt w:val="decimal"/>
      <w:isLgl w:val="false"/>
      <w:suff w:val="nothing"/>
      <w:lvlText w:val="%2.%3.%4 "/>
      <w:lvlJc w:val="left"/>
      <w:pPr>
        <w:pStyle w:val="872"/>
        <w:ind w:left="0" w:firstLine="0"/>
      </w:pPr>
      <w:rPr>
        <w:rFonts w:hint="eastAsia"/>
      </w:rPr>
    </w:lvl>
    <w:lvl w:ilvl="4">
      <w:start w:val="1"/>
      <w:numFmt w:val="decimal"/>
      <w:isLgl w:val="false"/>
      <w:suff w:val="nothing"/>
      <w:lvlText w:val="%2.%3.%4.%5 "/>
      <w:lvlJc w:val="left"/>
      <w:pPr>
        <w:pStyle w:val="872"/>
        <w:ind w:left="0" w:firstLine="0"/>
      </w:pPr>
      <w:rPr>
        <w:rFonts w:hint="eastAsia"/>
      </w:rPr>
    </w:lvl>
    <w:lvl w:ilvl="5">
      <w:start w:val="1"/>
      <w:numFmt w:val="decimal"/>
      <w:pStyle w:val="878"/>
      <w:isLgl w:val="false"/>
      <w:suff w:val="nothing"/>
      <w:lvlText w:val=""/>
      <w:lvlJc w:val="left"/>
      <w:pPr>
        <w:pStyle w:val="872"/>
        <w:ind w:left="0" w:firstLine="0"/>
      </w:pPr>
      <w:rPr>
        <w:rFonts w:hint="eastAsia"/>
      </w:rPr>
    </w:lvl>
    <w:lvl w:ilvl="6">
      <w:start w:val="1"/>
      <w:numFmt w:val="decimal"/>
      <w:pStyle w:val="879"/>
      <w:isLgl w:val="false"/>
      <w:suff w:val="nothing"/>
      <w:lvlText w:val=""/>
      <w:lvlJc w:val="left"/>
      <w:pPr>
        <w:pStyle w:val="872"/>
        <w:ind w:left="0" w:firstLine="0"/>
      </w:pPr>
      <w:rPr>
        <w:rFonts w:hint="eastAsia"/>
      </w:rPr>
    </w:lvl>
    <w:lvl w:ilvl="7">
      <w:start w:val="1"/>
      <w:numFmt w:val="decimal"/>
      <w:pStyle w:val="880"/>
      <w:isLgl w:val="false"/>
      <w:suff w:val="nothing"/>
      <w:lvlText w:val=""/>
      <w:lvlJc w:val="left"/>
      <w:pPr>
        <w:pStyle w:val="872"/>
        <w:ind w:left="0" w:firstLine="0"/>
      </w:pPr>
      <w:rPr>
        <w:rFonts w:hint="eastAsia"/>
      </w:rPr>
    </w:lvl>
    <w:lvl w:ilvl="8">
      <w:start w:val="1"/>
      <w:numFmt w:val="decimal"/>
      <w:pStyle w:val="881"/>
      <w:isLgl w:val="false"/>
      <w:suff w:val="nothing"/>
      <w:lvlText w:val=""/>
      <w:lvlJc w:val="left"/>
      <w:pPr>
        <w:pStyle w:val="872"/>
        <w:ind w:left="0" w:firstLine="0"/>
      </w:pPr>
      <w:rPr>
        <w:rFonts w:hint="eastAsia"/>
      </w:r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4"/>
    <w:link w:val="872"/>
    <w:qFormat/>
    <w:pPr>
      <w:jc w:val="both"/>
      <w:widowControl w:val="off"/>
    </w:pPr>
    <w:rPr>
      <w:sz w:val="21"/>
      <w:szCs w:val="22"/>
      <w:lang w:val="en-US" w:eastAsia="zh-CN" w:bidi="ar-SA"/>
    </w:rPr>
  </w:style>
  <w:style w:type="paragraph" w:styleId="873">
    <w:name w:val="标题 1"/>
    <w:basedOn w:val="872"/>
    <w:next w:val="872"/>
    <w:link w:val="885"/>
    <w:qFormat/>
    <w:pPr>
      <w:jc w:val="center"/>
      <w:keepNext/>
      <w:outlineLvl w:val="0"/>
    </w:pPr>
    <w:rPr>
      <w:rFonts w:ascii="楷体_GB2312" w:hAnsi="Times New Roman" w:eastAsia="楷体_GB2312" w:cs="Times New Roman"/>
      <w:sz w:val="28"/>
      <w:szCs w:val="28"/>
    </w:rPr>
  </w:style>
  <w:style w:type="paragraph" w:styleId="874">
    <w:name w:val="标题 2"/>
    <w:basedOn w:val="872"/>
    <w:next w:val="872"/>
    <w:link w:val="886"/>
    <w:qFormat/>
    <w:pPr>
      <w:jc w:val="center"/>
      <w:keepLines/>
      <w:keepNext/>
      <w:spacing w:before="260" w:after="260" w:line="416" w:lineRule="auto"/>
      <w:outlineLvl w:val="1"/>
    </w:pPr>
    <w:rPr>
      <w:rFonts w:ascii="Arial" w:hAnsi="Arial" w:eastAsia="幼圆" w:cs="Arial"/>
      <w:b/>
      <w:bCs/>
      <w:sz w:val="44"/>
      <w:szCs w:val="44"/>
    </w:rPr>
  </w:style>
  <w:style w:type="paragraph" w:styleId="875">
    <w:name w:val="标题 3"/>
    <w:basedOn w:val="872"/>
    <w:next w:val="888"/>
    <w:link w:val="88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6">
    <w:name w:val="标题 4"/>
    <w:basedOn w:val="872"/>
    <w:next w:val="888"/>
    <w:link w:val="890"/>
    <w:qFormat/>
    <w:pPr>
      <w:keepLines/>
      <w:keepNext/>
      <w:spacing w:before="280" w:after="290" w:line="376" w:lineRule="auto"/>
      <w:outlineLvl w:val="3"/>
    </w:pPr>
    <w:rPr>
      <w:rFonts w:ascii="Arial" w:hAnsi="Arial" w:eastAsia="黑体" w:cs="Arial"/>
      <w:b/>
      <w:bCs/>
      <w:sz w:val="28"/>
      <w:szCs w:val="28"/>
    </w:rPr>
  </w:style>
  <w:style w:type="paragraph" w:styleId="877">
    <w:name w:val="标题 5"/>
    <w:basedOn w:val="872"/>
    <w:next w:val="888"/>
    <w:link w:val="891"/>
    <w:qFormat/>
    <w:pPr>
      <w:keepNext/>
      <w:outlineLvl w:val="4"/>
    </w:pPr>
    <w:rPr>
      <w:rFonts w:ascii="宋体" w:hAnsi="Times New Roman" w:eastAsia="宋体" w:cs="Times New Roman"/>
      <w:color w:val="000000"/>
      <w:sz w:val="28"/>
      <w:szCs w:val="28"/>
    </w:rPr>
  </w:style>
  <w:style w:type="paragraph" w:styleId="878">
    <w:name w:val="标题 6"/>
    <w:basedOn w:val="872"/>
    <w:next w:val="872"/>
    <w:link w:val="8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9">
    <w:name w:val="标题 7"/>
    <w:basedOn w:val="872"/>
    <w:next w:val="872"/>
    <w:link w:val="8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0">
    <w:name w:val="标题 8"/>
    <w:basedOn w:val="872"/>
    <w:next w:val="872"/>
    <w:link w:val="8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1">
    <w:name w:val="标题 9"/>
    <w:basedOn w:val="872"/>
    <w:next w:val="872"/>
    <w:link w:val="895"/>
    <w:qFormat/>
    <w:pPr>
      <w:numPr>
        <w:ilvl w:val="8"/>
        <w:numId w:val="1"/>
      </w:numPr>
      <w:keepLines/>
      <w:keepNext/>
      <w:spacing w:before="240" w:after="64" w:line="320" w:lineRule="auto"/>
      <w:outlineLvl w:val="8"/>
    </w:pPr>
    <w:rPr>
      <w:rFonts w:ascii="Arial" w:hAnsi="Arial" w:eastAsia="黑体" w:cs="Times New Roman"/>
      <w:szCs w:val="21"/>
    </w:rPr>
  </w:style>
  <w:style w:type="character" w:styleId="882">
    <w:name w:val="默认段落字体"/>
    <w:next w:val="882"/>
    <w:link w:val="872"/>
    <w:uiPriority w:val="1"/>
    <w:unhideWhenUsed/>
  </w:style>
  <w:style w:type="table" w:styleId="883">
    <w:name w:val="普通表格"/>
    <w:next w:val="883"/>
    <w:link w:val="872"/>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4">
    <w:name w:val="索引 41"/>
    <w:basedOn w:val="872"/>
    <w:next w:val="872"/>
    <w:link w:val="872"/>
    <w:semiHidden/>
    <w:qFormat/>
    <w:pPr>
      <w:ind w:left="1260"/>
    </w:pPr>
    <w:rPr>
      <w:rFonts w:ascii="Calibri" w:hAnsi="Calibri" w:eastAsia="Calibri" w:cs="宋体"/>
      <w:sz w:val="20"/>
      <w:lang w:val="zh-CN"/>
    </w:rPr>
  </w:style>
  <w:style w:type="character" w:styleId="885">
    <w:name w:val="标题 1 Char"/>
    <w:next w:val="885"/>
    <w:link w:val="873"/>
    <w:rPr>
      <w:rFonts w:ascii="楷体_GB2312" w:hAnsi="Times New Roman" w:eastAsia="楷体_GB2312" w:cs="Times New Roman"/>
      <w:sz w:val="28"/>
      <w:szCs w:val="28"/>
    </w:rPr>
  </w:style>
  <w:style w:type="character" w:styleId="886">
    <w:name w:val="标题 2 Char"/>
    <w:next w:val="886"/>
    <w:link w:val="874"/>
    <w:rPr>
      <w:rFonts w:ascii="Arial" w:hAnsi="Arial" w:eastAsia="幼圆" w:cs="Arial"/>
      <w:b/>
      <w:bCs/>
      <w:sz w:val="44"/>
      <w:szCs w:val="44"/>
    </w:rPr>
  </w:style>
  <w:style w:type="character" w:styleId="887">
    <w:name w:val="标题 3 Char"/>
    <w:next w:val="887"/>
    <w:link w:val="875"/>
    <w:rPr>
      <w:rFonts w:ascii="Times New Roman" w:hAnsi="Times New Roman" w:eastAsia="宋体" w:cs="Times New Roman"/>
      <w:b/>
      <w:bCs/>
      <w:sz w:val="32"/>
      <w:szCs w:val="32"/>
    </w:rPr>
  </w:style>
  <w:style w:type="paragraph" w:styleId="888">
    <w:name w:val="正文缩进"/>
    <w:basedOn w:val="872"/>
    <w:next w:val="888"/>
    <w:link w:val="889"/>
    <w:pPr>
      <w:ind w:firstLine="420"/>
    </w:pPr>
    <w:rPr>
      <w:szCs w:val="21"/>
    </w:rPr>
  </w:style>
  <w:style w:type="character" w:styleId="889">
    <w:name w:val="正文缩进 Char"/>
    <w:next w:val="889"/>
    <w:link w:val="888"/>
    <w:rPr>
      <w:szCs w:val="21"/>
    </w:rPr>
  </w:style>
  <w:style w:type="character" w:styleId="890">
    <w:name w:val="标题 4 Char"/>
    <w:next w:val="890"/>
    <w:link w:val="876"/>
    <w:rPr>
      <w:rFonts w:ascii="Arial" w:hAnsi="Arial" w:eastAsia="黑体" w:cs="Arial"/>
      <w:b/>
      <w:bCs/>
      <w:sz w:val="28"/>
      <w:szCs w:val="28"/>
    </w:rPr>
  </w:style>
  <w:style w:type="character" w:styleId="891">
    <w:name w:val="标题 5 Char"/>
    <w:next w:val="891"/>
    <w:link w:val="877"/>
    <w:rPr>
      <w:rFonts w:ascii="宋体" w:hAnsi="Times New Roman" w:eastAsia="宋体" w:cs="Times New Roman"/>
      <w:color w:val="000000"/>
      <w:sz w:val="28"/>
      <w:szCs w:val="28"/>
    </w:rPr>
  </w:style>
  <w:style w:type="character" w:styleId="892">
    <w:name w:val="标题 6 Char"/>
    <w:next w:val="892"/>
    <w:link w:val="878"/>
    <w:rPr>
      <w:rFonts w:ascii="Arial" w:hAnsi="Arial" w:eastAsia="黑体" w:cs="Times New Roman"/>
      <w:b/>
      <w:bCs/>
      <w:sz w:val="24"/>
      <w:szCs w:val="24"/>
    </w:rPr>
  </w:style>
  <w:style w:type="character" w:styleId="893">
    <w:name w:val="标题 7 Char"/>
    <w:next w:val="893"/>
    <w:link w:val="879"/>
    <w:rPr>
      <w:rFonts w:ascii="Times New Roman" w:hAnsi="Times New Roman" w:eastAsia="宋体" w:cs="Times New Roman"/>
      <w:b/>
      <w:bCs/>
      <w:sz w:val="24"/>
      <w:szCs w:val="24"/>
    </w:rPr>
  </w:style>
  <w:style w:type="character" w:styleId="894">
    <w:name w:val="标题 8 Char"/>
    <w:next w:val="894"/>
    <w:link w:val="880"/>
    <w:rPr>
      <w:rFonts w:ascii="Arial" w:hAnsi="Arial" w:eastAsia="黑体" w:cs="Times New Roman"/>
      <w:sz w:val="24"/>
      <w:szCs w:val="24"/>
    </w:rPr>
  </w:style>
  <w:style w:type="character" w:styleId="895">
    <w:name w:val="标题 9 Char"/>
    <w:next w:val="895"/>
    <w:link w:val="881"/>
    <w:rPr>
      <w:rFonts w:ascii="Arial" w:hAnsi="Arial" w:eastAsia="黑体" w:cs="Times New Roman"/>
      <w:szCs w:val="21"/>
    </w:rPr>
  </w:style>
  <w:style w:type="paragraph" w:styleId="896">
    <w:name w:val="列表 3"/>
    <w:basedOn w:val="872"/>
    <w:next w:val="896"/>
    <w:link w:val="872"/>
    <w:pPr>
      <w:ind w:left="100" w:hanging="200"/>
    </w:pPr>
    <w:rPr>
      <w:rFonts w:ascii="Times New Roman" w:hAnsi="Times New Roman" w:eastAsia="宋体" w:cs="Times New Roman"/>
      <w:szCs w:val="21"/>
    </w:rPr>
  </w:style>
  <w:style w:type="paragraph" w:styleId="897">
    <w:name w:val="目录 7"/>
    <w:basedOn w:val="872"/>
    <w:next w:val="872"/>
    <w:link w:val="872"/>
    <w:semiHidden/>
    <w:pPr>
      <w:ind w:left="1260"/>
      <w:jc w:val="left"/>
    </w:pPr>
    <w:rPr>
      <w:rFonts w:ascii="Times New Roman" w:hAnsi="Times New Roman" w:eastAsia="宋体" w:cs="Times New Roman"/>
      <w:szCs w:val="21"/>
    </w:rPr>
  </w:style>
  <w:style w:type="paragraph" w:styleId="898">
    <w:name w:val="文档结构图"/>
    <w:basedOn w:val="872"/>
    <w:next w:val="898"/>
    <w:link w:val="899"/>
    <w:semiHidden/>
    <w:pPr>
      <w:shd w:val="clear" w:color="auto" w:fill="000080"/>
    </w:pPr>
    <w:rPr>
      <w:rFonts w:ascii="Times New Roman" w:hAnsi="Times New Roman" w:eastAsia="宋体" w:cs="Times New Roman"/>
      <w:szCs w:val="21"/>
    </w:rPr>
  </w:style>
  <w:style w:type="character" w:styleId="899">
    <w:name w:val="文档结构图 Char"/>
    <w:next w:val="899"/>
    <w:link w:val="898"/>
    <w:semiHidden/>
    <w:rPr>
      <w:rFonts w:ascii="Times New Roman" w:hAnsi="Times New Roman" w:eastAsia="宋体" w:cs="Times New Roman"/>
      <w:szCs w:val="21"/>
      <w:shd w:val="clear" w:color="auto" w:fill="000080"/>
    </w:rPr>
  </w:style>
  <w:style w:type="paragraph" w:styleId="900">
    <w:name w:val="批注文字"/>
    <w:basedOn w:val="872"/>
    <w:next w:val="900"/>
    <w:link w:val="90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1">
    <w:name w:val="批注文字 字符"/>
    <w:basedOn w:val="882"/>
    <w:next w:val="901"/>
    <w:link w:val="900"/>
    <w:rPr>
      <w:rFonts w:ascii="Calibri" w:hAnsi="Calibri" w:eastAsia="宋体" w:cs="Times New Roman"/>
      <w:sz w:val="21"/>
      <w:szCs w:val="24"/>
    </w:rPr>
  </w:style>
  <w:style w:type="paragraph" w:styleId="902">
    <w:name w:val="正文文本 3"/>
    <w:basedOn w:val="872"/>
    <w:next w:val="902"/>
    <w:link w:val="903"/>
    <w:rPr>
      <w:rFonts w:ascii="仿宋_GB2312" w:hAnsi="Arial" w:eastAsia="仿宋_GB2312" w:cs="Times New Roman"/>
      <w:sz w:val="32"/>
      <w:szCs w:val="32"/>
    </w:rPr>
  </w:style>
  <w:style w:type="character" w:styleId="903">
    <w:name w:val="正文文本 3 Char"/>
    <w:next w:val="903"/>
    <w:link w:val="902"/>
    <w:rPr>
      <w:rFonts w:ascii="仿宋_GB2312" w:hAnsi="Arial" w:eastAsia="仿宋_GB2312" w:cs="Times New Roman"/>
      <w:sz w:val="32"/>
      <w:szCs w:val="32"/>
    </w:rPr>
  </w:style>
  <w:style w:type="paragraph" w:styleId="904">
    <w:name w:val="正文文本"/>
    <w:basedOn w:val="872"/>
    <w:next w:val="904"/>
    <w:link w:val="905"/>
    <w:rPr>
      <w:rFonts w:ascii="楷体_GB2312" w:hAnsi="Arial" w:eastAsia="楷体_GB2312" w:cs="Times New Roman"/>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2"/>
    <w:next w:val="908"/>
    <w:link w:val="907"/>
    <w:unhideWhenUsed/>
    <w:pPr>
      <w:ind w:left="420"/>
      <w:spacing w:after="120"/>
    </w:pPr>
  </w:style>
  <w:style w:type="character" w:styleId="907">
    <w:name w:val="正文文本缩进 Char"/>
    <w:basedOn w:val="882"/>
    <w:next w:val="907"/>
    <w:link w:val="906"/>
    <w:uiPriority w:val="99"/>
    <w:semiHidden/>
  </w:style>
  <w:style w:type="paragraph" w:styleId="908">
    <w:name w:val="寄信人地址"/>
    <w:basedOn w:val="872"/>
    <w:next w:val="908"/>
    <w:link w:val="872"/>
    <w:qFormat/>
    <w:rPr>
      <w:rFonts w:ascii="Arial" w:hAnsi="Arial" w:eastAsia="宋体" w:cs="宋体"/>
    </w:rPr>
  </w:style>
  <w:style w:type="paragraph" w:styleId="909">
    <w:name w:val="列表 2"/>
    <w:basedOn w:val="872"/>
    <w:next w:val="909"/>
    <w:link w:val="872"/>
    <w:pPr>
      <w:ind w:left="100" w:hanging="200"/>
    </w:pPr>
    <w:rPr>
      <w:rFonts w:ascii="Times New Roman" w:hAnsi="Times New Roman" w:eastAsia="宋体" w:cs="Times New Roman"/>
      <w:szCs w:val="21"/>
    </w:rPr>
  </w:style>
  <w:style w:type="paragraph" w:styleId="910">
    <w:name w:val="目录 5"/>
    <w:basedOn w:val="872"/>
    <w:next w:val="872"/>
    <w:link w:val="872"/>
    <w:semiHidden/>
    <w:pPr>
      <w:ind w:left="840"/>
      <w:jc w:val="left"/>
    </w:pPr>
    <w:rPr>
      <w:rFonts w:ascii="Times New Roman" w:hAnsi="Times New Roman" w:eastAsia="宋体" w:cs="Times New Roman"/>
      <w:szCs w:val="21"/>
    </w:rPr>
  </w:style>
  <w:style w:type="paragraph" w:styleId="911">
    <w:name w:val="目录 3"/>
    <w:basedOn w:val="872"/>
    <w:next w:val="872"/>
    <w:link w:val="872"/>
    <w:semiHidden/>
    <w:pPr>
      <w:ind w:left="420"/>
      <w:jc w:val="left"/>
    </w:pPr>
    <w:rPr>
      <w:rFonts w:ascii="Times New Roman" w:hAnsi="Times New Roman" w:eastAsia="宋体" w:cs="Times New Roman"/>
      <w:i/>
      <w:iCs/>
      <w:szCs w:val="24"/>
    </w:rPr>
  </w:style>
  <w:style w:type="paragraph" w:styleId="912">
    <w:name w:val="纯文本"/>
    <w:basedOn w:val="872"/>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2"/>
    <w:next w:val="872"/>
    <w:link w:val="872"/>
    <w:semiHidden/>
    <w:pPr>
      <w:ind w:left="1470"/>
      <w:jc w:val="left"/>
    </w:pPr>
    <w:rPr>
      <w:rFonts w:ascii="Times New Roman" w:hAnsi="Times New Roman" w:eastAsia="宋体" w:cs="Times New Roman"/>
      <w:szCs w:val="21"/>
    </w:rPr>
  </w:style>
  <w:style w:type="paragraph" w:styleId="915">
    <w:name w:val="日期"/>
    <w:basedOn w:val="872"/>
    <w:next w:val="872"/>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2"/>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2"/>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2"/>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2"/>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2"/>
    <w:next w:val="872"/>
    <w:link w:val="87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2"/>
    <w:next w:val="872"/>
    <w:link w:val="872"/>
    <w:semiHidden/>
    <w:pPr>
      <w:ind w:left="630"/>
      <w:jc w:val="left"/>
    </w:pPr>
    <w:rPr>
      <w:rFonts w:ascii="Times New Roman" w:hAnsi="Times New Roman" w:eastAsia="宋体" w:cs="Times New Roman"/>
      <w:szCs w:val="21"/>
    </w:rPr>
  </w:style>
  <w:style w:type="paragraph" w:styleId="927">
    <w:name w:val="列表"/>
    <w:basedOn w:val="872"/>
    <w:next w:val="927"/>
    <w:link w:val="872"/>
    <w:pPr>
      <w:ind w:left="200" w:hanging="200"/>
    </w:pPr>
    <w:rPr>
      <w:rFonts w:ascii="Times New Roman" w:hAnsi="Times New Roman" w:eastAsia="宋体" w:cs="Times New Roman"/>
      <w:szCs w:val="21"/>
    </w:rPr>
  </w:style>
  <w:style w:type="paragraph" w:styleId="928">
    <w:name w:val="目录 6"/>
    <w:basedOn w:val="872"/>
    <w:next w:val="872"/>
    <w:link w:val="872"/>
    <w:semiHidden/>
    <w:pPr>
      <w:ind w:left="1050"/>
      <w:jc w:val="left"/>
    </w:pPr>
    <w:rPr>
      <w:rFonts w:ascii="Times New Roman" w:hAnsi="Times New Roman" w:eastAsia="宋体" w:cs="Times New Roman"/>
      <w:szCs w:val="21"/>
    </w:rPr>
  </w:style>
  <w:style w:type="paragraph" w:styleId="929">
    <w:name w:val="正文文本缩进 3"/>
    <w:basedOn w:val="872"/>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2"/>
    <w:next w:val="872"/>
    <w:link w:val="872"/>
    <w:semiHidden/>
    <w:pPr>
      <w:ind w:left="840" w:hanging="420"/>
    </w:pPr>
    <w:rPr>
      <w:rFonts w:ascii="Times New Roman" w:hAnsi="Times New Roman" w:eastAsia="宋体" w:cs="Times New Roman"/>
      <w:szCs w:val="21"/>
    </w:rPr>
  </w:style>
  <w:style w:type="paragraph" w:styleId="932">
    <w:name w:val="目录 2"/>
    <w:basedOn w:val="872"/>
    <w:next w:val="872"/>
    <w:link w:val="872"/>
    <w:semiHidden/>
    <w:pPr>
      <w:ind w:left="210"/>
      <w:jc w:val="left"/>
    </w:pPr>
    <w:rPr>
      <w:rFonts w:ascii="Times New Roman" w:hAnsi="Times New Roman" w:eastAsia="宋体" w:cs="Times New Roman"/>
      <w:smallCaps/>
      <w:szCs w:val="24"/>
    </w:rPr>
  </w:style>
  <w:style w:type="paragraph" w:styleId="933">
    <w:name w:val="目录 9"/>
    <w:basedOn w:val="872"/>
    <w:next w:val="872"/>
    <w:link w:val="872"/>
    <w:semiHidden/>
    <w:pPr>
      <w:ind w:left="1680"/>
      <w:jc w:val="left"/>
    </w:pPr>
    <w:rPr>
      <w:rFonts w:ascii="Times New Roman" w:hAnsi="Times New Roman" w:eastAsia="宋体" w:cs="Times New Roman"/>
      <w:szCs w:val="21"/>
    </w:rPr>
  </w:style>
  <w:style w:type="paragraph" w:styleId="934">
    <w:name w:val="正文文本 2"/>
    <w:basedOn w:val="872"/>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2"/>
    <w:next w:val="936"/>
    <w:link w:val="872"/>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2"/>
    <w:next w:val="872"/>
    <w:link w:val="872"/>
    <w:semiHidden/>
    <w:pPr>
      <w:spacing w:line="240" w:lineRule="atLeast"/>
    </w:pPr>
    <w:rPr>
      <w:rFonts w:ascii="Times New Roman" w:hAnsi="Times New Roman" w:eastAsia="宋体" w:cs="Times New Roman"/>
      <w:b/>
      <w:bCs/>
      <w:szCs w:val="21"/>
    </w:rPr>
  </w:style>
  <w:style w:type="paragraph" w:styleId="938">
    <w:name w:val="批注主题"/>
    <w:basedOn w:val="900"/>
    <w:next w:val="900"/>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2"/>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6"/>
    <w:next w:val="872"/>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3"/>
    <w:next w:val="944"/>
    <w:link w:val="872"/>
    <w:pPr>
      <w:jc w:val="both"/>
      <w:widowControl w:val="off"/>
    </w:pPr>
    <w:rPr>
      <w:rFonts w:ascii="Times New Roman" w:hAnsi="Times New Roman" w:eastAsia="宋体" w:cs="Times New Roman"/>
      <w:sz w:val="20"/>
      <w:szCs w:val="20"/>
    </w:rPr>
    <w:tblPr/>
  </w:style>
  <w:style w:type="character" w:styleId="945">
    <w:name w:val="要点"/>
    <w:basedOn w:val="882"/>
    <w:next w:val="945"/>
    <w:link w:val="872"/>
    <w:qFormat/>
    <w:rPr>
      <w:b/>
      <w:bCs/>
    </w:rPr>
  </w:style>
  <w:style w:type="character" w:styleId="946">
    <w:name w:val="页码"/>
    <w:next w:val="946"/>
    <w:link w:val="872"/>
  </w:style>
  <w:style w:type="character" w:styleId="947">
    <w:name w:val="已访问的超链接"/>
    <w:next w:val="947"/>
    <w:link w:val="872"/>
    <w:rPr>
      <w:color w:val="800080"/>
      <w:u w:val="single"/>
    </w:rPr>
  </w:style>
  <w:style w:type="character" w:styleId="948">
    <w:name w:val="强调"/>
    <w:next w:val="948"/>
    <w:link w:val="872"/>
    <w:qFormat/>
    <w:rPr>
      <w:i/>
    </w:rPr>
  </w:style>
  <w:style w:type="character" w:styleId="949">
    <w:name w:val="超链接"/>
    <w:next w:val="949"/>
    <w:link w:val="872"/>
    <w:rPr>
      <w:color w:val="0000ff"/>
      <w:u w:val="single"/>
    </w:rPr>
  </w:style>
  <w:style w:type="character" w:styleId="950">
    <w:name w:val="批注引用"/>
    <w:next w:val="950"/>
    <w:link w:val="872"/>
    <w:semiHidden/>
    <w:rPr>
      <w:sz w:val="21"/>
      <w:szCs w:val="21"/>
    </w:rPr>
  </w:style>
  <w:style w:type="character" w:styleId="951">
    <w:name w:val="批注文字 Char"/>
    <w:basedOn w:val="882"/>
    <w:next w:val="951"/>
    <w:link w:val="900"/>
    <w:uiPriority w:val="99"/>
    <w:semiHidden/>
  </w:style>
  <w:style w:type="character" w:styleId="952">
    <w:name w:val="默认段落字体1"/>
    <w:next w:val="952"/>
    <w:link w:val="872"/>
    <w:uiPriority w:val="1"/>
    <w:unhideWhenUsed/>
    <w:qFormat/>
    <w:rPr>
      <w:sz w:val="21"/>
      <w:szCs w:val="22"/>
      <w:lang w:val="en-US" w:eastAsia="zh-CN" w:bidi="ar-SA"/>
    </w:rPr>
  </w:style>
  <w:style w:type="character" w:styleId="953">
    <w:name w:val="font5 Char"/>
    <w:next w:val="953"/>
    <w:link w:val="872"/>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72"/>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2"/>
    <w:next w:val="957"/>
    <w:link w:val="956"/>
    <w:qFormat/>
    <w:pPr>
      <w:contextualSpacing/>
      <w:ind w:left="720"/>
      <w:jc w:val="left"/>
      <w:widowControl/>
    </w:pPr>
    <w:rPr>
      <w:rFonts w:ascii="Calibri" w:hAnsi="Calibri"/>
      <w:sz w:val="24"/>
      <w:szCs w:val="24"/>
      <w:lang w:eastAsia="en-US" w:bidi="en-US"/>
    </w:rPr>
  </w:style>
  <w:style w:type="paragraph" w:styleId="958">
    <w:name w:val="Body Text(ch)"/>
    <w:basedOn w:val="872"/>
    <w:next w:val="904"/>
    <w:link w:val="872"/>
    <w:pPr>
      <w:spacing w:after="120"/>
    </w:pPr>
    <w:rPr>
      <w:rFonts w:ascii="宋体" w:hAnsi="Arial" w:eastAsia="宋体" w:cs="Times New Roman"/>
      <w:bCs/>
      <w:iCs/>
      <w:szCs w:val="24"/>
    </w:rPr>
  </w:style>
  <w:style w:type="paragraph" w:styleId="959">
    <w:name w:val="xl27"/>
    <w:basedOn w:val="872"/>
    <w:next w:val="959"/>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72"/>
    <w:next w:val="960"/>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72"/>
    <w:next w:val="961"/>
    <w:link w:val="872"/>
    <w:pPr>
      <w:ind w:firstLine="200"/>
      <w:tabs>
        <w:tab w:val="left" w:pos="360" w:leader="none"/>
      </w:tabs>
    </w:pPr>
    <w:rPr>
      <w:rFonts w:ascii="Times New Roman" w:hAnsi="Times New Roman" w:eastAsia="宋体" w:cs="Times New Roman"/>
      <w:sz w:val="28"/>
      <w:szCs w:val="30"/>
    </w:rPr>
  </w:style>
  <w:style w:type="paragraph" w:styleId="962">
    <w:name w:val=" Char"/>
    <w:basedOn w:val="898"/>
    <w:next w:val="962"/>
    <w:link w:val="872"/>
    <w:rPr>
      <w:rFonts w:ascii="Tahoma" w:hAnsi="Tahoma"/>
      <w:sz w:val="24"/>
      <w:szCs w:val="24"/>
    </w:rPr>
  </w:style>
  <w:style w:type="paragraph" w:styleId="963">
    <w:name w:val="普通正文"/>
    <w:basedOn w:val="872"/>
    <w:next w:val="963"/>
    <w:link w:val="872"/>
    <w:pPr>
      <w:ind w:firstLine="480"/>
      <w:jc w:val="left"/>
      <w:spacing w:before="120" w:after="120" w:line="360" w:lineRule="auto"/>
    </w:pPr>
    <w:rPr>
      <w:rFonts w:ascii="Arial" w:hAnsi="Arial" w:eastAsia="宋体" w:cs="Times New Roman"/>
      <w:sz w:val="24"/>
      <w:szCs w:val="24"/>
    </w:rPr>
  </w:style>
  <w:style w:type="paragraph" w:styleId="964">
    <w:name w:val="table_lines"/>
    <w:basedOn w:val="872"/>
    <w:next w:val="964"/>
    <w:link w:val="872"/>
    <w:pPr>
      <w:jc w:val="left"/>
      <w:widowControl/>
    </w:pPr>
    <w:rPr>
      <w:rFonts w:ascii="Times New Roman" w:hAnsi="Times New Roman" w:eastAsia="宋体" w:cs="Times New Roman"/>
      <w:sz w:val="20"/>
      <w:szCs w:val="20"/>
      <w:lang w:val="de-DE" w:eastAsia="de-DE"/>
    </w:rPr>
  </w:style>
  <w:style w:type="paragraph" w:styleId="965">
    <w:name w:val="附录1"/>
    <w:next w:val="965"/>
    <w:link w:val="87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2"/>
    <w:next w:val="966"/>
    <w:link w:val="872"/>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898"/>
    <w:next w:val="967"/>
    <w:link w:val="872"/>
    <w:pPr>
      <w:spacing w:line="360" w:lineRule="auto"/>
    </w:pPr>
    <w:rPr>
      <w:rFonts w:ascii="Tahoma" w:hAnsi="Tahoma"/>
      <w:sz w:val="24"/>
      <w:szCs w:val="24"/>
    </w:rPr>
  </w:style>
  <w:style w:type="paragraph" w:styleId="968">
    <w:name w:val="列出段落"/>
    <w:basedOn w:val="872"/>
    <w:next w:val="968"/>
    <w:link w:val="872"/>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72"/>
    <w:next w:val="929"/>
    <w:link w:val="872"/>
    <w:pPr>
      <w:ind w:firstLine="420"/>
      <w:spacing w:line="360" w:lineRule="auto"/>
    </w:pPr>
    <w:rPr>
      <w:rFonts w:ascii="Times New Roman" w:hAnsi="Times New Roman" w:eastAsia="宋体" w:cs="Times New Roman"/>
      <w:color w:val="ff0000"/>
      <w:sz w:val="24"/>
      <w:szCs w:val="24"/>
    </w:rPr>
  </w:style>
  <w:style w:type="paragraph" w:styleId="970">
    <w:name w:val="普通 (Web)"/>
    <w:basedOn w:val="872"/>
    <w:next w:val="970"/>
    <w:link w:val="872"/>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72"/>
    <w:next w:val="971"/>
    <w:link w:val="872"/>
    <w:pPr>
      <w:spacing w:line="360" w:lineRule="auto"/>
    </w:pPr>
    <w:rPr>
      <w:rFonts w:ascii="Times New Roman" w:hAnsi="Times New Roman" w:eastAsia="宋体" w:cs="Times New Roman"/>
      <w:sz w:val="24"/>
      <w:szCs w:val="20"/>
    </w:rPr>
  </w:style>
  <w:style w:type="paragraph" w:styleId="972">
    <w:name w:val="样式1"/>
    <w:basedOn w:val="872"/>
    <w:next w:val="972"/>
    <w:link w:val="872"/>
    <w:pPr>
      <w:numPr>
        <w:ilvl w:val="0"/>
        <w:numId w:val="3"/>
      </w:numPr>
      <w:tabs>
        <w:tab w:val="left" w:pos="709" w:leader="none"/>
      </w:tabs>
    </w:pPr>
    <w:rPr>
      <w:rFonts w:ascii="宋体" w:hAnsi="宋体" w:eastAsia="宋体" w:cs="Times New Roman"/>
      <w:szCs w:val="21"/>
    </w:rPr>
  </w:style>
  <w:style w:type="paragraph" w:styleId="973">
    <w:name w:val="font6"/>
    <w:basedOn w:val="872"/>
    <w:next w:val="973"/>
    <w:link w:val="872"/>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72"/>
    <w:next w:val="974"/>
    <w:link w:val="8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2"/>
    <w:next w:val="872"/>
    <w:link w:val="87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72"/>
    <w:next w:val="872"/>
    <w:link w:val="872"/>
    <w:pPr>
      <w:ind w:firstLine="624"/>
      <w:spacing w:line="590" w:lineRule="atLeast"/>
    </w:pPr>
    <w:rPr>
      <w:rFonts w:ascii="方正黑体_GBK" w:hAnsi="Times New Roman" w:eastAsia="方正黑体_GBK" w:cs="Times New Roman"/>
      <w:sz w:val="32"/>
      <w:szCs w:val="32"/>
    </w:rPr>
  </w:style>
  <w:style w:type="paragraph" w:styleId="977">
    <w:name w:val="xl24"/>
    <w:basedOn w:val="872"/>
    <w:next w:val="977"/>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72"/>
    <w:next w:val="978"/>
    <w:link w:val="87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72"/>
    <w:next w:val="979"/>
    <w:link w:val="872"/>
    <w:pPr>
      <w:jc w:val="left"/>
      <w:spacing w:after="160" w:line="240" w:lineRule="exact"/>
      <w:widowControl/>
    </w:pPr>
    <w:rPr>
      <w:rFonts w:ascii="Verdana" w:hAnsi="Verdana" w:eastAsia="宋体" w:cs="Times New Roman"/>
      <w:sz w:val="20"/>
      <w:szCs w:val="20"/>
      <w:lang w:eastAsia="en-US"/>
    </w:rPr>
  </w:style>
  <w:style w:type="paragraph" w:styleId="980">
    <w:name w:val="xl28"/>
    <w:basedOn w:val="872"/>
    <w:next w:val="980"/>
    <w:link w:val="8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72"/>
    <w:next w:val="981"/>
    <w:link w:val="872"/>
    <w:pPr>
      <w:jc w:val="left"/>
      <w:spacing w:after="160" w:line="240" w:lineRule="exact"/>
      <w:widowControl/>
    </w:pPr>
    <w:rPr>
      <w:rFonts w:ascii="Verdana" w:hAnsi="Verdana" w:eastAsia="宋体" w:cs="Times New Roman"/>
      <w:sz w:val="20"/>
      <w:szCs w:val="20"/>
      <w:lang w:eastAsia="en-US"/>
    </w:rPr>
  </w:style>
  <w:style w:type="paragraph" w:styleId="982">
    <w:name w:val="xl30"/>
    <w:basedOn w:val="872"/>
    <w:next w:val="982"/>
    <w:link w:val="872"/>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898"/>
    <w:next w:val="983"/>
    <w:link w:val="872"/>
    <w:pPr>
      <w:spacing w:line="360" w:lineRule="auto"/>
    </w:pPr>
    <w:rPr>
      <w:rFonts w:ascii="Tahoma" w:hAnsi="Tahoma"/>
      <w:sz w:val="24"/>
      <w:szCs w:val="24"/>
    </w:rPr>
  </w:style>
  <w:style w:type="paragraph" w:styleId="984">
    <w:name w:val="table_1stline"/>
    <w:basedOn w:val="872"/>
    <w:next w:val="984"/>
    <w:link w:val="872"/>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72"/>
    <w:next w:val="985"/>
    <w:link w:val="872"/>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72"/>
    <w:next w:val="872"/>
    <w:link w:val="87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72"/>
    <w:uiPriority w:val="99"/>
    <w:semiHidden/>
    <w:rPr>
      <w:rFonts w:ascii="Times New Roman" w:hAnsi="Times New Roman"/>
      <w:sz w:val="21"/>
      <w:szCs w:val="21"/>
      <w:lang w:val="en-US" w:eastAsia="zh-CN" w:bidi="ar-SA"/>
    </w:rPr>
  </w:style>
  <w:style w:type="paragraph" w:styleId="988">
    <w:name w:val="无间隔"/>
    <w:next w:val="988"/>
    <w:link w:val="872"/>
    <w:uiPriority w:val="99"/>
    <w:qFormat/>
    <w:pPr>
      <w:jc w:val="both"/>
      <w:widowControl w:val="off"/>
    </w:pPr>
    <w:rPr>
      <w:rFonts w:ascii="Times New Roman" w:hAnsi="Times New Roman"/>
      <w:sz w:val="21"/>
      <w:szCs w:val="21"/>
      <w:lang w:val="en-US" w:eastAsia="zh-CN" w:bidi="ar-SA"/>
    </w:rPr>
  </w:style>
  <w:style w:type="table" w:styleId="989">
    <w:name w:val="Table Normal"/>
    <w:next w:val="989"/>
    <w:link w:val="872"/>
    <w:qFormat/>
    <w:tblPr/>
  </w:style>
  <w:style w:type="paragraph" w:styleId="990">
    <w:name w:val="正文文本12"/>
    <w:basedOn w:val="872"/>
    <w:next w:val="990"/>
    <w:link w:val="872"/>
    <w:uiPriority w:val="1"/>
    <w:qFormat/>
    <w:pPr>
      <w:ind w:left="120"/>
    </w:pPr>
    <w:rPr>
      <w:rFonts w:ascii="宋体" w:hAnsi="宋体" w:eastAsia="宋体" w:cs="宋体"/>
      <w:sz w:val="21"/>
      <w:szCs w:val="21"/>
      <w:lang w:val="zh-CN" w:eastAsia="zh-CN" w:bidi="zh-CN"/>
    </w:rPr>
  </w:style>
  <w:style w:type="paragraph" w:styleId="991">
    <w:name w:val="正文文本 211"/>
    <w:basedOn w:val="872"/>
    <w:next w:val="991"/>
    <w:link w:val="872"/>
    <w:uiPriority w:val="99"/>
    <w:qFormat/>
    <w:pPr>
      <w:jc w:val="center"/>
    </w:pPr>
    <w:rPr>
      <w:b/>
      <w:bCs/>
      <w:sz w:val="20"/>
      <w:szCs w:val="20"/>
    </w:rPr>
  </w:style>
  <w:style w:type="paragraph" w:styleId="992">
    <w:name w:val="正文文本1"/>
    <w:basedOn w:val="872"/>
    <w:next w:val="872"/>
    <w:link w:val="872"/>
    <w:semiHidden/>
    <w:qFormat/>
    <w:rPr>
      <w:rFonts w:ascii="Arial" w:hAnsi="Arial" w:eastAsia="Arial" w:cs="Arial"/>
      <w:sz w:val="21"/>
      <w:szCs w:val="21"/>
      <w:lang w:val="en-US" w:eastAsia="en-US" w:bidi="ar-SA"/>
    </w:rPr>
  </w:style>
  <w:style w:type="paragraph" w:styleId="993">
    <w:name w:val="Table Paragraph"/>
    <w:basedOn w:val="872"/>
    <w:next w:val="993"/>
    <w:link w:val="872"/>
    <w:uiPriority w:val="1"/>
    <w:qFormat/>
    <w:pPr>
      <w:jc w:val="left"/>
    </w:pPr>
    <w:rPr>
      <w:rFonts w:ascii="宋体" w:hAnsi="宋体" w:eastAsia="宋体" w:cs="宋体"/>
      <w:sz w:val="22"/>
      <w:szCs w:val="22"/>
      <w:lang w:val="zh-CN" w:bidi="zh-CN"/>
    </w:rPr>
  </w:style>
  <w:style w:type="table" w:styleId="994">
    <w:name w:val="网格型1"/>
    <w:basedOn w:val="995"/>
    <w:next w:val="994"/>
    <w:link w:val="872"/>
    <w:qFormat/>
    <w:pPr>
      <w:jc w:val="both"/>
      <w:widowControl w:val="off"/>
    </w:pPr>
    <w:tblPr/>
  </w:style>
  <w:style w:type="table" w:styleId="995">
    <w:name w:val="普通表格1"/>
    <w:next w:val="995"/>
    <w:link w:val="872"/>
    <w:uiPriority w:val="99"/>
    <w:unhideWhenUsed/>
    <w:qFormat/>
    <w:tblPr/>
  </w:style>
  <w:style w:type="paragraph" w:styleId="996">
    <w:name w:val="正文文本缩进1"/>
    <w:basedOn w:val="872"/>
    <w:next w:val="997"/>
    <w:link w:val="872"/>
    <w:unhideWhenUsed/>
    <w:qFormat/>
    <w:pPr>
      <w:ind w:left="420"/>
      <w:spacing w:after="120"/>
    </w:pPr>
  </w:style>
  <w:style w:type="paragraph" w:styleId="997">
    <w:name w:val="正文文本首行缩进 2"/>
    <w:basedOn w:val="996"/>
    <w:next w:val="997"/>
    <w:link w:val="872"/>
    <w:qFormat/>
    <w:pPr>
      <w:ind w:left="0" w:firstLine="420"/>
      <w:spacing w:after="0" w:line="360" w:lineRule="auto"/>
    </w:pPr>
    <w:rPr>
      <w:rFonts w:ascii="宋体" w:hAnsi="宋体"/>
      <w:sz w:val="20"/>
      <w:szCs w:val="20"/>
      <w:lang w:val="en-US" w:eastAsia="en-US"/>
    </w:rPr>
  </w:style>
  <w:style w:type="table" w:styleId="998">
    <w:name w:val="Table Normal_0"/>
    <w:next w:val="998"/>
    <w:link w:val="872"/>
    <w:qFormat/>
    <w:tblPr/>
  </w:style>
  <w:style w:type="paragraph" w:styleId="999">
    <w:name w:val="正文首行缩进 211"/>
    <w:basedOn w:val="1000"/>
    <w:next w:val="872"/>
    <w:link w:val="872"/>
    <w:qFormat/>
    <w:pPr>
      <w:ind w:left="0" w:firstLine="420"/>
      <w:spacing w:after="0" w:line="360" w:lineRule="auto"/>
    </w:pPr>
    <w:rPr>
      <w:rFonts w:ascii="宋体" w:hAnsi="宋体" w:eastAsia="宋体" w:cs="Times New Roman"/>
      <w:szCs w:val="20"/>
    </w:rPr>
  </w:style>
  <w:style w:type="paragraph" w:styleId="1000">
    <w:name w:val="正文文本缩进11"/>
    <w:basedOn w:val="872"/>
    <w:next w:val="1001"/>
    <w:link w:val="872"/>
    <w:unhideWhenUsed/>
    <w:qFormat/>
    <w:pPr>
      <w:ind w:left="420"/>
      <w:spacing w:after="120"/>
    </w:pPr>
  </w:style>
  <w:style w:type="paragraph" w:styleId="1001">
    <w:name w:val="寄信人地址1"/>
    <w:basedOn w:val="872"/>
    <w:next w:val="1001"/>
    <w:link w:val="872"/>
    <w:qFormat/>
    <w:rPr>
      <w:rFonts w:ascii="Arial" w:hAnsi="Arial" w:eastAsia="宋体" w:cs="宋体"/>
    </w:rPr>
  </w:style>
  <w:style w:type="character" w:styleId="1002">
    <w:name w:val="15"/>
    <w:basedOn w:val="882"/>
    <w:next w:val="1002"/>
    <w:link w:val="872"/>
    <w:rPr>
      <w:rFonts w:ascii="Calibri" w:hAnsi="Calibri" w:cs="Calibri"/>
      <w:sz w:val="21"/>
      <w:szCs w:val="21"/>
    </w:rPr>
  </w:style>
  <w:style w:type="character" w:styleId="1003">
    <w:name w:val="font61"/>
    <w:basedOn w:val="882"/>
    <w:next w:val="1003"/>
    <w:link w:val="872"/>
    <w:qFormat/>
    <w:rPr>
      <w:rFonts w:hint="eastAsia" w:ascii="等线" w:hAnsi="等线" w:eastAsia="等线" w:cs="等线"/>
      <w:color w:val="ff0000"/>
      <w:sz w:val="21"/>
      <w:szCs w:val="21"/>
      <w:u w:val="none"/>
    </w:rPr>
  </w:style>
  <w:style w:type="character" w:styleId="1004">
    <w:name w:val="font81"/>
    <w:basedOn w:val="882"/>
    <w:next w:val="1004"/>
    <w:link w:val="872"/>
    <w:rPr>
      <w:rFonts w:hint="eastAsia" w:ascii="宋体" w:hAnsi="宋体" w:eastAsia="宋体" w:cs="宋体"/>
      <w:i w:val="0"/>
      <w:iCs w:val="0"/>
      <w:color w:val="000000"/>
      <w:sz w:val="18"/>
      <w:szCs w:val="18"/>
      <w:u w:val="none"/>
    </w:rPr>
  </w:style>
  <w:style w:type="character" w:styleId="1005">
    <w:name w:val="font112"/>
    <w:basedOn w:val="882"/>
    <w:next w:val="1005"/>
    <w:link w:val="872"/>
    <w:rPr>
      <w:rFonts w:hint="eastAsia" w:ascii="宋体" w:hAnsi="宋体" w:eastAsia="宋体" w:cs="宋体"/>
      <w:i w:val="0"/>
      <w:iCs w:val="0"/>
      <w:color w:val="e54c5e"/>
      <w:sz w:val="18"/>
      <w:szCs w:val="18"/>
      <w:u w:val="none"/>
    </w:rPr>
  </w:style>
  <w:style w:type="character" w:styleId="1006">
    <w:name w:val="font51"/>
    <w:basedOn w:val="882"/>
    <w:next w:val="1006"/>
    <w:link w:val="872"/>
    <w:qFormat/>
    <w:rPr>
      <w:rFonts w:hint="eastAsia" w:ascii="等线" w:hAnsi="等线" w:eastAsia="等线" w:cs="等线"/>
      <w:b/>
      <w:bCs/>
      <w:color w:val="ff0000"/>
      <w:sz w:val="21"/>
      <w:szCs w:val="21"/>
      <w:u w:val="none"/>
    </w:rPr>
  </w:style>
  <w:style w:type="character" w:styleId="1007">
    <w:name w:val="font11"/>
    <w:basedOn w:val="882"/>
    <w:next w:val="1007"/>
    <w:link w:val="872"/>
    <w:qFormat/>
    <w:rPr>
      <w:rFonts w:hint="eastAsia" w:ascii="等线" w:hAnsi="等线" w:eastAsia="等线" w:cs="等线"/>
      <w:color w:val="000000"/>
      <w:sz w:val="21"/>
      <w:szCs w:val="21"/>
      <w:u w:val="none"/>
    </w:rPr>
  </w:style>
  <w:style w:type="character" w:styleId="1008">
    <w:name w:val="font71"/>
    <w:basedOn w:val="882"/>
    <w:next w:val="1008"/>
    <w:link w:val="872"/>
    <w:rPr>
      <w:rFonts w:hint="eastAsia" w:ascii="等线" w:hAnsi="等线" w:eastAsia="等线" w:cs="等线"/>
      <w:b/>
      <w:bCs/>
      <w:i w:val="0"/>
      <w:iCs w:val="0"/>
      <w:color w:val="000000"/>
      <w:sz w:val="21"/>
      <w:szCs w:val="21"/>
      <w:u w:val="none"/>
    </w:rPr>
  </w:style>
  <w:style w:type="character" w:styleId="1009">
    <w:name w:val="font41"/>
    <w:basedOn w:val="882"/>
    <w:next w:val="1009"/>
    <w:link w:val="872"/>
    <w:rPr>
      <w:rFonts w:hint="eastAsia" w:ascii="等线" w:hAnsi="等线" w:eastAsia="等线" w:cs="等线"/>
      <w:color w:val="ff0000"/>
      <w:sz w:val="21"/>
      <w:szCs w:val="21"/>
      <w:u w:val="none"/>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2026-06-16T06:13:15Z</dcterms:modified>
</cp:coreProperties>
</file>