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660"/>
        <w:rPr>
          <w:rFonts w:ascii="楷体_GB2312" w:eastAsia="楷体_GB2312"/>
          <w:bCs/>
          <w:color w:val="000000"/>
          <w:sz w:val="30"/>
          <w:highlight w:val="none"/>
        </w:rPr>
      </w:pPr>
    </w:p>
    <w:p>
      <w:pPr>
        <w:jc w:val="center"/>
        <w:rPr>
          <w:rFonts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无锡市政府采购</w:t>
      </w:r>
    </w:p>
    <w:p>
      <w:pPr>
        <w:rPr>
          <w:rFonts w:ascii="华文中宋" w:hAnsi="华文中宋" w:eastAsia="华文中宋"/>
          <w:bCs/>
          <w:color w:val="000000"/>
          <w:sz w:val="30"/>
          <w:highlight w:val="none"/>
        </w:rPr>
      </w:pPr>
    </w:p>
    <w:p>
      <w:pPr>
        <w:tabs>
          <w:tab w:val="left" w:pos="9921"/>
        </w:tabs>
        <w:jc w:val="center"/>
        <w:rPr>
          <w:rFonts w:ascii="华文中宋" w:hAnsi="华文中宋" w:eastAsia="华文中宋"/>
          <w:bCs/>
          <w:sz w:val="30"/>
          <w:highlight w:val="none"/>
        </w:rPr>
      </w:pPr>
      <w:r>
        <w:rPr>
          <w:rFonts w:hint="eastAsia" w:ascii="华文中宋" w:hAnsi="华文中宋" w:eastAsia="华文中宋"/>
          <w:bCs/>
          <w:sz w:val="30"/>
          <w:highlight w:val="none"/>
        </w:rPr>
        <w:t>（全流程电子化）</w:t>
      </w:r>
    </w:p>
    <w:p>
      <w:pPr>
        <w:rPr>
          <w:rFonts w:ascii="华文中宋" w:hAnsi="华文中宋" w:eastAsia="华文中宋"/>
          <w:bCs/>
          <w:color w:val="000000"/>
          <w:sz w:val="30"/>
          <w:highlight w:val="none"/>
        </w:rPr>
      </w:pPr>
    </w:p>
    <w:p>
      <w:pPr>
        <w:rPr>
          <w:rFonts w:ascii="华文中宋" w:hAnsi="华文中宋" w:eastAsia="华文中宋"/>
          <w:bCs/>
          <w:color w:val="000000"/>
          <w:sz w:val="30"/>
          <w:highlight w:val="none"/>
        </w:rPr>
      </w:pPr>
    </w:p>
    <w:p>
      <w:pPr>
        <w:rPr>
          <w:rFonts w:ascii="华文中宋" w:hAnsi="华文中宋" w:eastAsia="华文中宋"/>
          <w:bCs/>
          <w:color w:val="000000"/>
          <w:sz w:val="30"/>
          <w:highlight w:val="none"/>
        </w:rPr>
      </w:pPr>
    </w:p>
    <w:p>
      <w:pPr>
        <w:jc w:val="center"/>
        <w:outlineLvl w:val="0"/>
        <w:rPr>
          <w:rFonts w:ascii="宋体" w:hAnsi="宋体" w:cs="宋体"/>
          <w:b/>
          <w:color w:val="000000"/>
          <w:spacing w:val="20"/>
          <w:sz w:val="52"/>
          <w:szCs w:val="52"/>
          <w:highlight w:val="none"/>
        </w:rPr>
      </w:pPr>
      <w:r>
        <w:rPr>
          <w:rFonts w:hint="eastAsia" w:ascii="宋体" w:hAnsi="宋体" w:cs="宋体"/>
          <w:b/>
          <w:color w:val="000000"/>
          <w:spacing w:val="20"/>
          <w:sz w:val="52"/>
          <w:szCs w:val="52"/>
          <w:highlight w:val="none"/>
        </w:rPr>
        <w:t>公开</w:t>
      </w:r>
    </w:p>
    <w:p>
      <w:pPr>
        <w:jc w:val="center"/>
        <w:outlineLvl w:val="0"/>
        <w:rPr>
          <w:rFonts w:ascii="黑体" w:hAnsi="华文中宋" w:eastAsia="黑体"/>
          <w:b/>
          <w:color w:val="000000"/>
          <w:spacing w:val="20"/>
          <w:sz w:val="52"/>
          <w:szCs w:val="52"/>
          <w:highlight w:val="none"/>
        </w:rPr>
      </w:pPr>
      <w:bookmarkStart w:id="0" w:name="_Toc9708"/>
      <w:r>
        <w:rPr>
          <w:rFonts w:ascii="宋体" w:hAnsi="宋体" w:cs="宋体"/>
          <w:b/>
          <w:color w:val="000000"/>
          <w:sz w:val="52"/>
          <w:szCs w:val="52"/>
          <w:highlight w:val="none"/>
        </w:rPr>
        <mc:AlternateContent>
          <mc:Choice Requires="wps">
            <w:drawing>
              <wp:anchor distT="0" distB="0" distL="114300" distR="114300" simplePos="0" relativeHeight="251662336"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pt;margin-top:15.6pt;height:0pt;width:0.05pt;z-index:251662336;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F5dLO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宋体" w:hAnsi="宋体" w:cs="宋体"/>
          <w:b/>
          <w:color w:val="000000"/>
          <w:spacing w:val="20"/>
          <w:sz w:val="52"/>
          <w:szCs w:val="52"/>
          <w:highlight w:val="none"/>
        </w:rPr>
        <w:t>招标文件</w:t>
      </w:r>
      <w:bookmarkEnd w:id="0"/>
    </w:p>
    <w:p>
      <w:pPr>
        <w:rPr>
          <w:rFonts w:ascii="华文中宋" w:hAnsi="华文中宋" w:eastAsia="华文中宋"/>
          <w:bCs/>
          <w:color w:val="000000"/>
          <w:sz w:val="30"/>
          <w:highlight w:val="none"/>
        </w:rPr>
      </w:pPr>
    </w:p>
    <w:p>
      <w:pPr>
        <w:tabs>
          <w:tab w:val="left" w:pos="9921"/>
        </w:tabs>
        <w:jc w:val="center"/>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w:t>
      </w:r>
      <w:r>
        <w:rPr>
          <w:rFonts w:hint="eastAsia" w:ascii="华文中宋" w:hAnsi="华文中宋" w:eastAsia="华文中宋"/>
          <w:bCs/>
          <w:color w:val="000000"/>
          <w:sz w:val="30"/>
          <w:highlight w:val="none"/>
          <w:lang w:val="en-US" w:eastAsia="zh-CN"/>
        </w:rPr>
        <w:t>暗标</w:t>
      </w:r>
      <w:r>
        <w:rPr>
          <w:rFonts w:hint="eastAsia" w:ascii="华文中宋" w:hAnsi="华文中宋" w:eastAsia="华文中宋"/>
          <w:bCs/>
          <w:color w:val="000000"/>
          <w:sz w:val="30"/>
          <w:highlight w:val="none"/>
        </w:rPr>
        <w:t>）</w:t>
      </w:r>
    </w:p>
    <w:p>
      <w:pPr>
        <w:jc w:val="left"/>
        <w:rPr>
          <w:rFonts w:ascii="华文中宋" w:hAnsi="华文中宋" w:eastAsia="华文中宋"/>
          <w:bCs/>
          <w:color w:val="000000"/>
          <w:sz w:val="30"/>
          <w:highlight w:val="none"/>
        </w:rPr>
      </w:pPr>
    </w:p>
    <w:p>
      <w:pPr>
        <w:pStyle w:val="227"/>
        <w:rPr>
          <w:rFonts w:hAnsi="华文中宋"/>
          <w:bCs w:val="0"/>
          <w:color w:val="000000"/>
          <w:sz w:val="30"/>
          <w:highlight w:val="none"/>
        </w:rPr>
      </w:pPr>
    </w:p>
    <w:p>
      <w:pPr>
        <w:pStyle w:val="247"/>
        <w:rPr>
          <w:highlight w:val="none"/>
        </w:rPr>
      </w:pPr>
    </w:p>
    <w:p>
      <w:pPr>
        <w:adjustRightInd w:val="0"/>
        <w:snapToGrid w:val="0"/>
        <w:spacing w:line="360" w:lineRule="auto"/>
        <w:ind w:firstLine="1480"/>
        <w:rPr>
          <w:rFonts w:hint="eastAsia" w:ascii="黑体" w:hAnsi="华文中宋" w:eastAsia="黑体"/>
          <w:bCs/>
          <w:color w:val="auto"/>
          <w:sz w:val="30"/>
          <w:szCs w:val="30"/>
          <w:highlight w:val="none"/>
          <w:lang w:eastAsia="zh-CN"/>
        </w:rPr>
      </w:pPr>
      <w:r>
        <w:rPr>
          <w:rFonts w:hint="eastAsia" w:ascii="黑体" w:hAnsi="华文中宋" w:eastAsia="黑体"/>
          <w:bCs/>
          <w:color w:val="000000"/>
          <w:sz w:val="30"/>
          <w:szCs w:val="30"/>
          <w:highlight w:val="none"/>
        </w:rPr>
        <w:t>采购项目编号：</w:t>
      </w:r>
      <w:r>
        <w:rPr>
          <w:rFonts w:hint="eastAsia" w:ascii="黑体" w:hAnsi="华文中宋" w:eastAsia="黑体"/>
          <w:bCs/>
          <w:color w:val="000000"/>
          <w:sz w:val="30"/>
          <w:szCs w:val="30"/>
          <w:highlight w:val="none"/>
          <w:lang w:eastAsia="zh-CN"/>
        </w:rPr>
        <w:t>JSZC-320200-BZDL-G2026-0018</w:t>
      </w:r>
    </w:p>
    <w:p>
      <w:pPr>
        <w:adjustRightInd w:val="0"/>
        <w:snapToGrid w:val="0"/>
        <w:spacing w:line="360" w:lineRule="auto"/>
        <w:ind w:firstLine="1480"/>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采购项目名称：</w:t>
      </w:r>
      <w:r>
        <w:rPr>
          <w:rFonts w:hint="eastAsia" w:ascii="黑体" w:hAnsi="华文中宋" w:eastAsia="黑体"/>
          <w:bCs/>
          <w:color w:val="000000"/>
          <w:sz w:val="30"/>
          <w:szCs w:val="30"/>
          <w:highlight w:val="none"/>
          <w:lang w:eastAsia="zh-CN"/>
        </w:rPr>
        <w:t>2026年生活垃圾转运站渗滤液外运处置项目</w:t>
      </w:r>
    </w:p>
    <w:p>
      <w:pPr>
        <w:adjustRightInd w:val="0"/>
        <w:snapToGrid w:val="0"/>
        <w:spacing w:line="360" w:lineRule="auto"/>
        <w:ind w:firstLine="1480"/>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采购人：</w:t>
      </w:r>
      <w:r>
        <w:rPr>
          <w:rFonts w:hint="eastAsia" w:ascii="黑体" w:hAnsi="华文中宋" w:eastAsia="黑体"/>
          <w:bCs/>
          <w:color w:val="000000"/>
          <w:sz w:val="30"/>
          <w:szCs w:val="30"/>
          <w:highlight w:val="none"/>
          <w:lang w:eastAsia="zh-CN"/>
        </w:rPr>
        <w:t>无锡市环境卫生管理服务中心</w:t>
      </w:r>
    </w:p>
    <w:p>
      <w:pPr>
        <w:adjustRightInd w:val="0"/>
        <w:snapToGrid w:val="0"/>
        <w:spacing w:line="360" w:lineRule="auto"/>
        <w:ind w:firstLine="1480"/>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采购代理机构：</w:t>
      </w:r>
      <w:r>
        <w:rPr>
          <w:rFonts w:hint="eastAsia" w:ascii="黑体" w:hAnsi="华文中宋" w:eastAsia="黑体"/>
          <w:bCs/>
          <w:color w:val="000000"/>
          <w:sz w:val="30"/>
          <w:szCs w:val="30"/>
          <w:highlight w:val="none"/>
          <w:lang w:eastAsia="zh-CN"/>
        </w:rPr>
        <w:t>江苏博智工程咨询有限公司</w:t>
      </w:r>
    </w:p>
    <w:p>
      <w:pPr>
        <w:rPr>
          <w:rFonts w:ascii="华文中宋" w:hAnsi="华文中宋" w:eastAsia="华文中宋"/>
          <w:bCs/>
          <w:color w:val="000000"/>
          <w:sz w:val="32"/>
          <w:highlight w:val="none"/>
        </w:rPr>
      </w:pPr>
    </w:p>
    <w:p>
      <w:pPr>
        <w:rPr>
          <w:rFonts w:ascii="华文中宋" w:hAnsi="华文中宋" w:eastAsia="华文中宋"/>
          <w:bCs/>
          <w:color w:val="000000"/>
          <w:sz w:val="30"/>
          <w:highlight w:val="none"/>
        </w:rPr>
      </w:pPr>
    </w:p>
    <w:p>
      <w:pPr>
        <w:jc w:val="center"/>
        <w:rPr>
          <w:rFonts w:ascii="黑体" w:hAnsi="华文中宋" w:eastAsia="黑体"/>
          <w:bCs/>
          <w:color w:val="000000"/>
          <w:sz w:val="44"/>
          <w:szCs w:val="44"/>
          <w:highlight w:val="none"/>
        </w:rPr>
      </w:pPr>
      <w:r>
        <w:rPr>
          <w:rFonts w:hint="eastAsia" w:ascii="黑体" w:hAnsi="华文中宋" w:eastAsia="黑体"/>
          <w:bCs/>
          <w:color w:val="000000"/>
          <w:sz w:val="44"/>
          <w:szCs w:val="44"/>
          <w:highlight w:val="none"/>
          <w:lang w:eastAsia="zh-CN"/>
        </w:rPr>
        <w:t>二〇二六</w:t>
      </w:r>
      <w:r>
        <w:rPr>
          <w:rFonts w:hint="eastAsia" w:ascii="黑体" w:hAnsi="华文中宋" w:eastAsia="黑体"/>
          <w:bCs/>
          <w:color w:val="000000"/>
          <w:sz w:val="44"/>
          <w:szCs w:val="44"/>
          <w:highlight w:val="none"/>
        </w:rPr>
        <w:t>年</w:t>
      </w:r>
      <w:r>
        <w:rPr>
          <w:rFonts w:hint="eastAsia" w:ascii="黑体" w:hAnsi="华文中宋" w:eastAsia="黑体"/>
          <w:bCs/>
          <w:color w:val="000000"/>
          <w:sz w:val="44"/>
          <w:szCs w:val="44"/>
          <w:highlight w:val="none"/>
          <w:lang w:val="en-US" w:eastAsia="zh-CN"/>
        </w:rPr>
        <w:t>七</w:t>
      </w:r>
      <w:r>
        <w:rPr>
          <w:rFonts w:hint="eastAsia" w:ascii="黑体" w:hAnsi="华文中宋" w:eastAsia="黑体"/>
          <w:bCs/>
          <w:color w:val="000000"/>
          <w:sz w:val="44"/>
          <w:szCs w:val="44"/>
          <w:highlight w:val="none"/>
        </w:rPr>
        <w:t>月</w:t>
      </w:r>
    </w:p>
    <w:p>
      <w:pPr>
        <w:jc w:val="center"/>
        <w:rPr>
          <w:rFonts w:ascii="黑体" w:eastAsia="黑体"/>
          <w:bCs/>
          <w:color w:val="000000"/>
          <w:sz w:val="44"/>
          <w:highlight w:val="none"/>
        </w:rPr>
      </w:pPr>
    </w:p>
    <w:p>
      <w:pPr>
        <w:rPr>
          <w:rFonts w:ascii="华文新魏" w:eastAsia="华文新魏"/>
          <w:bCs/>
          <w:color w:val="000000"/>
          <w:sz w:val="44"/>
          <w:highlight w:val="none"/>
        </w:rPr>
      </w:pPr>
    </w:p>
    <w:p>
      <w:pPr>
        <w:jc w:val="center"/>
        <w:rPr>
          <w:rStyle w:val="257"/>
          <w:rFonts w:eastAsia="黑体"/>
          <w:bCs/>
          <w:sz w:val="48"/>
          <w:highlight w:val="none"/>
        </w:rPr>
      </w:pPr>
    </w:p>
    <w:p>
      <w:pPr>
        <w:jc w:val="center"/>
        <w:outlineLvl w:val="0"/>
        <w:rPr>
          <w:rStyle w:val="257"/>
          <w:rFonts w:eastAsia="黑体"/>
          <w:bCs/>
          <w:sz w:val="48"/>
          <w:highlight w:val="none"/>
        </w:rPr>
        <w:sectPr>
          <w:headerReference r:id="rId3" w:type="default"/>
          <w:headerReference r:id="rId4" w:type="even"/>
          <w:footerReference r:id="rId5" w:type="even"/>
          <w:pgSz w:w="11906" w:h="16838"/>
          <w:pgMar w:top="1134" w:right="1134" w:bottom="1134" w:left="1134" w:header="624" w:footer="907" w:gutter="0"/>
          <w:pgNumType w:start="0"/>
          <w:cols w:space="1701" w:num="1"/>
          <w:titlePg/>
          <w:docGrid w:linePitch="360" w:charSpace="0"/>
        </w:sectPr>
      </w:pPr>
      <w:bookmarkStart w:id="1" w:name="_Toc27240"/>
    </w:p>
    <w:p>
      <w:pPr>
        <w:jc w:val="center"/>
        <w:outlineLvl w:val="0"/>
        <w:rPr>
          <w:rStyle w:val="257"/>
          <w:rFonts w:eastAsia="黑体"/>
          <w:sz w:val="48"/>
          <w:szCs w:val="48"/>
          <w:highlight w:val="none"/>
        </w:rPr>
      </w:pPr>
      <w:r>
        <w:rPr>
          <w:rStyle w:val="257"/>
          <w:rFonts w:hint="eastAsia" w:eastAsia="黑体"/>
          <w:bCs/>
          <w:sz w:val="48"/>
          <w:highlight w:val="none"/>
        </w:rPr>
        <w:t>目录</w:t>
      </w:r>
      <w:bookmarkEnd w:id="1"/>
    </w:p>
    <w:p>
      <w:pPr>
        <w:jc w:val="center"/>
        <w:rPr>
          <w:rFonts w:ascii="黑体" w:eastAsia="黑体"/>
          <w:bCs/>
          <w:color w:val="000000"/>
          <w:sz w:val="30"/>
          <w:highlight w:val="none"/>
        </w:rPr>
      </w:pPr>
    </w:p>
    <w:p>
      <w:pPr>
        <w:jc w:val="center"/>
        <w:rPr>
          <w:rFonts w:ascii="黑体" w:eastAsia="黑体"/>
          <w:bCs/>
          <w:color w:val="000000"/>
          <w:sz w:val="30"/>
          <w:highlight w:val="none"/>
        </w:rPr>
      </w:pPr>
    </w:p>
    <w:p>
      <w:pPr>
        <w:rPr>
          <w:color w:val="000000"/>
          <w:highlight w:val="none"/>
        </w:rPr>
      </w:pPr>
    </w:p>
    <w:p>
      <w:pPr>
        <w:pStyle w:val="243"/>
        <w:tabs>
          <w:tab w:val="right" w:leader="dot" w:pos="9921"/>
        </w:tabs>
        <w:rPr>
          <w:color w:val="000000"/>
          <w:highlight w:val="none"/>
        </w:rPr>
      </w:pPr>
      <w:r>
        <w:rPr>
          <w:rFonts w:ascii="宋体"/>
          <w:bCs/>
          <w:color w:val="000000"/>
          <w:sz w:val="30"/>
          <w:szCs w:val="30"/>
          <w:highlight w:val="none"/>
        </w:rPr>
        <w:fldChar w:fldCharType="begin"/>
      </w:r>
      <w:r>
        <w:rPr>
          <w:rFonts w:ascii="宋体"/>
          <w:bCs/>
          <w:color w:val="000000"/>
          <w:sz w:val="30"/>
          <w:szCs w:val="30"/>
          <w:highlight w:val="none"/>
        </w:rPr>
        <w:instrText xml:space="preserve">TOC \o "1-1" \h \u </w:instrText>
      </w:r>
      <w:r>
        <w:rPr>
          <w:rFonts w:ascii="宋体"/>
          <w:bCs/>
          <w:color w:val="000000"/>
          <w:sz w:val="30"/>
          <w:szCs w:val="30"/>
          <w:highlight w:val="none"/>
        </w:rPr>
        <w:fldChar w:fldCharType="separate"/>
      </w:r>
    </w:p>
    <w:p>
      <w:pPr>
        <w:pStyle w:val="243"/>
        <w:tabs>
          <w:tab w:val="right" w:leader="dot" w:pos="9460"/>
        </w:tabs>
        <w:spacing w:line="480" w:lineRule="auto"/>
        <w:ind w:left="638"/>
        <w:rPr>
          <w:rFonts w:ascii="宋体" w:hAnsi="宋体" w:cs="宋体"/>
          <w:color w:val="000000"/>
          <w:sz w:val="36"/>
          <w:szCs w:val="36"/>
          <w:highlight w:val="none"/>
        </w:rPr>
      </w:pPr>
      <w:r>
        <w:rPr>
          <w:highlight w:val="none"/>
        </w:rPr>
        <w:fldChar w:fldCharType="begin"/>
      </w:r>
      <w:r>
        <w:rPr>
          <w:highlight w:val="none"/>
        </w:rPr>
        <w:instrText xml:space="preserve"> HYPERLINK \l "_Toc26807" </w:instrText>
      </w:r>
      <w:r>
        <w:rPr>
          <w:highlight w:val="none"/>
        </w:rPr>
        <w:fldChar w:fldCharType="separate"/>
      </w:r>
      <w:r>
        <w:rPr>
          <w:rFonts w:hint="eastAsia" w:ascii="宋体" w:hAnsi="宋体" w:cs="宋体"/>
          <w:bCs/>
          <w:color w:val="000000"/>
          <w:sz w:val="36"/>
          <w:szCs w:val="36"/>
          <w:highlight w:val="none"/>
        </w:rPr>
        <w:t>一．投标邀请函</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_Toc26807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2</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p>
    <w:p>
      <w:pPr>
        <w:pStyle w:val="243"/>
        <w:tabs>
          <w:tab w:val="right" w:leader="dot" w:pos="9460"/>
        </w:tabs>
        <w:spacing w:line="480" w:lineRule="auto"/>
        <w:ind w:left="638"/>
        <w:rPr>
          <w:rFonts w:ascii="宋体" w:hAnsi="宋体" w:cs="宋体"/>
          <w:color w:val="000000"/>
          <w:sz w:val="36"/>
          <w:szCs w:val="36"/>
          <w:highlight w:val="none"/>
        </w:rPr>
      </w:pPr>
      <w:r>
        <w:rPr>
          <w:highlight w:val="none"/>
        </w:rPr>
        <w:fldChar w:fldCharType="begin"/>
      </w:r>
      <w:r>
        <w:rPr>
          <w:highlight w:val="none"/>
        </w:rPr>
        <w:instrText xml:space="preserve"> HYPERLINK \l "_Toc16116" </w:instrText>
      </w:r>
      <w:r>
        <w:rPr>
          <w:highlight w:val="none"/>
        </w:rPr>
        <w:fldChar w:fldCharType="separate"/>
      </w:r>
      <w:r>
        <w:rPr>
          <w:rFonts w:hint="eastAsia" w:ascii="宋体" w:hAnsi="宋体" w:cs="宋体"/>
          <w:bCs/>
          <w:color w:val="000000"/>
          <w:sz w:val="36"/>
          <w:szCs w:val="36"/>
          <w:highlight w:val="none"/>
        </w:rPr>
        <w:t>二．投标人须知</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t>5</w:t>
      </w:r>
      <w:r>
        <w:rPr>
          <w:rFonts w:hint="eastAsia" w:ascii="宋体" w:hAnsi="宋体" w:cs="宋体"/>
          <w:color w:val="000000"/>
          <w:sz w:val="36"/>
          <w:szCs w:val="36"/>
          <w:highlight w:val="none"/>
        </w:rPr>
        <w:fldChar w:fldCharType="end"/>
      </w:r>
    </w:p>
    <w:p>
      <w:pPr>
        <w:pStyle w:val="243"/>
        <w:tabs>
          <w:tab w:val="right" w:leader="dot" w:pos="9460"/>
        </w:tabs>
        <w:spacing w:line="480" w:lineRule="auto"/>
        <w:ind w:left="638"/>
        <w:rPr>
          <w:rFonts w:ascii="宋体" w:hAnsi="宋体" w:cs="宋体"/>
          <w:color w:val="000000"/>
          <w:sz w:val="36"/>
          <w:szCs w:val="36"/>
          <w:highlight w:val="none"/>
        </w:rPr>
      </w:pPr>
      <w:r>
        <w:rPr>
          <w:highlight w:val="none"/>
        </w:rPr>
        <w:fldChar w:fldCharType="begin"/>
      </w:r>
      <w:r>
        <w:rPr>
          <w:highlight w:val="none"/>
        </w:rPr>
        <w:instrText xml:space="preserve"> HYPERLINK \l "_Toc27505" </w:instrText>
      </w:r>
      <w:r>
        <w:rPr>
          <w:highlight w:val="none"/>
        </w:rPr>
        <w:fldChar w:fldCharType="separate"/>
      </w:r>
      <w:r>
        <w:rPr>
          <w:rFonts w:hint="eastAsia" w:ascii="宋体" w:hAnsi="宋体" w:cs="宋体"/>
          <w:bCs/>
          <w:color w:val="000000"/>
          <w:sz w:val="36"/>
          <w:szCs w:val="36"/>
          <w:highlight w:val="none"/>
        </w:rPr>
        <w:t>三．</w:t>
      </w:r>
      <w:r>
        <w:rPr>
          <w:rFonts w:hint="eastAsia" w:ascii="宋体" w:hAnsi="宋体" w:cs="宋体"/>
          <w:color w:val="000000"/>
          <w:sz w:val="36"/>
          <w:szCs w:val="36"/>
          <w:highlight w:val="none"/>
        </w:rPr>
        <w:t>项目技术要求和有关说明</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_Toc27505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16</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p>
    <w:p>
      <w:pPr>
        <w:pStyle w:val="243"/>
        <w:tabs>
          <w:tab w:val="right" w:leader="dot" w:pos="9460"/>
        </w:tabs>
        <w:spacing w:line="480" w:lineRule="auto"/>
        <w:ind w:left="638"/>
        <w:rPr>
          <w:rFonts w:ascii="宋体" w:hAnsi="宋体" w:cs="宋体"/>
          <w:color w:val="000000"/>
          <w:sz w:val="36"/>
          <w:szCs w:val="36"/>
          <w:highlight w:val="none"/>
        </w:rPr>
      </w:pPr>
      <w:r>
        <w:rPr>
          <w:highlight w:val="none"/>
        </w:rPr>
        <w:fldChar w:fldCharType="begin"/>
      </w:r>
      <w:r>
        <w:rPr>
          <w:highlight w:val="none"/>
        </w:rPr>
        <w:instrText xml:space="preserve"> HYPERLINK \l "_Toc12363" </w:instrText>
      </w:r>
      <w:r>
        <w:rPr>
          <w:highlight w:val="none"/>
        </w:rPr>
        <w:fldChar w:fldCharType="separate"/>
      </w:r>
      <w:r>
        <w:rPr>
          <w:rFonts w:hint="eastAsia" w:ascii="宋体" w:hAnsi="宋体" w:cs="宋体"/>
          <w:bCs/>
          <w:color w:val="000000"/>
          <w:sz w:val="36"/>
          <w:szCs w:val="36"/>
          <w:highlight w:val="none"/>
        </w:rPr>
        <w:t>四．</w:t>
      </w:r>
      <w:r>
        <w:rPr>
          <w:rFonts w:hint="eastAsia" w:ascii="宋体" w:hAnsi="宋体" w:cs="宋体"/>
          <w:color w:val="000000"/>
          <w:sz w:val="36"/>
          <w:szCs w:val="36"/>
          <w:highlight w:val="none"/>
        </w:rPr>
        <w:t>合同书（格式文本）</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t>2</w:t>
      </w:r>
      <w:r>
        <w:rPr>
          <w:rFonts w:hint="eastAsia" w:ascii="宋体" w:hAnsi="宋体" w:cs="宋体"/>
          <w:color w:val="000000"/>
          <w:sz w:val="36"/>
          <w:szCs w:val="36"/>
          <w:highlight w:val="none"/>
        </w:rPr>
        <w:fldChar w:fldCharType="end"/>
      </w:r>
      <w:r>
        <w:rPr>
          <w:rFonts w:hint="eastAsia" w:ascii="宋体" w:hAnsi="宋体" w:cs="宋体"/>
          <w:bCs/>
          <w:color w:val="000000"/>
          <w:sz w:val="36"/>
          <w:szCs w:val="36"/>
          <w:highlight w:val="none"/>
        </w:rPr>
        <w:t>1</w:t>
      </w:r>
    </w:p>
    <w:p>
      <w:pPr>
        <w:pStyle w:val="243"/>
        <w:tabs>
          <w:tab w:val="right" w:leader="dot" w:pos="9460"/>
        </w:tabs>
        <w:spacing w:line="480" w:lineRule="auto"/>
        <w:ind w:left="638"/>
        <w:rPr>
          <w:rFonts w:ascii="宋体" w:hAnsi="宋体" w:cs="宋体"/>
          <w:color w:val="000000"/>
          <w:sz w:val="36"/>
          <w:szCs w:val="36"/>
          <w:highlight w:val="none"/>
        </w:rPr>
      </w:pPr>
      <w:r>
        <w:rPr>
          <w:highlight w:val="none"/>
        </w:rPr>
        <w:fldChar w:fldCharType="begin"/>
      </w:r>
      <w:r>
        <w:rPr>
          <w:highlight w:val="none"/>
        </w:rPr>
        <w:instrText xml:space="preserve"> HYPERLINK \l "_Toc15101" </w:instrText>
      </w:r>
      <w:r>
        <w:rPr>
          <w:highlight w:val="none"/>
        </w:rPr>
        <w:fldChar w:fldCharType="separate"/>
      </w:r>
      <w:r>
        <w:rPr>
          <w:rFonts w:hint="eastAsia" w:ascii="宋体" w:hAnsi="宋体" w:cs="宋体"/>
          <w:bCs/>
          <w:color w:val="000000"/>
          <w:sz w:val="36"/>
          <w:szCs w:val="36"/>
          <w:highlight w:val="none"/>
        </w:rPr>
        <w:t>五.附件</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_Toc15101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22</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p>
    <w:p>
      <w:pPr>
        <w:spacing w:line="720" w:lineRule="auto"/>
        <w:ind w:firstLine="315"/>
        <w:rPr>
          <w:rFonts w:ascii="宋体" w:hAnsi="宋体"/>
          <w:bCs/>
          <w:color w:val="000000"/>
          <w:sz w:val="30"/>
          <w:szCs w:val="30"/>
          <w:highlight w:val="none"/>
        </w:rPr>
      </w:pPr>
      <w:r>
        <w:rPr>
          <w:rFonts w:ascii="宋体"/>
          <w:bCs/>
          <w:color w:val="000000"/>
          <w:szCs w:val="30"/>
          <w:highlight w:val="none"/>
        </w:rPr>
        <w:fldChar w:fldCharType="end"/>
      </w:r>
    </w:p>
    <w:p>
      <w:pPr>
        <w:spacing w:line="720" w:lineRule="auto"/>
        <w:rPr>
          <w:rFonts w:ascii="宋体"/>
          <w:bCs/>
          <w:color w:val="000000"/>
          <w:sz w:val="28"/>
          <w:szCs w:val="28"/>
          <w:highlight w:val="none"/>
        </w:rPr>
      </w:pPr>
    </w:p>
    <w:p>
      <w:pPr>
        <w:spacing w:line="720" w:lineRule="auto"/>
        <w:rPr>
          <w:rFonts w:ascii="宋体"/>
          <w:bCs/>
          <w:color w:val="000000"/>
          <w:sz w:val="30"/>
          <w:highlight w:val="none"/>
        </w:rPr>
      </w:pPr>
    </w:p>
    <w:p>
      <w:pPr>
        <w:spacing w:line="480" w:lineRule="auto"/>
        <w:rPr>
          <w:rFonts w:ascii="宋体"/>
          <w:bCs/>
          <w:color w:val="000000"/>
          <w:sz w:val="30"/>
          <w:highlight w:val="none"/>
        </w:rPr>
      </w:pPr>
    </w:p>
    <w:p>
      <w:pPr>
        <w:rPr>
          <w:rFonts w:ascii="宋体"/>
          <w:bCs/>
          <w:color w:val="000000"/>
          <w:sz w:val="28"/>
          <w:highlight w:val="none"/>
        </w:rPr>
      </w:pPr>
    </w:p>
    <w:p>
      <w:pPr>
        <w:rPr>
          <w:rFonts w:ascii="宋体"/>
          <w:bCs/>
          <w:color w:val="000000"/>
          <w:sz w:val="32"/>
          <w:highlight w:val="none"/>
        </w:rPr>
      </w:pPr>
    </w:p>
    <w:p>
      <w:pPr>
        <w:rPr>
          <w:rFonts w:ascii="宋体"/>
          <w:bCs/>
          <w:color w:val="000000"/>
          <w:sz w:val="32"/>
          <w:highlight w:val="none"/>
        </w:rPr>
      </w:pPr>
    </w:p>
    <w:p>
      <w:pPr>
        <w:spacing w:line="360" w:lineRule="auto"/>
        <w:jc w:val="center"/>
        <w:outlineLvl w:val="0"/>
        <w:rPr>
          <w:rFonts w:ascii="黑体" w:eastAsia="黑体"/>
          <w:bCs/>
          <w:color w:val="000000"/>
          <w:sz w:val="28"/>
          <w:szCs w:val="28"/>
          <w:highlight w:val="none"/>
        </w:rPr>
      </w:pPr>
      <w:bookmarkStart w:id="2" w:name="报价方须知前附表"/>
      <w:bookmarkEnd w:id="2"/>
      <w:r>
        <w:rPr>
          <w:rFonts w:ascii="黑体" w:eastAsia="黑体"/>
          <w:bCs/>
          <w:color w:val="000000"/>
          <w:sz w:val="28"/>
          <w:szCs w:val="28"/>
          <w:highlight w:val="none"/>
        </w:rPr>
        <w:br w:type="page" w:clear="all"/>
      </w:r>
      <w:bookmarkStart w:id="3" w:name="_Toc26807"/>
      <w:r>
        <w:rPr>
          <w:rFonts w:hint="eastAsia" w:ascii="黑体" w:eastAsia="黑体"/>
          <w:bCs/>
          <w:color w:val="000000"/>
          <w:sz w:val="28"/>
          <w:szCs w:val="28"/>
          <w:highlight w:val="none"/>
        </w:rPr>
        <w:t>一．投标邀请函</w:t>
      </w:r>
      <w:bookmarkEnd w:id="3"/>
    </w:p>
    <w:p>
      <w:pPr>
        <w:spacing w:line="360" w:lineRule="auto"/>
        <w:ind w:firstLine="480"/>
        <w:rPr>
          <w:rFonts w:ascii="宋体" w:hAnsi="宋体"/>
          <w:bCs/>
          <w:color w:val="000000"/>
          <w:sz w:val="24"/>
          <w:szCs w:val="24"/>
          <w:highlight w:val="none"/>
        </w:rPr>
      </w:pPr>
      <w:r>
        <w:rPr>
          <w:rFonts w:hint="eastAsia" w:ascii="宋体" w:hAnsi="宋体" w:cs="宋体"/>
          <w:color w:val="000000"/>
          <w:sz w:val="24"/>
          <w:szCs w:val="24"/>
          <w:highlight w:val="none"/>
          <w:lang w:eastAsia="zh-CN"/>
        </w:rPr>
        <w:t>江苏博智工程咨询有限公司</w:t>
      </w:r>
      <w:r>
        <w:rPr>
          <w:rFonts w:hint="eastAsia" w:ascii="宋体" w:hAnsi="宋体" w:cs="宋体"/>
          <w:color w:val="000000"/>
          <w:sz w:val="24"/>
          <w:szCs w:val="24"/>
          <w:highlight w:val="none"/>
        </w:rPr>
        <w:t>受</w:t>
      </w:r>
      <w:r>
        <w:rPr>
          <w:rFonts w:hint="eastAsia" w:ascii="宋体" w:hAnsi="宋体" w:cs="宋体"/>
          <w:color w:val="000000"/>
          <w:sz w:val="24"/>
          <w:szCs w:val="24"/>
          <w:highlight w:val="none"/>
          <w:lang w:eastAsia="zh-CN"/>
        </w:rPr>
        <w:t>无锡市环境卫生管理服务中心</w:t>
      </w:r>
      <w:r>
        <w:rPr>
          <w:rFonts w:hint="eastAsia" w:ascii="宋体" w:hAnsi="宋体" w:cs="宋体"/>
          <w:color w:val="000000"/>
          <w:sz w:val="24"/>
          <w:szCs w:val="24"/>
          <w:highlight w:val="none"/>
        </w:rPr>
        <w:t>的委托，</w:t>
      </w:r>
      <w:r>
        <w:rPr>
          <w:rFonts w:hint="eastAsia" w:ascii="宋体" w:hAnsi="宋体"/>
          <w:bCs/>
          <w:color w:val="000000"/>
          <w:sz w:val="24"/>
          <w:szCs w:val="24"/>
          <w:highlight w:val="none"/>
        </w:rPr>
        <w:t>对</w:t>
      </w:r>
      <w:r>
        <w:rPr>
          <w:rFonts w:hint="eastAsia" w:ascii="宋体" w:hAnsi="宋体"/>
          <w:bCs/>
          <w:color w:val="000000"/>
          <w:sz w:val="24"/>
          <w:szCs w:val="24"/>
          <w:highlight w:val="none"/>
          <w:lang w:eastAsia="zh-CN"/>
        </w:rPr>
        <w:t>2026年生活垃圾转运站渗滤液外运处置项目</w:t>
      </w:r>
      <w:r>
        <w:rPr>
          <w:rFonts w:hint="eastAsia" w:ascii="宋体" w:hAnsi="宋体"/>
          <w:bCs/>
          <w:color w:val="000000"/>
          <w:sz w:val="24"/>
          <w:szCs w:val="24"/>
          <w:highlight w:val="none"/>
        </w:rPr>
        <w:t>进行公开招标采购，欢迎符合相关条件的供应商参加投标并提请注意下列相关事项：</w:t>
      </w:r>
    </w:p>
    <w:p>
      <w:pPr>
        <w:spacing w:line="360" w:lineRule="auto"/>
        <w:ind w:firstLine="240" w:firstLineChars="100"/>
        <w:outlineLvl w:val="1"/>
        <w:rPr>
          <w:rFonts w:ascii="黑体" w:hAnsi="黑体" w:eastAsia="黑体"/>
          <w:bCs/>
          <w:color w:val="000000"/>
          <w:sz w:val="24"/>
          <w:szCs w:val="24"/>
          <w:highlight w:val="none"/>
        </w:rPr>
      </w:pPr>
      <w:r>
        <w:rPr>
          <w:rFonts w:hint="eastAsia" w:ascii="黑体" w:hAnsi="黑体" w:eastAsia="黑体"/>
          <w:bCs/>
          <w:color w:val="000000"/>
          <w:sz w:val="24"/>
          <w:szCs w:val="24"/>
          <w:highlight w:val="none"/>
        </w:rPr>
        <w:t>（一）</w:t>
      </w:r>
      <w:r>
        <w:rPr>
          <w:rFonts w:hint="eastAsia" w:ascii="黑体" w:hAnsi="黑体" w:eastAsia="黑体" w:cs="宋体"/>
          <w:color w:val="000000"/>
          <w:sz w:val="24"/>
          <w:szCs w:val="24"/>
          <w:highlight w:val="none"/>
        </w:rPr>
        <w:t>招标项目信息</w:t>
      </w:r>
    </w:p>
    <w:p>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1.项目名称：</w:t>
      </w:r>
      <w:r>
        <w:rPr>
          <w:rFonts w:hint="eastAsia" w:ascii="宋体" w:hAnsi="宋体" w:cs="宋体"/>
          <w:color w:val="000000"/>
          <w:sz w:val="24"/>
          <w:szCs w:val="24"/>
          <w:highlight w:val="none"/>
          <w:lang w:eastAsia="zh-CN"/>
        </w:rPr>
        <w:t>2026年生活垃圾转运站渗滤液外运处置项目</w:t>
      </w:r>
    </w:p>
    <w:p>
      <w:pPr>
        <w:widowControl/>
        <w:shd w:val="clear" w:color="auto" w:fill="FFFFFF"/>
        <w:spacing w:line="360" w:lineRule="auto"/>
        <w:ind w:firstLine="480"/>
        <w:jc w:val="left"/>
        <w:rPr>
          <w:rFonts w:hint="eastAsia" w:ascii="宋体" w:hAnsi="宋体" w:eastAsia="宋体" w:cs="宋体"/>
          <w:sz w:val="24"/>
          <w:szCs w:val="24"/>
          <w:highlight w:val="none"/>
          <w:lang w:eastAsia="zh-CN"/>
        </w:rPr>
      </w:pPr>
      <w:r>
        <w:rPr>
          <w:rFonts w:hint="eastAsia" w:ascii="宋体" w:hAnsi="宋体" w:cs="宋体"/>
          <w:color w:val="000000"/>
          <w:sz w:val="24"/>
          <w:szCs w:val="24"/>
          <w:highlight w:val="none"/>
        </w:rPr>
        <w:t>2.项目编号：</w:t>
      </w:r>
      <w:r>
        <w:rPr>
          <w:rFonts w:hint="eastAsia" w:ascii="宋体" w:hAnsi="宋体" w:cs="宋体"/>
          <w:sz w:val="24"/>
          <w:szCs w:val="24"/>
          <w:highlight w:val="none"/>
          <w:lang w:eastAsia="zh-CN"/>
        </w:rPr>
        <w:t>J</w:t>
      </w:r>
      <w:r>
        <w:rPr>
          <w:rFonts w:hint="eastAsia" w:ascii="宋体" w:hAnsi="宋体" w:cs="宋体"/>
          <w:sz w:val="24"/>
          <w:szCs w:val="24"/>
          <w:highlight w:val="none"/>
          <w:lang w:eastAsia="zh-CN"/>
        </w:rPr>
        <w:t>SZC-320200-BZDL-G2026-0018</w:t>
      </w:r>
    </w:p>
    <w:p>
      <w:pPr>
        <w:widowControl/>
        <w:shd w:val="clear" w:color="auto" w:fill="FFFFFF"/>
        <w:spacing w:line="360" w:lineRule="auto"/>
        <w:ind w:firstLine="480"/>
        <w:jc w:val="left"/>
        <w:rPr>
          <w:color w:val="000000"/>
          <w:highlight w:val="none"/>
        </w:rPr>
      </w:pPr>
      <w:r>
        <w:rPr>
          <w:rFonts w:hint="eastAsia" w:ascii="宋体" w:hAnsi="宋体" w:cs="宋体"/>
          <w:color w:val="000000"/>
          <w:sz w:val="24"/>
          <w:szCs w:val="24"/>
          <w:highlight w:val="none"/>
        </w:rPr>
        <w:t>3.项目预算：523.71万元</w:t>
      </w:r>
    </w:p>
    <w:p>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4.最高限价：</w:t>
      </w:r>
      <w:r>
        <w:rPr>
          <w:rFonts w:hint="eastAsia" w:ascii="宋体" w:hAnsi="宋体" w:cs="宋体"/>
          <w:color w:val="auto"/>
          <w:sz w:val="24"/>
          <w:szCs w:val="24"/>
          <w:highlight w:val="none"/>
          <w:lang w:val="en-US" w:eastAsia="zh-CN"/>
        </w:rPr>
        <w:t>522.79</w:t>
      </w:r>
      <w:r>
        <w:rPr>
          <w:rFonts w:hint="eastAsia" w:ascii="宋体" w:hAnsi="宋体" w:cs="宋体"/>
          <w:b w:val="0"/>
          <w:bCs w:val="0"/>
          <w:color w:val="auto"/>
          <w:sz w:val="24"/>
          <w:szCs w:val="24"/>
          <w:highlight w:val="none"/>
          <w:lang w:val="en-US" w:eastAsia="zh-CN"/>
        </w:rPr>
        <w:t>万</w:t>
      </w:r>
      <w:r>
        <w:rPr>
          <w:rFonts w:hint="eastAsia" w:ascii="宋体" w:hAnsi="宋体" w:cs="宋体"/>
          <w:b w:val="0"/>
          <w:bCs w:val="0"/>
          <w:color w:val="auto"/>
          <w:sz w:val="24"/>
          <w:szCs w:val="24"/>
          <w:highlight w:val="none"/>
        </w:rPr>
        <w:t>元</w:t>
      </w:r>
      <w:r>
        <w:rPr>
          <w:rFonts w:hint="eastAsia" w:ascii="宋体" w:hAnsi="宋体" w:cs="宋体"/>
          <w:b w:val="0"/>
          <w:bCs w:val="0"/>
          <w:color w:val="auto"/>
          <w:sz w:val="24"/>
          <w:szCs w:val="24"/>
          <w:highlight w:val="none"/>
          <w:lang w:eastAsia="zh-CN"/>
        </w:rPr>
        <w:t>，单价限价为</w:t>
      </w:r>
      <w:r>
        <w:rPr>
          <w:rFonts w:hint="eastAsia" w:ascii="宋体" w:hAnsi="宋体" w:cs="宋体"/>
          <w:color w:val="000000"/>
          <w:sz w:val="24"/>
          <w:szCs w:val="24"/>
          <w:highlight w:val="none"/>
        </w:rPr>
        <w:t>144.67</w:t>
      </w:r>
      <w:r>
        <w:rPr>
          <w:rFonts w:hint="eastAsia" w:ascii="宋体" w:hAnsi="宋体" w:cs="宋体"/>
          <w:b w:val="0"/>
          <w:bCs w:val="0"/>
          <w:color w:val="auto"/>
          <w:sz w:val="24"/>
          <w:szCs w:val="24"/>
          <w:highlight w:val="none"/>
          <w:lang w:eastAsia="zh-CN"/>
        </w:rPr>
        <w:t>元/吨，</w:t>
      </w:r>
      <w:r>
        <w:rPr>
          <w:rFonts w:hint="eastAsia" w:ascii="宋体" w:hAnsi="宋体" w:cs="宋体"/>
          <w:b w:val="0"/>
          <w:bCs w:val="0"/>
          <w:color w:val="auto"/>
          <w:sz w:val="24"/>
          <w:szCs w:val="24"/>
          <w:highlight w:val="none"/>
        </w:rPr>
        <w:t>投标报价高于最高限价的作为无效投标处理。</w:t>
      </w:r>
    </w:p>
    <w:p>
      <w:pPr>
        <w:widowControl/>
        <w:shd w:val="clear" w:color="auto" w:fill="FFFFFF"/>
        <w:spacing w:line="360" w:lineRule="auto"/>
        <w:ind w:firstLine="480"/>
        <w:jc w:val="left"/>
        <w:rPr>
          <w:rFonts w:ascii="宋体" w:hAnsi="宋体" w:cs="宋体"/>
          <w:color w:val="0000FF"/>
          <w:sz w:val="24"/>
          <w:szCs w:val="24"/>
          <w:highlight w:val="none"/>
        </w:rPr>
      </w:pPr>
      <w:r>
        <w:rPr>
          <w:rFonts w:hint="eastAsia" w:ascii="宋体" w:hAnsi="宋体" w:cs="宋体"/>
          <w:color w:val="auto"/>
          <w:sz w:val="24"/>
          <w:szCs w:val="24"/>
          <w:highlight w:val="none"/>
        </w:rPr>
        <w:t>5.服务期限：合同</w:t>
      </w:r>
      <w:r>
        <w:rPr>
          <w:rFonts w:hint="eastAsia" w:ascii="宋体" w:hAnsi="宋体" w:cs="宋体"/>
          <w:color w:val="auto"/>
          <w:sz w:val="24"/>
          <w:szCs w:val="24"/>
          <w:highlight w:val="none"/>
        </w:rPr>
        <w:t>签订起始日期起一年。</w:t>
      </w:r>
    </w:p>
    <w:p>
      <w:pPr>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6.采购方式：公开招标</w:t>
      </w:r>
    </w:p>
    <w:p>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7.采购人：</w:t>
      </w:r>
      <w:r>
        <w:rPr>
          <w:rFonts w:hint="eastAsia" w:ascii="宋体" w:hAnsi="宋体" w:cs="宋体"/>
          <w:color w:val="000000"/>
          <w:sz w:val="24"/>
          <w:szCs w:val="24"/>
          <w:highlight w:val="none"/>
          <w:lang w:eastAsia="zh-CN"/>
        </w:rPr>
        <w:t>无锡市环境卫生管理服务中心</w:t>
      </w:r>
    </w:p>
    <w:p>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color w:val="000000"/>
          <w:sz w:val="24"/>
          <w:szCs w:val="24"/>
          <w:highlight w:val="none"/>
        </w:rPr>
        <w:t>8.</w:t>
      </w:r>
      <w:r>
        <w:rPr>
          <w:rFonts w:hint="eastAsia" w:ascii="宋体" w:hAnsi="宋体" w:cs="宋体"/>
          <w:sz w:val="24"/>
          <w:szCs w:val="24"/>
          <w:highlight w:val="none"/>
        </w:rPr>
        <w:t>本项目标的所属行业：其他未列明行业</w:t>
      </w:r>
    </w:p>
    <w:p>
      <w:pPr>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highlight w:val="none"/>
        </w:rPr>
        <w:t>9.本项目是否专门面向</w:t>
      </w:r>
      <w:r>
        <w:rPr>
          <w:rFonts w:hint="eastAsia" w:ascii="宋体" w:hAnsi="宋体" w:cs="宋体"/>
          <w:color w:val="auto"/>
          <w:sz w:val="24"/>
          <w:szCs w:val="24"/>
          <w:highlight w:val="none"/>
        </w:rPr>
        <w:t>中小企业：</w:t>
      </w:r>
      <w:r>
        <w:rPr>
          <w:rFonts w:hint="eastAsia" w:ascii="宋体" w:hAnsi="宋体" w:cs="宋体"/>
          <w:color w:val="auto"/>
          <w:sz w:val="24"/>
          <w:szCs w:val="24"/>
          <w:highlight w:val="none"/>
          <w:lang w:val="en-US" w:eastAsia="zh-CN"/>
        </w:rPr>
        <w:t>是</w:t>
      </w:r>
    </w:p>
    <w:p>
      <w:pPr>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10.本项目</w:t>
      </w:r>
      <w:r>
        <w:rPr>
          <w:rFonts w:hint="eastAsia" w:ascii="宋体" w:hAnsi="宋体" w:cs="宋体"/>
          <w:color w:val="000000"/>
          <w:sz w:val="24"/>
          <w:szCs w:val="24"/>
          <w:highlight w:val="none"/>
          <w:lang w:val="zh-CN"/>
        </w:rPr>
        <w:t>不接受联合体投标。</w:t>
      </w:r>
    </w:p>
    <w:p>
      <w:pPr>
        <w:widowControl/>
        <w:shd w:val="clear" w:color="auto" w:fill="FFFFFF"/>
        <w:spacing w:line="360" w:lineRule="auto"/>
        <w:ind w:firstLine="240" w:firstLineChars="100"/>
        <w:jc w:val="left"/>
        <w:outlineLvl w:val="1"/>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（二）投标人资格要求</w:t>
      </w:r>
    </w:p>
    <w:p>
      <w:pPr>
        <w:widowControl/>
        <w:shd w:val="clear" w:color="auto" w:fill="FFFFFF"/>
        <w:spacing w:line="360" w:lineRule="auto"/>
        <w:ind w:firstLine="480"/>
        <w:jc w:val="left"/>
        <w:rPr>
          <w:rFonts w:ascii="宋体" w:hAnsi="宋体"/>
          <w:color w:val="000000"/>
          <w:sz w:val="24"/>
          <w:szCs w:val="24"/>
          <w:highlight w:val="none"/>
        </w:rPr>
      </w:pPr>
      <w:r>
        <w:rPr>
          <w:rFonts w:hint="eastAsia" w:ascii="宋体" w:hAnsi="宋体"/>
          <w:color w:val="000000"/>
          <w:sz w:val="24"/>
          <w:szCs w:val="24"/>
          <w:highlight w:val="none"/>
        </w:rPr>
        <w:t>1.具备《中华人民共和国政府采购法》第二十二条规定的条件；</w:t>
      </w:r>
    </w:p>
    <w:p>
      <w:pPr>
        <w:pBdr>
          <w:top w:val="none" w:color="000000" w:sz="0" w:space="0"/>
          <w:left w:val="none" w:color="000000" w:sz="0" w:space="0"/>
          <w:bottom w:val="none" w:color="000000" w:sz="0" w:space="0"/>
          <w:right w:val="none" w:color="000000" w:sz="0" w:space="0"/>
        </w:pBdr>
        <w:spacing w:line="360" w:lineRule="auto"/>
        <w:rPr>
          <w:highlight w:val="none"/>
        </w:rPr>
      </w:pPr>
      <w:r>
        <w:rPr>
          <w:rFonts w:hint="eastAsia" w:ascii="宋体" w:hAnsi="宋体"/>
          <w:color w:val="000000"/>
          <w:sz w:val="24"/>
          <w:szCs w:val="24"/>
          <w:highlight w:val="none"/>
        </w:rPr>
        <w:t xml:space="preserve">    2.</w:t>
      </w:r>
      <w:r>
        <w:rPr>
          <w:rFonts w:ascii="宋体" w:hAnsi="宋体" w:cs="宋体"/>
          <w:color w:val="000000"/>
          <w:sz w:val="24"/>
          <w:highlight w:val="none"/>
        </w:rPr>
        <w:t>落实政府采购政策需满足的资格要求：</w:t>
      </w:r>
      <w:r>
        <w:rPr>
          <w:rFonts w:ascii="宋体" w:hAnsi="宋体" w:eastAsia="宋体" w:cs="宋体"/>
          <w:color w:val="000000"/>
          <w:sz w:val="24"/>
          <w:highlight w:val="none"/>
        </w:rPr>
        <w:t>本项目专门面向中小企业采购（残疾人福利性单位、监狱企业视同小型、微型企业）</w:t>
      </w:r>
      <w:r>
        <w:rPr>
          <w:rFonts w:ascii="宋体" w:hAnsi="宋体" w:cs="宋体"/>
          <w:color w:val="000000"/>
          <w:sz w:val="24"/>
          <w:highlight w:val="none"/>
        </w:rPr>
        <w:t>；</w:t>
      </w:r>
    </w:p>
    <w:p>
      <w:pPr>
        <w:widowControl/>
        <w:shd w:val="clear" w:color="auto" w:fill="FFFFFF"/>
        <w:spacing w:line="360" w:lineRule="auto"/>
        <w:ind w:firstLine="480"/>
        <w:jc w:val="left"/>
        <w:rPr>
          <w:rFonts w:ascii="宋体" w:hAnsi="宋体"/>
          <w:color w:val="000000"/>
          <w:sz w:val="24"/>
          <w:szCs w:val="24"/>
          <w:highlight w:val="none"/>
        </w:rPr>
      </w:pPr>
      <w:r>
        <w:rPr>
          <w:rFonts w:hint="eastAsia" w:ascii="宋体" w:hAnsi="宋体"/>
          <w:color w:val="000000"/>
          <w:sz w:val="24"/>
          <w:szCs w:val="24"/>
          <w:highlight w:val="none"/>
        </w:rPr>
        <w:t>3.未被“信用中国”网站（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olor w:val="000000"/>
          <w:sz w:val="24"/>
          <w:szCs w:val="24"/>
          <w:highlight w:val="none"/>
        </w:rPr>
        <w:t>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）、中国政府采购网(www.ccgp.gov.cn)列入失信被执行人、重大税收违法案件当事人名单、政府采购严重违法失信行为记录名单；</w:t>
      </w:r>
    </w:p>
    <w:p>
      <w:pPr>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bCs/>
          <w:color w:val="000000"/>
          <w:sz w:val="24"/>
          <w:szCs w:val="24"/>
          <w:highlight w:val="none"/>
        </w:rPr>
        <w:t>4.</w:t>
      </w:r>
      <w:r>
        <w:rPr>
          <w:rFonts w:hint="eastAsia" w:ascii="宋体" w:hAnsi="宋体"/>
          <w:color w:val="000000"/>
          <w:sz w:val="24"/>
          <w:szCs w:val="24"/>
          <w:highlight w:val="none"/>
        </w:rPr>
        <w:t>具备</w:t>
      </w:r>
      <w:r>
        <w:rPr>
          <w:rFonts w:hint="eastAsia" w:ascii="宋体" w:hAnsi="宋体" w:cs="宋体"/>
          <w:color w:val="000000"/>
          <w:sz w:val="24"/>
          <w:szCs w:val="24"/>
          <w:highlight w:val="none"/>
        </w:rPr>
        <w:t>采购人根据招标项目的特殊要求规定的以下特定资质：</w:t>
      </w:r>
    </w:p>
    <w:p>
      <w:pPr>
        <w:pBdr>
          <w:top w:val="none" w:color="000000" w:sz="0" w:space="0"/>
          <w:left w:val="none" w:color="000000" w:sz="0" w:space="0"/>
          <w:bottom w:val="none" w:color="000000" w:sz="0" w:space="0"/>
          <w:right w:val="none" w:color="000000" w:sz="0" w:space="0"/>
        </w:pBdr>
        <w:spacing w:line="360" w:lineRule="auto"/>
        <w:ind w:firstLine="480" w:firstLineChars="200"/>
        <w:rPr>
          <w:rFonts w:ascii="宋体" w:hAnsi="宋体"/>
          <w:color w:val="000000"/>
          <w:sz w:val="24"/>
          <w:szCs w:val="24"/>
          <w:highlight w:val="none"/>
          <w:lang w:val="zh-CN"/>
        </w:rPr>
      </w:pPr>
      <w:r>
        <w:rPr>
          <w:rFonts w:hint="eastAsia" w:ascii="宋体" w:hAnsi="宋体"/>
          <w:color w:val="000000"/>
          <w:sz w:val="24"/>
          <w:szCs w:val="24"/>
          <w:highlight w:val="none"/>
        </w:rPr>
        <w:t>供应商应为中国大陆境内合法注册、具有独立法人资格的企（事）业单位</w:t>
      </w:r>
      <w:r>
        <w:rPr>
          <w:rFonts w:hint="eastAsia" w:ascii="宋体" w:hAnsi="宋体"/>
          <w:color w:val="000000"/>
          <w:sz w:val="24"/>
          <w:szCs w:val="24"/>
          <w:highlight w:val="none"/>
          <w:lang w:val="zh-CN"/>
        </w:rPr>
        <w:t>。</w:t>
      </w:r>
    </w:p>
    <w:p>
      <w:pPr>
        <w:widowControl/>
        <w:shd w:val="clear" w:color="auto" w:fill="FFFFFF"/>
        <w:spacing w:line="360" w:lineRule="auto"/>
        <w:ind w:firstLine="240" w:firstLineChars="100"/>
        <w:jc w:val="left"/>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（三）供应商主体信息库注册</w:t>
      </w:r>
    </w:p>
    <w:p>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1.请有意参加本项目投标的供应商按以下流程进行操作：</w:t>
      </w:r>
    </w:p>
    <w:p>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（3）咨询电话：供应商注册：0519-86722801、0519-86722806，CA及电子加盖公章或签电子公章：0510-81827781，其他事项：0510-81827730。</w:t>
      </w:r>
    </w:p>
    <w:p>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（4）潜在供应商访问“苏采云”系统的网络地址和方法：“苏采云”系统的网址：http://jszfcg.jsczt.cn/。</w:t>
      </w:r>
    </w:p>
    <w:p>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（5）采购文件（后缀名为“.kedt”）、供应商操作手册及政府采购客户端工具也可通过“苏采云”系统--已报名项目--报名详情页面内相应链接进行下载。</w:t>
      </w:r>
    </w:p>
    <w:p>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（6）招标代理机构（采购代理机构）将数据电文形式的采购文件加载至“苏采云”系统，供潜在供应商下载或者查阅。     </w:t>
      </w:r>
    </w:p>
    <w:p>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（7）苏采云系统使用谷歌浏览器参与不见面开标。</w:t>
      </w:r>
    </w:p>
    <w:p>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2.如供应商未按上述要求操作，由此所产生的损失及风险供应商自行承担。</w:t>
      </w:r>
    </w:p>
    <w:p>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3.有关本次招标的事项若存在变动或修改，敬请及时关注无锡市公共资源交易中心政府采购专栏、江苏政府采购网和中国政府采购网发布的信息更正公告。如潜在投标人未按上述要求操作，由此所产生的损失及风险由潜在投标人自行承担。</w:t>
      </w:r>
    </w:p>
    <w:p>
      <w:pPr>
        <w:spacing w:line="360" w:lineRule="auto"/>
        <w:ind w:firstLine="240" w:firstLineChars="100"/>
        <w:outlineLvl w:val="1"/>
        <w:rPr>
          <w:rFonts w:ascii="黑体" w:hAnsi="黑体" w:eastAsia="黑体"/>
          <w:bCs/>
          <w:color w:val="000000"/>
          <w:sz w:val="24"/>
          <w:szCs w:val="24"/>
          <w:highlight w:val="none"/>
        </w:rPr>
      </w:pPr>
      <w:r>
        <w:rPr>
          <w:rFonts w:hint="eastAsia" w:ascii="黑体" w:hAnsi="黑体" w:eastAsia="黑体"/>
          <w:bCs/>
          <w:color w:val="000000"/>
          <w:sz w:val="24"/>
          <w:szCs w:val="24"/>
          <w:highlight w:val="none"/>
        </w:rPr>
        <w:t>（四）完成项目报名，获取采购文件</w:t>
      </w:r>
    </w:p>
    <w:p>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潜在投标人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pPr>
        <w:spacing w:line="360" w:lineRule="auto"/>
        <w:ind w:firstLine="240" w:firstLineChars="100"/>
        <w:outlineLvl w:val="1"/>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（五）公开答疑时间、地点</w:t>
      </w:r>
    </w:p>
    <w:p>
      <w:pPr>
        <w:spacing w:line="360" w:lineRule="auto"/>
        <w:ind w:left="-58" w:firstLine="480"/>
        <w:rPr>
          <w:rFonts w:ascii="宋体" w:hAnsi="宋体"/>
          <w:bCs/>
          <w:color w:val="000000"/>
          <w:sz w:val="24"/>
          <w:szCs w:val="24"/>
          <w:highlight w:val="none"/>
        </w:rPr>
      </w:pPr>
      <w:r>
        <w:rPr>
          <w:rFonts w:hint="eastAsia" w:ascii="宋体" w:hAnsi="宋体"/>
          <w:bCs/>
          <w:color w:val="000000"/>
          <w:sz w:val="24"/>
          <w:szCs w:val="24"/>
          <w:highlight w:val="none"/>
        </w:rPr>
        <w:t>采购人、</w:t>
      </w:r>
      <w:r>
        <w:rPr>
          <w:rFonts w:hint="eastAsia" w:ascii="宋体" w:hAnsi="宋体"/>
          <w:bCs/>
          <w:color w:val="000000"/>
          <w:sz w:val="24"/>
          <w:szCs w:val="24"/>
          <w:highlight w:val="none"/>
          <w:lang w:eastAsia="zh-CN"/>
        </w:rPr>
        <w:t>江苏博智工程咨询有限公司</w:t>
      </w:r>
      <w:r>
        <w:rPr>
          <w:rFonts w:hint="eastAsia" w:ascii="宋体" w:hAnsi="宋体"/>
          <w:bCs/>
          <w:color w:val="000000"/>
          <w:sz w:val="24"/>
          <w:szCs w:val="24"/>
          <w:highlight w:val="none"/>
        </w:rPr>
        <w:t>将以线上不见面、电话咨询、传真等方式开展线上答疑服务。</w:t>
      </w:r>
      <w:r>
        <w:rPr>
          <w:rFonts w:hint="eastAsia" w:ascii="宋体" w:hAnsi="宋体"/>
          <w:bCs/>
          <w:sz w:val="24"/>
          <w:szCs w:val="24"/>
          <w:highlight w:val="none"/>
        </w:rPr>
        <w:t>截止至</w:t>
      </w:r>
      <w:r>
        <w:rPr>
          <w:rFonts w:hint="eastAsia" w:ascii="宋体" w:hAnsi="宋体"/>
          <w:bCs/>
          <w:color w:val="0000FF"/>
          <w:sz w:val="24"/>
          <w:szCs w:val="24"/>
          <w:highlight w:val="none"/>
          <w:lang w:eastAsia="zh-CN"/>
        </w:rPr>
        <w:t>2026</w:t>
      </w:r>
      <w:r>
        <w:rPr>
          <w:rFonts w:hint="eastAsia" w:ascii="宋体" w:hAnsi="宋体"/>
          <w:bCs/>
          <w:color w:val="0000FF"/>
          <w:sz w:val="24"/>
          <w:szCs w:val="24"/>
          <w:highlight w:val="none"/>
        </w:rPr>
        <w:t>年</w:t>
      </w:r>
      <w:r>
        <w:rPr>
          <w:rFonts w:hint="eastAsia" w:ascii="宋体" w:hAnsi="宋体"/>
          <w:bCs/>
          <w:color w:val="0000FF"/>
          <w:sz w:val="24"/>
          <w:szCs w:val="24"/>
          <w:highlight w:val="none"/>
          <w:lang w:val="en-US" w:eastAsia="zh-CN"/>
        </w:rPr>
        <w:t>07</w:t>
      </w:r>
      <w:r>
        <w:rPr>
          <w:rFonts w:hint="eastAsia" w:ascii="宋体" w:hAnsi="宋体"/>
          <w:bCs/>
          <w:color w:val="0000FF"/>
          <w:sz w:val="24"/>
          <w:szCs w:val="24"/>
          <w:highlight w:val="none"/>
        </w:rPr>
        <w:t>月</w:t>
      </w:r>
      <w:r>
        <w:rPr>
          <w:rFonts w:hint="eastAsia" w:ascii="宋体" w:hAnsi="宋体"/>
          <w:bCs/>
          <w:color w:val="0000FF"/>
          <w:sz w:val="24"/>
          <w:szCs w:val="24"/>
          <w:highlight w:val="none"/>
          <w:lang w:val="en-US" w:eastAsia="zh-CN"/>
        </w:rPr>
        <w:t>17</w:t>
      </w:r>
      <w:r>
        <w:rPr>
          <w:rFonts w:hint="eastAsia" w:ascii="宋体" w:hAnsi="宋体"/>
          <w:bCs/>
          <w:color w:val="0000FF"/>
          <w:sz w:val="24"/>
          <w:szCs w:val="24"/>
          <w:highlight w:val="none"/>
        </w:rPr>
        <w:t>日10:00前，</w:t>
      </w:r>
      <w:r>
        <w:rPr>
          <w:rFonts w:hint="eastAsia" w:ascii="宋体" w:hAnsi="宋体"/>
          <w:bCs/>
          <w:sz w:val="24"/>
          <w:szCs w:val="24"/>
          <w:highlight w:val="none"/>
        </w:rPr>
        <w:t>有关</w:t>
      </w:r>
      <w:r>
        <w:rPr>
          <w:rFonts w:hint="eastAsia" w:ascii="宋体" w:hAnsi="宋体"/>
          <w:bCs/>
          <w:color w:val="000000"/>
          <w:sz w:val="24"/>
          <w:szCs w:val="24"/>
          <w:highlight w:val="none"/>
        </w:rPr>
        <w:t>单位对于招标文件的相关事项如有疑问可通过上述方式咨询采购人；投标人如有需要对招标文件要求澄清的问题，请书面提出“</w:t>
      </w:r>
      <w:r>
        <w:rPr>
          <w:rFonts w:hint="eastAsia" w:ascii="宋体" w:hAnsi="宋体"/>
          <w:bCs/>
          <w:color w:val="auto"/>
          <w:sz w:val="24"/>
          <w:szCs w:val="24"/>
          <w:highlight w:val="none"/>
          <w:lang w:eastAsia="zh-CN"/>
        </w:rPr>
        <w:t>JSZC-320200-BZDL-G2026-0018</w:t>
      </w:r>
      <w:r>
        <w:rPr>
          <w:rFonts w:hint="eastAsia" w:ascii="宋体" w:hAnsi="宋体"/>
          <w:bCs/>
          <w:color w:val="000000"/>
          <w:sz w:val="24"/>
          <w:szCs w:val="24"/>
          <w:highlight w:val="none"/>
        </w:rPr>
        <w:t>项目需澄清问题”，并将盖章原件邮寄至</w:t>
      </w:r>
      <w:r>
        <w:rPr>
          <w:rFonts w:hint="eastAsia" w:ascii="宋体" w:hAnsi="宋体"/>
          <w:bCs/>
          <w:color w:val="000000"/>
          <w:sz w:val="24"/>
          <w:szCs w:val="24"/>
          <w:highlight w:val="none"/>
          <w:lang w:eastAsia="zh-CN"/>
        </w:rPr>
        <w:t>江苏博智工程咨询有限公司</w:t>
      </w:r>
      <w:r>
        <w:rPr>
          <w:rFonts w:hint="eastAsia" w:ascii="宋体" w:hAnsi="宋体"/>
          <w:bCs/>
          <w:color w:val="000000"/>
          <w:sz w:val="24"/>
          <w:szCs w:val="24"/>
          <w:highlight w:val="none"/>
        </w:rPr>
        <w:t>，地址：</w:t>
      </w:r>
      <w:r>
        <w:rPr>
          <w:rFonts w:hint="eastAsia" w:ascii="宋体" w:hAnsi="宋体"/>
          <w:bCs/>
          <w:color w:val="000000"/>
          <w:sz w:val="24"/>
          <w:szCs w:val="24"/>
          <w:highlight w:val="none"/>
          <w:lang w:eastAsia="zh-CN"/>
        </w:rPr>
        <w:t>无锡市滨湖区高浪东路508号华发传感大厦A座</w:t>
      </w:r>
      <w:r>
        <w:rPr>
          <w:rFonts w:hint="eastAsia" w:ascii="宋体" w:hAnsi="宋体"/>
          <w:bCs/>
          <w:color w:val="000000"/>
          <w:sz w:val="24"/>
          <w:szCs w:val="24"/>
          <w:highlight w:val="none"/>
        </w:rPr>
        <w:t>。若未在法定时间内提出澄清，由此造成的损失及风险由投标人自行承担。</w:t>
      </w:r>
    </w:p>
    <w:p>
      <w:pPr>
        <w:spacing w:line="360" w:lineRule="auto"/>
        <w:ind w:left="-58" w:firstLine="480"/>
        <w:rPr>
          <w:rFonts w:ascii="宋体" w:hAnsi="宋体"/>
          <w:bCs/>
          <w:color w:val="000000"/>
          <w:sz w:val="24"/>
          <w:szCs w:val="24"/>
          <w:highlight w:val="none"/>
        </w:rPr>
      </w:pPr>
      <w:r>
        <w:rPr>
          <w:rFonts w:hint="eastAsia" w:ascii="宋体" w:hAnsi="宋体"/>
          <w:bCs/>
          <w:color w:val="000000"/>
          <w:sz w:val="24"/>
          <w:szCs w:val="24"/>
          <w:highlight w:val="none"/>
        </w:rPr>
        <w:t>注：建议各拟投标人尽量对项目现场和周围环境进行踏勘，在随后的采购中，对现场资料和数据所做出的推论、解释和结论及由此造成的后果由投标人负责。</w:t>
      </w:r>
    </w:p>
    <w:p>
      <w:pPr>
        <w:widowControl/>
        <w:shd w:val="clear" w:color="auto" w:fill="FFFFFF"/>
        <w:spacing w:line="360" w:lineRule="auto"/>
        <w:ind w:firstLine="240" w:firstLineChars="100"/>
        <w:jc w:val="left"/>
        <w:outlineLvl w:val="1"/>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（六）网上投标及开标、定标时间、地点</w:t>
      </w:r>
      <w:r>
        <w:rPr>
          <w:rFonts w:hint="eastAsia" w:ascii="宋体" w:hAnsi="宋体" w:eastAsia="黑体" w:cs="宋体"/>
          <w:color w:val="000000"/>
          <w:sz w:val="24"/>
          <w:szCs w:val="24"/>
          <w:highlight w:val="none"/>
        </w:rPr>
        <w:t>   </w:t>
      </w:r>
    </w:p>
    <w:p>
      <w:pPr>
        <w:widowControl/>
        <w:shd w:val="clear" w:color="auto" w:fill="FFFFFF"/>
        <w:spacing w:line="360" w:lineRule="auto"/>
        <w:ind w:firstLine="480"/>
        <w:jc w:val="left"/>
        <w:rPr>
          <w:rFonts w:ascii="宋体" w:hAnsi="宋体"/>
          <w:sz w:val="24"/>
          <w:szCs w:val="24"/>
          <w:highlight w:val="none"/>
        </w:rPr>
      </w:pPr>
      <w:r>
        <w:rPr>
          <w:rFonts w:hint="eastAsia" w:ascii="宋体" w:hAnsi="宋体" w:cs="宋体"/>
          <w:sz w:val="24"/>
          <w:szCs w:val="24"/>
          <w:highlight w:val="none"/>
        </w:rPr>
        <w:t>网上投标截止时间：</w:t>
      </w:r>
      <w:r>
        <w:rPr>
          <w:rFonts w:hint="eastAsia" w:ascii="宋体" w:hAnsi="宋体" w:cs="宋体"/>
          <w:sz w:val="24"/>
          <w:szCs w:val="24"/>
          <w:highlight w:val="none"/>
          <w:lang w:eastAsia="zh-CN"/>
        </w:rPr>
        <w:t>2026</w:t>
      </w:r>
      <w:r>
        <w:rPr>
          <w:rFonts w:hint="eastAsia" w:ascii="宋体" w:hAnsi="宋体" w:cs="宋体"/>
          <w:sz w:val="24"/>
          <w:szCs w:val="24"/>
          <w:highlight w:val="none"/>
        </w:rPr>
        <w:t>年</w:t>
      </w:r>
      <w:r>
        <w:rPr>
          <w:rFonts w:hint="eastAsia" w:ascii="宋体" w:hAnsi="宋体" w:cs="宋体"/>
          <w:sz w:val="24"/>
          <w:szCs w:val="24"/>
          <w:highlight w:val="none"/>
          <w:lang w:val="en-US" w:eastAsia="zh-CN"/>
        </w:rPr>
        <w:t>07</w:t>
      </w:r>
      <w:r>
        <w:rPr>
          <w:rFonts w:hint="eastAsia" w:ascii="宋体" w:hAnsi="宋体" w:cs="宋体"/>
          <w:sz w:val="24"/>
          <w:szCs w:val="24"/>
          <w:highlight w:val="none"/>
        </w:rPr>
        <w:t>月</w:t>
      </w:r>
      <w:r>
        <w:rPr>
          <w:rFonts w:hint="eastAsia" w:ascii="宋体" w:hAnsi="宋体" w:cs="宋体"/>
          <w:sz w:val="24"/>
          <w:szCs w:val="24"/>
          <w:highlight w:val="none"/>
          <w:lang w:val="en-US" w:eastAsia="zh-CN"/>
        </w:rPr>
        <w:t>29</w:t>
      </w:r>
      <w:r>
        <w:rPr>
          <w:rFonts w:hint="eastAsia" w:ascii="宋体" w:hAnsi="宋体" w:cs="宋体"/>
          <w:sz w:val="24"/>
          <w:szCs w:val="24"/>
          <w:highlight w:val="none"/>
        </w:rPr>
        <w:t>日</w:t>
      </w:r>
      <w:r>
        <w:rPr>
          <w:rFonts w:hint="eastAsia" w:ascii="宋体" w:hAnsi="宋体" w:cs="宋体"/>
          <w:sz w:val="24"/>
          <w:szCs w:val="24"/>
          <w:highlight w:val="none"/>
          <w:lang w:val="en-US" w:eastAsia="zh-CN"/>
        </w:rPr>
        <w:t>09</w:t>
      </w:r>
      <w:r>
        <w:rPr>
          <w:rFonts w:hint="eastAsia" w:ascii="宋体" w:hAnsi="宋体" w:cs="宋体"/>
          <w:sz w:val="24"/>
          <w:szCs w:val="24"/>
          <w:highlight w:val="none"/>
        </w:rPr>
        <w:t>:30（投标</w:t>
      </w:r>
      <w:r>
        <w:rPr>
          <w:rFonts w:hint="eastAsia" w:ascii="宋体" w:hAnsi="宋体"/>
          <w:sz w:val="24"/>
          <w:szCs w:val="24"/>
          <w:highlight w:val="none"/>
        </w:rPr>
        <w:t>截止时间后的投标文件恕不接受</w:t>
      </w:r>
      <w:r>
        <w:rPr>
          <w:rFonts w:hint="eastAsia" w:ascii="宋体" w:hAnsi="宋体" w:cs="宋体"/>
          <w:sz w:val="24"/>
          <w:szCs w:val="24"/>
          <w:highlight w:val="none"/>
        </w:rPr>
        <w:t>）</w:t>
      </w:r>
    </w:p>
    <w:p>
      <w:pPr>
        <w:widowControl/>
        <w:shd w:val="clear" w:color="auto" w:fill="FFFFFF"/>
        <w:spacing w:line="360" w:lineRule="auto"/>
        <w:ind w:firstLine="480"/>
        <w:jc w:val="left"/>
        <w:rPr>
          <w:rFonts w:ascii="宋体" w:hAnsi="宋体" w:cs="宋体"/>
          <w:color w:val="0000FF"/>
          <w:sz w:val="24"/>
          <w:szCs w:val="24"/>
          <w:highlight w:val="none"/>
        </w:rPr>
      </w:pPr>
      <w:r>
        <w:rPr>
          <w:rFonts w:hint="eastAsia" w:ascii="宋体" w:hAnsi="宋体" w:cs="宋体"/>
          <w:sz w:val="24"/>
          <w:szCs w:val="24"/>
          <w:highlight w:val="none"/>
        </w:rPr>
        <w:t>网上投标解密时间：</w:t>
      </w:r>
      <w:r>
        <w:rPr>
          <w:rFonts w:hint="eastAsia" w:ascii="宋体" w:hAnsi="宋体" w:cs="宋体"/>
          <w:sz w:val="24"/>
          <w:szCs w:val="24"/>
          <w:highlight w:val="none"/>
          <w:lang w:eastAsia="zh-CN"/>
        </w:rPr>
        <w:t>2026</w:t>
      </w:r>
      <w:r>
        <w:rPr>
          <w:rFonts w:hint="eastAsia" w:ascii="宋体" w:hAnsi="宋体" w:cs="宋体"/>
          <w:sz w:val="24"/>
          <w:szCs w:val="24"/>
          <w:highlight w:val="none"/>
        </w:rPr>
        <w:t>年</w:t>
      </w:r>
      <w:r>
        <w:rPr>
          <w:rFonts w:hint="eastAsia" w:ascii="宋体" w:hAnsi="宋体" w:cs="宋体"/>
          <w:sz w:val="24"/>
          <w:szCs w:val="24"/>
          <w:highlight w:val="none"/>
          <w:lang w:val="en-US" w:eastAsia="zh-CN"/>
        </w:rPr>
        <w:t>07</w:t>
      </w:r>
      <w:r>
        <w:rPr>
          <w:rFonts w:hint="eastAsia" w:ascii="宋体" w:hAnsi="宋体" w:cs="宋体"/>
          <w:sz w:val="24"/>
          <w:szCs w:val="24"/>
          <w:highlight w:val="none"/>
        </w:rPr>
        <w:t>月</w:t>
      </w:r>
      <w:r>
        <w:rPr>
          <w:rFonts w:hint="eastAsia" w:ascii="宋体" w:hAnsi="宋体" w:cs="宋体"/>
          <w:sz w:val="24"/>
          <w:szCs w:val="24"/>
          <w:highlight w:val="none"/>
          <w:lang w:val="en-US" w:eastAsia="zh-CN"/>
        </w:rPr>
        <w:t>29</w:t>
      </w:r>
      <w:r>
        <w:rPr>
          <w:rFonts w:hint="eastAsia" w:ascii="宋体" w:hAnsi="宋体" w:cs="宋体"/>
          <w:sz w:val="24"/>
          <w:szCs w:val="24"/>
          <w:highlight w:val="none"/>
        </w:rPr>
        <w:t>日开启解密后半小时。</w:t>
      </w:r>
    </w:p>
    <w:p>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定标时间：评标结束</w:t>
      </w:r>
    </w:p>
    <w:p>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bCs/>
          <w:color w:val="000000"/>
          <w:sz w:val="24"/>
          <w:szCs w:val="24"/>
          <w:highlight w:val="none"/>
        </w:rPr>
        <w:t>定标地点：</w:t>
      </w:r>
      <w:r>
        <w:rPr>
          <w:rFonts w:hint="eastAsia" w:ascii="宋体" w:hAnsi="宋体"/>
          <w:bCs/>
          <w:color w:val="000000"/>
          <w:sz w:val="24"/>
          <w:szCs w:val="24"/>
          <w:highlight w:val="none"/>
          <w:lang w:eastAsia="zh-CN"/>
        </w:rPr>
        <w:t>无锡市滨湖区高浪东路508号华发传感大厦A座</w:t>
      </w:r>
    </w:p>
    <w:p>
      <w:pPr>
        <w:spacing w:line="360" w:lineRule="auto"/>
        <w:ind w:firstLine="240" w:firstLineChars="100"/>
        <w:outlineLvl w:val="1"/>
        <w:rPr>
          <w:rFonts w:ascii="宋体"/>
          <w:bCs/>
          <w:color w:val="000000"/>
          <w:sz w:val="24"/>
          <w:szCs w:val="24"/>
          <w:highlight w:val="none"/>
        </w:rPr>
      </w:pPr>
      <w:r>
        <w:rPr>
          <w:rFonts w:hint="eastAsia" w:ascii="黑体" w:hAnsi="黑体" w:eastAsia="黑体"/>
          <w:bCs/>
          <w:color w:val="000000"/>
          <w:sz w:val="24"/>
          <w:szCs w:val="24"/>
          <w:highlight w:val="none"/>
        </w:rPr>
        <w:t>（七）投标有效期：</w:t>
      </w:r>
      <w:r>
        <w:rPr>
          <w:rFonts w:hint="eastAsia" w:ascii="宋体" w:hAnsi="宋体"/>
          <w:bCs/>
          <w:color w:val="000000"/>
          <w:sz w:val="24"/>
          <w:szCs w:val="24"/>
          <w:highlight w:val="none"/>
        </w:rPr>
        <w:t>开标之日起</w:t>
      </w:r>
      <w:r>
        <w:rPr>
          <w:rFonts w:ascii="宋体" w:hAnsi="宋体"/>
          <w:bCs/>
          <w:color w:val="000000"/>
          <w:sz w:val="24"/>
          <w:szCs w:val="24"/>
          <w:highlight w:val="none"/>
        </w:rPr>
        <w:t>90</w:t>
      </w:r>
      <w:r>
        <w:rPr>
          <w:rFonts w:hint="eastAsia" w:ascii="宋体" w:hAnsi="宋体"/>
          <w:bCs/>
          <w:color w:val="000000"/>
          <w:sz w:val="24"/>
          <w:szCs w:val="24"/>
          <w:highlight w:val="none"/>
        </w:rPr>
        <w:t>天</w:t>
      </w:r>
    </w:p>
    <w:p>
      <w:pPr>
        <w:spacing w:line="360" w:lineRule="auto"/>
        <w:ind w:firstLine="240" w:firstLineChars="100"/>
        <w:outlineLvl w:val="1"/>
        <w:rPr>
          <w:rFonts w:ascii="黑体" w:hAnsi="黑体" w:eastAsia="黑体"/>
          <w:bCs/>
          <w:color w:val="000000"/>
          <w:sz w:val="24"/>
          <w:szCs w:val="24"/>
          <w:highlight w:val="none"/>
        </w:rPr>
      </w:pPr>
      <w:r>
        <w:rPr>
          <w:rFonts w:hint="eastAsia" w:ascii="黑体" w:hAnsi="黑体" w:eastAsia="黑体"/>
          <w:bCs/>
          <w:color w:val="000000"/>
          <w:sz w:val="24"/>
          <w:szCs w:val="24"/>
          <w:highlight w:val="none"/>
        </w:rPr>
        <w:t>（八）采购方法：</w:t>
      </w:r>
    </w:p>
    <w:p>
      <w:pPr>
        <w:spacing w:line="360" w:lineRule="auto"/>
        <w:ind w:firstLine="480"/>
        <w:rPr>
          <w:rFonts w:ascii="黑体" w:hAnsi="黑体" w:eastAsia="黑体"/>
          <w:bCs/>
          <w:color w:val="000000"/>
          <w:sz w:val="24"/>
          <w:szCs w:val="24"/>
          <w:highlight w:val="none"/>
        </w:rPr>
      </w:pPr>
      <w:r>
        <w:rPr>
          <w:rFonts w:hint="eastAsia" w:ascii="宋体" w:hAnsi="宋体"/>
          <w:color w:val="000000"/>
          <w:sz w:val="24"/>
          <w:szCs w:val="24"/>
          <w:highlight w:val="none"/>
        </w:rPr>
        <w:t>本次采购采用《江苏省政府采购（苏采云）平台》进行采购活动，采购文件发布、报价、评审和中标结果发布全程电子化。</w:t>
      </w:r>
    </w:p>
    <w:p>
      <w:pPr>
        <w:spacing w:line="360" w:lineRule="auto"/>
        <w:ind w:firstLine="240" w:firstLineChars="100"/>
        <w:outlineLvl w:val="1"/>
        <w:rPr>
          <w:rFonts w:ascii="黑体" w:hAnsi="黑体" w:eastAsia="黑体"/>
          <w:bCs/>
          <w:color w:val="000000"/>
          <w:sz w:val="24"/>
          <w:szCs w:val="24"/>
          <w:highlight w:val="none"/>
        </w:rPr>
      </w:pPr>
      <w:r>
        <w:rPr>
          <w:rFonts w:hint="eastAsia" w:ascii="黑体" w:hAnsi="黑体" w:eastAsia="黑体"/>
          <w:bCs/>
          <w:color w:val="000000"/>
          <w:sz w:val="24"/>
          <w:szCs w:val="24"/>
          <w:highlight w:val="none"/>
        </w:rPr>
        <w:t>（九）其他</w:t>
      </w:r>
    </w:p>
    <w:p>
      <w:pPr>
        <w:spacing w:line="360" w:lineRule="auto"/>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1.采购人名称：</w:t>
      </w:r>
      <w:r>
        <w:rPr>
          <w:rFonts w:hint="eastAsia" w:ascii="宋体" w:hAnsi="宋体"/>
          <w:color w:val="000000"/>
          <w:sz w:val="24"/>
          <w:szCs w:val="24"/>
          <w:highlight w:val="none"/>
          <w:lang w:eastAsia="zh-CN"/>
        </w:rPr>
        <w:t>无锡市环境卫生管理服务中心</w:t>
      </w:r>
    </w:p>
    <w:p>
      <w:pPr>
        <w:spacing w:line="360" w:lineRule="auto"/>
        <w:ind w:firstLine="720"/>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联系人：</w:t>
      </w:r>
      <w:r>
        <w:rPr>
          <w:rFonts w:hint="eastAsia" w:ascii="宋体" w:hAnsi="宋体"/>
          <w:color w:val="000000"/>
          <w:sz w:val="24"/>
          <w:szCs w:val="24"/>
          <w:highlight w:val="none"/>
          <w:lang w:val="en-US" w:eastAsia="zh-CN"/>
        </w:rPr>
        <w:t>顾工</w:t>
      </w:r>
    </w:p>
    <w:p>
      <w:pPr>
        <w:spacing w:line="360" w:lineRule="auto"/>
        <w:ind w:firstLine="720"/>
        <w:rPr>
          <w:rFonts w:hint="default"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rPr>
        <w:t>联系方式：</w:t>
      </w:r>
      <w:bookmarkStart w:id="4" w:name="OLE_LINK4"/>
      <w:r>
        <w:rPr>
          <w:rFonts w:hint="eastAsia" w:ascii="宋体" w:hAnsi="宋体"/>
          <w:color w:val="000000"/>
          <w:sz w:val="24"/>
          <w:szCs w:val="24"/>
          <w:highlight w:val="none"/>
        </w:rPr>
        <w:t>0510-</w:t>
      </w:r>
      <w:r>
        <w:rPr>
          <w:rFonts w:hint="eastAsia" w:ascii="宋体" w:hAnsi="宋体"/>
          <w:b w:val="0"/>
          <w:bCs w:val="0"/>
          <w:color w:val="auto"/>
          <w:sz w:val="24"/>
          <w:szCs w:val="24"/>
          <w:highlight w:val="none"/>
          <w:lang w:val="en-US" w:eastAsia="zh-CN"/>
        </w:rPr>
        <w:t>85051776</w:t>
      </w:r>
      <w:bookmarkEnd w:id="4"/>
    </w:p>
    <w:p>
      <w:pPr>
        <w:spacing w:line="360" w:lineRule="auto"/>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2.采购代理机构名称：</w:t>
      </w:r>
      <w:r>
        <w:rPr>
          <w:rFonts w:hint="eastAsia" w:ascii="宋体" w:hAnsi="宋体"/>
          <w:color w:val="000000"/>
          <w:sz w:val="24"/>
          <w:szCs w:val="24"/>
          <w:highlight w:val="none"/>
          <w:lang w:eastAsia="zh-CN"/>
        </w:rPr>
        <w:t>江苏博智工程咨询有限公司</w:t>
      </w:r>
    </w:p>
    <w:p>
      <w:pPr>
        <w:spacing w:line="360" w:lineRule="auto"/>
        <w:ind w:firstLine="72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代理机构联系人：</w:t>
      </w:r>
      <w:r>
        <w:rPr>
          <w:rFonts w:hint="eastAsia" w:ascii="宋体" w:hAnsi="宋体"/>
          <w:color w:val="000000"/>
          <w:sz w:val="24"/>
          <w:szCs w:val="24"/>
          <w:highlight w:val="none"/>
          <w:lang w:val="en-US" w:eastAsia="zh-CN"/>
        </w:rPr>
        <w:t>臧允楠</w:t>
      </w:r>
    </w:p>
    <w:p>
      <w:pPr>
        <w:spacing w:line="360" w:lineRule="auto"/>
        <w:ind w:firstLine="720"/>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联系方式：</w:t>
      </w:r>
      <w:r>
        <w:rPr>
          <w:rFonts w:hint="eastAsia" w:ascii="宋体" w:hAnsi="宋体"/>
          <w:color w:val="000000"/>
          <w:sz w:val="24"/>
          <w:szCs w:val="24"/>
          <w:highlight w:val="none"/>
          <w:lang w:val="en-US" w:eastAsia="zh-CN"/>
        </w:rPr>
        <w:t>18505106338</w:t>
      </w:r>
    </w:p>
    <w:p>
      <w:pPr>
        <w:spacing w:line="360" w:lineRule="auto"/>
        <w:ind w:firstLine="720"/>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传真：</w:t>
      </w:r>
      <w:bookmarkStart w:id="5" w:name="OLE_LINK1"/>
      <w:r>
        <w:rPr>
          <w:rFonts w:hint="eastAsia" w:ascii="宋体" w:hAnsi="宋体"/>
          <w:color w:val="000000"/>
          <w:sz w:val="24"/>
          <w:szCs w:val="24"/>
          <w:highlight w:val="none"/>
        </w:rPr>
        <w:t>0510-</w:t>
      </w:r>
      <w:bookmarkEnd w:id="5"/>
      <w:r>
        <w:rPr>
          <w:rFonts w:hint="eastAsia" w:ascii="宋体" w:hAnsi="宋体"/>
          <w:color w:val="000000"/>
          <w:sz w:val="24"/>
          <w:szCs w:val="24"/>
          <w:highlight w:val="none"/>
          <w:lang w:val="en-US" w:eastAsia="zh-CN"/>
        </w:rPr>
        <w:t>82820918</w:t>
      </w:r>
    </w:p>
    <w:p>
      <w:pPr>
        <w:spacing w:line="360" w:lineRule="auto"/>
        <w:ind w:firstLine="720"/>
        <w:rPr>
          <w:rFonts w:ascii="宋体" w:hAnsi="宋体"/>
          <w:color w:val="000000"/>
          <w:sz w:val="24"/>
          <w:szCs w:val="24"/>
          <w:highlight w:val="none"/>
        </w:rPr>
      </w:pPr>
      <w:r>
        <w:rPr>
          <w:rFonts w:hint="eastAsia" w:ascii="宋体" w:hAnsi="宋体"/>
          <w:color w:val="000000"/>
          <w:sz w:val="24"/>
          <w:szCs w:val="24"/>
          <w:highlight w:val="none"/>
        </w:rPr>
        <w:t>电子邮件地址：</w:t>
      </w:r>
      <w:r>
        <w:rPr>
          <w:rFonts w:hint="eastAsia" w:ascii="宋体" w:hAnsi="宋体"/>
          <w:color w:val="000000"/>
          <w:sz w:val="24"/>
          <w:szCs w:val="24"/>
          <w:highlight w:val="none"/>
          <w:lang w:val="en-US" w:eastAsia="zh-CN"/>
        </w:rPr>
        <w:t>1058184069</w:t>
      </w:r>
      <w:r>
        <w:rPr>
          <w:rFonts w:hint="eastAsia" w:ascii="宋体" w:hAnsi="宋体"/>
          <w:color w:val="000000"/>
          <w:sz w:val="24"/>
          <w:szCs w:val="24"/>
          <w:highlight w:val="none"/>
        </w:rPr>
        <w:t>@qq.com</w:t>
      </w:r>
    </w:p>
    <w:p>
      <w:pPr>
        <w:spacing w:line="360" w:lineRule="auto"/>
        <w:ind w:firstLine="720"/>
        <w:rPr>
          <w:rFonts w:ascii="宋体" w:hAnsi="宋体"/>
          <w:color w:val="000000"/>
          <w:sz w:val="24"/>
          <w:szCs w:val="24"/>
          <w:highlight w:val="none"/>
        </w:rPr>
      </w:pPr>
    </w:p>
    <w:p>
      <w:pPr>
        <w:spacing w:line="490" w:lineRule="exact"/>
        <w:jc w:val="center"/>
        <w:outlineLvl w:val="0"/>
        <w:rPr>
          <w:rFonts w:ascii="黑体" w:eastAsia="黑体"/>
          <w:bCs/>
          <w:color w:val="000000"/>
          <w:sz w:val="28"/>
          <w:szCs w:val="28"/>
          <w:highlight w:val="none"/>
        </w:rPr>
      </w:pPr>
      <w:r>
        <w:rPr>
          <w:rFonts w:ascii="黑体" w:eastAsia="黑体"/>
          <w:bCs/>
          <w:color w:val="000000"/>
          <w:sz w:val="28"/>
          <w:szCs w:val="28"/>
          <w:highlight w:val="none"/>
        </w:rPr>
        <w:br w:type="page" w:clear="all"/>
      </w:r>
      <w:bookmarkStart w:id="6" w:name="_Toc16116"/>
      <w:r>
        <w:rPr>
          <w:rFonts w:hint="eastAsia" w:ascii="黑体" w:eastAsia="黑体"/>
          <w:bCs/>
          <w:color w:val="000000"/>
          <w:sz w:val="28"/>
          <w:szCs w:val="28"/>
          <w:highlight w:val="none"/>
        </w:rPr>
        <w:t>二．投标人须知</w:t>
      </w:r>
      <w:bookmarkEnd w:id="6"/>
    </w:p>
    <w:p>
      <w:pPr>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（一）遵循原则：</w:t>
      </w:r>
    </w:p>
    <w:p>
      <w:pPr>
        <w:spacing w:line="360" w:lineRule="auto"/>
        <w:ind w:firstLine="480"/>
        <w:rPr>
          <w:rFonts w:ascii="黑体" w:hAnsi="宋体" w:eastAsia="黑体"/>
          <w:bCs/>
          <w:color w:val="000000"/>
          <w:sz w:val="24"/>
          <w:szCs w:val="24"/>
          <w:highlight w:val="none"/>
        </w:rPr>
      </w:pPr>
      <w:r>
        <w:rPr>
          <w:rFonts w:hint="eastAsia" w:ascii="宋体" w:hAnsi="宋体"/>
          <w:bCs/>
          <w:color w:val="000000"/>
          <w:sz w:val="24"/>
          <w:szCs w:val="24"/>
          <w:highlight w:val="none"/>
        </w:rPr>
        <w:t>公开透明原则、公平竞争原则、公正原则和诚实信用原则。</w:t>
      </w:r>
    </w:p>
    <w:p>
      <w:pPr>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（二）采购文件：</w:t>
      </w:r>
    </w:p>
    <w:p>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1．采购文件包括文件目录所列全部内容，投标供应商应仔细阅读，并在投标文件中充分响应采购文件的所有要求。</w:t>
      </w:r>
    </w:p>
    <w:p>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2．投标供应商应在苏采云平台（http://jszfcg.jscz.gov.cn/jszc/login）下载招标文件及有关资料，按要求制作、上传投标文件，对招标文件各项内容做出实质性响应，否则投标无效。</w:t>
      </w:r>
    </w:p>
    <w:p>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3．投标供应商一旦参加本项目投标，即表明承诺接受了本采购文件中所有条件和规定。</w:t>
      </w:r>
    </w:p>
    <w:p>
      <w:pPr>
        <w:spacing w:line="360" w:lineRule="auto"/>
        <w:ind w:firstLine="480"/>
        <w:outlineLvl w:val="2"/>
        <w:rPr>
          <w:rFonts w:ascii="宋体" w:hAnsi="宋体" w:cs="宋体"/>
          <w:bCs/>
          <w:color w:val="000000"/>
          <w:sz w:val="24"/>
          <w:highlight w:val="none"/>
        </w:rPr>
      </w:pPr>
      <w:r>
        <w:rPr>
          <w:rFonts w:hint="eastAsia" w:ascii="宋体" w:hAnsi="宋体" w:cs="宋体"/>
          <w:bCs/>
          <w:color w:val="000000"/>
          <w:sz w:val="24"/>
          <w:highlight w:val="none"/>
        </w:rPr>
        <w:t>4．招标文件仅作为本次招投标使用。</w:t>
      </w:r>
    </w:p>
    <w:p>
      <w:pPr>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（三）采购文件的解释：</w:t>
      </w:r>
    </w:p>
    <w:p>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1．投标供应商如有需要对采购文件要求澄清的问题，请以书面提出，并按“投标邀请函”中规定的时间将电子邮件或书面传真发送至</w:t>
      </w:r>
      <w:r>
        <w:rPr>
          <w:rFonts w:hint="eastAsia" w:ascii="宋体" w:hAnsi="宋体" w:cs="宋体"/>
          <w:bCs/>
          <w:color w:val="000000"/>
          <w:sz w:val="24"/>
          <w:highlight w:val="none"/>
          <w:lang w:eastAsia="zh-CN"/>
        </w:rPr>
        <w:t>江苏博智工程咨询有限公司</w:t>
      </w:r>
      <w:r>
        <w:rPr>
          <w:rFonts w:hint="eastAsia" w:ascii="宋体" w:hAnsi="宋体" w:cs="宋体"/>
          <w:bCs/>
          <w:color w:val="000000"/>
          <w:sz w:val="24"/>
          <w:highlight w:val="none"/>
        </w:rPr>
        <w:t>，联系方式详见“投标邀请函”。</w:t>
      </w:r>
    </w:p>
    <w:p>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2．采购人、</w:t>
      </w:r>
      <w:r>
        <w:rPr>
          <w:rFonts w:hint="eastAsia" w:ascii="宋体" w:hAnsi="宋体" w:cs="宋体"/>
          <w:bCs/>
          <w:color w:val="000000"/>
          <w:sz w:val="24"/>
          <w:highlight w:val="none"/>
          <w:lang w:eastAsia="zh-CN"/>
        </w:rPr>
        <w:t>江苏博智工程咨询有限公司</w:t>
      </w:r>
      <w:r>
        <w:rPr>
          <w:rFonts w:hint="eastAsia" w:ascii="宋体" w:hAnsi="宋体" w:cs="宋体"/>
          <w:bCs/>
          <w:color w:val="000000"/>
          <w:sz w:val="24"/>
          <w:highlight w:val="none"/>
        </w:rPr>
        <w:t>将按“投标邀请函”中规定的时间对投标供应商针对采购文件书面提出的要求澄清的问题进行书面答疑。</w:t>
      </w:r>
    </w:p>
    <w:p>
      <w:pPr>
        <w:spacing w:line="360" w:lineRule="auto"/>
        <w:ind w:firstLine="480"/>
        <w:outlineLvl w:val="2"/>
        <w:rPr>
          <w:rFonts w:ascii="宋体" w:hAnsi="宋体" w:cs="宋体"/>
          <w:bCs/>
          <w:color w:val="000000"/>
          <w:sz w:val="24"/>
          <w:highlight w:val="none"/>
        </w:rPr>
      </w:pPr>
      <w:r>
        <w:rPr>
          <w:rFonts w:hint="eastAsia" w:ascii="宋体" w:hAnsi="宋体" w:cs="宋体"/>
          <w:bCs/>
          <w:color w:val="000000"/>
          <w:sz w:val="24"/>
          <w:highlight w:val="none"/>
        </w:rPr>
        <w:t>3．本文件的最终解释权归采购人。</w:t>
      </w:r>
    </w:p>
    <w:p>
      <w:pPr>
        <w:tabs>
          <w:tab w:val="left" w:pos="945"/>
        </w:tabs>
        <w:spacing w:line="360" w:lineRule="auto"/>
        <w:ind w:firstLine="523"/>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（四）采购文件的补充或修正：</w:t>
      </w:r>
    </w:p>
    <w:p>
      <w:pPr>
        <w:numPr>
          <w:ilvl w:val="0"/>
          <w:numId w:val="2"/>
        </w:num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采购人或采购代理机构可在投标截止时间十五日前对招标文件进行必要的澄清或者修改，不足15日的，将顺延提交投标文件的截止时间。</w:t>
      </w:r>
    </w:p>
    <w:p>
      <w:pPr>
        <w:numPr>
          <w:ilvl w:val="0"/>
          <w:numId w:val="2"/>
        </w:numPr>
        <w:tabs>
          <w:tab w:val="left" w:pos="525"/>
          <w:tab w:val="left" w:pos="945"/>
        </w:tabs>
        <w:spacing w:line="360" w:lineRule="auto"/>
        <w:ind w:left="1" w:firstLine="523"/>
        <w:rPr>
          <w:rFonts w:ascii="宋体"/>
          <w:bCs/>
          <w:color w:val="000000"/>
          <w:sz w:val="24"/>
          <w:szCs w:val="24"/>
          <w:highlight w:val="none"/>
        </w:rPr>
      </w:pPr>
      <w:r>
        <w:rPr>
          <w:rFonts w:hint="eastAsia" w:ascii="宋体" w:hAnsi="宋体"/>
          <w:bCs/>
          <w:color w:val="000000"/>
          <w:sz w:val="24"/>
          <w:szCs w:val="24"/>
          <w:highlight w:val="none"/>
        </w:rPr>
        <w:t>如需对招标文件进行澄清或修正，采购人或采购代理机构将在无锡市公共资源交易中心政府采购专栏、江苏政府采购网和中国政府采购网发布更正公告，该澄清或修正的内容为招标文件的组成部分。投标人应在投标截止时间前</w:t>
      </w:r>
      <w:r>
        <w:rPr>
          <w:rFonts w:hint="eastAsia" w:ascii="宋体" w:hAnsi="宋体"/>
          <w:color w:val="000000"/>
          <w:sz w:val="24"/>
          <w:szCs w:val="24"/>
          <w:highlight w:val="none"/>
        </w:rPr>
        <w:t>登录</w:t>
      </w:r>
      <w:r>
        <w:rPr>
          <w:rFonts w:hint="eastAsia" w:ascii="宋体" w:hAnsi="宋体"/>
          <w:bCs/>
          <w:color w:val="000000"/>
          <w:sz w:val="24"/>
          <w:szCs w:val="24"/>
          <w:highlight w:val="none"/>
        </w:rPr>
        <w:t>投标客户端</w:t>
      </w:r>
      <w:r>
        <w:rPr>
          <w:rFonts w:hint="eastAsia" w:ascii="宋体" w:hAnsi="宋体"/>
          <w:color w:val="000000"/>
          <w:sz w:val="24"/>
          <w:szCs w:val="24"/>
          <w:highlight w:val="none"/>
        </w:rPr>
        <w:t>或</w:t>
      </w:r>
      <w:r>
        <w:rPr>
          <w:rFonts w:hint="eastAsia" w:ascii="宋体" w:hAnsi="宋体"/>
          <w:bCs/>
          <w:color w:val="000000"/>
          <w:sz w:val="24"/>
          <w:szCs w:val="24"/>
          <w:highlight w:val="none"/>
        </w:rPr>
        <w:t>关注原招标公告媒体上发布的相关更正公告</w:t>
      </w:r>
      <w:r>
        <w:rPr>
          <w:rFonts w:hint="eastAsia" w:ascii="宋体" w:hAnsi="宋体"/>
          <w:color w:val="000000"/>
          <w:sz w:val="24"/>
          <w:szCs w:val="24"/>
          <w:highlight w:val="none"/>
        </w:rPr>
        <w:t>。</w:t>
      </w:r>
      <w:r>
        <w:rPr>
          <w:rFonts w:hint="eastAsia" w:ascii="宋体" w:hAnsi="宋体"/>
          <w:bCs/>
          <w:color w:val="000000"/>
          <w:sz w:val="24"/>
          <w:szCs w:val="24"/>
          <w:highlight w:val="none"/>
        </w:rPr>
        <w:t>因投标人未尽注意义务，未及时更新上传投标文件</w:t>
      </w:r>
      <w:r>
        <w:rPr>
          <w:rFonts w:hint="eastAsia" w:ascii="宋体" w:hAnsi="宋体"/>
          <w:color w:val="000000"/>
          <w:sz w:val="24"/>
          <w:szCs w:val="24"/>
          <w:highlight w:val="none"/>
        </w:rPr>
        <w:t>或</w:t>
      </w:r>
      <w:r>
        <w:rPr>
          <w:rFonts w:hint="eastAsia" w:ascii="宋体" w:hAnsi="宋体"/>
          <w:bCs/>
          <w:color w:val="000000"/>
          <w:sz w:val="24"/>
          <w:szCs w:val="24"/>
          <w:highlight w:val="none"/>
        </w:rPr>
        <w:t>全面地关注更正公告导致其提交的投标材料不符合招标文件要求，而造成的损失及风险（包括但不限于未中标）由投标人自行承担。</w:t>
      </w:r>
    </w:p>
    <w:p>
      <w:pPr>
        <w:numPr>
          <w:ilvl w:val="0"/>
          <w:numId w:val="2"/>
        </w:numPr>
        <w:tabs>
          <w:tab w:val="left" w:pos="525"/>
          <w:tab w:val="left" w:pos="945"/>
        </w:tabs>
        <w:spacing w:line="360" w:lineRule="auto"/>
        <w:ind w:left="1" w:firstLine="523"/>
        <w:rPr>
          <w:rFonts w:ascii="宋体"/>
          <w:bCs/>
          <w:color w:val="000000"/>
          <w:sz w:val="24"/>
          <w:szCs w:val="24"/>
          <w:highlight w:val="none"/>
        </w:rPr>
      </w:pPr>
      <w:r>
        <w:rPr>
          <w:rFonts w:hint="eastAsia" w:ascii="宋体" w:hAnsi="宋体"/>
          <w:bCs/>
          <w:color w:val="000000"/>
          <w:sz w:val="24"/>
          <w:szCs w:val="24"/>
          <w:highlight w:val="none"/>
        </w:rPr>
        <w:t>投标人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color w:val="000000"/>
          <w:sz w:val="24"/>
          <w:szCs w:val="24"/>
          <w:highlight w:val="none"/>
        </w:rPr>
        <w:t>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对无效质疑不予受理。</w:t>
      </w:r>
    </w:p>
    <w:p>
      <w:pPr>
        <w:spacing w:line="360" w:lineRule="auto"/>
        <w:ind w:firstLine="480"/>
        <w:outlineLvl w:val="1"/>
        <w:rPr>
          <w:rFonts w:ascii="宋体"/>
          <w:bCs/>
          <w:color w:val="000000"/>
          <w:sz w:val="24"/>
          <w:szCs w:val="24"/>
          <w:highlight w:val="none"/>
        </w:rPr>
      </w:pPr>
      <w:r>
        <w:rPr>
          <w:rFonts w:hint="eastAsia" w:ascii="黑体" w:hAnsi="宋体" w:eastAsia="黑体"/>
          <w:bCs/>
          <w:color w:val="000000"/>
          <w:sz w:val="24"/>
          <w:szCs w:val="24"/>
          <w:highlight w:val="none"/>
        </w:rPr>
        <w:t>（五）投标文件的组成</w:t>
      </w:r>
      <w:r>
        <w:rPr>
          <w:rFonts w:hint="eastAsia" w:ascii="宋体" w:hAnsi="宋体"/>
          <w:bCs/>
          <w:color w:val="000000"/>
          <w:sz w:val="24"/>
          <w:szCs w:val="24"/>
          <w:highlight w:val="none"/>
        </w:rPr>
        <w:t>（</w:t>
      </w:r>
      <w:r>
        <w:rPr>
          <w:rFonts w:hint="eastAsia" w:ascii="宋体" w:hAnsi="宋体"/>
          <w:b/>
          <w:bCs/>
          <w:color w:val="000000"/>
          <w:sz w:val="24"/>
          <w:szCs w:val="24"/>
          <w:highlight w:val="none"/>
        </w:rPr>
        <w:t>相应内容上传至投标客户端</w:t>
      </w:r>
      <w:r>
        <w:rPr>
          <w:rFonts w:hint="eastAsia" w:ascii="宋体" w:hAnsi="宋体"/>
          <w:bCs/>
          <w:color w:val="000000"/>
          <w:sz w:val="24"/>
          <w:szCs w:val="24"/>
          <w:highlight w:val="none"/>
        </w:rPr>
        <w:t>）</w:t>
      </w:r>
      <w:r>
        <w:rPr>
          <w:rFonts w:hint="eastAsia" w:ascii="黑体" w:hAnsi="宋体" w:eastAsia="黑体"/>
          <w:bCs/>
          <w:color w:val="000000"/>
          <w:sz w:val="24"/>
          <w:szCs w:val="24"/>
          <w:highlight w:val="none"/>
        </w:rPr>
        <w:t>：</w:t>
      </w:r>
    </w:p>
    <w:p>
      <w:pPr>
        <w:spacing w:line="360" w:lineRule="auto"/>
        <w:ind w:left="480"/>
        <w:rPr>
          <w:rFonts w:ascii="宋体" w:hAnsi="宋体"/>
          <w:b/>
          <w:color w:val="000000"/>
          <w:sz w:val="24"/>
          <w:highlight w:val="none"/>
        </w:rPr>
      </w:pPr>
      <w:r>
        <w:rPr>
          <w:rFonts w:hint="eastAsia" w:ascii="宋体" w:hAnsi="宋体"/>
          <w:b/>
          <w:color w:val="000000"/>
          <w:sz w:val="24"/>
          <w:highlight w:val="none"/>
          <w:lang w:val="en-US" w:eastAsia="zh-CN"/>
        </w:rPr>
        <w:t>1.</w:t>
      </w:r>
      <w:r>
        <w:rPr>
          <w:rFonts w:hint="eastAsia" w:ascii="宋体" w:hAnsi="宋体"/>
          <w:b/>
          <w:color w:val="000000"/>
          <w:sz w:val="24"/>
          <w:highlight w:val="none"/>
        </w:rPr>
        <w:t>证明文件：</w:t>
      </w:r>
    </w:p>
    <w:p>
      <w:pPr>
        <w:tabs>
          <w:tab w:val="left" w:pos="525"/>
          <w:tab w:val="left" w:pos="945"/>
        </w:tabs>
        <w:spacing w:line="360" w:lineRule="auto"/>
        <w:ind w:firstLine="480" w:firstLineChars="200"/>
        <w:outlineLvl w:val="2"/>
        <w:rPr>
          <w:rFonts w:ascii="宋体"/>
          <w:bCs/>
          <w:color w:val="000000"/>
          <w:sz w:val="24"/>
          <w:szCs w:val="24"/>
          <w:highlight w:val="none"/>
        </w:rPr>
      </w:pPr>
      <w:r>
        <w:rPr>
          <w:rFonts w:hint="eastAsia" w:ascii="宋体" w:hAnsi="宋体"/>
          <w:bCs/>
          <w:color w:val="000000"/>
          <w:sz w:val="24"/>
          <w:szCs w:val="24"/>
          <w:highlight w:val="none"/>
        </w:rPr>
        <w:t>第一部分：资格、资信证明文件</w:t>
      </w:r>
      <w:r>
        <w:rPr>
          <w:rFonts w:hint="eastAsia" w:ascii="宋体" w:hAnsi="宋体"/>
          <w:b/>
          <w:bCs/>
          <w:color w:val="000000"/>
          <w:sz w:val="24"/>
          <w:highlight w:val="none"/>
        </w:rPr>
        <w:t>（原件扫描件上传，</w:t>
      </w:r>
      <w:r>
        <w:rPr>
          <w:rFonts w:hint="eastAsia" w:hAnsi="宋体" w:cs="宋体"/>
          <w:b/>
          <w:color w:val="000000"/>
          <w:sz w:val="24"/>
          <w:highlight w:val="none"/>
        </w:rPr>
        <w:t>身份证应为正、反面</w:t>
      </w:r>
      <w:r>
        <w:rPr>
          <w:rFonts w:hint="eastAsia" w:ascii="宋体" w:hAnsi="宋体"/>
          <w:b/>
          <w:bCs/>
          <w:color w:val="000000"/>
          <w:sz w:val="24"/>
          <w:highlight w:val="none"/>
        </w:rPr>
        <w:t>）</w:t>
      </w:r>
      <w:r>
        <w:rPr>
          <w:rFonts w:hint="eastAsia" w:ascii="宋体" w:hAnsi="宋体"/>
          <w:bCs/>
          <w:color w:val="000000"/>
          <w:sz w:val="24"/>
          <w:szCs w:val="24"/>
          <w:highlight w:val="none"/>
        </w:rPr>
        <w:t>：</w:t>
      </w:r>
    </w:p>
    <w:p>
      <w:pPr>
        <w:tabs>
          <w:tab w:val="left" w:pos="945"/>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（1）关于资格的声明函（格式见附件）；</w:t>
      </w:r>
    </w:p>
    <w:p>
      <w:pPr>
        <w:tabs>
          <w:tab w:val="left" w:pos="945"/>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（2）</w:t>
      </w:r>
      <w:r>
        <w:rPr>
          <w:rFonts w:hint="eastAsia" w:ascii="宋体" w:hAnsi="宋体" w:cs="宋体"/>
          <w:bCs/>
          <w:sz w:val="24"/>
          <w:highlight w:val="none"/>
        </w:rPr>
        <w:t>供应商有效期内营业执照（三证合一）</w:t>
      </w:r>
      <w:r>
        <w:rPr>
          <w:rFonts w:hint="eastAsia" w:ascii="宋体" w:hAnsi="宋体"/>
          <w:bCs/>
          <w:color w:val="000000"/>
          <w:sz w:val="24"/>
          <w:szCs w:val="24"/>
          <w:highlight w:val="none"/>
        </w:rPr>
        <w:t>；</w:t>
      </w:r>
    </w:p>
    <w:p>
      <w:pPr>
        <w:tabs>
          <w:tab w:val="left" w:pos="945"/>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（3）供应商法定代表人授权委托书（格式见附件，法定代表人亲自参加投标的除外）；</w:t>
      </w:r>
      <w:bookmarkStart w:id="7" w:name="OLE_LINK8"/>
    </w:p>
    <w:p>
      <w:pPr>
        <w:tabs>
          <w:tab w:val="left" w:pos="945"/>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（4）</w:t>
      </w:r>
      <w:bookmarkEnd w:id="7"/>
      <w:r>
        <w:rPr>
          <w:rFonts w:hint="eastAsia" w:ascii="宋体" w:hAnsi="宋体" w:cs="宋体"/>
          <w:color w:val="000000"/>
          <w:sz w:val="24"/>
          <w:szCs w:val="24"/>
          <w:highlight w:val="none"/>
        </w:rPr>
        <w:t>供应商法定代表人身份证及法定代表人授权代表身份证（正、反双面扫描，法定代表人亲自参加投标的除外）；</w:t>
      </w:r>
    </w:p>
    <w:p>
      <w:pPr>
        <w:tabs>
          <w:tab w:val="left" w:pos="945"/>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w:t>
      </w:r>
      <w:r>
        <w:rPr>
          <w:rFonts w:hint="eastAsia" w:hAnsi="宋体" w:cs="宋体"/>
          <w:bCs/>
          <w:sz w:val="24"/>
          <w:highlight w:val="none"/>
        </w:rPr>
        <w:t>供应商</w:t>
      </w:r>
      <w:r>
        <w:rPr>
          <w:rFonts w:hint="eastAsia" w:hAnsi="宋体"/>
          <w:bCs/>
          <w:sz w:val="24"/>
          <w:highlight w:val="none"/>
        </w:rPr>
        <w:t>近一年中任意一个月份（不含投标当月）的财务状况报告（资产负债表和利润表）或由会计师事务所出具的2023年度</w:t>
      </w:r>
      <w:r>
        <w:rPr>
          <w:rFonts w:hint="eastAsia" w:hAnsi="宋体"/>
          <w:bCs/>
          <w:sz w:val="24"/>
          <w:highlight w:val="none"/>
          <w:lang w:eastAsia="zh-CN"/>
        </w:rPr>
        <w:t>（</w:t>
      </w:r>
      <w:r>
        <w:rPr>
          <w:rFonts w:hint="eastAsia" w:hAnsi="宋体"/>
          <w:bCs/>
          <w:sz w:val="24"/>
          <w:highlight w:val="none"/>
          <w:lang w:val="en-US" w:eastAsia="zh-CN"/>
        </w:rPr>
        <w:t>或2024年度）</w:t>
      </w:r>
      <w:r>
        <w:rPr>
          <w:rFonts w:hint="eastAsia" w:hAnsi="宋体"/>
          <w:bCs/>
          <w:sz w:val="24"/>
          <w:highlight w:val="none"/>
        </w:rPr>
        <w:t>审计报告和所附已审财务报告</w:t>
      </w:r>
      <w:r>
        <w:rPr>
          <w:rFonts w:hint="eastAsia"/>
          <w:sz w:val="24"/>
          <w:highlight w:val="none"/>
        </w:rPr>
        <w:t>原件扫描件</w:t>
      </w:r>
      <w:r>
        <w:rPr>
          <w:rFonts w:hint="eastAsia" w:ascii="宋体" w:hAnsi="宋体" w:cs="宋体"/>
          <w:color w:val="000000"/>
          <w:sz w:val="24"/>
          <w:szCs w:val="24"/>
          <w:highlight w:val="none"/>
        </w:rPr>
        <w:t>；</w:t>
      </w:r>
    </w:p>
    <w:p>
      <w:pPr>
        <w:tabs>
          <w:tab w:val="left" w:pos="945"/>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（6）</w:t>
      </w:r>
      <w:r>
        <w:rPr>
          <w:rFonts w:hint="eastAsia" w:hAnsi="宋体" w:cs="宋体"/>
          <w:bCs/>
          <w:sz w:val="24"/>
          <w:highlight w:val="none"/>
        </w:rPr>
        <w:t>供应商</w:t>
      </w:r>
      <w:r>
        <w:rPr>
          <w:rFonts w:hint="eastAsia" w:hAnsi="宋体"/>
          <w:bCs/>
          <w:sz w:val="24"/>
          <w:highlight w:val="none"/>
        </w:rPr>
        <w:t>近一年中任意一个月份（不含投标当月）的依法缴纳税收的相关材料（提供相关主管部门证明或银行代扣证明）</w:t>
      </w:r>
      <w:r>
        <w:rPr>
          <w:rFonts w:hint="eastAsia"/>
          <w:sz w:val="24"/>
          <w:highlight w:val="none"/>
        </w:rPr>
        <w:t>原件扫描件</w:t>
      </w:r>
      <w:r>
        <w:rPr>
          <w:rFonts w:hint="eastAsia" w:ascii="宋体" w:hAnsi="宋体" w:cs="宋体"/>
          <w:color w:val="000000"/>
          <w:sz w:val="24"/>
          <w:szCs w:val="24"/>
          <w:highlight w:val="none"/>
        </w:rPr>
        <w:t>；</w:t>
      </w:r>
    </w:p>
    <w:p>
      <w:pPr>
        <w:tabs>
          <w:tab w:val="left" w:pos="945"/>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（7）</w:t>
      </w:r>
      <w:r>
        <w:rPr>
          <w:rFonts w:hint="eastAsia" w:hAnsi="宋体" w:cs="宋体"/>
          <w:bCs/>
          <w:sz w:val="24"/>
          <w:highlight w:val="none"/>
        </w:rPr>
        <w:t>供应商</w:t>
      </w:r>
      <w:r>
        <w:rPr>
          <w:rFonts w:hint="eastAsia" w:hAnsi="宋体"/>
          <w:bCs/>
          <w:sz w:val="24"/>
          <w:highlight w:val="none"/>
        </w:rPr>
        <w:t>近一年中任意一个月份（不含投标当月）的依法</w:t>
      </w:r>
      <w:r>
        <w:rPr>
          <w:rFonts w:hAnsi="宋体"/>
          <w:bCs/>
          <w:sz w:val="24"/>
          <w:highlight w:val="none"/>
        </w:rPr>
        <w:t>缴纳</w:t>
      </w:r>
      <w:r>
        <w:rPr>
          <w:rFonts w:hint="eastAsia" w:hAnsi="宋体"/>
          <w:bCs/>
          <w:sz w:val="24"/>
          <w:highlight w:val="none"/>
        </w:rPr>
        <w:t>社会保障资金的相关材料（提供相关主管部门证明或银行代扣证明）</w:t>
      </w:r>
      <w:r>
        <w:rPr>
          <w:rFonts w:hint="eastAsia"/>
          <w:sz w:val="24"/>
          <w:highlight w:val="none"/>
        </w:rPr>
        <w:t>原件扫描件</w:t>
      </w:r>
      <w:r>
        <w:rPr>
          <w:rFonts w:hint="eastAsia" w:ascii="宋体" w:hAnsi="宋体" w:cs="宋体"/>
          <w:color w:val="000000"/>
          <w:sz w:val="24"/>
          <w:szCs w:val="24"/>
          <w:highlight w:val="none"/>
        </w:rPr>
        <w:t>；</w:t>
      </w:r>
    </w:p>
    <w:p>
      <w:pPr>
        <w:tabs>
          <w:tab w:val="left" w:pos="945"/>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8</w:t>
      </w:r>
      <w:r>
        <w:rPr>
          <w:rFonts w:hint="eastAsia" w:ascii="宋体" w:hAnsi="宋体" w:cs="宋体"/>
          <w:color w:val="000000"/>
          <w:sz w:val="24"/>
          <w:szCs w:val="24"/>
          <w:highlight w:val="none"/>
          <w:lang w:val="zh-CN"/>
        </w:rPr>
        <w:t>）</w:t>
      </w:r>
      <w:r>
        <w:rPr>
          <w:rFonts w:hint="eastAsia" w:ascii="宋体" w:hAnsi="宋体" w:cs="宋体"/>
          <w:color w:val="000000"/>
          <w:sz w:val="24"/>
          <w:highlight w:val="none"/>
        </w:rPr>
        <w:t>法定代表人授权委托人、项目负责人与企业签订的劳动合同和由社保机构出具的近一年中任意一个月份(不含投标当月) 的缴费证明原件扫描件（网上查询带有二维码/验证码的打印件可作原件使用，如报价供应商成立时间迟于要求开始的时间，则提供成立时间至采购文件中社保要求的截止时间内的社保缴费证明）</w:t>
      </w:r>
      <w:r>
        <w:rPr>
          <w:rFonts w:hint="eastAsia" w:ascii="宋体" w:hAnsi="宋体" w:cs="宋体"/>
          <w:color w:val="000000"/>
          <w:sz w:val="24"/>
          <w:szCs w:val="24"/>
          <w:highlight w:val="none"/>
        </w:rPr>
        <w:t>；</w:t>
      </w:r>
    </w:p>
    <w:p>
      <w:pPr>
        <w:tabs>
          <w:tab w:val="left" w:pos="945"/>
        </w:tabs>
        <w:spacing w:line="360" w:lineRule="auto"/>
        <w:ind w:firstLine="480"/>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9</w:t>
      </w:r>
      <w:r>
        <w:rPr>
          <w:rFonts w:hint="eastAsia" w:ascii="宋体" w:hAnsi="宋体" w:cs="宋体"/>
          <w:color w:val="000000"/>
          <w:sz w:val="24"/>
          <w:szCs w:val="24"/>
          <w:highlight w:val="none"/>
          <w:lang w:val="zh-CN"/>
        </w:rPr>
        <w:t>）</w:t>
      </w:r>
      <w:r>
        <w:rPr>
          <w:rFonts w:hint="eastAsia" w:ascii="宋体" w:hAnsi="宋体" w:cs="宋体"/>
          <w:color w:val="000000"/>
          <w:sz w:val="24"/>
          <w:highlight w:val="none"/>
        </w:rPr>
        <w:t>承诺书原件扫描件（格式见附件）</w:t>
      </w:r>
      <w:r>
        <w:rPr>
          <w:rFonts w:hint="eastAsia" w:ascii="宋体" w:hAnsi="宋体" w:cs="宋体"/>
          <w:color w:val="000000"/>
          <w:sz w:val="24"/>
          <w:szCs w:val="24"/>
          <w:highlight w:val="none"/>
          <w:lang w:val="zh-CN"/>
        </w:rPr>
        <w:t>；</w:t>
      </w:r>
    </w:p>
    <w:p>
      <w:pPr>
        <w:tabs>
          <w:tab w:val="left" w:pos="945"/>
        </w:tabs>
        <w:spacing w:line="360" w:lineRule="auto"/>
        <w:ind w:firstLine="480"/>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10</w:t>
      </w:r>
      <w:r>
        <w:rPr>
          <w:rFonts w:hint="eastAsia" w:ascii="宋体" w:hAnsi="宋体" w:cs="宋体"/>
          <w:color w:val="000000"/>
          <w:sz w:val="24"/>
          <w:szCs w:val="24"/>
          <w:highlight w:val="none"/>
          <w:lang w:val="zh-CN"/>
        </w:rPr>
        <w:t>）</w:t>
      </w:r>
      <w:r>
        <w:rPr>
          <w:rFonts w:hint="eastAsia" w:ascii="宋体" w:cs="宋体"/>
          <w:color w:val="000000"/>
          <w:sz w:val="24"/>
          <w:highlight w:val="none"/>
          <w:lang w:val="zh-CN"/>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r>
        <w:rPr>
          <w:rFonts w:hint="eastAsia" w:ascii="宋体" w:hAnsi="宋体" w:cs="宋体"/>
          <w:color w:val="000000"/>
          <w:sz w:val="24"/>
          <w:szCs w:val="24"/>
          <w:highlight w:val="none"/>
          <w:lang w:val="zh-CN"/>
        </w:rPr>
        <w:t>。</w:t>
      </w:r>
    </w:p>
    <w:p>
      <w:pPr>
        <w:tabs>
          <w:tab w:val="left" w:pos="945"/>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pPr>
        <w:tabs>
          <w:tab w:val="left" w:pos="945"/>
        </w:tabs>
        <w:spacing w:line="360" w:lineRule="auto"/>
        <w:ind w:firstLine="480"/>
        <w:rPr>
          <w:rFonts w:ascii="宋体" w:hAnsi="宋体" w:cs="宋体"/>
          <w:b/>
          <w:color w:val="000000"/>
          <w:sz w:val="24"/>
          <w:highlight w:val="none"/>
        </w:rPr>
      </w:pPr>
      <w:r>
        <w:rPr>
          <w:rFonts w:hint="eastAsia" w:ascii="宋体" w:hAnsi="宋体" w:cs="宋体"/>
          <w:b/>
          <w:color w:val="000000"/>
          <w:sz w:val="24"/>
          <w:highlight w:val="none"/>
        </w:rPr>
        <w:t>上述资格文件中的资格、资信文件必须按要求全部提供，否则响应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他可在中国大陆有效居留的许可证明。</w:t>
      </w:r>
    </w:p>
    <w:p>
      <w:pPr>
        <w:widowControl/>
        <w:tabs>
          <w:tab w:val="left" w:pos="0"/>
        </w:tabs>
        <w:spacing w:line="360" w:lineRule="auto"/>
        <w:ind w:firstLine="424"/>
        <w:jc w:val="left"/>
        <w:rPr>
          <w:rFonts w:ascii="宋体" w:hAnsi="宋体"/>
          <w:color w:val="000000"/>
          <w:sz w:val="24"/>
          <w:szCs w:val="21"/>
          <w:highlight w:val="none"/>
        </w:rPr>
      </w:pPr>
      <w:r>
        <w:rPr>
          <w:rFonts w:hint="eastAsia" w:ascii="宋体" w:hAnsi="宋体"/>
          <w:color w:val="000000"/>
          <w:sz w:val="24"/>
          <w:szCs w:val="21"/>
          <w:highlight w:val="none"/>
        </w:rPr>
        <w:t>第二部分：补充性文件：</w:t>
      </w:r>
    </w:p>
    <w:p>
      <w:pPr>
        <w:widowControl/>
        <w:tabs>
          <w:tab w:val="left" w:pos="0"/>
        </w:tabs>
        <w:spacing w:line="360" w:lineRule="auto"/>
        <w:ind w:firstLine="424"/>
        <w:jc w:val="left"/>
        <w:rPr>
          <w:rFonts w:ascii="宋体" w:hAnsi="宋体"/>
          <w:color w:val="000000"/>
          <w:sz w:val="24"/>
          <w:szCs w:val="21"/>
          <w:highlight w:val="none"/>
        </w:rPr>
      </w:pPr>
      <w:r>
        <w:rPr>
          <w:rFonts w:hint="eastAsia" w:ascii="宋体" w:hAnsi="宋体"/>
          <w:color w:val="000000"/>
          <w:sz w:val="24"/>
          <w:szCs w:val="21"/>
          <w:highlight w:val="none"/>
        </w:rPr>
        <w:t>投标供应商简介和经营情况说明；</w:t>
      </w:r>
    </w:p>
    <w:p>
      <w:pPr>
        <w:spacing w:line="360" w:lineRule="auto"/>
        <w:ind w:left="480"/>
        <w:rPr>
          <w:rFonts w:ascii="宋体" w:hAnsi="宋体"/>
          <w:b/>
          <w:color w:val="000000"/>
          <w:sz w:val="24"/>
          <w:highlight w:val="none"/>
        </w:rPr>
      </w:pPr>
      <w:r>
        <w:rPr>
          <w:rFonts w:hint="eastAsia" w:ascii="宋体" w:hAnsi="宋体"/>
          <w:b/>
          <w:color w:val="000000"/>
          <w:sz w:val="24"/>
          <w:highlight w:val="none"/>
          <w:lang w:val="en-US" w:eastAsia="zh-CN"/>
        </w:rPr>
        <w:t>2.</w:t>
      </w:r>
      <w:r>
        <w:rPr>
          <w:rFonts w:hint="eastAsia" w:ascii="宋体" w:hAnsi="宋体"/>
          <w:b/>
          <w:color w:val="000000"/>
          <w:sz w:val="24"/>
          <w:highlight w:val="none"/>
        </w:rPr>
        <w:t>响应函部分（格式见附件）：</w:t>
      </w:r>
    </w:p>
    <w:p>
      <w:pPr>
        <w:widowControl/>
        <w:spacing w:line="360" w:lineRule="auto"/>
        <w:ind w:firstLine="480"/>
        <w:jc w:val="left"/>
        <w:rPr>
          <w:rFonts w:ascii="宋体" w:hAnsi="宋体" w:cs="宋体"/>
          <w:color w:val="000000"/>
          <w:sz w:val="24"/>
          <w:szCs w:val="21"/>
          <w:highlight w:val="none"/>
        </w:rPr>
      </w:pPr>
      <w:r>
        <w:rPr>
          <w:rFonts w:hint="eastAsia" w:ascii="宋体" w:hAnsi="宋体" w:cs="宋体"/>
          <w:color w:val="000000"/>
          <w:sz w:val="24"/>
          <w:szCs w:val="21"/>
          <w:highlight w:val="none"/>
        </w:rPr>
        <w:t>（1）投标函（格式见附件）</w:t>
      </w:r>
    </w:p>
    <w:p>
      <w:pPr>
        <w:widowControl/>
        <w:spacing w:line="360" w:lineRule="auto"/>
        <w:ind w:firstLine="480"/>
        <w:jc w:val="left"/>
        <w:rPr>
          <w:rFonts w:ascii="宋体" w:hAnsi="宋体" w:cs="宋体"/>
          <w:color w:val="000000"/>
          <w:sz w:val="24"/>
          <w:szCs w:val="21"/>
          <w:highlight w:val="none"/>
        </w:rPr>
      </w:pPr>
      <w:r>
        <w:rPr>
          <w:rFonts w:hint="eastAsia" w:ascii="宋体" w:hAnsi="宋体" w:cs="宋体"/>
          <w:color w:val="000000"/>
          <w:sz w:val="24"/>
          <w:szCs w:val="21"/>
          <w:highlight w:val="none"/>
        </w:rPr>
        <w:t>（2）开标一览表（格式见附件）</w:t>
      </w:r>
    </w:p>
    <w:p>
      <w:pPr>
        <w:widowControl/>
        <w:spacing w:line="360" w:lineRule="auto"/>
        <w:ind w:firstLine="480"/>
        <w:jc w:val="left"/>
        <w:rPr>
          <w:rFonts w:ascii="宋体" w:hAnsi="宋体" w:cs="宋体"/>
          <w:color w:val="000000"/>
          <w:sz w:val="24"/>
          <w:szCs w:val="21"/>
          <w:highlight w:val="none"/>
        </w:rPr>
      </w:pPr>
      <w:r>
        <w:rPr>
          <w:rFonts w:hint="eastAsia" w:ascii="宋体" w:hAnsi="宋体" w:cs="宋体"/>
          <w:color w:val="000000"/>
          <w:sz w:val="24"/>
          <w:szCs w:val="21"/>
          <w:highlight w:val="none"/>
        </w:rPr>
        <w:t>（3）</w:t>
      </w:r>
      <w:r>
        <w:rPr>
          <w:rFonts w:hint="eastAsia" w:ascii="宋体" w:hAnsi="宋体" w:cs="宋体"/>
          <w:color w:val="000000"/>
          <w:sz w:val="24"/>
          <w:szCs w:val="21"/>
          <w:highlight w:val="none"/>
          <w:lang w:val="en-US" w:eastAsia="zh-CN"/>
        </w:rPr>
        <w:t>明细报价表</w:t>
      </w:r>
      <w:bookmarkStart w:id="21" w:name="_GoBack"/>
      <w:bookmarkEnd w:id="21"/>
      <w:r>
        <w:rPr>
          <w:rFonts w:hint="eastAsia" w:ascii="宋体" w:hAnsi="宋体" w:cs="宋体"/>
          <w:color w:val="000000"/>
          <w:sz w:val="24"/>
          <w:szCs w:val="21"/>
          <w:highlight w:val="none"/>
        </w:rPr>
        <w:t>（格式见附件）</w:t>
      </w:r>
    </w:p>
    <w:p>
      <w:pPr>
        <w:spacing w:line="360" w:lineRule="auto"/>
        <w:ind w:left="480"/>
        <w:rPr>
          <w:rFonts w:ascii="宋体" w:hAnsi="宋体"/>
          <w:b/>
          <w:color w:val="000000"/>
          <w:sz w:val="24"/>
          <w:highlight w:val="none"/>
        </w:rPr>
      </w:pPr>
      <w:r>
        <w:rPr>
          <w:rFonts w:hint="eastAsia" w:ascii="宋体" w:hAnsi="宋体"/>
          <w:b/>
          <w:color w:val="000000"/>
          <w:sz w:val="24"/>
          <w:highlight w:val="none"/>
          <w:lang w:val="en-US" w:eastAsia="zh-CN"/>
        </w:rPr>
        <w:t>3.</w:t>
      </w:r>
      <w:r>
        <w:rPr>
          <w:rFonts w:hint="eastAsia" w:ascii="宋体" w:hAnsi="宋体"/>
          <w:b/>
          <w:color w:val="000000"/>
          <w:sz w:val="24"/>
          <w:highlight w:val="none"/>
        </w:rPr>
        <w:t>人员配置表（格式见附件）</w:t>
      </w:r>
    </w:p>
    <w:p>
      <w:pPr>
        <w:spacing w:line="360" w:lineRule="auto"/>
        <w:ind w:left="480"/>
        <w:rPr>
          <w:rFonts w:ascii="宋体" w:hAnsi="宋体" w:cs="宋体"/>
          <w:b/>
          <w:bCs/>
          <w:color w:val="000000"/>
          <w:sz w:val="24"/>
          <w:szCs w:val="24"/>
          <w:highlight w:val="none"/>
        </w:rPr>
      </w:pPr>
      <w:r>
        <w:rPr>
          <w:rFonts w:hint="eastAsia" w:ascii="宋体" w:hAnsi="宋体"/>
          <w:b/>
          <w:color w:val="000000"/>
          <w:sz w:val="24"/>
          <w:highlight w:val="none"/>
          <w:lang w:val="en-US" w:eastAsia="zh-CN"/>
        </w:rPr>
        <w:t>4.</w:t>
      </w:r>
      <w:r>
        <w:rPr>
          <w:rFonts w:hint="eastAsia" w:ascii="宋体" w:hAnsi="宋体"/>
          <w:b/>
          <w:color w:val="000000"/>
          <w:sz w:val="24"/>
          <w:highlight w:val="none"/>
        </w:rPr>
        <w:t>投标</w:t>
      </w:r>
      <w:r>
        <w:rPr>
          <w:rFonts w:hint="eastAsia" w:ascii="宋体" w:hAnsi="宋体" w:cs="宋体"/>
          <w:b/>
          <w:bCs/>
          <w:color w:val="000000"/>
          <w:sz w:val="24"/>
          <w:szCs w:val="24"/>
          <w:highlight w:val="none"/>
        </w:rPr>
        <w:t>偏离表（格式见附件）</w:t>
      </w:r>
    </w:p>
    <w:p>
      <w:pPr>
        <w:spacing w:line="360" w:lineRule="auto"/>
        <w:ind w:left="480"/>
        <w:rPr>
          <w:highlight w:val="none"/>
        </w:rPr>
      </w:pPr>
      <w:r>
        <w:rPr>
          <w:rFonts w:hint="eastAsia" w:ascii="宋体" w:hAnsi="宋体" w:cs="宋体"/>
          <w:b/>
          <w:bCs/>
          <w:color w:val="000000"/>
          <w:sz w:val="24"/>
          <w:szCs w:val="24"/>
          <w:highlight w:val="none"/>
          <w:lang w:val="en-US" w:eastAsia="zh-CN"/>
        </w:rPr>
        <w:t>5.</w:t>
      </w:r>
      <w:r>
        <w:rPr>
          <w:rFonts w:hint="eastAsia" w:ascii="宋体" w:hAnsi="宋体" w:cs="宋体"/>
          <w:b/>
          <w:bCs/>
          <w:color w:val="000000"/>
          <w:sz w:val="24"/>
          <w:szCs w:val="24"/>
          <w:highlight w:val="none"/>
        </w:rPr>
        <w:t>其他及补充性文件(投标人认为有必要提供的声明和文件及评分标准中对应的所需证明材料，如有自拟并自行添加至投标文件中)</w:t>
      </w:r>
    </w:p>
    <w:p>
      <w:pPr>
        <w:spacing w:line="360" w:lineRule="auto"/>
        <w:ind w:left="480"/>
        <w:rPr>
          <w:rFonts w:hint="eastAsia" w:ascii="宋体" w:hAnsi="宋体"/>
          <w:b/>
          <w:sz w:val="24"/>
          <w:szCs w:val="24"/>
          <w:highlight w:val="none"/>
        </w:rPr>
      </w:pPr>
      <w:r>
        <w:rPr>
          <w:rFonts w:hint="eastAsia" w:ascii="宋体" w:hAnsi="宋体"/>
          <w:b/>
          <w:color w:val="000000"/>
          <w:sz w:val="24"/>
          <w:highlight w:val="none"/>
          <w:lang w:val="en-US" w:eastAsia="zh-CN"/>
        </w:rPr>
        <w:t>6.</w:t>
      </w:r>
      <w:r>
        <w:rPr>
          <w:rFonts w:hint="eastAsia" w:ascii="宋体" w:hAnsi="宋体"/>
          <w:b/>
          <w:color w:val="000000"/>
          <w:sz w:val="24"/>
          <w:highlight w:val="none"/>
        </w:rPr>
        <w:t>技术文件：</w:t>
      </w:r>
      <w:r>
        <w:rPr>
          <w:rFonts w:hint="eastAsia" w:ascii="宋体" w:hAnsi="宋体"/>
          <w:b/>
          <w:sz w:val="24"/>
          <w:szCs w:val="24"/>
          <w:highlight w:val="none"/>
        </w:rPr>
        <w:t>（暗标，内容参照评标办法）</w:t>
      </w:r>
    </w:p>
    <w:p>
      <w:pPr>
        <w:spacing w:line="360" w:lineRule="auto"/>
        <w:ind w:firstLine="482"/>
        <w:rPr>
          <w:rFonts w:ascii="宋体" w:hAnsi="宋体"/>
          <w:b/>
          <w:sz w:val="24"/>
          <w:szCs w:val="21"/>
          <w:highlight w:val="none"/>
          <w:u w:val="single"/>
        </w:rPr>
      </w:pPr>
      <w:r>
        <w:rPr>
          <w:rFonts w:hint="eastAsia" w:ascii="宋体" w:hAnsi="宋体" w:eastAsia="宋体"/>
          <w:b/>
          <w:sz w:val="24"/>
          <w:szCs w:val="24"/>
          <w:highlight w:val="none"/>
          <w:lang w:val="en-US" w:eastAsia="zh-CN"/>
        </w:rPr>
        <w:t xml:space="preserve">  </w:t>
      </w:r>
      <w:r>
        <w:rPr>
          <w:rFonts w:hint="eastAsia" w:ascii="宋体" w:hAnsi="宋体"/>
          <w:b/>
          <w:sz w:val="24"/>
          <w:szCs w:val="21"/>
          <w:highlight w:val="none"/>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pPr>
        <w:spacing w:line="360" w:lineRule="auto"/>
        <w:ind w:firstLine="482"/>
        <w:rPr>
          <w:rFonts w:ascii="宋体" w:hAnsi="宋体"/>
          <w:b/>
          <w:sz w:val="24"/>
          <w:szCs w:val="21"/>
          <w:highlight w:val="none"/>
          <w:u w:val="single"/>
        </w:rPr>
      </w:pPr>
      <w:r>
        <w:rPr>
          <w:rFonts w:hint="eastAsia" w:ascii="宋体" w:hAnsi="宋体"/>
          <w:b/>
          <w:sz w:val="24"/>
          <w:szCs w:val="21"/>
          <w:highlight w:val="none"/>
        </w:rPr>
        <w:t>不得有体现投标人身份的内容是指：</w:t>
      </w:r>
    </w:p>
    <w:p>
      <w:pPr>
        <w:spacing w:line="360" w:lineRule="auto"/>
        <w:ind w:firstLine="482"/>
        <w:rPr>
          <w:rFonts w:ascii="宋体" w:hAnsi="宋体"/>
          <w:b/>
          <w:sz w:val="24"/>
          <w:szCs w:val="21"/>
          <w:highlight w:val="none"/>
        </w:rPr>
      </w:pPr>
      <w:r>
        <w:rPr>
          <w:rFonts w:hint="eastAsia" w:ascii="宋体" w:hAnsi="宋体"/>
          <w:b/>
          <w:sz w:val="24"/>
          <w:szCs w:val="21"/>
          <w:highlight w:val="none"/>
          <w:lang w:eastAsia="zh-CN"/>
        </w:rPr>
        <w:t>（</w:t>
      </w:r>
      <w:r>
        <w:rPr>
          <w:rFonts w:hint="eastAsia" w:ascii="宋体" w:hAnsi="宋体"/>
          <w:b/>
          <w:sz w:val="24"/>
          <w:szCs w:val="21"/>
          <w:highlight w:val="none"/>
          <w:lang w:val="en-US" w:eastAsia="zh-CN"/>
        </w:rPr>
        <w:t>1</w:t>
      </w:r>
      <w:r>
        <w:rPr>
          <w:rFonts w:hint="eastAsia" w:ascii="宋体" w:hAnsi="宋体"/>
          <w:b/>
          <w:sz w:val="24"/>
          <w:szCs w:val="21"/>
          <w:highlight w:val="none"/>
          <w:lang w:eastAsia="zh-CN"/>
        </w:rPr>
        <w:t>）</w:t>
      </w:r>
      <w:r>
        <w:rPr>
          <w:rFonts w:hint="eastAsia" w:ascii="宋体" w:hAnsi="宋体"/>
          <w:b/>
          <w:sz w:val="24"/>
          <w:szCs w:val="21"/>
          <w:highlight w:val="none"/>
        </w:rPr>
        <w:t>技术部分不得出现能够体现投标人身份、名称的相关描述、材料、文件等内容；</w:t>
      </w:r>
    </w:p>
    <w:p>
      <w:pPr>
        <w:spacing w:line="360" w:lineRule="auto"/>
        <w:ind w:firstLine="482"/>
        <w:rPr>
          <w:rFonts w:ascii="宋体" w:hAnsi="宋体"/>
          <w:b/>
          <w:sz w:val="24"/>
          <w:szCs w:val="21"/>
          <w:highlight w:val="none"/>
        </w:rPr>
      </w:pPr>
      <w:r>
        <w:rPr>
          <w:rFonts w:hint="eastAsia" w:ascii="宋体" w:hAnsi="宋体"/>
          <w:b/>
          <w:sz w:val="24"/>
          <w:szCs w:val="21"/>
          <w:highlight w:val="none"/>
          <w:lang w:eastAsia="zh-CN"/>
        </w:rPr>
        <w:t>（</w:t>
      </w:r>
      <w:r>
        <w:rPr>
          <w:rFonts w:hint="eastAsia" w:ascii="宋体" w:hAnsi="宋体"/>
          <w:b/>
          <w:sz w:val="24"/>
          <w:szCs w:val="21"/>
          <w:highlight w:val="none"/>
          <w:lang w:val="en-US" w:eastAsia="zh-CN"/>
        </w:rPr>
        <w:t>2</w:t>
      </w:r>
      <w:r>
        <w:rPr>
          <w:rFonts w:hint="eastAsia" w:ascii="宋体" w:hAnsi="宋体"/>
          <w:b/>
          <w:sz w:val="24"/>
          <w:szCs w:val="21"/>
          <w:highlight w:val="none"/>
          <w:lang w:eastAsia="zh-CN"/>
        </w:rPr>
        <w:t>）</w:t>
      </w:r>
      <w:r>
        <w:rPr>
          <w:rFonts w:hint="eastAsia" w:ascii="宋体" w:hAnsi="宋体"/>
          <w:b/>
          <w:sz w:val="24"/>
          <w:szCs w:val="21"/>
          <w:highlight w:val="none"/>
        </w:rPr>
        <w:t>技术部分不得更改，不得在其中涂改、标注或做任何可以辨认投标人及所属人员身份的名称、印章、商标等标记；</w:t>
      </w:r>
    </w:p>
    <w:p>
      <w:pPr>
        <w:spacing w:line="360" w:lineRule="auto"/>
        <w:ind w:firstLine="482"/>
        <w:rPr>
          <w:rFonts w:ascii="宋体" w:hAnsi="宋体"/>
          <w:b/>
          <w:sz w:val="24"/>
          <w:szCs w:val="21"/>
          <w:highlight w:val="none"/>
        </w:rPr>
      </w:pPr>
      <w:r>
        <w:rPr>
          <w:rFonts w:hint="eastAsia" w:ascii="宋体" w:hAnsi="宋体"/>
          <w:b/>
          <w:sz w:val="24"/>
          <w:szCs w:val="21"/>
          <w:highlight w:val="none"/>
          <w:lang w:eastAsia="zh-CN"/>
        </w:rPr>
        <w:t>（</w:t>
      </w:r>
      <w:r>
        <w:rPr>
          <w:rFonts w:hint="eastAsia" w:ascii="宋体" w:hAnsi="宋体"/>
          <w:b/>
          <w:sz w:val="24"/>
          <w:szCs w:val="21"/>
          <w:highlight w:val="none"/>
          <w:lang w:val="en-US" w:eastAsia="zh-CN"/>
        </w:rPr>
        <w:t>3</w:t>
      </w:r>
      <w:r>
        <w:rPr>
          <w:rFonts w:hint="eastAsia" w:ascii="宋体" w:hAnsi="宋体"/>
          <w:b/>
          <w:sz w:val="24"/>
          <w:szCs w:val="21"/>
          <w:highlight w:val="none"/>
          <w:lang w:eastAsia="zh-CN"/>
        </w:rPr>
        <w:t>）</w:t>
      </w:r>
      <w:r>
        <w:rPr>
          <w:rFonts w:hint="eastAsia" w:ascii="宋体" w:hAnsi="宋体"/>
          <w:b/>
          <w:sz w:val="24"/>
          <w:szCs w:val="21"/>
          <w:highlight w:val="none"/>
        </w:rPr>
        <w:t>技术部分应当版面整洁、字迹清楚、不许批注或进行底纹、阴影、水印等特殊设置，不得采用任何不符合常规、有别于其他投标人的特殊做法；</w:t>
      </w:r>
    </w:p>
    <w:p>
      <w:pPr>
        <w:spacing w:line="360" w:lineRule="auto"/>
        <w:ind w:firstLine="482"/>
        <w:rPr>
          <w:rFonts w:hint="default" w:eastAsia="宋体"/>
          <w:highlight w:val="none"/>
          <w:lang w:val="en-US" w:eastAsia="zh-CN"/>
        </w:rPr>
      </w:pPr>
      <w:r>
        <w:rPr>
          <w:rFonts w:hint="eastAsia" w:ascii="宋体" w:hAnsi="宋体"/>
          <w:b/>
          <w:sz w:val="24"/>
          <w:szCs w:val="21"/>
          <w:highlight w:val="none"/>
          <w:lang w:eastAsia="zh-CN"/>
        </w:rPr>
        <w:t>（</w:t>
      </w:r>
      <w:r>
        <w:rPr>
          <w:rFonts w:hint="eastAsia" w:ascii="宋体" w:hAnsi="宋体"/>
          <w:b/>
          <w:sz w:val="24"/>
          <w:szCs w:val="21"/>
          <w:highlight w:val="none"/>
          <w:lang w:val="en-US" w:eastAsia="zh-CN"/>
        </w:rPr>
        <w:t>4</w:t>
      </w:r>
      <w:r>
        <w:rPr>
          <w:rFonts w:hint="eastAsia" w:ascii="宋体" w:hAnsi="宋体"/>
          <w:b/>
          <w:sz w:val="24"/>
          <w:szCs w:val="21"/>
          <w:highlight w:val="none"/>
          <w:lang w:eastAsia="zh-CN"/>
        </w:rPr>
        <w:t>）</w:t>
      </w:r>
      <w:r>
        <w:rPr>
          <w:rFonts w:hint="eastAsia" w:ascii="宋体" w:hAnsi="宋体"/>
          <w:b/>
          <w:sz w:val="24"/>
          <w:szCs w:val="21"/>
          <w:highlight w:val="none"/>
        </w:rPr>
        <w:t>不得有其他体现投标人身份的内容。</w:t>
      </w:r>
    </w:p>
    <w:p>
      <w:pPr>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（六）投标文件的制作：</w:t>
      </w:r>
    </w:p>
    <w:p>
      <w:pPr>
        <w:spacing w:line="360" w:lineRule="auto"/>
        <w:ind w:firstLine="480"/>
        <w:jc w:val="left"/>
        <w:rPr>
          <w:rFonts w:ascii="宋体" w:hAnsi="宋体"/>
          <w:color w:val="000000"/>
          <w:sz w:val="24"/>
          <w:szCs w:val="21"/>
          <w:highlight w:val="none"/>
        </w:rPr>
      </w:pPr>
      <w:r>
        <w:rPr>
          <w:rFonts w:ascii="宋体" w:hAnsi="宋体"/>
          <w:color w:val="000000"/>
          <w:sz w:val="24"/>
          <w:szCs w:val="21"/>
          <w:highlight w:val="none"/>
        </w:rPr>
        <w:t>1.</w:t>
      </w:r>
      <w:r>
        <w:rPr>
          <w:rFonts w:hint="eastAsia" w:ascii="宋体" w:hAnsi="宋体"/>
          <w:color w:val="000000"/>
          <w:sz w:val="24"/>
          <w:szCs w:val="21"/>
          <w:highlight w:val="none"/>
        </w:rPr>
        <w:t>所有文件、往来函件均应使用简体中文（规格、型号辅助符号除外）。</w:t>
      </w:r>
    </w:p>
    <w:p>
      <w:pPr>
        <w:spacing w:line="360" w:lineRule="auto"/>
        <w:ind w:firstLine="480"/>
        <w:jc w:val="left"/>
        <w:rPr>
          <w:rFonts w:ascii="宋体" w:hAnsi="宋体"/>
          <w:color w:val="000000"/>
          <w:sz w:val="24"/>
          <w:szCs w:val="21"/>
          <w:highlight w:val="none"/>
        </w:rPr>
      </w:pPr>
      <w:r>
        <w:rPr>
          <w:rFonts w:ascii="宋体" w:hAnsi="宋体"/>
          <w:color w:val="000000"/>
          <w:sz w:val="24"/>
          <w:szCs w:val="21"/>
          <w:highlight w:val="none"/>
        </w:rPr>
        <w:t>2.</w:t>
      </w:r>
      <w:r>
        <w:rPr>
          <w:rFonts w:hint="eastAsia" w:ascii="宋体" w:hAnsi="宋体"/>
          <w:color w:val="000000"/>
          <w:sz w:val="24"/>
          <w:szCs w:val="21"/>
          <w:highlight w:val="none"/>
        </w:rPr>
        <w:t>投标文件由投标供应商按给定格式如实填写（编写），须有法人（盖章）、法定代表人或法定代表人授权代表签字或盖章，方为有效，未尽事宜可自行补充。</w:t>
      </w:r>
    </w:p>
    <w:p>
      <w:pPr>
        <w:spacing w:line="360" w:lineRule="auto"/>
        <w:ind w:firstLine="480"/>
        <w:jc w:val="left"/>
        <w:rPr>
          <w:rFonts w:ascii="宋体" w:hAnsi="宋体"/>
          <w:color w:val="000000"/>
          <w:sz w:val="24"/>
          <w:szCs w:val="21"/>
          <w:highlight w:val="none"/>
        </w:rPr>
      </w:pPr>
      <w:r>
        <w:rPr>
          <w:rFonts w:ascii="宋体" w:hAnsi="宋体"/>
          <w:color w:val="000000"/>
          <w:sz w:val="24"/>
          <w:szCs w:val="21"/>
          <w:highlight w:val="none"/>
        </w:rPr>
        <w:t>3.</w:t>
      </w:r>
      <w:r>
        <w:rPr>
          <w:rFonts w:hint="eastAsia" w:ascii="宋体" w:hAnsi="宋体"/>
          <w:color w:val="000000"/>
          <w:sz w:val="24"/>
          <w:szCs w:val="21"/>
          <w:highlight w:val="none"/>
        </w:rPr>
        <w:t>投标供应商报价一律以人民币为报价结算货币，结算单位为“元”。</w:t>
      </w:r>
    </w:p>
    <w:p>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4</w:t>
      </w:r>
      <w:r>
        <w:rPr>
          <w:rFonts w:ascii="宋体" w:hAnsi="宋体"/>
          <w:color w:val="000000"/>
          <w:sz w:val="24"/>
          <w:szCs w:val="21"/>
          <w:highlight w:val="none"/>
        </w:rPr>
        <w:t>.</w:t>
      </w:r>
      <w:r>
        <w:rPr>
          <w:rFonts w:hint="eastAsia" w:ascii="宋体" w:hAnsi="宋体"/>
          <w:color w:val="000000"/>
          <w:sz w:val="24"/>
          <w:szCs w:val="21"/>
          <w:highlight w:val="none"/>
        </w:rPr>
        <w:t>投标文件格式部分，应由投标供应商按给定格式提供，不得更改。</w:t>
      </w:r>
    </w:p>
    <w:p>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5.投标文件份数：本项目为不见面开标，报价人无需递交纸质响应文件至现场，中标后中标供应商向采购人提供与电子投标文件完全一致的纸质响应文件（3份：一正、二副）。</w:t>
      </w:r>
    </w:p>
    <w:p>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6.投标文件不应有涂改、增删和潦草之处，如有必须修改时，修改处必须有法人、法定代表人或法定代表人授权代表的签章。</w:t>
      </w:r>
    </w:p>
    <w:p>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7.投标费用自理。</w:t>
      </w:r>
    </w:p>
    <w:p>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（七）网上投标</w:t>
      </w:r>
    </w:p>
    <w:p>
      <w:p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1.投标人应由其法定代表人或法定代表人授权代表在规定的网上投标时间内，凭</w:t>
      </w:r>
      <w:r>
        <w:rPr>
          <w:rFonts w:ascii="宋体" w:hAnsi="宋体"/>
          <w:bCs/>
          <w:color w:val="000000"/>
          <w:sz w:val="24"/>
          <w:szCs w:val="24"/>
          <w:highlight w:val="none"/>
        </w:rPr>
        <w:t>CA</w:t>
      </w:r>
      <w:r>
        <w:rPr>
          <w:rFonts w:hint="eastAsia" w:ascii="宋体" w:hAnsi="宋体"/>
          <w:bCs/>
          <w:color w:val="000000"/>
          <w:sz w:val="24"/>
          <w:szCs w:val="24"/>
          <w:highlight w:val="none"/>
        </w:rPr>
        <w:t>数字证书登录政府采购交易管理一体化系统获取招标文件，在投标客户端制作投标文件（电子数据），并在投标截止时间之前上传投标文件。</w:t>
      </w:r>
    </w:p>
    <w:p>
      <w:p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2.投标人应对</w:t>
      </w:r>
      <w:r>
        <w:rPr>
          <w:rFonts w:ascii="宋体" w:hAnsi="宋体"/>
          <w:bCs/>
          <w:color w:val="000000"/>
          <w:sz w:val="24"/>
          <w:szCs w:val="24"/>
          <w:highlight w:val="none"/>
        </w:rPr>
        <w:t>CA</w:t>
      </w:r>
      <w:r>
        <w:rPr>
          <w:rFonts w:hint="eastAsia" w:ascii="宋体" w:hAnsi="宋体"/>
          <w:bCs/>
          <w:color w:val="000000"/>
          <w:sz w:val="24"/>
          <w:szCs w:val="24"/>
          <w:highlight w:val="none"/>
        </w:rPr>
        <w:t>数字证书妥善保管，如被他人盗用投标，后果自负。</w:t>
      </w:r>
    </w:p>
    <w:p>
      <w:p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3.投标人按招标文件规定的</w:t>
      </w:r>
      <w:r>
        <w:rPr>
          <w:rFonts w:hint="eastAsia" w:ascii="宋体" w:hAnsi="宋体"/>
          <w:color w:val="000000"/>
          <w:sz w:val="24"/>
          <w:szCs w:val="24"/>
          <w:highlight w:val="none"/>
        </w:rPr>
        <w:t>网上解密时间</w:t>
      </w:r>
      <w:r>
        <w:rPr>
          <w:rFonts w:hint="eastAsia" w:ascii="宋体" w:hAnsi="宋体"/>
          <w:bCs/>
          <w:color w:val="000000"/>
          <w:sz w:val="24"/>
          <w:szCs w:val="24"/>
          <w:highlight w:val="none"/>
        </w:rPr>
        <w:t>进行解密，如未按时解密后果自负。</w:t>
      </w:r>
    </w:p>
    <w:p>
      <w:p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4.投标人应当对招标文件提出的要求和条件作出实质性响应，并在电子投标系统逐条应答。</w:t>
      </w:r>
    </w:p>
    <w:p>
      <w:p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5.投标人应对要求提供的资格证明文件（如资质证书、资格证书）、技术资料（如白皮书、彩页、手册、检测报告等）扫描上传至投标系统。</w:t>
      </w:r>
    </w:p>
    <w:p>
      <w:p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6.投标人进行网上</w:t>
      </w:r>
      <w:r>
        <w:rPr>
          <w:rFonts w:hint="eastAsia" w:ascii="宋体" w:hAnsi="宋体"/>
          <w:color w:val="000000"/>
          <w:sz w:val="24"/>
          <w:szCs w:val="24"/>
          <w:highlight w:val="none"/>
        </w:rPr>
        <w:t>投标</w:t>
      </w:r>
      <w:r>
        <w:rPr>
          <w:rFonts w:hint="eastAsia" w:ascii="宋体" w:hAnsi="宋体"/>
          <w:bCs/>
          <w:color w:val="000000"/>
          <w:sz w:val="24"/>
          <w:szCs w:val="24"/>
          <w:highlight w:val="none"/>
        </w:rPr>
        <w:t>请参照《</w:t>
      </w:r>
      <w:r>
        <w:rPr>
          <w:rFonts w:hint="eastAsia" w:ascii="宋体" w:hAnsi="宋体"/>
          <w:bCs/>
          <w:color w:val="000000"/>
          <w:sz w:val="24"/>
          <w:szCs w:val="24"/>
          <w:highlight w:val="none"/>
          <w:lang w:val="zh-CN"/>
        </w:rPr>
        <w:t>江苏省政府采购交易系统（苏采云）供应商操作手册</w:t>
      </w:r>
      <w:r>
        <w:rPr>
          <w:rFonts w:hint="eastAsia" w:ascii="宋体" w:hAnsi="宋体"/>
          <w:color w:val="000000"/>
          <w:sz w:val="24"/>
          <w:szCs w:val="24"/>
          <w:highlight w:val="none"/>
        </w:rPr>
        <w:t>》。</w:t>
      </w:r>
    </w:p>
    <w:p>
      <w:pPr>
        <w:spacing w:line="430" w:lineRule="exact"/>
        <w:ind w:firstLine="480"/>
        <w:outlineLvl w:val="0"/>
        <w:rPr>
          <w:rFonts w:ascii="宋体"/>
          <w:b/>
          <w:bCs/>
          <w:color w:val="000000"/>
          <w:sz w:val="24"/>
          <w:szCs w:val="24"/>
          <w:highlight w:val="none"/>
        </w:rPr>
      </w:pPr>
      <w:r>
        <w:rPr>
          <w:rFonts w:hint="eastAsia" w:ascii="黑体" w:hAnsi="宋体" w:eastAsia="黑体"/>
          <w:bCs/>
          <w:color w:val="000000"/>
          <w:sz w:val="24"/>
          <w:szCs w:val="24"/>
          <w:highlight w:val="none"/>
        </w:rPr>
        <w:t>（八）报价要求：</w:t>
      </w:r>
    </w:p>
    <w:p>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1.投标报价应包括人员工资、</w:t>
      </w:r>
      <w:bookmarkStart w:id="8" w:name="_Hlk496085485"/>
      <w:r>
        <w:rPr>
          <w:rFonts w:hint="eastAsia" w:ascii="宋体" w:hAnsi="宋体"/>
          <w:color w:val="000000"/>
          <w:sz w:val="24"/>
          <w:szCs w:val="21"/>
          <w:highlight w:val="none"/>
        </w:rPr>
        <w:t>车辆、文印费、保险、</w:t>
      </w:r>
      <w:r>
        <w:rPr>
          <w:rFonts w:hint="eastAsia" w:ascii="宋体" w:hAnsi="宋体"/>
          <w:color w:val="000000"/>
          <w:sz w:val="24"/>
          <w:szCs w:val="21"/>
          <w:highlight w:val="none"/>
          <w:lang w:eastAsia="zh-CN"/>
        </w:rPr>
        <w:t>药剂、设施维保、</w:t>
      </w:r>
      <w:r>
        <w:rPr>
          <w:rFonts w:hint="eastAsia" w:ascii="宋体" w:hAnsi="宋体"/>
          <w:color w:val="000000"/>
          <w:sz w:val="24"/>
          <w:szCs w:val="21"/>
          <w:highlight w:val="none"/>
        </w:rPr>
        <w:t>利润、</w:t>
      </w:r>
      <w:r>
        <w:rPr>
          <w:rFonts w:hint="eastAsia" w:ascii="宋体" w:hAnsi="宋体"/>
          <w:color w:val="000000"/>
          <w:sz w:val="24"/>
          <w:szCs w:val="21"/>
          <w:highlight w:val="none"/>
          <w:lang w:val="en-US" w:eastAsia="zh-CN"/>
        </w:rPr>
        <w:t>代理服务费、</w:t>
      </w:r>
      <w:r>
        <w:rPr>
          <w:rFonts w:hint="eastAsia" w:ascii="宋体" w:hAnsi="宋体"/>
          <w:color w:val="000000"/>
          <w:sz w:val="24"/>
          <w:szCs w:val="21"/>
          <w:highlight w:val="none"/>
        </w:rPr>
        <w:t>税金等服务期内满足采购人要求的全部费用。</w:t>
      </w:r>
      <w:bookmarkEnd w:id="8"/>
      <w:r>
        <w:rPr>
          <w:rFonts w:hint="eastAsia" w:ascii="宋体" w:hAnsi="宋体"/>
          <w:color w:val="000000"/>
          <w:sz w:val="24"/>
          <w:szCs w:val="21"/>
          <w:highlight w:val="none"/>
        </w:rPr>
        <w:t>投</w:t>
      </w:r>
      <w:r>
        <w:rPr>
          <w:rFonts w:hint="eastAsia" w:ascii="宋体" w:hAnsi="宋体"/>
          <w:color w:val="000000"/>
          <w:sz w:val="24"/>
          <w:szCs w:val="21"/>
          <w:highlight w:val="none"/>
        </w:rPr>
        <w:t>标供应商应充分考虑服务期内所有可能影响到报价的因素（包括最低工资标准和社保基数的政策性调整），一旦投标结束最终中标，不予调整。</w:t>
      </w:r>
    </w:p>
    <w:p>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2.投标供应商可先到现场踏勘以充分了解项目位置、情况、道路及任何其他足以影响承包价的情况，任何因忽视或误解项目情况而导致的索赔申请将不被批准。</w:t>
      </w:r>
    </w:p>
    <w:p>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p>
    <w:p>
      <w:pPr>
        <w:spacing w:line="500" w:lineRule="exact"/>
        <w:ind w:firstLine="420"/>
        <w:rPr>
          <w:rFonts w:hint="eastAsia" w:ascii="宋体" w:hAnsi="宋体"/>
          <w:color w:val="000000"/>
          <w:sz w:val="24"/>
          <w:highlight w:val="none"/>
        </w:rPr>
      </w:pPr>
      <w:r>
        <w:rPr>
          <w:rFonts w:hint="eastAsia" w:ascii="宋体" w:hAnsi="宋体"/>
          <w:color w:val="000000"/>
          <w:sz w:val="24"/>
          <w:szCs w:val="21"/>
          <w:highlight w:val="none"/>
        </w:rPr>
        <w:t>4.</w:t>
      </w:r>
      <w:r>
        <w:rPr>
          <w:rFonts w:hint="eastAsia" w:ascii="宋体" w:hAnsi="宋体"/>
          <w:color w:val="000000"/>
          <w:sz w:val="24"/>
          <w:highlight w:val="none"/>
        </w:rPr>
        <w:t>异常低价投标（响应）审查</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lang w:val="en-US" w:eastAsia="zh-CN"/>
        </w:rPr>
        <w:t>4</w:t>
      </w:r>
      <w:r>
        <w:rPr>
          <w:rFonts w:hint="eastAsia" w:ascii="宋体" w:hAnsi="宋体"/>
          <w:color w:val="000000"/>
          <w:sz w:val="24"/>
          <w:highlight w:val="none"/>
        </w:rPr>
        <w:t>.1根据《关于推动解决政府采购异常低价问题的通知》（财库〔2026〕2号）要求，政府采购评审中出现下列情形之一的，评审委员会应当启动异常低价投标（响应）审查程序：</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（1）投标（响应）报价低于全部通过符合性审查供应商投标（响应）报价平均值50%的，即投标（响应）报价＜全部通过符合性审查供应商投标（响应）报价平均值×50%；</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（2）投标（响应）报价低于通过符合性审查的次低报价供应商投标（响应）报价50%的，即投标（响应）报价＜通过符合性审查的次低报价供应商投标（响应）报价×50%；</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（3）投标（响应）报价低于采购项目最高限价45%的，即投标（响应）报价＜采购项目最高限价×45%；</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（4）评审委员会基于专业判断，认为供应商报价过低，有可能影响产品质量或者不能诚信履约的其他情形。</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相关法律法规对供应商报价有规定的，从其规定。</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如果项目或采购包存在有分项价格最高限价要求或单价最高限价（最高限制单价）要求时，有上述情形的，应当启动异常低价投标（响应）审查程序。</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lang w:val="en-US" w:eastAsia="zh-CN"/>
        </w:rPr>
        <w:t>4</w:t>
      </w:r>
      <w:r>
        <w:rPr>
          <w:rFonts w:hint="eastAsia" w:ascii="宋体" w:hAnsi="宋体"/>
          <w:color w:val="000000"/>
          <w:sz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异常低价投标（响应）审查的启动原因、审查意见和审查结果应当在评审报告中记录，并随供应商提供的相关书面说明及证明材料，以及评审委员会有关互联网浏览、查询历史一并归档。</w:t>
      </w:r>
    </w:p>
    <w:p>
      <w:pPr>
        <w:pStyle w:val="227"/>
        <w:ind w:firstLine="480"/>
        <w:rPr>
          <w:rFonts w:ascii="黑体" w:hAnsi="宋体" w:eastAsia="黑体"/>
          <w:bCs/>
          <w:color w:val="000000"/>
          <w:sz w:val="24"/>
          <w:szCs w:val="24"/>
          <w:highlight w:val="none"/>
        </w:rPr>
      </w:pPr>
      <w:r>
        <w:rPr>
          <w:rFonts w:hint="eastAsia" w:ascii="宋体" w:hAnsi="宋体" w:eastAsia="宋体" w:cs="Times New Roman"/>
          <w:color w:val="000000"/>
          <w:sz w:val="24"/>
          <w:szCs w:val="21"/>
          <w:highlight w:val="none"/>
          <w:lang w:val="en-US" w:eastAsia="zh-CN" w:bidi="ar-SA"/>
        </w:rPr>
        <w:t>财政部门在投诉处理、监督检查中发现评审委员会未按规定对异常低价开展审查的，依法予以纠正并追究评审专家的法律责任。</w:t>
      </w:r>
    </w:p>
    <w:p>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（九）无效投标文件的确认：</w:t>
      </w:r>
    </w:p>
    <w:p>
      <w:pPr>
        <w:tabs>
          <w:tab w:val="left" w:pos="945"/>
        </w:tabs>
        <w:spacing w:line="360" w:lineRule="auto"/>
        <w:ind w:firstLine="480"/>
        <w:rPr>
          <w:rFonts w:ascii="黑体" w:hAnsi="宋体" w:eastAsia="黑体"/>
          <w:bCs/>
          <w:color w:val="000000"/>
          <w:sz w:val="24"/>
          <w:szCs w:val="24"/>
          <w:highlight w:val="none"/>
        </w:rPr>
      </w:pPr>
      <w:r>
        <w:rPr>
          <w:rFonts w:hint="eastAsia" w:ascii="宋体" w:hAnsi="宋体"/>
          <w:bCs/>
          <w:color w:val="000000"/>
          <w:sz w:val="24"/>
          <w:szCs w:val="24"/>
          <w:highlight w:val="none"/>
        </w:rPr>
        <w:t>投标人有下列情况之一者，投标文件无效：</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1.未按规定在无锡市政府采购供应商信息库注册的；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2.电子投标文件未按规定期限投标的，纸质投标文件（如要求）未按规定的期限、地点送达的；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3.电子投标文件未按招标文件要求签章的；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4.投标供应商的被授权代表无法定代表人授权委托书的；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5.不具备采购文件中规定的资格要求及未按采购文件规定的要求提供资格、资信证明文件的；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6.投标文件未按采购文件规定的格式、内容和要求填写、制作的；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7.投标文件书写潦草、字迹模糊不清、无法辨认的；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8.投标文件中有采购文件未允许提供的选择性内容的；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9.未按采购文件要求解密电子投标文件的；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10.提供虚假材料的（包括工商营业执照、财务报表、资格、资信证明文件等）；</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11.投标文件未按要求制作、递交的；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12.投标文件未加盖投标供应商公章及法定代表人或授权代表签字和盖章的；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13.投标供应商未遵循公平竞争的原则，恶意串通，妨碍其他供应商的竞争行为，损害采购人或者其他供应商的合法权益；</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14.不同投标供应商的投标文件的装订形式、纸张情况、目录序号、排版格式、文字风格等存在明显的相似性或一致性，特征显示由同一单位或者同一个人编制的；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15.不同投标供应商委托同一单位或者个人办理投标事宜；</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16.不同投标供应商的投标文件载明的项目管理成员或者联系人员为同一人；</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17.不同投标供应商投标文件内容存在非正常一致、项目组成员出现同一人、投标文件中错误（或异常）一致或雷同、电子文档信息一致或雷同的；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18.不同投标供应商报价细目呈明显规律性变化，或恶意串通其他投标供应商，故意哄抬价格或压价的；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19.不同投标供应商投标文件相互混装的；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20.不同投标供应商投标文件中的项目相关人员出现同一人的；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21.不同投标供应商聘请同一人为其投标提供技术或经济咨询服务的；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22.不同投标供应商的单位负责人为同一人或者存在直接控股、管理关系的；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23.投标文件中同一方案有选择性报价且未声明以哪一个为准的；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24.投标文件被本项目评委确认为无效投标文件的；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25.未通过初步资格性审查、投标文件资格性检查、投标文件符合性检查的；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26.未按要求提供技术文件的；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27.投标报价超过采购文件中规定的最高限价或者采购预算或者单项最高限价的；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28.投标供应商的投标报价畸高或畸低，投标总报价与各分项报价不能相互对应，在询标时没有合理的解释或者不能提供计算依据和报价依据的；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29.投标报价明显低于其他通过符合性审查供应商的报价，且供应商不能证明其报价合理性，不能在合理的时间内提供书面说明及提交相关证明材料，有可能影响产品及服务质量或者不能诚信履约的；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30.不同供应商的委托代理人、项目负责人以及其他相关人员有在同一个单位缴纳社会保险的；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31.同一投标文件中单位名称落款与公章不是同一单位的；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32.投标文件内容不全或不符合法律法规和招标文件中规定的其他实质性要求的。</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33.不同投标供应商的投标文件由同一台电脑编制或者同一把数字证书加密锁加密或者同一台附属设备打印的； </w:t>
      </w:r>
    </w:p>
    <w:p>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p>
    <w:p>
      <w:pPr>
        <w:tabs>
          <w:tab w:val="left" w:pos="945"/>
        </w:tabs>
        <w:spacing w:line="360" w:lineRule="auto"/>
        <w:ind w:left="1" w:firstLine="523"/>
        <w:rPr>
          <w:rFonts w:ascii="宋体" w:hAnsi="宋体"/>
          <w:bCs/>
          <w:color w:val="000000"/>
          <w:sz w:val="24"/>
          <w:szCs w:val="24"/>
          <w:highlight w:val="none"/>
        </w:rPr>
      </w:pPr>
      <w:r>
        <w:rPr>
          <w:rFonts w:hint="eastAsia" w:ascii="宋体" w:hAnsi="宋体" w:cs="宋体"/>
          <w:bCs/>
          <w:color w:val="000000"/>
          <w:sz w:val="24"/>
          <w:szCs w:val="24"/>
          <w:highlight w:val="none"/>
        </w:rPr>
        <w:t>35.列入失信被执行人、重大税收违法案件当事人名单、政府采购严重违法失信行为记录名单及其他不符合《中华人民共和国政府采购法》第二十二条规定条件的；</w:t>
      </w:r>
    </w:p>
    <w:p>
      <w:pPr>
        <w:tabs>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36.投标文件内容不全或不符合招标文件中规定的其他实质性要求的；</w:t>
      </w:r>
    </w:p>
    <w:p>
      <w:pPr>
        <w:tabs>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37.法律法规和招标文件规定的其他无效情形。</w:t>
      </w:r>
    </w:p>
    <w:p>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（十）开标、评标：</w:t>
      </w:r>
    </w:p>
    <w:p>
      <w:pPr>
        <w:numPr>
          <w:ilvl w:val="1"/>
          <w:numId w:val="0"/>
        </w:numPr>
        <w:tabs>
          <w:tab w:val="left" w:pos="525"/>
          <w:tab w:val="left" w:pos="945"/>
        </w:tabs>
        <w:spacing w:line="360" w:lineRule="auto"/>
        <w:ind w:left="1" w:firstLine="523"/>
        <w:rPr>
          <w:rFonts w:ascii="宋体"/>
          <w:bCs/>
          <w:color w:val="000000"/>
          <w:sz w:val="24"/>
          <w:szCs w:val="24"/>
          <w:highlight w:val="none"/>
        </w:rPr>
      </w:pPr>
      <w:r>
        <w:rPr>
          <w:rFonts w:hint="eastAsia" w:ascii="宋体"/>
          <w:bCs/>
          <w:color w:val="000000"/>
          <w:sz w:val="24"/>
          <w:szCs w:val="24"/>
          <w:highlight w:val="none"/>
        </w:rPr>
        <w:t>1．</w:t>
      </w:r>
      <w:r>
        <w:rPr>
          <w:rFonts w:hint="eastAsia" w:ascii="宋体" w:hAnsi="宋体"/>
          <w:bCs/>
          <w:color w:val="000000"/>
          <w:sz w:val="24"/>
          <w:szCs w:val="24"/>
          <w:highlight w:val="none"/>
          <w:lang w:val="zh-CN"/>
        </w:rPr>
        <w:t>采购人按</w:t>
      </w:r>
      <w:r>
        <w:rPr>
          <w:rFonts w:hint="eastAsia" w:ascii="宋体" w:hAnsi="宋体"/>
          <w:bCs/>
          <w:color w:val="000000"/>
          <w:sz w:val="24"/>
          <w:szCs w:val="24"/>
          <w:highlight w:val="none"/>
        </w:rPr>
        <w:t>招标</w:t>
      </w:r>
      <w:r>
        <w:rPr>
          <w:rFonts w:hint="eastAsia" w:ascii="宋体" w:hAnsi="宋体"/>
          <w:bCs/>
          <w:color w:val="000000"/>
          <w:sz w:val="24"/>
          <w:szCs w:val="24"/>
          <w:highlight w:val="none"/>
          <w:lang w:val="zh-CN"/>
        </w:rPr>
        <w:t>文件规定的时间在“苏采云开标大厅”召开开标大会。</w:t>
      </w:r>
      <w:r>
        <w:rPr>
          <w:rFonts w:hint="eastAsia" w:ascii="宋体" w:hAnsi="宋体"/>
          <w:bCs/>
          <w:color w:val="000000"/>
          <w:sz w:val="24"/>
          <w:szCs w:val="24"/>
          <w:highlight w:val="none"/>
        </w:rPr>
        <w:t>供应商</w:t>
      </w:r>
      <w:r>
        <w:rPr>
          <w:rFonts w:hint="eastAsia" w:ascii="宋体" w:hAnsi="宋体"/>
          <w:bCs/>
          <w:color w:val="000000"/>
          <w:sz w:val="24"/>
          <w:szCs w:val="24"/>
          <w:highlight w:val="none"/>
          <w:lang w:val="zh-CN"/>
        </w:rPr>
        <w:t>应当在</w:t>
      </w:r>
      <w:r>
        <w:rPr>
          <w:rFonts w:hint="eastAsia" w:ascii="宋体" w:hAnsi="宋体"/>
          <w:bCs/>
          <w:color w:val="000000"/>
          <w:sz w:val="24"/>
          <w:szCs w:val="24"/>
          <w:highlight w:val="none"/>
        </w:rPr>
        <w:t>报价</w:t>
      </w:r>
      <w:r>
        <w:rPr>
          <w:rFonts w:hint="eastAsia" w:ascii="宋体" w:hAnsi="宋体"/>
          <w:bCs/>
          <w:color w:val="000000"/>
          <w:sz w:val="24"/>
          <w:szCs w:val="24"/>
          <w:highlight w:val="none"/>
          <w:lang w:val="zh-CN"/>
        </w:rPr>
        <w:t>前做好充分准备，携带 CA 数字证书准时参加</w:t>
      </w:r>
      <w:r>
        <w:rPr>
          <w:rFonts w:hint="eastAsia" w:ascii="宋体" w:hAnsi="宋体"/>
          <w:bCs/>
          <w:color w:val="000000"/>
          <w:sz w:val="24"/>
          <w:szCs w:val="24"/>
          <w:highlight w:val="none"/>
        </w:rPr>
        <w:t>；</w:t>
      </w:r>
    </w:p>
    <w:p>
      <w:pPr>
        <w:numPr>
          <w:ilvl w:val="1"/>
          <w:numId w:val="0"/>
        </w:num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2．</w:t>
      </w:r>
      <w:r>
        <w:rPr>
          <w:rFonts w:hint="eastAsia" w:ascii="宋体" w:hAnsi="宋体"/>
          <w:bCs/>
          <w:color w:val="000000"/>
          <w:sz w:val="24"/>
          <w:szCs w:val="24"/>
          <w:highlight w:val="none"/>
          <w:lang w:val="zh-CN"/>
        </w:rPr>
        <w:t>响应文件</w:t>
      </w:r>
      <w:r>
        <w:rPr>
          <w:rFonts w:ascii="宋体" w:hAnsi="宋体"/>
          <w:bCs/>
          <w:color w:val="000000"/>
          <w:sz w:val="24"/>
          <w:szCs w:val="24"/>
          <w:highlight w:val="none"/>
          <w:lang w:val="zh-CN"/>
        </w:rPr>
        <w:t>递交截止时间后，采购</w:t>
      </w:r>
      <w:r>
        <w:rPr>
          <w:rFonts w:hint="eastAsia" w:ascii="宋体" w:hAnsi="宋体"/>
          <w:bCs/>
          <w:color w:val="000000"/>
          <w:sz w:val="24"/>
          <w:szCs w:val="24"/>
          <w:highlight w:val="none"/>
        </w:rPr>
        <w:t>代理机构</w:t>
      </w:r>
      <w:r>
        <w:rPr>
          <w:rFonts w:ascii="宋体" w:hAnsi="宋体"/>
          <w:bCs/>
          <w:color w:val="000000"/>
          <w:sz w:val="24"/>
          <w:szCs w:val="24"/>
          <w:highlight w:val="none"/>
          <w:lang w:val="zh-CN"/>
        </w:rPr>
        <w:t>将在系统内公布</w:t>
      </w:r>
      <w:r>
        <w:rPr>
          <w:rFonts w:hint="eastAsia" w:ascii="宋体" w:hAnsi="宋体"/>
          <w:bCs/>
          <w:color w:val="000000"/>
          <w:sz w:val="24"/>
          <w:szCs w:val="24"/>
          <w:highlight w:val="none"/>
          <w:lang w:val="zh-CN"/>
        </w:rPr>
        <w:t>供应商</w:t>
      </w:r>
      <w:r>
        <w:rPr>
          <w:rFonts w:ascii="宋体" w:hAnsi="宋体"/>
          <w:bCs/>
          <w:color w:val="000000"/>
          <w:sz w:val="24"/>
          <w:szCs w:val="24"/>
          <w:highlight w:val="none"/>
          <w:lang w:val="zh-CN"/>
        </w:rPr>
        <w:t>名单然后通过开标会议区发出</w:t>
      </w:r>
      <w:r>
        <w:rPr>
          <w:rFonts w:hint="eastAsia" w:ascii="宋体" w:hAnsi="宋体"/>
          <w:bCs/>
          <w:color w:val="000000"/>
          <w:sz w:val="24"/>
          <w:szCs w:val="24"/>
          <w:highlight w:val="none"/>
          <w:lang w:val="zh-CN"/>
        </w:rPr>
        <w:t>响应文件</w:t>
      </w:r>
      <w:r>
        <w:rPr>
          <w:rFonts w:ascii="宋体" w:hAnsi="宋体"/>
          <w:bCs/>
          <w:color w:val="000000"/>
          <w:sz w:val="24"/>
          <w:szCs w:val="24"/>
          <w:highlight w:val="none"/>
          <w:lang w:val="zh-CN"/>
        </w:rPr>
        <w:t>解密的指令，供应商在各自地点按规定时间自行实施远程解密，</w:t>
      </w:r>
      <w:r>
        <w:rPr>
          <w:rFonts w:hint="eastAsia" w:ascii="宋体" w:hAnsi="宋体"/>
          <w:bCs/>
          <w:color w:val="000000"/>
          <w:sz w:val="24"/>
          <w:szCs w:val="24"/>
          <w:highlight w:val="none"/>
          <w:lang w:val="zh-CN"/>
        </w:rPr>
        <w:t>供应商解密限定在解密时间开始30分钟内完成。</w:t>
      </w:r>
      <w:r>
        <w:rPr>
          <w:rFonts w:ascii="宋体" w:hAnsi="宋体"/>
          <w:bCs/>
          <w:color w:val="000000"/>
          <w:sz w:val="24"/>
          <w:szCs w:val="24"/>
          <w:highlight w:val="none"/>
          <w:lang w:val="zh-CN"/>
        </w:rPr>
        <w:t>因供应商网络与电源不稳定、未按操作手册要求配置软硬件、解密锁发生故障或用错、故意不在要求时限内完成解密等自身原因，导致</w:t>
      </w:r>
      <w:r>
        <w:rPr>
          <w:rFonts w:hint="eastAsia" w:ascii="宋体" w:hAnsi="宋体"/>
          <w:bCs/>
          <w:color w:val="000000"/>
          <w:sz w:val="24"/>
          <w:szCs w:val="24"/>
          <w:highlight w:val="none"/>
          <w:lang w:val="zh-CN"/>
        </w:rPr>
        <w:t>响应文件</w:t>
      </w:r>
      <w:r>
        <w:rPr>
          <w:rFonts w:ascii="宋体" w:hAnsi="宋体"/>
          <w:bCs/>
          <w:color w:val="000000"/>
          <w:sz w:val="24"/>
          <w:szCs w:val="24"/>
          <w:highlight w:val="none"/>
          <w:lang w:val="zh-CN"/>
        </w:rPr>
        <w:t>在规定时间内未能解密、解密失败或解密超时，视为供应商撤销其</w:t>
      </w:r>
      <w:r>
        <w:rPr>
          <w:rFonts w:hint="eastAsia" w:ascii="宋体" w:hAnsi="宋体"/>
          <w:bCs/>
          <w:color w:val="000000"/>
          <w:sz w:val="24"/>
          <w:szCs w:val="24"/>
          <w:highlight w:val="none"/>
          <w:lang w:val="zh-CN"/>
        </w:rPr>
        <w:t>响应文件</w:t>
      </w:r>
      <w:r>
        <w:rPr>
          <w:rFonts w:ascii="宋体" w:hAnsi="宋体"/>
          <w:bCs/>
          <w:color w:val="000000"/>
          <w:sz w:val="24"/>
          <w:szCs w:val="24"/>
          <w:highlight w:val="none"/>
          <w:lang w:val="zh-CN"/>
        </w:rPr>
        <w:t>；因网上平台发生故障，导致无法按时完成</w:t>
      </w:r>
      <w:r>
        <w:rPr>
          <w:rFonts w:hint="eastAsia" w:ascii="宋体" w:hAnsi="宋体"/>
          <w:bCs/>
          <w:color w:val="000000"/>
          <w:sz w:val="24"/>
          <w:szCs w:val="24"/>
          <w:highlight w:val="none"/>
          <w:lang w:val="zh-CN"/>
        </w:rPr>
        <w:t>响应文件</w:t>
      </w:r>
      <w:r>
        <w:rPr>
          <w:rFonts w:ascii="宋体" w:hAnsi="宋体"/>
          <w:bCs/>
          <w:color w:val="000000"/>
          <w:sz w:val="24"/>
          <w:szCs w:val="24"/>
          <w:highlight w:val="none"/>
          <w:lang w:val="zh-CN"/>
        </w:rPr>
        <w:t>解密或开、评标工作无法进行的，可根据实际情况相应延迟解密时间或调整开、评标时间（友情提示：若</w:t>
      </w:r>
      <w:r>
        <w:rPr>
          <w:rFonts w:hint="eastAsia" w:ascii="宋体" w:hAnsi="宋体"/>
          <w:bCs/>
          <w:color w:val="000000"/>
          <w:sz w:val="24"/>
          <w:szCs w:val="24"/>
          <w:highlight w:val="none"/>
          <w:lang w:val="zh-CN"/>
        </w:rPr>
        <w:t>供应商</w:t>
      </w:r>
      <w:r>
        <w:rPr>
          <w:rFonts w:ascii="宋体" w:hAnsi="宋体"/>
          <w:bCs/>
          <w:color w:val="000000"/>
          <w:sz w:val="24"/>
          <w:szCs w:val="24"/>
          <w:highlight w:val="none"/>
          <w:lang w:val="zh-CN"/>
        </w:rPr>
        <w:t>已领取副锁（含多把副锁）请注意正副锁的使用差别）。本项目在限定的解密时间内，只要有一家供应商解密成功，即视为网上平台运行无故障。</w:t>
      </w:r>
      <w:r>
        <w:rPr>
          <w:rFonts w:hint="eastAsia" w:ascii="宋体" w:hAnsi="宋体"/>
          <w:bCs/>
          <w:color w:val="000000"/>
          <w:sz w:val="24"/>
          <w:szCs w:val="24"/>
          <w:highlight w:val="none"/>
          <w:lang w:val="zh-CN"/>
        </w:rPr>
        <w:t>响应文件</w:t>
      </w:r>
      <w:r>
        <w:rPr>
          <w:rFonts w:ascii="宋体" w:hAnsi="宋体"/>
          <w:bCs/>
          <w:color w:val="000000"/>
          <w:sz w:val="24"/>
          <w:szCs w:val="24"/>
          <w:highlight w:val="none"/>
          <w:lang w:val="zh-CN"/>
        </w:rPr>
        <w:t>递交</w:t>
      </w:r>
      <w:r>
        <w:rPr>
          <w:rFonts w:hint="eastAsia" w:ascii="宋体" w:hAnsi="宋体"/>
          <w:bCs/>
          <w:color w:val="000000"/>
          <w:sz w:val="24"/>
          <w:szCs w:val="24"/>
          <w:highlight w:val="none"/>
        </w:rPr>
        <w:t>截止时间后参加投标的供应商或解密投标文件的供应商不足三家的，不开标；开标后，所有投标供应商可在线上开标大厅中看到所有投标人的投标报价；</w:t>
      </w:r>
    </w:p>
    <w:p>
      <w:pPr>
        <w:numPr>
          <w:ilvl w:val="1"/>
          <w:numId w:val="0"/>
        </w:numPr>
        <w:tabs>
          <w:tab w:val="left" w:pos="525"/>
          <w:tab w:val="left" w:pos="945"/>
        </w:tabs>
        <w:spacing w:line="360" w:lineRule="auto"/>
        <w:ind w:left="1" w:firstLine="523"/>
        <w:rPr>
          <w:rFonts w:ascii="宋体"/>
          <w:bCs/>
          <w:color w:val="000000"/>
          <w:sz w:val="24"/>
          <w:szCs w:val="24"/>
          <w:highlight w:val="none"/>
        </w:rPr>
      </w:pPr>
      <w:r>
        <w:rPr>
          <w:rFonts w:hint="eastAsia" w:ascii="宋体"/>
          <w:bCs/>
          <w:color w:val="000000"/>
          <w:sz w:val="24"/>
          <w:szCs w:val="24"/>
          <w:highlight w:val="none"/>
        </w:rPr>
        <w:t>3．</w:t>
      </w:r>
      <w:r>
        <w:rPr>
          <w:rFonts w:hint="eastAsia" w:ascii="宋体" w:hAnsi="宋体"/>
          <w:bCs/>
          <w:color w:val="000000"/>
          <w:sz w:val="24"/>
          <w:szCs w:val="24"/>
          <w:highlight w:val="none"/>
        </w:rPr>
        <w:t>开标时，投标文件</w:t>
      </w:r>
      <w:r>
        <w:rPr>
          <w:rFonts w:ascii="宋体" w:hAnsi="宋体"/>
          <w:bCs/>
          <w:color w:val="000000"/>
          <w:sz w:val="24"/>
          <w:szCs w:val="24"/>
          <w:highlight w:val="none"/>
        </w:rPr>
        <w:t>报价出现前后不一致的，按照下列规定修正：</w:t>
      </w:r>
    </w:p>
    <w:p>
      <w:pPr>
        <w:tabs>
          <w:tab w:val="left" w:pos="630"/>
          <w:tab w:val="left" w:pos="945"/>
          <w:tab w:val="left" w:pos="1155"/>
          <w:tab w:val="left" w:pos="1554"/>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1</w:t>
      </w:r>
      <w:r>
        <w:rPr>
          <w:rFonts w:hint="eastAsia" w:ascii="宋体" w:hAnsi="宋体"/>
          <w:bCs/>
          <w:color w:val="000000"/>
          <w:sz w:val="24"/>
          <w:szCs w:val="24"/>
          <w:highlight w:val="none"/>
          <w:lang w:eastAsia="zh-CN"/>
        </w:rPr>
        <w:t>）</w:t>
      </w:r>
      <w:r>
        <w:rPr>
          <w:rFonts w:ascii="宋体" w:hAnsi="宋体"/>
          <w:bCs/>
          <w:color w:val="000000"/>
          <w:sz w:val="24"/>
          <w:szCs w:val="24"/>
          <w:highlight w:val="none"/>
        </w:rPr>
        <w:t>投标文件中开标一览表（报价表）内容与投标文件中相应内容不一致的，以开标一览表（报价表）为准；</w:t>
      </w:r>
    </w:p>
    <w:p>
      <w:pPr>
        <w:tabs>
          <w:tab w:val="left" w:pos="630"/>
          <w:tab w:val="left" w:pos="945"/>
          <w:tab w:val="left" w:pos="1155"/>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2</w:t>
      </w:r>
      <w:r>
        <w:rPr>
          <w:rFonts w:hint="eastAsia" w:ascii="宋体" w:hAnsi="宋体"/>
          <w:bCs/>
          <w:color w:val="000000"/>
          <w:sz w:val="24"/>
          <w:szCs w:val="24"/>
          <w:highlight w:val="none"/>
          <w:lang w:eastAsia="zh-CN"/>
        </w:rPr>
        <w:t>）</w:t>
      </w:r>
      <w:r>
        <w:rPr>
          <w:rFonts w:ascii="宋体" w:hAnsi="宋体"/>
          <w:bCs/>
          <w:color w:val="000000"/>
          <w:sz w:val="24"/>
          <w:szCs w:val="24"/>
          <w:highlight w:val="none"/>
        </w:rPr>
        <w:t>大写金额和小写金额不一致的，以大写金额为准；</w:t>
      </w:r>
    </w:p>
    <w:p>
      <w:pPr>
        <w:tabs>
          <w:tab w:val="left" w:pos="630"/>
          <w:tab w:val="left" w:pos="945"/>
          <w:tab w:val="left" w:pos="1155"/>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3</w:t>
      </w:r>
      <w:r>
        <w:rPr>
          <w:rFonts w:hint="eastAsia" w:ascii="宋体" w:hAnsi="宋体"/>
          <w:bCs/>
          <w:color w:val="000000"/>
          <w:sz w:val="24"/>
          <w:szCs w:val="24"/>
          <w:highlight w:val="none"/>
          <w:lang w:eastAsia="zh-CN"/>
        </w:rPr>
        <w:t>）</w:t>
      </w:r>
      <w:r>
        <w:rPr>
          <w:rFonts w:ascii="宋体" w:hAnsi="宋体"/>
          <w:bCs/>
          <w:color w:val="000000"/>
          <w:sz w:val="24"/>
          <w:szCs w:val="24"/>
          <w:highlight w:val="none"/>
        </w:rPr>
        <w:t>单价金额小数点或者百分比有明显错位的，以开标一览表的总价为准，并修改单价；</w:t>
      </w:r>
    </w:p>
    <w:p>
      <w:pPr>
        <w:tabs>
          <w:tab w:val="left" w:pos="630"/>
          <w:tab w:val="left" w:pos="945"/>
          <w:tab w:val="left" w:pos="1155"/>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4</w:t>
      </w:r>
      <w:r>
        <w:rPr>
          <w:rFonts w:hint="eastAsia" w:ascii="宋体" w:hAnsi="宋体"/>
          <w:bCs/>
          <w:color w:val="000000"/>
          <w:sz w:val="24"/>
          <w:szCs w:val="24"/>
          <w:highlight w:val="none"/>
          <w:lang w:eastAsia="zh-CN"/>
        </w:rPr>
        <w:t>）</w:t>
      </w:r>
      <w:r>
        <w:rPr>
          <w:rFonts w:ascii="宋体" w:hAnsi="宋体"/>
          <w:bCs/>
          <w:color w:val="000000"/>
          <w:sz w:val="24"/>
          <w:szCs w:val="24"/>
          <w:highlight w:val="none"/>
        </w:rPr>
        <w:t>总价金额与按单价汇总金额不一致的，以单价金额计算结果为准。</w:t>
      </w:r>
    </w:p>
    <w:p>
      <w:pPr>
        <w:tabs>
          <w:tab w:val="left" w:pos="945"/>
        </w:tabs>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同时出现两种以上不一致的，按照前款规定的顺序修正。修正后的报价</w:t>
      </w:r>
      <w:r>
        <w:rPr>
          <w:rFonts w:hint="eastAsia" w:ascii="宋体" w:hAnsi="宋体"/>
          <w:bCs/>
          <w:color w:val="000000"/>
          <w:sz w:val="24"/>
          <w:szCs w:val="24"/>
          <w:highlight w:val="none"/>
        </w:rPr>
        <w:t>评标委员会</w:t>
      </w:r>
      <w:r>
        <w:rPr>
          <w:rFonts w:ascii="宋体" w:hAnsi="宋体"/>
          <w:bCs/>
          <w:color w:val="000000"/>
          <w:sz w:val="24"/>
          <w:szCs w:val="24"/>
          <w:highlight w:val="none"/>
        </w:rPr>
        <w:t>应当以书面形式要求</w:t>
      </w:r>
      <w:r>
        <w:rPr>
          <w:rFonts w:hint="eastAsia" w:ascii="宋体" w:hAnsi="宋体"/>
          <w:bCs/>
          <w:color w:val="000000"/>
          <w:sz w:val="24"/>
          <w:szCs w:val="24"/>
          <w:highlight w:val="none"/>
        </w:rPr>
        <w:t>投标</w:t>
      </w:r>
      <w:r>
        <w:rPr>
          <w:rFonts w:ascii="宋体" w:hAnsi="宋体"/>
          <w:bCs/>
          <w:color w:val="000000"/>
          <w:sz w:val="24"/>
          <w:szCs w:val="24"/>
          <w:highlight w:val="none"/>
        </w:rPr>
        <w:t>人作出必要的澄清、说明或者补正</w:t>
      </w:r>
      <w:r>
        <w:rPr>
          <w:rFonts w:hint="eastAsia" w:ascii="宋体" w:hAnsi="宋体"/>
          <w:bCs/>
          <w:color w:val="000000"/>
          <w:sz w:val="24"/>
          <w:szCs w:val="24"/>
          <w:highlight w:val="none"/>
        </w:rPr>
        <w:t>，</w:t>
      </w:r>
      <w:r>
        <w:rPr>
          <w:rFonts w:ascii="宋体" w:hAnsi="宋体"/>
          <w:bCs/>
          <w:color w:val="000000"/>
          <w:sz w:val="24"/>
          <w:szCs w:val="24"/>
          <w:highlight w:val="none"/>
        </w:rPr>
        <w:t>经投标人确认后产生约束力，投标人不确认的，其投标无效</w:t>
      </w:r>
      <w:r>
        <w:rPr>
          <w:rFonts w:hint="eastAsia" w:ascii="宋体" w:hAnsi="宋体"/>
          <w:bCs/>
          <w:color w:val="000000"/>
          <w:sz w:val="24"/>
          <w:szCs w:val="24"/>
          <w:highlight w:val="none"/>
        </w:rPr>
        <w:t>。</w:t>
      </w:r>
    </w:p>
    <w:p>
      <w:pPr>
        <w:numPr>
          <w:ilvl w:val="1"/>
          <w:numId w:val="0"/>
        </w:num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4．电子投标文件与纸质投标文件（如有）不符的，以电子投标文件为准。</w:t>
      </w:r>
    </w:p>
    <w:p>
      <w:pPr>
        <w:numPr>
          <w:ilvl w:val="1"/>
          <w:numId w:val="0"/>
        </w:num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5．投标人未参加开标的，视同认可开标结果。</w:t>
      </w:r>
    </w:p>
    <w:p>
      <w:pPr>
        <w:numPr>
          <w:ilvl w:val="1"/>
          <w:numId w:val="0"/>
        </w:numPr>
        <w:tabs>
          <w:tab w:val="left" w:pos="525"/>
          <w:tab w:val="left" w:pos="945"/>
        </w:tabs>
        <w:spacing w:line="360" w:lineRule="auto"/>
        <w:ind w:left="1" w:firstLine="523"/>
        <w:rPr>
          <w:rFonts w:ascii="宋体"/>
          <w:bCs/>
          <w:color w:val="000000"/>
          <w:sz w:val="24"/>
          <w:szCs w:val="24"/>
          <w:highlight w:val="none"/>
        </w:rPr>
      </w:pPr>
      <w:r>
        <w:rPr>
          <w:rFonts w:hint="eastAsia" w:ascii="宋体"/>
          <w:bCs/>
          <w:color w:val="000000"/>
          <w:sz w:val="24"/>
          <w:szCs w:val="24"/>
          <w:highlight w:val="none"/>
        </w:rPr>
        <w:t>6．</w:t>
      </w:r>
      <w:r>
        <w:rPr>
          <w:rFonts w:hint="eastAsia" w:ascii="宋体" w:hAnsi="宋体"/>
          <w:bCs/>
          <w:color w:val="000000"/>
          <w:sz w:val="24"/>
          <w:szCs w:val="24"/>
          <w:highlight w:val="none"/>
        </w:rPr>
        <w:t>评标程序</w:t>
      </w:r>
    </w:p>
    <w:p>
      <w:pPr>
        <w:tabs>
          <w:tab w:val="left" w:pos="945"/>
        </w:tabs>
        <w:spacing w:line="360" w:lineRule="auto"/>
        <w:ind w:firstLine="523"/>
        <w:rPr>
          <w:rFonts w:ascii="宋体"/>
          <w:bCs/>
          <w:color w:val="000000"/>
          <w:sz w:val="24"/>
          <w:szCs w:val="24"/>
          <w:highlight w:val="none"/>
        </w:rPr>
      </w:pPr>
      <w:r>
        <w:rPr>
          <w:rFonts w:hint="eastAsia" w:ascii="宋体" w:hAnsi="宋体"/>
          <w:bCs/>
          <w:color w:val="000000"/>
          <w:sz w:val="24"/>
          <w:szCs w:val="24"/>
          <w:highlight w:val="none"/>
        </w:rPr>
        <w:t>评标工作由采购人和采购代理机构负责组织，具体评标事务由依法组建的评标委员会负责。</w:t>
      </w:r>
    </w:p>
    <w:p>
      <w:pPr>
        <w:numPr>
          <w:ilvl w:val="0"/>
          <w:numId w:val="0"/>
        </w:numPr>
        <w:tabs>
          <w:tab w:val="left" w:pos="630"/>
          <w:tab w:val="left" w:pos="945"/>
          <w:tab w:val="left" w:pos="1155"/>
        </w:tabs>
        <w:spacing w:line="360" w:lineRule="auto"/>
        <w:ind w:firstLine="240" w:firstLineChars="100"/>
        <w:rPr>
          <w:rFonts w:ascii="宋体"/>
          <w:bCs/>
          <w:color w:val="000000"/>
          <w:sz w:val="24"/>
          <w:szCs w:val="24"/>
          <w:highlight w:val="none"/>
        </w:rPr>
      </w:pPr>
      <w:r>
        <w:rPr>
          <w:rFonts w:hint="eastAsia" w:ascii="宋体" w:hAnsi="宋体"/>
          <w:bCs/>
          <w:color w:val="000000"/>
          <w:sz w:val="24"/>
          <w:highlight w:val="none"/>
          <w:lang w:eastAsia="zh-CN"/>
        </w:rPr>
        <w:t>（</w:t>
      </w:r>
      <w:r>
        <w:rPr>
          <w:rFonts w:hint="eastAsia" w:ascii="宋体" w:hAnsi="宋体"/>
          <w:bCs/>
          <w:color w:val="000000"/>
          <w:sz w:val="24"/>
          <w:highlight w:val="none"/>
          <w:lang w:val="en-US" w:eastAsia="zh-CN"/>
        </w:rPr>
        <w:t>1</w:t>
      </w:r>
      <w:r>
        <w:rPr>
          <w:rFonts w:hint="eastAsia" w:ascii="宋体" w:hAnsi="宋体"/>
          <w:bCs/>
          <w:color w:val="000000"/>
          <w:sz w:val="24"/>
          <w:highlight w:val="none"/>
          <w:lang w:eastAsia="zh-CN"/>
        </w:rPr>
        <w:t>）</w:t>
      </w:r>
      <w:r>
        <w:rPr>
          <w:rFonts w:hint="eastAsia" w:ascii="宋体" w:hAnsi="宋体"/>
          <w:bCs/>
          <w:color w:val="000000"/>
          <w:sz w:val="24"/>
          <w:highlight w:val="none"/>
        </w:rPr>
        <w:t>投标文件初审。初审分为资格性检查和符合性检查。</w:t>
      </w:r>
    </w:p>
    <w:p>
      <w:pPr>
        <w:tabs>
          <w:tab w:val="left" w:pos="945"/>
        </w:tabs>
        <w:spacing w:line="360" w:lineRule="auto"/>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1）</w:t>
      </w:r>
      <w:r>
        <w:rPr>
          <w:rFonts w:hint="eastAsia" w:ascii="宋体" w:hAnsi="宋体"/>
          <w:bCs/>
          <w:color w:val="000000"/>
          <w:sz w:val="24"/>
          <w:szCs w:val="24"/>
          <w:highlight w:val="none"/>
        </w:rPr>
        <w:t>资格性检查。采购人依据法律法规和招标文件的规定，对投标文件中的资格证明、投标（报价）承诺函等进行审查；在信用中国（www.creditchina.gov.cn）、中国政府采购网(www.ccgp.gov.cn)网站输入供应商全称或统一社会信用代码查询信用记录并逐一打印。在对供应商进行资格性审查时，应根据查询结果对供应商的不良信用记录逐项甄别确认。按照《中华人民共和国政府采购法》第二十二条规定，下列信用记录属于应依法拒绝供应商参加政府采购的失信信息：A、政府采购严重违法记录，即供应商被全国各级财政部门列入“政府采购严重违法失信行为记录名单”，且在处罚有效期内的。B、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响应文件日未满三年的。</w:t>
      </w:r>
    </w:p>
    <w:p>
      <w:pPr>
        <w:tabs>
          <w:tab w:val="left" w:pos="945"/>
        </w:tabs>
        <w:spacing w:line="360" w:lineRule="auto"/>
        <w:ind w:firstLine="523"/>
        <w:rPr>
          <w:rFonts w:hint="eastAsia" w:ascii="宋体" w:hAnsi="宋体"/>
          <w:bCs/>
          <w:color w:val="000000"/>
          <w:sz w:val="24"/>
          <w:szCs w:val="24"/>
          <w:highlight w:val="none"/>
        </w:rPr>
      </w:pPr>
      <w:r>
        <w:rPr>
          <w:rFonts w:hint="eastAsia" w:ascii="宋体" w:hAnsi="宋体"/>
          <w:bCs/>
          <w:color w:val="000000"/>
          <w:sz w:val="24"/>
          <w:szCs w:val="24"/>
          <w:highlight w:val="none"/>
        </w:rPr>
        <w:t>查询证据留存方式：对存在失信信息的供应商，采购人及采购代理机构应填写《无锡市政府采购供应商失信信息确认函》，由失信供应商签名确认。同时，采购代理机构工作人员应登录到来源网站页面进行复核并打印，作为证据留存。</w:t>
      </w:r>
    </w:p>
    <w:p>
      <w:pPr>
        <w:tabs>
          <w:tab w:val="left" w:pos="945"/>
        </w:tabs>
        <w:spacing w:line="360" w:lineRule="auto"/>
        <w:ind w:firstLine="523"/>
        <w:rPr>
          <w:rFonts w:ascii="宋体" w:hAnsi="宋体"/>
          <w:bCs/>
          <w:color w:val="000000"/>
          <w:sz w:val="24"/>
          <w:szCs w:val="24"/>
          <w:highlight w:val="none"/>
        </w:rPr>
      </w:pPr>
      <w:r>
        <w:rPr>
          <w:rFonts w:hint="eastAsia" w:ascii="宋体" w:hAnsi="宋体"/>
          <w:bCs/>
          <w:color w:val="000000"/>
          <w:sz w:val="24"/>
          <w:szCs w:val="24"/>
          <w:highlight w:val="none"/>
        </w:rPr>
        <w:t>经审查供应商存在上述失信行为的，资格审查不予通过，其投标无效。</w:t>
      </w:r>
    </w:p>
    <w:p>
      <w:pPr>
        <w:tabs>
          <w:tab w:val="left" w:pos="945"/>
        </w:tabs>
        <w:spacing w:line="360" w:lineRule="auto"/>
        <w:ind w:firstLine="523"/>
        <w:rPr>
          <w:rFonts w:ascii="宋体"/>
          <w:bCs/>
          <w:color w:val="000000"/>
          <w:sz w:val="24"/>
          <w:highlight w:val="none"/>
        </w:rPr>
      </w:pPr>
      <w:r>
        <w:rPr>
          <w:rFonts w:hint="eastAsia" w:ascii="宋体" w:hAnsi="宋体"/>
          <w:bCs/>
          <w:color w:val="000000"/>
          <w:sz w:val="24"/>
          <w:szCs w:val="24"/>
          <w:highlight w:val="none"/>
          <w:lang w:val="en-US" w:eastAsia="zh-CN"/>
        </w:rPr>
        <w:t>2）</w:t>
      </w:r>
      <w:r>
        <w:rPr>
          <w:rFonts w:hint="eastAsia" w:ascii="宋体" w:hAnsi="宋体"/>
          <w:bCs/>
          <w:color w:val="000000"/>
          <w:sz w:val="24"/>
          <w:szCs w:val="24"/>
          <w:highlight w:val="none"/>
        </w:rPr>
        <w:t>采购代理机构将通过相关渠道查询的供应商主体信用记录，与项目其他采购资料一并保存。</w:t>
      </w:r>
    </w:p>
    <w:p>
      <w:pPr>
        <w:tabs>
          <w:tab w:val="left" w:pos="945"/>
        </w:tabs>
        <w:spacing w:line="360" w:lineRule="auto"/>
        <w:ind w:firstLine="523"/>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3）符合性检查。评标委员会依据招标文件的规定，从投标文件的有效性、完整性和对招标文件的响应程度进行审查，以确定是否对招标文件的实质性要求作出响应。</w:t>
      </w:r>
    </w:p>
    <w:p>
      <w:pPr>
        <w:numPr>
          <w:ilvl w:val="0"/>
          <w:numId w:val="0"/>
        </w:numPr>
        <w:tabs>
          <w:tab w:val="left" w:pos="525"/>
          <w:tab w:val="left" w:pos="945"/>
          <w:tab w:val="left" w:pos="1155"/>
        </w:tabs>
        <w:spacing w:line="360" w:lineRule="auto"/>
        <w:ind w:firstLine="240" w:firstLineChars="100"/>
        <w:rPr>
          <w:rFonts w:ascii="宋体"/>
          <w:bCs/>
          <w:color w:val="000000"/>
          <w:sz w:val="24"/>
          <w:szCs w:val="24"/>
          <w:highlight w:val="none"/>
        </w:rPr>
      </w:pP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2</w:t>
      </w:r>
      <w:r>
        <w:rPr>
          <w:rFonts w:hint="eastAsia" w:ascii="宋体" w:hAnsi="宋体"/>
          <w:bCs/>
          <w:color w:val="000000"/>
          <w:sz w:val="24"/>
          <w:szCs w:val="24"/>
          <w:highlight w:val="none"/>
          <w:lang w:eastAsia="zh-CN"/>
        </w:rPr>
        <w:t>）</w:t>
      </w:r>
      <w:r>
        <w:rPr>
          <w:rFonts w:ascii="宋体" w:hAnsi="宋体"/>
          <w:bCs/>
          <w:color w:val="000000"/>
          <w:sz w:val="24"/>
          <w:szCs w:val="24"/>
          <w:highlight w:val="none"/>
        </w:rPr>
        <w:t>澄清有关问题。对</w:t>
      </w:r>
      <w:r>
        <w:rPr>
          <w:rFonts w:hint="eastAsia" w:ascii="宋体" w:hAnsi="宋体"/>
          <w:bCs/>
          <w:color w:val="000000"/>
          <w:sz w:val="24"/>
          <w:szCs w:val="24"/>
          <w:highlight w:val="none"/>
        </w:rPr>
        <w:t>投标</w:t>
      </w:r>
      <w:r>
        <w:rPr>
          <w:rFonts w:ascii="宋体" w:hAnsi="宋体"/>
          <w:bCs/>
          <w:color w:val="000000"/>
          <w:sz w:val="24"/>
          <w:szCs w:val="24"/>
          <w:highlight w:val="none"/>
        </w:rPr>
        <w:t>文件中含义不明确、同类问题表述不一致或者有明显文字和计算错误的内容，</w:t>
      </w:r>
      <w:r>
        <w:rPr>
          <w:rFonts w:hint="eastAsia" w:ascii="宋体" w:hAnsi="宋体"/>
          <w:bCs/>
          <w:color w:val="000000"/>
          <w:sz w:val="24"/>
          <w:szCs w:val="24"/>
          <w:highlight w:val="none"/>
        </w:rPr>
        <w:t>评标委员会</w:t>
      </w:r>
      <w:r>
        <w:rPr>
          <w:rFonts w:ascii="宋体" w:hAnsi="宋体"/>
          <w:bCs/>
          <w:color w:val="000000"/>
          <w:sz w:val="24"/>
          <w:szCs w:val="24"/>
          <w:highlight w:val="none"/>
        </w:rPr>
        <w:t>可以</w:t>
      </w:r>
      <w:r>
        <w:rPr>
          <w:rFonts w:hint="eastAsia" w:ascii="宋体" w:hAnsi="宋体"/>
          <w:bCs/>
          <w:color w:val="000000"/>
          <w:sz w:val="24"/>
          <w:highlight w:val="none"/>
        </w:rPr>
        <w:t>通过</w:t>
      </w:r>
      <w:r>
        <w:rPr>
          <w:rFonts w:hint="eastAsia" w:ascii="宋体" w:hAnsi="宋体"/>
          <w:bCs/>
          <w:color w:val="000000"/>
          <w:sz w:val="24"/>
          <w:szCs w:val="24"/>
          <w:highlight w:val="none"/>
        </w:rPr>
        <w:t>政府采购交易管理一体化系统</w:t>
      </w:r>
      <w:r>
        <w:rPr>
          <w:rFonts w:hint="eastAsia" w:ascii="宋体" w:hAnsi="宋体"/>
          <w:bCs/>
          <w:color w:val="000000"/>
          <w:sz w:val="24"/>
          <w:highlight w:val="none"/>
        </w:rPr>
        <w:t>发起询标</w:t>
      </w:r>
      <w:r>
        <w:rPr>
          <w:rFonts w:ascii="宋体" w:hAnsi="宋体"/>
          <w:bCs/>
          <w:color w:val="000000"/>
          <w:sz w:val="24"/>
          <w:szCs w:val="24"/>
          <w:highlight w:val="none"/>
        </w:rPr>
        <w:t>要求</w:t>
      </w:r>
      <w:r>
        <w:rPr>
          <w:rFonts w:hint="eastAsia" w:ascii="宋体" w:hAnsi="宋体"/>
          <w:bCs/>
          <w:color w:val="000000"/>
          <w:sz w:val="24"/>
          <w:szCs w:val="24"/>
          <w:highlight w:val="none"/>
        </w:rPr>
        <w:t>投标</w:t>
      </w:r>
      <w:r>
        <w:rPr>
          <w:rFonts w:ascii="宋体" w:hAnsi="宋体"/>
          <w:bCs/>
          <w:color w:val="000000"/>
          <w:sz w:val="24"/>
          <w:szCs w:val="24"/>
          <w:highlight w:val="none"/>
        </w:rPr>
        <w:t>人作出必要的澄清、说明或者纠正。</w:t>
      </w:r>
      <w:r>
        <w:rPr>
          <w:rFonts w:hint="eastAsia" w:ascii="宋体" w:hAnsi="宋体"/>
          <w:bCs/>
          <w:color w:val="000000"/>
          <w:sz w:val="24"/>
          <w:szCs w:val="24"/>
          <w:highlight w:val="none"/>
        </w:rPr>
        <w:t>投标</w:t>
      </w:r>
      <w:r>
        <w:rPr>
          <w:rFonts w:ascii="宋体" w:hAnsi="宋体"/>
          <w:bCs/>
          <w:color w:val="000000"/>
          <w:sz w:val="24"/>
          <w:szCs w:val="24"/>
          <w:highlight w:val="none"/>
        </w:rPr>
        <w:t>人的澄清、说明或者补正应当</w:t>
      </w:r>
      <w:r>
        <w:rPr>
          <w:rFonts w:hint="eastAsia" w:ascii="宋体" w:hAnsi="宋体"/>
          <w:bCs/>
          <w:color w:val="000000"/>
          <w:sz w:val="24"/>
          <w:highlight w:val="none"/>
        </w:rPr>
        <w:t>通过</w:t>
      </w:r>
      <w:r>
        <w:rPr>
          <w:rFonts w:hint="eastAsia" w:ascii="宋体" w:hAnsi="宋体"/>
          <w:bCs/>
          <w:color w:val="000000"/>
          <w:sz w:val="24"/>
          <w:szCs w:val="24"/>
          <w:highlight w:val="none"/>
        </w:rPr>
        <w:t>政府采购交易管理一体化系统</w:t>
      </w:r>
      <w:r>
        <w:rPr>
          <w:rFonts w:ascii="宋体" w:hAnsi="宋体"/>
          <w:bCs/>
          <w:color w:val="000000"/>
          <w:sz w:val="24"/>
          <w:szCs w:val="24"/>
          <w:highlight w:val="none"/>
        </w:rPr>
        <w:t>，由其授权的代表</w:t>
      </w:r>
      <w:r>
        <w:rPr>
          <w:rFonts w:hint="eastAsia" w:ascii="宋体" w:hAnsi="宋体"/>
          <w:bCs/>
          <w:color w:val="000000"/>
          <w:sz w:val="24"/>
          <w:highlight w:val="none"/>
        </w:rPr>
        <w:t>应答并加盖电子公章，且不得超出投标文件的范围或者改变投标文件的实质性内容</w:t>
      </w:r>
      <w:r>
        <w:rPr>
          <w:rFonts w:hint="eastAsia" w:ascii="宋体" w:hAnsi="宋体"/>
          <w:bCs/>
          <w:color w:val="000000"/>
          <w:sz w:val="24"/>
          <w:szCs w:val="24"/>
          <w:highlight w:val="none"/>
        </w:rPr>
        <w:t>。</w:t>
      </w:r>
    </w:p>
    <w:p>
      <w:pPr>
        <w:numPr>
          <w:ilvl w:val="0"/>
          <w:numId w:val="0"/>
        </w:numPr>
        <w:tabs>
          <w:tab w:val="left" w:pos="945"/>
          <w:tab w:val="left" w:pos="1155"/>
          <w:tab w:val="left" w:pos="1365"/>
        </w:tabs>
        <w:spacing w:line="360" w:lineRule="auto"/>
        <w:ind w:firstLine="240" w:firstLineChars="100"/>
        <w:rPr>
          <w:rFonts w:ascii="宋体"/>
          <w:bCs/>
          <w:color w:val="000000"/>
          <w:sz w:val="24"/>
          <w:szCs w:val="24"/>
          <w:highlight w:val="none"/>
        </w:rPr>
      </w:pPr>
      <w:r>
        <w:rPr>
          <w:rFonts w:hint="eastAsia" w:ascii="宋体" w:hAnsi="宋体"/>
          <w:bCs/>
          <w:color w:val="000000"/>
          <w:sz w:val="24"/>
          <w:highlight w:val="none"/>
          <w:lang w:eastAsia="zh-CN"/>
        </w:rPr>
        <w:t>（</w:t>
      </w:r>
      <w:r>
        <w:rPr>
          <w:rFonts w:hint="eastAsia" w:ascii="宋体" w:hAnsi="宋体"/>
          <w:bCs/>
          <w:color w:val="000000"/>
          <w:sz w:val="24"/>
          <w:highlight w:val="none"/>
          <w:lang w:val="en-US" w:eastAsia="zh-CN"/>
        </w:rPr>
        <w:t>3</w:t>
      </w:r>
      <w:r>
        <w:rPr>
          <w:rFonts w:hint="eastAsia" w:ascii="宋体" w:hAnsi="宋体"/>
          <w:bCs/>
          <w:color w:val="000000"/>
          <w:sz w:val="24"/>
          <w:highlight w:val="none"/>
          <w:lang w:eastAsia="zh-CN"/>
        </w:rPr>
        <w:t>）</w:t>
      </w:r>
      <w:r>
        <w:rPr>
          <w:rFonts w:hint="eastAsia" w:ascii="宋体" w:hAnsi="宋体"/>
          <w:bCs/>
          <w:color w:val="000000"/>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t>。</w:t>
      </w:r>
    </w:p>
    <w:p>
      <w:pPr>
        <w:numPr>
          <w:ilvl w:val="1"/>
          <w:numId w:val="0"/>
        </w:numPr>
        <w:tabs>
          <w:tab w:val="left" w:pos="525"/>
          <w:tab w:val="left" w:pos="945"/>
        </w:tabs>
        <w:spacing w:line="360" w:lineRule="auto"/>
        <w:ind w:left="1" w:firstLine="523"/>
        <w:rPr>
          <w:rFonts w:ascii="宋体"/>
          <w:bCs/>
          <w:color w:val="000000"/>
          <w:sz w:val="24"/>
          <w:szCs w:val="24"/>
          <w:highlight w:val="none"/>
        </w:rPr>
      </w:pPr>
      <w:r>
        <w:rPr>
          <w:rFonts w:hint="eastAsia" w:ascii="宋体"/>
          <w:bCs/>
          <w:color w:val="000000"/>
          <w:sz w:val="24"/>
          <w:szCs w:val="24"/>
          <w:highlight w:val="none"/>
        </w:rPr>
        <w:t>7．</w:t>
      </w:r>
      <w:r>
        <w:rPr>
          <w:rFonts w:hint="eastAsia" w:ascii="宋体" w:hAnsi="宋体"/>
          <w:bCs/>
          <w:color w:val="000000"/>
          <w:sz w:val="24"/>
          <w:szCs w:val="24"/>
          <w:highlight w:val="none"/>
        </w:rPr>
        <w:t>评标方法</w:t>
      </w:r>
    </w:p>
    <w:p>
      <w:pPr>
        <w:tabs>
          <w:tab w:val="left" w:pos="945"/>
        </w:tabs>
        <w:spacing w:line="360" w:lineRule="auto"/>
        <w:ind w:firstLine="523"/>
        <w:rPr>
          <w:rFonts w:ascii="宋体"/>
          <w:bCs/>
          <w:color w:val="000000"/>
          <w:sz w:val="24"/>
          <w:szCs w:val="24"/>
          <w:highlight w:val="none"/>
        </w:rPr>
      </w:pPr>
      <w:r>
        <w:rPr>
          <w:rFonts w:hint="eastAsia" w:ascii="宋体" w:hAnsi="宋体"/>
          <w:bCs/>
          <w:color w:val="000000"/>
          <w:sz w:val="24"/>
          <w:szCs w:val="24"/>
          <w:highlight w:val="none"/>
        </w:rPr>
        <w:t>投标人通过初审的，方可进入</w:t>
      </w:r>
      <w:r>
        <w:rPr>
          <w:rFonts w:hint="eastAsia" w:ascii="宋体" w:hAnsi="宋体"/>
          <w:bCs/>
          <w:color w:val="000000"/>
          <w:sz w:val="24"/>
          <w:highlight w:val="none"/>
        </w:rPr>
        <w:t>比较与评价程序</w:t>
      </w:r>
      <w:r>
        <w:rPr>
          <w:rFonts w:hint="eastAsia" w:ascii="宋体" w:hAnsi="宋体"/>
          <w:bCs/>
          <w:color w:val="000000"/>
          <w:sz w:val="24"/>
          <w:szCs w:val="24"/>
          <w:highlight w:val="none"/>
        </w:rPr>
        <w:t>。</w:t>
      </w:r>
    </w:p>
    <w:p>
      <w:pPr>
        <w:tabs>
          <w:tab w:val="left" w:pos="945"/>
        </w:tabs>
        <w:spacing w:line="360" w:lineRule="auto"/>
        <w:ind w:firstLine="523"/>
        <w:rPr>
          <w:rFonts w:ascii="宋体"/>
          <w:bCs/>
          <w:color w:val="000000"/>
          <w:sz w:val="24"/>
          <w:szCs w:val="24"/>
          <w:highlight w:val="none"/>
        </w:rPr>
      </w:pPr>
      <w:r>
        <w:rPr>
          <w:rFonts w:hint="eastAsia" w:ascii="宋体" w:hAnsi="宋体"/>
          <w:bCs/>
          <w:color w:val="000000"/>
          <w:sz w:val="24"/>
          <w:highlight w:val="none"/>
        </w:rPr>
        <w:t>比较与评价</w:t>
      </w:r>
      <w:r>
        <w:rPr>
          <w:rFonts w:hint="eastAsia" w:ascii="宋体" w:hAnsi="宋体"/>
          <w:bCs/>
          <w:color w:val="000000"/>
          <w:sz w:val="24"/>
          <w:szCs w:val="24"/>
          <w:highlight w:val="none"/>
        </w:rPr>
        <w:t>采用综合评分法。</w:t>
      </w:r>
    </w:p>
    <w:p>
      <w:pPr>
        <w:tabs>
          <w:tab w:val="left" w:pos="945"/>
        </w:tabs>
        <w:spacing w:line="360" w:lineRule="auto"/>
        <w:ind w:firstLine="523"/>
        <w:rPr>
          <w:rFonts w:ascii="宋体" w:hAnsi="宋体"/>
          <w:bCs/>
          <w:color w:val="000000"/>
          <w:sz w:val="24"/>
          <w:szCs w:val="24"/>
          <w:highlight w:val="none"/>
        </w:rPr>
      </w:pPr>
      <w:r>
        <w:rPr>
          <w:rFonts w:hint="eastAsia" w:ascii="宋体" w:hAnsi="宋体"/>
          <w:color w:val="000000"/>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评标结果按评审后得分由高到低顺序排列</w:t>
      </w:r>
      <w:r>
        <w:rPr>
          <w:rFonts w:hint="eastAsia" w:ascii="宋体" w:hAnsi="宋体"/>
          <w:color w:val="000000"/>
          <w:sz w:val="24"/>
          <w:highlight w:val="none"/>
        </w:rPr>
        <w:t>。得分相同的，</w:t>
      </w:r>
      <w:r>
        <w:rPr>
          <w:rFonts w:hint="eastAsia" w:ascii="宋体" w:hAnsi="宋体" w:cs="宋体"/>
          <w:color w:val="000000"/>
          <w:sz w:val="24"/>
          <w:highlight w:val="none"/>
        </w:rPr>
        <w:t>按投标报价由低到高顺序排列。得分且投标报价相同并列的</w:t>
      </w:r>
      <w:r>
        <w:rPr>
          <w:rFonts w:hint="eastAsia" w:ascii="宋体" w:hAnsi="宋体" w:cs="宋体"/>
          <w:color w:val="000000"/>
          <w:sz w:val="24"/>
          <w:highlight w:val="none"/>
          <w:lang w:eastAsia="zh-CN"/>
        </w:rPr>
        <w:t>，</w:t>
      </w:r>
      <w:r>
        <w:rPr>
          <w:rFonts w:ascii="宋体" w:hAnsi="宋体"/>
          <w:bCs/>
          <w:color w:val="000000"/>
          <w:sz w:val="24"/>
          <w:highlight w:val="none"/>
        </w:rPr>
        <w:t>按</w:t>
      </w:r>
      <w:r>
        <w:rPr>
          <w:rFonts w:hint="eastAsia" w:ascii="宋体" w:hAnsi="宋体"/>
          <w:bCs/>
          <w:color w:val="000000"/>
          <w:sz w:val="24"/>
          <w:highlight w:val="none"/>
        </w:rPr>
        <w:t>技术标</w:t>
      </w:r>
      <w:r>
        <w:rPr>
          <w:rFonts w:ascii="宋体" w:hAnsi="宋体"/>
          <w:bCs/>
          <w:color w:val="000000"/>
          <w:sz w:val="24"/>
          <w:highlight w:val="none"/>
        </w:rPr>
        <w:t>指标优劣顺序排列</w:t>
      </w:r>
      <w:r>
        <w:rPr>
          <w:rFonts w:hint="eastAsia" w:ascii="宋体" w:hAnsi="宋体"/>
          <w:bCs/>
          <w:color w:val="000000"/>
          <w:sz w:val="24"/>
          <w:highlight w:val="none"/>
        </w:rPr>
        <w:t>。</w:t>
      </w:r>
      <w:r>
        <w:rPr>
          <w:rFonts w:hint="eastAsia" w:ascii="宋体" w:hAnsi="宋体"/>
          <w:bCs/>
          <w:color w:val="000000"/>
          <w:sz w:val="24"/>
          <w:highlight w:val="none"/>
          <w:lang w:val="en-US" w:eastAsia="zh-CN"/>
        </w:rPr>
        <w:t>中标候选人3家，</w:t>
      </w:r>
      <w:r>
        <w:rPr>
          <w:rFonts w:hint="eastAsia" w:ascii="宋体" w:hAnsi="宋体" w:cs="宋体"/>
          <w:color w:val="000000"/>
          <w:sz w:val="24"/>
          <w:highlight w:val="none"/>
        </w:rPr>
        <w:t>投标文件满足招标文件全部实质性要求，且按照评审因素的量化指标评审得分最高的投标供应商为排名第一的中标人。</w:t>
      </w:r>
      <w:r>
        <w:rPr>
          <w:rFonts w:hint="eastAsia" w:ascii="宋体" w:hAnsi="宋体" w:cs="宋体"/>
          <w:color w:val="000000"/>
          <w:sz w:val="24"/>
          <w:highlight w:val="none"/>
        </w:rPr>
        <w:t>未列入本评分细则的其他条件不作为评分内容</w:t>
      </w:r>
      <w:r>
        <w:rPr>
          <w:rFonts w:hint="eastAsia" w:ascii="宋体" w:hAnsi="宋体"/>
          <w:bCs/>
          <w:color w:val="000000"/>
          <w:sz w:val="24"/>
          <w:szCs w:val="24"/>
          <w:highlight w:val="none"/>
        </w:rPr>
        <w:t>。</w:t>
      </w:r>
    </w:p>
    <w:p>
      <w:pPr>
        <w:numPr>
          <w:ilvl w:val="1"/>
          <w:numId w:val="0"/>
        </w:num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8．评分标准</w:t>
      </w:r>
    </w:p>
    <w:p>
      <w:pPr>
        <w:tabs>
          <w:tab w:val="left" w:pos="525"/>
          <w:tab w:val="left" w:pos="945"/>
        </w:tabs>
        <w:spacing w:line="360" w:lineRule="auto"/>
        <w:ind w:left="524"/>
        <w:rPr>
          <w:rFonts w:ascii="宋体" w:hAnsi="宋体"/>
          <w:bCs/>
          <w:color w:val="000000"/>
          <w:sz w:val="24"/>
          <w:szCs w:val="24"/>
          <w:highlight w:val="none"/>
        </w:rPr>
      </w:pPr>
      <w:r>
        <w:rPr>
          <w:rFonts w:hint="eastAsia" w:ascii="宋体" w:hAnsi="宋体"/>
          <w:bCs/>
          <w:color w:val="000000"/>
          <w:sz w:val="24"/>
          <w:szCs w:val="24"/>
          <w:highlight w:val="none"/>
        </w:rPr>
        <w:t>详见附件。</w:t>
      </w:r>
    </w:p>
    <w:p>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（十一）定标：</w:t>
      </w:r>
    </w:p>
    <w:p>
      <w:pPr>
        <w:tabs>
          <w:tab w:val="left" w:pos="1155"/>
        </w:tabs>
        <w:spacing w:line="360" w:lineRule="auto"/>
        <w:ind w:firstLine="480"/>
        <w:rPr>
          <w:rFonts w:ascii="宋体" w:hAnsi="宋体" w:cs="宋体"/>
          <w:color w:val="000000"/>
          <w:sz w:val="24"/>
          <w:highlight w:val="none"/>
        </w:rPr>
      </w:pPr>
      <w:r>
        <w:rPr>
          <w:rFonts w:ascii="宋体" w:hAnsi="宋体"/>
          <w:bCs/>
          <w:color w:val="000000"/>
          <w:sz w:val="24"/>
          <w:highlight w:val="none"/>
        </w:rPr>
        <w:t>1.</w:t>
      </w:r>
      <w:r>
        <w:rPr>
          <w:rFonts w:hint="eastAsia" w:ascii="宋体" w:hAnsi="宋体"/>
          <w:bCs/>
          <w:color w:val="000000"/>
          <w:sz w:val="24"/>
          <w:highlight w:val="none"/>
        </w:rPr>
        <w:t xml:space="preserve"> 评标委员会根据招标文件规定的评标方法和评标标准进行评审，按本次招标的定标规则确定中标候选人，</w:t>
      </w:r>
      <w:r>
        <w:rPr>
          <w:rFonts w:hint="eastAsia" w:ascii="宋体" w:hAnsi="宋体" w:cs="宋体"/>
          <w:color w:val="000000"/>
          <w:sz w:val="24"/>
          <w:highlight w:val="none"/>
        </w:rPr>
        <w:t>采</w:t>
      </w:r>
      <w:r>
        <w:rPr>
          <w:rFonts w:hint="eastAsia" w:ascii="宋体" w:hAnsi="宋体"/>
          <w:bCs/>
          <w:color w:val="000000"/>
          <w:sz w:val="24"/>
          <w:highlight w:val="none"/>
        </w:rPr>
        <w:t>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bCs/>
          <w:color w:val="000000"/>
          <w:sz w:val="24"/>
          <w:highlight w:val="none"/>
          <w:lang w:eastAsia="zh-CN"/>
        </w:rPr>
        <w:t>江苏博智工程咨询有限公司</w:t>
      </w:r>
      <w:r>
        <w:rPr>
          <w:rFonts w:hint="eastAsia" w:ascii="宋体" w:hAnsi="宋体"/>
          <w:bCs/>
          <w:color w:val="000000"/>
          <w:sz w:val="24"/>
          <w:highlight w:val="none"/>
        </w:rPr>
        <w:t>自中标人确定之日起2个工作日内，在省级以上财政部门指定的媒体（江苏政府采购网）上公告中标结</w:t>
      </w:r>
      <w:r>
        <w:rPr>
          <w:rFonts w:hint="eastAsia" w:ascii="宋体" w:hAnsi="宋体" w:cs="宋体"/>
          <w:color w:val="000000"/>
          <w:sz w:val="24"/>
          <w:highlight w:val="none"/>
        </w:rPr>
        <w:t>果，在公告中标结果的同时，</w:t>
      </w:r>
      <w:r>
        <w:rPr>
          <w:rFonts w:hint="eastAsia" w:ascii="宋体" w:hAnsi="宋体" w:cs="宋体"/>
          <w:color w:val="000000"/>
          <w:sz w:val="24"/>
          <w:highlight w:val="none"/>
          <w:lang w:eastAsia="zh-CN"/>
        </w:rPr>
        <w:t>江苏博智工程咨询有限公司</w:t>
      </w:r>
      <w:r>
        <w:rPr>
          <w:rFonts w:hint="eastAsia" w:ascii="宋体" w:hAnsi="宋体" w:cs="宋体"/>
          <w:color w:val="000000"/>
          <w:sz w:val="24"/>
          <w:highlight w:val="none"/>
        </w:rPr>
        <w:t>向中标人发出中标通知书。</w:t>
      </w:r>
    </w:p>
    <w:p>
      <w:pPr>
        <w:tabs>
          <w:tab w:val="left" w:pos="1155"/>
        </w:tabs>
        <w:spacing w:line="360" w:lineRule="auto"/>
        <w:ind w:firstLine="480"/>
        <w:rPr>
          <w:rFonts w:ascii="宋体" w:hAnsi="宋体" w:cs="宋体"/>
          <w:color w:val="000000"/>
          <w:sz w:val="24"/>
          <w:highlight w:val="none"/>
        </w:rPr>
      </w:pPr>
      <w:r>
        <w:rPr>
          <w:rFonts w:hint="eastAsia" w:ascii="宋体" w:hAnsi="宋体"/>
          <w:bCs/>
          <w:color w:val="000000"/>
          <w:sz w:val="24"/>
          <w:highlight w:val="none"/>
        </w:rPr>
        <w:t>2.</w:t>
      </w:r>
      <w:r>
        <w:rPr>
          <w:rFonts w:ascii="宋体" w:hAnsi="宋体"/>
          <w:bCs/>
          <w:color w:val="000000"/>
          <w:sz w:val="24"/>
          <w:highlight w:val="none"/>
        </w:rPr>
        <w:t xml:space="preserve"> 如有质疑，</w:t>
      </w:r>
      <w:r>
        <w:rPr>
          <w:rFonts w:hint="eastAsia" w:ascii="宋体" w:hAnsi="宋体"/>
          <w:bCs/>
          <w:color w:val="000000"/>
          <w:sz w:val="24"/>
          <w:highlight w:val="none"/>
        </w:rPr>
        <w:t>按中华人民共和国财政部令第94号--政府采购质疑和投诉办法执行，供应商在法定质疑期限外送达的质疑函或法定质疑期限内送达的质疑函不符合下述要求的均为无效质疑，</w:t>
      </w:r>
      <w:r>
        <w:rPr>
          <w:rFonts w:hint="eastAsia" w:ascii="宋体" w:hAnsi="宋体"/>
          <w:bCs/>
          <w:color w:val="000000"/>
          <w:sz w:val="24"/>
          <w:highlight w:val="none"/>
          <w:lang w:eastAsia="zh-CN"/>
        </w:rPr>
        <w:t>江苏博智工程咨询有限公司</w:t>
      </w:r>
      <w:r>
        <w:rPr>
          <w:rFonts w:hint="eastAsia" w:ascii="宋体" w:hAnsi="宋体"/>
          <w:bCs/>
          <w:color w:val="000000"/>
          <w:sz w:val="24"/>
          <w:highlight w:val="none"/>
        </w:rPr>
        <w:t>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pPr>
        <w:tabs>
          <w:tab w:val="right" w:pos="180"/>
          <w:tab w:val="left" w:pos="525"/>
          <w:tab w:val="left" w:pos="945"/>
        </w:tabs>
        <w:spacing w:line="360" w:lineRule="auto"/>
        <w:ind w:left="523"/>
        <w:rPr>
          <w:rFonts w:ascii="宋体" w:hAnsi="宋体"/>
          <w:bCs/>
          <w:color w:val="000000"/>
          <w:sz w:val="24"/>
          <w:highlight w:val="none"/>
        </w:rPr>
      </w:pPr>
      <w:r>
        <w:rPr>
          <w:rFonts w:hint="eastAsia" w:ascii="宋体" w:hAnsi="宋体"/>
          <w:bCs/>
          <w:color w:val="000000"/>
          <w:sz w:val="24"/>
          <w:highlight w:val="none"/>
        </w:rPr>
        <w:t>1）提出质疑的供应商应当是参与所质疑项目采购活动的供应商。</w:t>
      </w:r>
    </w:p>
    <w:p>
      <w:pPr>
        <w:tabs>
          <w:tab w:val="right" w:pos="180"/>
          <w:tab w:val="left" w:pos="525"/>
          <w:tab w:val="left" w:pos="570"/>
          <w:tab w:val="left" w:pos="945"/>
        </w:tabs>
        <w:spacing w:line="360" w:lineRule="auto"/>
        <w:ind w:firstLine="480"/>
        <w:rPr>
          <w:rFonts w:ascii="宋体" w:hAnsi="宋体"/>
          <w:bCs/>
          <w:color w:val="000000"/>
          <w:sz w:val="24"/>
          <w:highlight w:val="none"/>
        </w:rPr>
      </w:pPr>
      <w:r>
        <w:rPr>
          <w:rFonts w:hint="eastAsia" w:ascii="宋体" w:hAnsi="宋体"/>
          <w:bCs/>
          <w:color w:val="000000"/>
          <w:sz w:val="24"/>
          <w:highlight w:val="none"/>
        </w:rPr>
        <w:t>潜在供应商已依法获取其可质疑的采购文件的，可以对该文件提出质疑。对采购文件提出质疑的，应当在获取采购文件或者采购文件公告期限届满之日起7个工作日内提出。</w:t>
      </w:r>
    </w:p>
    <w:p>
      <w:pPr>
        <w:tabs>
          <w:tab w:val="right" w:pos="180"/>
          <w:tab w:val="left" w:pos="525"/>
          <w:tab w:val="left" w:pos="570"/>
          <w:tab w:val="left" w:pos="945"/>
        </w:tabs>
        <w:spacing w:line="360" w:lineRule="auto"/>
        <w:ind w:firstLine="480"/>
        <w:rPr>
          <w:rFonts w:ascii="宋体" w:hAnsi="宋体"/>
          <w:bCs/>
          <w:color w:val="000000"/>
          <w:sz w:val="24"/>
          <w:highlight w:val="none"/>
        </w:rPr>
      </w:pPr>
      <w:r>
        <w:rPr>
          <w:rFonts w:hint="eastAsia" w:ascii="宋体" w:hAnsi="宋体"/>
          <w:bCs/>
          <w:color w:val="000000"/>
          <w:sz w:val="24"/>
          <w:highlight w:val="none"/>
        </w:rPr>
        <w:t>2）供应商提出质疑应当提交质疑函和必要的证明材料。质疑函应当包括下列内容：</w:t>
      </w:r>
    </w:p>
    <w:p>
      <w:pPr>
        <w:pStyle w:val="22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w:t>
      </w:r>
      <w:r>
        <w:rPr>
          <w:rFonts w:ascii="宋体" w:hAnsi="宋体" w:eastAsia="宋体"/>
          <w:color w:val="000000"/>
          <w:sz w:val="24"/>
          <w:szCs w:val="24"/>
          <w:highlight w:val="none"/>
        </w:rPr>
        <w:t>A</w:t>
      </w:r>
      <w:r>
        <w:rPr>
          <w:rFonts w:hint="eastAsia" w:ascii="宋体" w:hAnsi="宋体" w:eastAsia="宋体"/>
          <w:color w:val="000000"/>
          <w:sz w:val="24"/>
          <w:szCs w:val="24"/>
          <w:highlight w:val="none"/>
        </w:rPr>
        <w:t>．供应商的姓名或者名称、地址、邮编、联系人及联系电话；</w:t>
      </w:r>
    </w:p>
    <w:p>
      <w:pPr>
        <w:pStyle w:val="22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w:t>
      </w:r>
      <w:r>
        <w:rPr>
          <w:rFonts w:ascii="宋体" w:hAnsi="宋体" w:eastAsia="宋体"/>
          <w:color w:val="000000"/>
          <w:sz w:val="24"/>
          <w:szCs w:val="24"/>
          <w:highlight w:val="none"/>
        </w:rPr>
        <w:t>B</w:t>
      </w:r>
      <w:r>
        <w:rPr>
          <w:rFonts w:hint="eastAsia" w:ascii="宋体" w:hAnsi="宋体" w:eastAsia="宋体"/>
          <w:color w:val="000000"/>
          <w:sz w:val="24"/>
          <w:szCs w:val="24"/>
          <w:highlight w:val="none"/>
        </w:rPr>
        <w:t>．质疑项目的名称、编号；</w:t>
      </w:r>
    </w:p>
    <w:p>
      <w:pPr>
        <w:pStyle w:val="22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w:t>
      </w:r>
      <w:r>
        <w:rPr>
          <w:rFonts w:ascii="宋体" w:hAnsi="宋体" w:eastAsia="宋体"/>
          <w:color w:val="000000"/>
          <w:sz w:val="24"/>
          <w:szCs w:val="24"/>
          <w:highlight w:val="none"/>
        </w:rPr>
        <w:t>C</w:t>
      </w:r>
      <w:r>
        <w:rPr>
          <w:rFonts w:hint="eastAsia" w:ascii="宋体" w:hAnsi="宋体" w:eastAsia="宋体"/>
          <w:color w:val="000000"/>
          <w:sz w:val="24"/>
          <w:szCs w:val="24"/>
          <w:highlight w:val="none"/>
        </w:rPr>
        <w:t>．具体、明确的质疑事项和与质疑事项相关的请求；</w:t>
      </w:r>
    </w:p>
    <w:p>
      <w:pPr>
        <w:pStyle w:val="22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w:t>
      </w:r>
      <w:r>
        <w:rPr>
          <w:rFonts w:ascii="宋体" w:hAnsi="宋体" w:eastAsia="宋体"/>
          <w:color w:val="000000"/>
          <w:sz w:val="24"/>
          <w:szCs w:val="24"/>
          <w:highlight w:val="none"/>
        </w:rPr>
        <w:t>D</w:t>
      </w:r>
      <w:r>
        <w:rPr>
          <w:rFonts w:hint="eastAsia" w:ascii="宋体" w:hAnsi="宋体" w:eastAsia="宋体"/>
          <w:color w:val="000000"/>
          <w:sz w:val="24"/>
          <w:szCs w:val="24"/>
          <w:highlight w:val="none"/>
        </w:rPr>
        <w:t>．事实依据；</w:t>
      </w:r>
    </w:p>
    <w:p>
      <w:pPr>
        <w:pStyle w:val="22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w:t>
      </w:r>
      <w:r>
        <w:rPr>
          <w:rFonts w:ascii="宋体" w:hAnsi="宋体" w:eastAsia="宋体"/>
          <w:color w:val="000000"/>
          <w:sz w:val="24"/>
          <w:szCs w:val="24"/>
          <w:highlight w:val="none"/>
        </w:rPr>
        <w:t>E</w:t>
      </w:r>
      <w:r>
        <w:rPr>
          <w:rFonts w:hint="eastAsia" w:ascii="宋体" w:hAnsi="宋体" w:eastAsia="宋体"/>
          <w:color w:val="000000"/>
          <w:sz w:val="24"/>
          <w:szCs w:val="24"/>
          <w:highlight w:val="none"/>
        </w:rPr>
        <w:t>．必要的法律依据；</w:t>
      </w:r>
    </w:p>
    <w:p>
      <w:pPr>
        <w:pStyle w:val="22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w:t>
      </w:r>
      <w:r>
        <w:rPr>
          <w:rFonts w:ascii="宋体" w:hAnsi="宋体" w:eastAsia="宋体"/>
          <w:color w:val="000000"/>
          <w:sz w:val="24"/>
          <w:szCs w:val="24"/>
          <w:highlight w:val="none"/>
        </w:rPr>
        <w:t>F</w:t>
      </w:r>
      <w:r>
        <w:rPr>
          <w:rFonts w:hint="eastAsia" w:ascii="宋体" w:hAnsi="宋体" w:eastAsia="宋体"/>
          <w:color w:val="000000"/>
          <w:sz w:val="24"/>
          <w:szCs w:val="24"/>
          <w:highlight w:val="none"/>
        </w:rPr>
        <w:t>．提出质疑的日期。</w:t>
      </w:r>
    </w:p>
    <w:p>
      <w:pPr>
        <w:pStyle w:val="22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供应商为自然人的，应当由本人签字；供应商为法人或者其他组织的，应当由法定代表人、主要负责人，或者其授权代表签字或者盖章，并加盖公章。</w:t>
      </w:r>
    </w:p>
    <w:p>
      <w:pPr>
        <w:pStyle w:val="227"/>
        <w:spacing w:line="360" w:lineRule="auto"/>
        <w:ind w:firstLine="480"/>
        <w:rPr>
          <w:rFonts w:ascii="宋体" w:hAnsi="宋体" w:eastAsia="宋体"/>
          <w:color w:val="000000"/>
          <w:sz w:val="24"/>
          <w:szCs w:val="24"/>
          <w:highlight w:val="none"/>
        </w:rPr>
      </w:pPr>
      <w:r>
        <w:rPr>
          <w:rFonts w:hint="eastAsia" w:ascii="宋体" w:hAnsi="宋体" w:eastAsia="宋体"/>
          <w:color w:val="000000"/>
          <w:sz w:val="24"/>
          <w:szCs w:val="24"/>
          <w:highlight w:val="none"/>
        </w:rPr>
        <w:t>3）采购人、采购代理机构不得拒收质疑供应商在法定质疑期内发出的质疑函，应当在收到质疑函后7个工作日内作出答复，并以书面形式通知质疑供应商和其他有关供应商。</w:t>
      </w:r>
    </w:p>
    <w:p>
      <w:pPr>
        <w:tabs>
          <w:tab w:val="left" w:pos="525"/>
          <w:tab w:val="left" w:pos="945"/>
          <w:tab w:val="left" w:pos="1155"/>
        </w:tabs>
        <w:spacing w:line="360" w:lineRule="auto"/>
        <w:ind w:firstLine="523"/>
        <w:rPr>
          <w:rFonts w:ascii="宋体"/>
          <w:bCs/>
          <w:color w:val="000000"/>
          <w:sz w:val="24"/>
          <w:szCs w:val="24"/>
          <w:highlight w:val="none"/>
        </w:rPr>
      </w:pPr>
      <w:r>
        <w:rPr>
          <w:rFonts w:hint="eastAsia" w:ascii="宋体" w:hAnsi="宋体"/>
          <w:bCs/>
          <w:color w:val="000000"/>
          <w:sz w:val="24"/>
          <w:highlight w:val="none"/>
        </w:rPr>
        <w:t>3</w:t>
      </w:r>
      <w:r>
        <w:rPr>
          <w:rFonts w:ascii="宋体" w:hAnsi="宋体"/>
          <w:bCs/>
          <w:color w:val="000000"/>
          <w:sz w:val="24"/>
          <w:highlight w:val="none"/>
        </w:rPr>
        <w:t>.</w:t>
      </w:r>
      <w:r>
        <w:rPr>
          <w:rFonts w:hint="eastAsia" w:ascii="宋体" w:hAnsi="宋体"/>
          <w:bCs/>
          <w:color w:val="000000"/>
          <w:sz w:val="24"/>
          <w:highlight w:val="none"/>
        </w:rPr>
        <w:t>投标、开标及定标的整个过程均由有关部门进行现场监督。</w:t>
      </w:r>
    </w:p>
    <w:p>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（十二） 废标的确认：</w:t>
      </w:r>
    </w:p>
    <w:p>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在招标采购中，出现下列情况之一的，应予废标：</w:t>
      </w:r>
    </w:p>
    <w:p>
      <w:pPr>
        <w:numPr>
          <w:ilvl w:val="0"/>
          <w:numId w:val="3"/>
        </w:numPr>
        <w:tabs>
          <w:tab w:val="left" w:pos="525"/>
          <w:tab w:val="left" w:pos="945"/>
          <w:tab w:val="left" w:pos="1260"/>
        </w:tabs>
        <w:spacing w:line="360" w:lineRule="auto"/>
        <w:ind w:left="0" w:firstLine="525"/>
        <w:rPr>
          <w:rFonts w:ascii="宋体"/>
          <w:bCs/>
          <w:color w:val="000000"/>
          <w:sz w:val="24"/>
          <w:szCs w:val="24"/>
          <w:highlight w:val="none"/>
        </w:rPr>
      </w:pPr>
      <w:r>
        <w:rPr>
          <w:rFonts w:hint="eastAsia" w:ascii="宋体" w:hAnsi="宋体"/>
          <w:bCs/>
          <w:color w:val="000000"/>
          <w:sz w:val="24"/>
          <w:szCs w:val="24"/>
          <w:highlight w:val="none"/>
        </w:rPr>
        <w:t>符合专业条件的投标人或者对招标文件作出实质性响应的投标人不足三家；</w:t>
      </w:r>
    </w:p>
    <w:p>
      <w:pPr>
        <w:numPr>
          <w:ilvl w:val="0"/>
          <w:numId w:val="3"/>
        </w:numPr>
        <w:tabs>
          <w:tab w:val="left" w:pos="525"/>
          <w:tab w:val="left" w:pos="945"/>
          <w:tab w:val="left" w:pos="1260"/>
        </w:tabs>
        <w:spacing w:line="360" w:lineRule="auto"/>
        <w:ind w:left="0" w:firstLine="525"/>
        <w:rPr>
          <w:rFonts w:ascii="宋体"/>
          <w:bCs/>
          <w:color w:val="000000"/>
          <w:sz w:val="24"/>
          <w:szCs w:val="24"/>
          <w:highlight w:val="none"/>
        </w:rPr>
      </w:pPr>
      <w:r>
        <w:rPr>
          <w:rFonts w:hint="eastAsia" w:ascii="宋体" w:hAnsi="宋体"/>
          <w:bCs/>
          <w:color w:val="000000"/>
          <w:sz w:val="24"/>
          <w:szCs w:val="24"/>
          <w:highlight w:val="none"/>
        </w:rPr>
        <w:t>出现影响采购公正的违法、违规行为；</w:t>
      </w:r>
    </w:p>
    <w:p>
      <w:pPr>
        <w:numPr>
          <w:ilvl w:val="0"/>
          <w:numId w:val="3"/>
        </w:numPr>
        <w:tabs>
          <w:tab w:val="left" w:pos="525"/>
          <w:tab w:val="left" w:pos="945"/>
          <w:tab w:val="left" w:pos="1260"/>
        </w:tabs>
        <w:spacing w:line="360" w:lineRule="auto"/>
        <w:ind w:left="0" w:firstLine="525"/>
        <w:rPr>
          <w:rFonts w:ascii="宋体"/>
          <w:bCs/>
          <w:color w:val="000000"/>
          <w:sz w:val="24"/>
          <w:szCs w:val="24"/>
          <w:highlight w:val="none"/>
        </w:rPr>
      </w:pPr>
      <w:r>
        <w:rPr>
          <w:rFonts w:hint="eastAsia" w:ascii="宋体" w:hAnsi="宋体"/>
          <w:bCs/>
          <w:color w:val="000000"/>
          <w:sz w:val="24"/>
          <w:szCs w:val="24"/>
          <w:highlight w:val="none"/>
        </w:rPr>
        <w:t>投标人的报价均超过采购预算，采购人不能支付的；</w:t>
      </w:r>
    </w:p>
    <w:p>
      <w:pPr>
        <w:numPr>
          <w:ilvl w:val="0"/>
          <w:numId w:val="3"/>
        </w:numPr>
        <w:tabs>
          <w:tab w:val="right" w:pos="180"/>
          <w:tab w:val="left" w:pos="525"/>
          <w:tab w:val="left" w:pos="945"/>
          <w:tab w:val="left" w:pos="1260"/>
        </w:tabs>
        <w:spacing w:line="360" w:lineRule="auto"/>
        <w:ind w:left="0" w:firstLine="525"/>
        <w:rPr>
          <w:rFonts w:ascii="宋体"/>
          <w:bCs/>
          <w:color w:val="000000"/>
          <w:sz w:val="24"/>
          <w:szCs w:val="24"/>
          <w:highlight w:val="none"/>
        </w:rPr>
      </w:pPr>
      <w:r>
        <w:rPr>
          <w:rFonts w:hint="eastAsia" w:ascii="宋体" w:hAnsi="宋体"/>
          <w:bCs/>
          <w:color w:val="000000"/>
          <w:sz w:val="24"/>
          <w:szCs w:val="24"/>
          <w:highlight w:val="none"/>
        </w:rPr>
        <w:t>因重大变故，采购任务取消。</w:t>
      </w:r>
    </w:p>
    <w:p>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（十三）中标无效的确认：</w:t>
      </w:r>
    </w:p>
    <w:p>
      <w:pPr>
        <w:tabs>
          <w:tab w:val="left" w:pos="420"/>
          <w:tab w:val="left" w:pos="945"/>
          <w:tab w:val="left" w:pos="1155"/>
        </w:tabs>
        <w:spacing w:line="360" w:lineRule="auto"/>
        <w:ind w:firstLine="523"/>
        <w:rPr>
          <w:rFonts w:ascii="宋体"/>
          <w:bCs/>
          <w:color w:val="000000"/>
          <w:sz w:val="24"/>
          <w:szCs w:val="24"/>
          <w:highlight w:val="none"/>
        </w:rPr>
      </w:pPr>
      <w:r>
        <w:rPr>
          <w:rFonts w:hint="eastAsia" w:ascii="宋体"/>
          <w:bCs/>
          <w:color w:val="000000"/>
          <w:sz w:val="24"/>
          <w:szCs w:val="24"/>
          <w:highlight w:val="none"/>
        </w:rPr>
        <w:t>（1）</w:t>
      </w:r>
      <w:r>
        <w:rPr>
          <w:rFonts w:hint="eastAsia" w:ascii="宋体" w:hAnsi="宋体"/>
          <w:bCs/>
          <w:color w:val="000000"/>
          <w:sz w:val="24"/>
          <w:szCs w:val="24"/>
          <w:highlight w:val="none"/>
        </w:rPr>
        <w:t>提供虚假材料谋取中标的；</w:t>
      </w:r>
    </w:p>
    <w:p>
      <w:pPr>
        <w:tabs>
          <w:tab w:val="left" w:pos="420"/>
          <w:tab w:val="left" w:pos="945"/>
          <w:tab w:val="left" w:pos="1155"/>
        </w:tabs>
        <w:spacing w:line="360" w:lineRule="auto"/>
        <w:ind w:firstLine="523"/>
        <w:rPr>
          <w:rFonts w:ascii="宋体"/>
          <w:bCs/>
          <w:color w:val="000000"/>
          <w:sz w:val="24"/>
          <w:szCs w:val="24"/>
          <w:highlight w:val="none"/>
        </w:rPr>
      </w:pPr>
      <w:r>
        <w:rPr>
          <w:rFonts w:hint="eastAsia" w:ascii="宋体"/>
          <w:bCs/>
          <w:color w:val="000000"/>
          <w:sz w:val="24"/>
          <w:szCs w:val="24"/>
          <w:highlight w:val="none"/>
        </w:rPr>
        <w:t>（2）</w:t>
      </w:r>
      <w:r>
        <w:rPr>
          <w:rFonts w:hint="eastAsia" w:ascii="宋体" w:hAnsi="宋体"/>
          <w:bCs/>
          <w:color w:val="000000"/>
          <w:sz w:val="24"/>
          <w:szCs w:val="24"/>
          <w:highlight w:val="none"/>
        </w:rPr>
        <w:t>采取不正当手段诋毁、排挤其他投标人的；</w:t>
      </w:r>
    </w:p>
    <w:p>
      <w:pPr>
        <w:tabs>
          <w:tab w:val="left" w:pos="420"/>
          <w:tab w:val="left" w:pos="945"/>
          <w:tab w:val="left" w:pos="1155"/>
        </w:tabs>
        <w:spacing w:line="360" w:lineRule="auto"/>
        <w:ind w:firstLine="523"/>
        <w:rPr>
          <w:rFonts w:ascii="宋体"/>
          <w:bCs/>
          <w:color w:val="000000"/>
          <w:sz w:val="24"/>
          <w:szCs w:val="24"/>
          <w:highlight w:val="none"/>
        </w:rPr>
      </w:pPr>
      <w:r>
        <w:rPr>
          <w:rFonts w:hint="eastAsia" w:ascii="宋体"/>
          <w:bCs/>
          <w:color w:val="000000"/>
          <w:sz w:val="24"/>
          <w:szCs w:val="24"/>
          <w:highlight w:val="none"/>
        </w:rPr>
        <w:t>（3）</w:t>
      </w:r>
      <w:r>
        <w:rPr>
          <w:rFonts w:hint="eastAsia" w:ascii="宋体" w:hAnsi="宋体"/>
          <w:bCs/>
          <w:color w:val="000000"/>
          <w:sz w:val="24"/>
          <w:szCs w:val="24"/>
          <w:highlight w:val="none"/>
        </w:rPr>
        <w:t>与招标采购单位、其他投标人恶意串通的；</w:t>
      </w:r>
    </w:p>
    <w:p>
      <w:pPr>
        <w:numPr>
          <w:ilvl w:val="2"/>
          <w:numId w:val="0"/>
        </w:numPr>
        <w:tabs>
          <w:tab w:val="left" w:pos="420"/>
          <w:tab w:val="left" w:pos="945"/>
          <w:tab w:val="left" w:pos="1155"/>
        </w:tabs>
        <w:spacing w:line="360" w:lineRule="auto"/>
        <w:ind w:firstLine="523"/>
        <w:rPr>
          <w:rFonts w:ascii="宋体"/>
          <w:bCs/>
          <w:color w:val="000000"/>
          <w:sz w:val="24"/>
          <w:szCs w:val="24"/>
          <w:highlight w:val="none"/>
        </w:rPr>
      </w:pPr>
      <w:r>
        <w:rPr>
          <w:rFonts w:hint="eastAsia" w:ascii="宋体"/>
          <w:bCs/>
          <w:color w:val="000000"/>
          <w:sz w:val="24"/>
          <w:szCs w:val="24"/>
          <w:highlight w:val="none"/>
        </w:rPr>
        <w:t>（4）</w:t>
      </w:r>
      <w:r>
        <w:rPr>
          <w:rFonts w:hint="eastAsia" w:ascii="宋体" w:hAnsi="宋体"/>
          <w:bCs/>
          <w:color w:val="000000"/>
          <w:sz w:val="24"/>
          <w:szCs w:val="24"/>
          <w:highlight w:val="none"/>
        </w:rPr>
        <w:t>向招标采购单位行贿或者提供其他不正当利益的；</w:t>
      </w:r>
    </w:p>
    <w:p>
      <w:pPr>
        <w:numPr>
          <w:ilvl w:val="2"/>
          <w:numId w:val="0"/>
        </w:numPr>
        <w:tabs>
          <w:tab w:val="left" w:pos="420"/>
          <w:tab w:val="left" w:pos="945"/>
          <w:tab w:val="left" w:pos="1155"/>
        </w:tabs>
        <w:spacing w:line="360" w:lineRule="auto"/>
        <w:ind w:firstLine="523"/>
        <w:rPr>
          <w:rFonts w:ascii="宋体"/>
          <w:bCs/>
          <w:color w:val="000000"/>
          <w:sz w:val="24"/>
          <w:szCs w:val="24"/>
          <w:highlight w:val="none"/>
        </w:rPr>
      </w:pPr>
      <w:r>
        <w:rPr>
          <w:rFonts w:hint="eastAsia" w:ascii="宋体"/>
          <w:bCs/>
          <w:color w:val="000000"/>
          <w:sz w:val="24"/>
          <w:szCs w:val="24"/>
          <w:highlight w:val="none"/>
        </w:rPr>
        <w:t>（5）</w:t>
      </w:r>
      <w:r>
        <w:rPr>
          <w:rFonts w:hint="eastAsia" w:ascii="宋体" w:hAnsi="宋体"/>
          <w:bCs/>
          <w:color w:val="000000"/>
          <w:sz w:val="24"/>
          <w:szCs w:val="24"/>
          <w:highlight w:val="none"/>
        </w:rPr>
        <w:t>在招标过程中与招标采购单位进行协商谈判、不按照招标文件和中标供应商的投标文件订立合同，或者与采购人另行订立背离合同实质性内容的协议的；</w:t>
      </w:r>
    </w:p>
    <w:p>
      <w:pPr>
        <w:numPr>
          <w:ilvl w:val="2"/>
          <w:numId w:val="0"/>
        </w:numPr>
        <w:tabs>
          <w:tab w:val="left" w:pos="420"/>
          <w:tab w:val="left" w:pos="945"/>
          <w:tab w:val="left" w:pos="1155"/>
        </w:tabs>
        <w:spacing w:line="360" w:lineRule="auto"/>
        <w:ind w:firstLine="523"/>
        <w:rPr>
          <w:rFonts w:ascii="宋体"/>
          <w:bCs/>
          <w:color w:val="000000"/>
          <w:sz w:val="24"/>
          <w:szCs w:val="24"/>
          <w:highlight w:val="none"/>
        </w:rPr>
      </w:pPr>
      <w:r>
        <w:rPr>
          <w:rFonts w:hint="eastAsia" w:ascii="宋体"/>
          <w:bCs/>
          <w:color w:val="000000"/>
          <w:sz w:val="24"/>
          <w:szCs w:val="24"/>
          <w:highlight w:val="none"/>
        </w:rPr>
        <w:t>（6）</w:t>
      </w:r>
      <w:r>
        <w:rPr>
          <w:rFonts w:hint="eastAsia" w:ascii="宋体" w:hAnsi="宋体"/>
          <w:bCs/>
          <w:color w:val="000000"/>
          <w:sz w:val="24"/>
          <w:szCs w:val="24"/>
          <w:highlight w:val="none"/>
        </w:rPr>
        <w:t>拒绝有关部门监督检查或者提供虚假情况的。</w:t>
      </w:r>
    </w:p>
    <w:p>
      <w:pPr>
        <w:tabs>
          <w:tab w:val="left" w:pos="945"/>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投标人有上述（</w:t>
      </w:r>
      <w:r>
        <w:rPr>
          <w:rFonts w:ascii="宋体" w:hAnsi="宋体"/>
          <w:bCs/>
          <w:color w:val="000000"/>
          <w:sz w:val="24"/>
          <w:szCs w:val="24"/>
          <w:highlight w:val="none"/>
        </w:rPr>
        <w:t>1</w:t>
      </w:r>
      <w:r>
        <w:rPr>
          <w:rFonts w:hint="eastAsia" w:ascii="宋体" w:hAnsi="宋体"/>
          <w:bCs/>
          <w:color w:val="000000"/>
          <w:sz w:val="24"/>
          <w:szCs w:val="24"/>
          <w:highlight w:val="none"/>
        </w:rPr>
        <w:t>）至（</w:t>
      </w:r>
      <w:r>
        <w:rPr>
          <w:rFonts w:ascii="宋体" w:hAnsi="宋体"/>
          <w:bCs/>
          <w:color w:val="000000"/>
          <w:sz w:val="24"/>
          <w:szCs w:val="24"/>
          <w:highlight w:val="none"/>
        </w:rPr>
        <w:t>5</w:t>
      </w:r>
      <w:r>
        <w:rPr>
          <w:rFonts w:hint="eastAsia" w:ascii="宋体" w:hAnsi="宋体"/>
          <w:bCs/>
          <w:color w:val="000000"/>
          <w:sz w:val="24"/>
          <w:szCs w:val="24"/>
          <w:highlight w:val="none"/>
        </w:rPr>
        <w:t>）项情形之一的，中标无效。有上述（</w:t>
      </w:r>
      <w:r>
        <w:rPr>
          <w:rFonts w:ascii="宋体" w:hAnsi="宋体"/>
          <w:bCs/>
          <w:color w:val="000000"/>
          <w:sz w:val="24"/>
          <w:szCs w:val="24"/>
          <w:highlight w:val="none"/>
        </w:rPr>
        <w:t>1</w:t>
      </w:r>
      <w:r>
        <w:rPr>
          <w:rFonts w:hint="eastAsia" w:ascii="宋体" w:hAnsi="宋体"/>
          <w:bCs/>
          <w:color w:val="000000"/>
          <w:sz w:val="24"/>
          <w:szCs w:val="24"/>
          <w:highlight w:val="none"/>
        </w:rPr>
        <w:t>）至（</w:t>
      </w:r>
      <w:r>
        <w:rPr>
          <w:rFonts w:ascii="宋体" w:hAnsi="宋体"/>
          <w:bCs/>
          <w:color w:val="000000"/>
          <w:sz w:val="24"/>
          <w:szCs w:val="24"/>
          <w:highlight w:val="none"/>
        </w:rPr>
        <w:t>6</w:t>
      </w:r>
      <w:r>
        <w:rPr>
          <w:rFonts w:hint="eastAsia" w:ascii="宋体" w:hAnsi="宋体"/>
          <w:bCs/>
          <w:color w:val="000000"/>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（十四）签订、履行合同：</w:t>
      </w:r>
    </w:p>
    <w:p>
      <w:pPr>
        <w:tabs>
          <w:tab w:val="left" w:pos="525"/>
          <w:tab w:val="left" w:pos="1050"/>
        </w:tabs>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1.采购人应当自中标通知书发出之日起</w:t>
      </w:r>
      <w:r>
        <w:rPr>
          <w:rFonts w:hint="eastAsia" w:ascii="宋体" w:hAnsi="宋体" w:cs="宋体"/>
          <w:b/>
          <w:color w:val="000000"/>
          <w:sz w:val="24"/>
          <w:highlight w:val="none"/>
        </w:rPr>
        <w:t>三十日</w:t>
      </w:r>
      <w:r>
        <w:rPr>
          <w:rFonts w:hint="eastAsia" w:ascii="宋体" w:hAnsi="宋体" w:cs="宋体"/>
          <w:bCs/>
          <w:color w:val="000000"/>
          <w:sz w:val="24"/>
          <w:highlight w:val="none"/>
        </w:rPr>
        <w:t>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000000"/>
          <w:sz w:val="24"/>
          <w:highlight w:val="none"/>
          <w:lang w:eastAsia="zh-CN"/>
        </w:rPr>
        <w:t>江苏博智工程咨询有限公司</w:t>
      </w:r>
      <w:r>
        <w:rPr>
          <w:rFonts w:hint="eastAsia" w:ascii="宋体" w:hAnsi="宋体" w:cs="宋体"/>
          <w:bCs/>
          <w:color w:val="000000"/>
          <w:sz w:val="24"/>
          <w:highlight w:val="none"/>
        </w:rPr>
        <w:t>见证后生效。</w:t>
      </w:r>
    </w:p>
    <w:p>
      <w:pPr>
        <w:tabs>
          <w:tab w:val="left" w:pos="525"/>
          <w:tab w:val="left" w:pos="945"/>
          <w:tab w:val="left" w:pos="1050"/>
        </w:tabs>
        <w:spacing w:line="360" w:lineRule="auto"/>
        <w:ind w:firstLine="525"/>
        <w:rPr>
          <w:rFonts w:ascii="宋体"/>
          <w:bCs/>
          <w:color w:val="000000"/>
          <w:sz w:val="24"/>
          <w:szCs w:val="24"/>
          <w:highlight w:val="none"/>
        </w:rPr>
      </w:pPr>
      <w:r>
        <w:rPr>
          <w:rFonts w:hint="eastAsia" w:ascii="宋体" w:hAnsi="宋体" w:cs="宋体"/>
          <w:bCs/>
          <w:color w:val="000000"/>
          <w:sz w:val="24"/>
          <w:highlight w:val="none"/>
        </w:rPr>
        <w:t>2.</w:t>
      </w:r>
      <w:r>
        <w:rPr>
          <w:rFonts w:hint="eastAsia" w:ascii="宋体" w:hAnsi="宋体" w:cs="宋体"/>
          <w:bCs/>
          <w:color w:val="000000"/>
          <w:sz w:val="24"/>
          <w:highlight w:val="none"/>
          <w:lang w:eastAsia="zh-CN"/>
        </w:rPr>
        <w:t>江苏博智工程咨询有限公司</w:t>
      </w:r>
      <w:r>
        <w:rPr>
          <w:rFonts w:hint="eastAsia" w:ascii="宋体" w:hAnsi="宋体" w:cs="宋体"/>
          <w:bCs/>
          <w:color w:val="000000"/>
          <w:sz w:val="24"/>
          <w:highlight w:val="none"/>
        </w:rPr>
        <w:t>监督合同的履行。中标方非因不可抗力未履行招、投标文件和合同规定的义务，一经查实，招标代理机构将根据具体情况提请政府采购管理部门作出相应处理。</w:t>
      </w:r>
    </w:p>
    <w:p>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（十五）</w:t>
      </w:r>
      <w:r>
        <w:rPr>
          <w:rFonts w:ascii="黑体" w:hAnsi="宋体" w:eastAsia="黑体"/>
          <w:bCs/>
          <w:color w:val="000000"/>
          <w:sz w:val="24"/>
          <w:szCs w:val="24"/>
          <w:highlight w:val="none"/>
        </w:rPr>
        <w:t>代理</w:t>
      </w:r>
      <w:r>
        <w:rPr>
          <w:rFonts w:hint="eastAsia" w:ascii="黑体" w:hAnsi="宋体" w:eastAsia="黑体"/>
          <w:bCs/>
          <w:color w:val="000000"/>
          <w:sz w:val="24"/>
          <w:szCs w:val="24"/>
          <w:highlight w:val="none"/>
        </w:rPr>
        <w:t>服务费：</w:t>
      </w:r>
    </w:p>
    <w:p>
      <w:pPr>
        <w:tabs>
          <w:tab w:val="left" w:pos="525"/>
          <w:tab w:val="left" w:pos="945"/>
          <w:tab w:val="left" w:pos="1050"/>
        </w:tabs>
        <w:spacing w:line="360" w:lineRule="auto"/>
        <w:ind w:firstLine="525"/>
        <w:rPr>
          <w:rFonts w:ascii="宋体" w:hAnsi="宋体" w:cs="宋体"/>
          <w:bCs/>
          <w:color w:val="000000"/>
          <w:sz w:val="24"/>
          <w:highlight w:val="none"/>
        </w:rPr>
      </w:pPr>
      <w:r>
        <w:rPr>
          <w:rFonts w:hint="eastAsia" w:ascii="宋体" w:hAnsi="宋体" w:cs="宋体"/>
          <w:bCs/>
          <w:color w:val="000000"/>
          <w:sz w:val="24"/>
          <w:highlight w:val="none"/>
        </w:rPr>
        <w:t>1.本次招标的采购代理服务费由</w:t>
      </w:r>
      <w:r>
        <w:rPr>
          <w:rFonts w:hint="eastAsia" w:ascii="宋体" w:hAnsi="宋体" w:cs="宋体"/>
          <w:bCs/>
          <w:color w:val="000000"/>
          <w:sz w:val="24"/>
          <w:highlight w:val="none"/>
          <w:lang w:val="en-US" w:eastAsia="zh-CN"/>
        </w:rPr>
        <w:t>中标人</w:t>
      </w:r>
      <w:r>
        <w:rPr>
          <w:rFonts w:hint="eastAsia" w:ascii="宋体" w:hAnsi="宋体" w:cs="宋体"/>
          <w:bCs/>
          <w:color w:val="000000"/>
          <w:sz w:val="24"/>
          <w:highlight w:val="none"/>
        </w:rPr>
        <w:t>支付，采购代理服务费的收费按差额定率累进法，参照计价格</w:t>
      </w:r>
      <w:r>
        <w:rPr>
          <w:rFonts w:hint="eastAsia" w:ascii="宋体" w:hAnsi="宋体" w:cs="宋体"/>
          <w:bCs/>
          <w:color w:val="000000"/>
          <w:sz w:val="24"/>
          <w:highlight w:val="none"/>
          <w:lang w:eastAsia="zh-CN"/>
        </w:rPr>
        <w:t>〔2002〕</w:t>
      </w:r>
      <w:r>
        <w:rPr>
          <w:rFonts w:hint="eastAsia" w:ascii="宋体" w:hAnsi="宋体" w:cs="宋体"/>
          <w:bCs/>
          <w:color w:val="000000"/>
          <w:sz w:val="24"/>
          <w:highlight w:val="none"/>
        </w:rPr>
        <w:t>1980号文收费标准服务类的70%计取。</w:t>
      </w:r>
    </w:p>
    <w:p>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w:t>
      </w:r>
      <w:r>
        <w:rPr>
          <w:rFonts w:ascii="黑体" w:hAnsi="宋体" w:eastAsia="黑体"/>
          <w:bCs/>
          <w:color w:val="000000"/>
          <w:sz w:val="24"/>
          <w:szCs w:val="24"/>
          <w:highlight w:val="none"/>
        </w:rPr>
        <w:t>六</w:t>
      </w:r>
      <w:r>
        <w:rPr>
          <w:rFonts w:hint="eastAsia" w:ascii="黑体" w:hAnsi="宋体" w:eastAsia="黑体"/>
          <w:bCs/>
          <w:color w:val="000000"/>
          <w:sz w:val="24"/>
          <w:szCs w:val="24"/>
          <w:highlight w:val="none"/>
        </w:rPr>
        <w:t>）政府采购信用担保：</w:t>
      </w:r>
    </w:p>
    <w:p>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政府采购信用担保，是由专业担保机构为供应商向采购人、代理机构、金融机构提供的保证，主要包括履约担保、合同融资两种形式。供应商可以根据自身情况，自行决定是否选择采用该两种信用担保形式。</w:t>
      </w:r>
    </w:p>
    <w:p>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w:t>
      </w:r>
      <w:r>
        <w:rPr>
          <w:rFonts w:hint="eastAsia" w:ascii="宋体" w:hAnsi="宋体"/>
          <w:color w:val="000000"/>
          <w:sz w:val="24"/>
          <w:szCs w:val="24"/>
          <w:highlight w:val="none"/>
        </w:rPr>
        <w:t>履约担保</w:t>
      </w:r>
    </w:p>
    <w:p>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w:t>
      </w:r>
      <w:r>
        <w:rPr>
          <w:rFonts w:hint="eastAsia" w:ascii="宋体" w:hAnsi="宋体"/>
          <w:color w:val="000000"/>
          <w:sz w:val="24"/>
          <w:szCs w:val="24"/>
          <w:highlight w:val="none"/>
        </w:rPr>
        <w:t>政府采购合同融资</w:t>
      </w:r>
    </w:p>
    <w:p>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根据无锡市《关于开展政府采购合同融资工作的通知》（锡财购〔2020〕17号）要求</w:t>
      </w:r>
      <w:r>
        <w:rPr>
          <w:rFonts w:ascii="宋体" w:hAnsi="宋体"/>
          <w:color w:val="000000"/>
          <w:sz w:val="24"/>
          <w:szCs w:val="24"/>
          <w:highlight w:val="none"/>
        </w:rPr>
        <w:t>：</w:t>
      </w:r>
      <w:r>
        <w:rPr>
          <w:rFonts w:hint="eastAsia" w:ascii="宋体" w:hAnsi="宋体"/>
          <w:color w:val="000000"/>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中标、成交供应商可根据自身情况，自行决定是否选择采用合同融资形式，在无锡政府采购网——政采贷专栏提供的银行名录内自主选择合作银行。</w:t>
      </w:r>
    </w:p>
    <w:p>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（十七）其他：</w:t>
      </w:r>
    </w:p>
    <w:p>
      <w:pPr>
        <w:spacing w:line="440" w:lineRule="exact"/>
        <w:ind w:firstLine="480"/>
        <w:jc w:val="left"/>
        <w:rPr>
          <w:rFonts w:ascii="宋体" w:hAnsi="宋体" w:cs="宋体"/>
          <w:color w:val="000000"/>
          <w:sz w:val="24"/>
          <w:szCs w:val="34"/>
          <w:highlight w:val="none"/>
        </w:rPr>
      </w:pPr>
      <w:r>
        <w:rPr>
          <w:rFonts w:hint="eastAsia" w:ascii="宋体" w:hAnsi="宋体" w:cs="宋体"/>
          <w:color w:val="000000"/>
          <w:sz w:val="24"/>
          <w:szCs w:val="34"/>
          <w:highlight w:val="none"/>
        </w:rPr>
        <w:t>1.招标文件的条款必须认真审阅，投标人应自行检查招标文件页数是否齐全。若有遗漏、重复或不清楚，需立刻通知招标人予以更正；凡属对条款的误解所造成的投标价格失误，由投标人负责。</w:t>
      </w:r>
    </w:p>
    <w:p>
      <w:pPr>
        <w:spacing w:line="440" w:lineRule="exact"/>
        <w:ind w:firstLine="480"/>
        <w:jc w:val="left"/>
        <w:rPr>
          <w:rFonts w:ascii="宋体"/>
          <w:bCs/>
          <w:color w:val="000000"/>
          <w:sz w:val="24"/>
          <w:szCs w:val="24"/>
          <w:highlight w:val="none"/>
        </w:rPr>
      </w:pPr>
      <w:r>
        <w:rPr>
          <w:rFonts w:hint="eastAsia" w:ascii="宋体" w:hAnsi="宋体" w:cs="宋体"/>
          <w:color w:val="000000"/>
          <w:sz w:val="24"/>
          <w:szCs w:val="34"/>
          <w:highlight w:val="none"/>
        </w:rPr>
        <w:t>2.</w:t>
      </w:r>
      <w:r>
        <w:rPr>
          <w:rFonts w:hint="eastAsia" w:ascii="宋体" w:hAnsi="宋体"/>
          <w:bCs/>
          <w:color w:val="000000"/>
          <w:sz w:val="24"/>
          <w:highlight w:val="none"/>
        </w:rPr>
        <w:t>开标后，投标人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人自行承担。</w:t>
      </w:r>
    </w:p>
    <w:p>
      <w:pPr>
        <w:pStyle w:val="211"/>
        <w:outlineLvl w:val="9"/>
        <w:rPr>
          <w:rFonts w:eastAsia="宋体"/>
          <w:color w:val="000000"/>
          <w:highlight w:val="none"/>
        </w:rPr>
      </w:pPr>
    </w:p>
    <w:p>
      <w:pPr>
        <w:tabs>
          <w:tab w:val="left" w:pos="525"/>
          <w:tab w:val="left" w:pos="1050"/>
        </w:tabs>
        <w:spacing w:line="360" w:lineRule="auto"/>
        <w:ind w:firstLine="480"/>
        <w:rPr>
          <w:rFonts w:ascii="宋体" w:hAnsi="宋体" w:cs="宋体"/>
          <w:color w:val="000000"/>
          <w:sz w:val="24"/>
          <w:szCs w:val="34"/>
          <w:highlight w:val="none"/>
        </w:rPr>
      </w:pPr>
    </w:p>
    <w:p>
      <w:pPr>
        <w:spacing w:line="360" w:lineRule="auto"/>
        <w:jc w:val="center"/>
        <w:outlineLvl w:val="0"/>
        <w:rPr>
          <w:rFonts w:ascii="宋体" w:hAnsi="宋体" w:cs="宋体"/>
          <w:b/>
          <w:kern w:val="0"/>
          <w:sz w:val="24"/>
          <w:highlight w:val="none"/>
        </w:rPr>
      </w:pPr>
      <w:bookmarkStart w:id="9" w:name="_Toc27505"/>
      <w:r>
        <w:rPr>
          <w:rFonts w:hint="eastAsia" w:ascii="黑体" w:eastAsia="黑体"/>
          <w:bCs/>
          <w:color w:val="000000"/>
          <w:sz w:val="30"/>
          <w:szCs w:val="30"/>
          <w:highlight w:val="none"/>
        </w:rPr>
        <w:br w:type="page" w:clear="all"/>
      </w:r>
      <w:r>
        <w:rPr>
          <w:rFonts w:hint="eastAsia" w:ascii="黑体" w:eastAsia="黑体"/>
          <w:bCs/>
          <w:color w:val="000000"/>
          <w:sz w:val="30"/>
          <w:szCs w:val="30"/>
          <w:highlight w:val="none"/>
        </w:rPr>
        <w:t>三．</w:t>
      </w:r>
      <w:r>
        <w:rPr>
          <w:rFonts w:hint="eastAsia" w:ascii="黑体" w:eastAsia="黑体"/>
          <w:b/>
          <w:color w:val="000000"/>
          <w:sz w:val="30"/>
          <w:szCs w:val="30"/>
          <w:highlight w:val="none"/>
        </w:rPr>
        <w:t>项目技术要求和有关说明</w:t>
      </w:r>
      <w:bookmarkEnd w:id="9"/>
      <w:bookmarkStart w:id="10" w:name="_Toc12363"/>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一、采购标的需实现的功能或者目标，以及为落实政府采购政策需满足的要求</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无锡市两座大型生活垃圾转运站（南长、滨湖）的渗滤液外运处置，以及</w:t>
      </w:r>
      <w:r>
        <w:rPr>
          <w:rFonts w:hint="eastAsia" w:ascii="宋体" w:hAnsi="宋体" w:cs="宋体"/>
          <w:bCs/>
          <w:sz w:val="24"/>
          <w:szCs w:val="24"/>
          <w:highlight w:val="none"/>
          <w:lang w:eastAsia="zh-CN"/>
        </w:rPr>
        <w:t>采购人</w:t>
      </w:r>
      <w:r>
        <w:rPr>
          <w:rFonts w:hint="eastAsia" w:ascii="宋体" w:hAnsi="宋体" w:eastAsia="宋体" w:cs="宋体"/>
          <w:bCs/>
          <w:sz w:val="24"/>
          <w:szCs w:val="24"/>
          <w:highlight w:val="none"/>
        </w:rPr>
        <w:t>指定的应急保障任务。服务的目标是渗滤液及时清运、合规处置、达标排放，确保转运站安全、环保、稳定运行。</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二、采购标的需执行的国家相关标准、行业标准、地方标准或者其他标准、规范</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《生活垃圾转运站技术规范》（CJJ/T 47-2016）、《</w:t>
      </w:r>
      <w:r>
        <w:rPr>
          <w:rFonts w:hint="eastAsia" w:ascii="宋体" w:hAnsi="宋体" w:eastAsia="宋体" w:cs="宋体"/>
          <w:color w:val="auto"/>
          <w:sz w:val="24"/>
          <w:szCs w:val="24"/>
          <w:highlight w:val="none"/>
          <w:lang w:val="en-US" w:eastAsia="zh-CN"/>
        </w:rPr>
        <w:t>生活垃圾转运站运行维护技术标准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CJJ/T109-2023</w:t>
      </w:r>
      <w:r>
        <w:rPr>
          <w:rFonts w:hint="eastAsia" w:ascii="宋体" w:hAnsi="宋体" w:eastAsia="宋体" w:cs="宋体"/>
          <w:color w:val="auto"/>
          <w:sz w:val="24"/>
          <w:szCs w:val="24"/>
          <w:highlight w:val="none"/>
        </w:rPr>
        <w:t>）、《无锡市生活垃圾转运站建设和运营管理导则》、《生活垃圾渗沥液处理技术标准》（CJJT150-2023）、《转运站渗滤液外运处置考核办法》等。</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SA"/>
        </w:rPr>
        <w:t>三、</w:t>
      </w:r>
      <w:r>
        <w:rPr>
          <w:rFonts w:hint="eastAsia" w:ascii="宋体" w:hAnsi="宋体" w:eastAsia="宋体" w:cs="宋体"/>
          <w:kern w:val="0"/>
          <w:sz w:val="24"/>
          <w:szCs w:val="24"/>
          <w:highlight w:val="none"/>
        </w:rPr>
        <w:t>采购标的需满足的质量、安全、技术规格、物理特性等要求</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sz w:val="24"/>
          <w:szCs w:val="24"/>
          <w:highlight w:val="none"/>
          <w:lang w:val="en-US" w:eastAsia="zh-CN"/>
        </w:rPr>
      </w:pPr>
      <w:bookmarkStart w:id="11" w:name="OLE_LINK3"/>
      <w:r>
        <w:rPr>
          <w:rFonts w:hint="eastAsia" w:ascii="宋体" w:hAnsi="宋体" w:eastAsia="宋体" w:cs="宋体"/>
          <w:color w:val="auto"/>
          <w:sz w:val="24"/>
          <w:szCs w:val="24"/>
          <w:highlight w:val="none"/>
          <w:lang w:val="en-US" w:eastAsia="zh-CN"/>
        </w:rPr>
        <w:t>（1）质量要求：满足招标人使用需求。</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（2）安全要求：安全要求应满足国家相关法律法规的要求，无安全责任事故。</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（3）技术要求：具体见第五大项。</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四、采购标的的数量、采购项目交付或者实施的时间和地点</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（1）采购服务期限：合同签订起始日期起2年。</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（2）实施地点：南长生活垃圾转运站（扬高路31号）、滨湖生活垃圾转运站（青龙山133号）。</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五、采购标的需满足的服务标准、期限、效率等要求</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本次招标监管服务期限为24个月（合同签订起始日期起2年）。</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本次招标要求按照《转运站渗滤液外运处置考核办法》及相关行业标准中内容实施运行管理，确保两座大型生活垃圾转运站（南长、滨湖）的渗滤液及时外运处置，以及完成</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指定的应急保障任务。服务的目标是渗滤液及时清运、合规处置、达标排放，确保转运站安全、环保、稳定运行。</w:t>
      </w:r>
    </w:p>
    <w:bookmarkEnd w:id="11"/>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kern w:val="2"/>
          <w:sz w:val="24"/>
          <w:szCs w:val="24"/>
          <w:highlight w:val="none"/>
          <w:lang w:val="en-US" w:eastAsia="zh-CN" w:bidi="ar-SA"/>
        </w:rPr>
        <w:t>1.</w:t>
      </w:r>
      <w:r>
        <w:rPr>
          <w:rFonts w:hint="eastAsia" w:ascii="宋体" w:hAnsi="宋体" w:eastAsia="宋体" w:cs="宋体"/>
          <w:sz w:val="24"/>
          <w:szCs w:val="24"/>
          <w:highlight w:val="none"/>
        </w:rPr>
        <w:t>投标供应商具有不小于200m</w:t>
      </w:r>
      <w:r>
        <w:rPr>
          <w:rFonts w:hint="eastAsia" w:ascii="宋体" w:hAnsi="宋体" w:eastAsia="宋体" w:cs="宋体"/>
          <w:sz w:val="24"/>
          <w:szCs w:val="24"/>
          <w:highlight w:val="none"/>
          <w:vertAlign w:val="superscript"/>
        </w:rPr>
        <w:t>3</w:t>
      </w:r>
      <w:r>
        <w:rPr>
          <w:rFonts w:hint="eastAsia" w:ascii="宋体" w:hAnsi="宋体" w:eastAsia="宋体" w:cs="宋体"/>
          <w:sz w:val="24"/>
          <w:szCs w:val="24"/>
          <w:highlight w:val="none"/>
        </w:rPr>
        <w:t>/d的渗滤液处理能力，或与具备处理能力</w:t>
      </w:r>
      <w:r>
        <w:rPr>
          <w:rFonts w:hint="eastAsia" w:ascii="宋体" w:hAnsi="宋体" w:eastAsia="宋体" w:cs="宋体"/>
          <w:sz w:val="24"/>
          <w:szCs w:val="24"/>
          <w:highlight w:val="none"/>
          <w:lang w:eastAsia="zh-CN"/>
        </w:rPr>
        <w:t>的</w:t>
      </w:r>
      <w:r>
        <w:rPr>
          <w:rFonts w:hint="eastAsia" w:ascii="宋体" w:hAnsi="宋体" w:eastAsia="宋体" w:cs="宋体"/>
          <w:sz w:val="24"/>
          <w:szCs w:val="24"/>
          <w:highlight w:val="none"/>
        </w:rPr>
        <w:t>渗滤液处</w:t>
      </w:r>
      <w:r>
        <w:rPr>
          <w:rFonts w:hint="eastAsia" w:ascii="宋体" w:hAnsi="宋体" w:eastAsia="宋体" w:cs="宋体"/>
          <w:sz w:val="24"/>
          <w:szCs w:val="24"/>
          <w:highlight w:val="none"/>
          <w:lang w:eastAsia="zh-CN"/>
        </w:rPr>
        <w:t>置</w:t>
      </w:r>
      <w:r>
        <w:rPr>
          <w:rFonts w:hint="eastAsia" w:ascii="宋体" w:hAnsi="宋体" w:eastAsia="宋体" w:cs="宋体"/>
          <w:sz w:val="24"/>
          <w:szCs w:val="24"/>
          <w:highlight w:val="none"/>
        </w:rPr>
        <w:t>单位签订合作协议或合同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能确保及时处置每日收运的渗滤液</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（要求</w:t>
      </w:r>
      <w:r>
        <w:rPr>
          <w:rFonts w:hint="eastAsia" w:ascii="宋体" w:hAnsi="宋体" w:eastAsia="宋体" w:cs="宋体"/>
          <w:sz w:val="24"/>
          <w:szCs w:val="24"/>
          <w:highlight w:val="none"/>
          <w:lang w:val="en-US" w:eastAsia="zh-CN"/>
        </w:rPr>
        <w:t>投标时</w:t>
      </w:r>
      <w:r>
        <w:rPr>
          <w:rFonts w:hint="eastAsia" w:ascii="宋体" w:hAnsi="宋体" w:eastAsia="宋体" w:cs="宋体"/>
          <w:sz w:val="24"/>
          <w:szCs w:val="24"/>
          <w:highlight w:val="none"/>
        </w:rPr>
        <w:t>提供渗滤液处理能力</w:t>
      </w:r>
      <w:r>
        <w:rPr>
          <w:rFonts w:hint="eastAsia" w:ascii="宋体" w:hAnsi="宋体" w:eastAsia="宋体" w:cs="宋体"/>
          <w:sz w:val="24"/>
          <w:szCs w:val="24"/>
          <w:highlight w:val="none"/>
          <w:lang w:eastAsia="zh-CN"/>
        </w:rPr>
        <w:t>的证明</w:t>
      </w:r>
      <w:r>
        <w:rPr>
          <w:rFonts w:hint="eastAsia" w:ascii="宋体" w:hAnsi="宋体" w:eastAsia="宋体" w:cs="宋体"/>
          <w:sz w:val="24"/>
          <w:szCs w:val="24"/>
          <w:highlight w:val="none"/>
        </w:rPr>
        <w:t>文件</w:t>
      </w:r>
      <w:r>
        <w:rPr>
          <w:rFonts w:hint="eastAsia" w:ascii="宋体" w:hAnsi="宋体" w:eastAsia="宋体" w:cs="宋体"/>
          <w:sz w:val="24"/>
          <w:szCs w:val="24"/>
          <w:highlight w:val="none"/>
          <w:lang w:eastAsia="zh-CN"/>
        </w:rPr>
        <w:t>，如环保验收合格文件、环评批复、竣工验收报告等</w:t>
      </w:r>
      <w:r>
        <w:rPr>
          <w:rFonts w:hint="eastAsia" w:ascii="宋体" w:hAnsi="宋体" w:eastAsia="宋体" w:cs="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运输车辆驾驶员必须具备符合驾驶货车(即B2或以上)的驾驶证，驾龄两年以上，所有的驾驶员必须是投标供应商单位的正式员工，不得聘用在实习期的驾驶员；以投标供应商填列的《驾驶员清单》及按要求提供的证明文件为准；</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3.投标供应商应具备</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辆及以上可专用于本项目运输的罐式货车（或吸污车、吸粪车），安装随车称重系统，确保及时清运</w:t>
      </w:r>
      <w:r>
        <w:rPr>
          <w:rFonts w:hint="eastAsia" w:ascii="宋体" w:hAnsi="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4.严格按操作规程和保养守则操作，确保车辆设备工况完好，不发生有责事故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如装车、运输、处置等所有服务过程中发生有责事故，将由</w:t>
      </w:r>
      <w:r>
        <w:rPr>
          <w:rFonts w:hint="eastAsia" w:ascii="宋体" w:hAnsi="宋体" w:eastAsia="宋体" w:cs="宋体"/>
          <w:sz w:val="24"/>
          <w:szCs w:val="24"/>
          <w:highlight w:val="none"/>
          <w:lang w:eastAsia="zh-CN"/>
        </w:rPr>
        <w:t>中标人</w:t>
      </w:r>
      <w:r>
        <w:rPr>
          <w:rFonts w:hint="eastAsia" w:ascii="宋体" w:hAnsi="宋体" w:eastAsia="宋体" w:cs="宋体"/>
          <w:sz w:val="24"/>
          <w:szCs w:val="24"/>
          <w:highlight w:val="none"/>
        </w:rPr>
        <w:t>承担；</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5.渗滤液运输车辆需及时将转运站产生的渗滤液运送至处置单位，不得影响转运站的安全环保运行，服从采购人安排的渗滤液清运调配要求；</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6.每次装载渗滤液后，确保工完场清，应清尽清；</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7.渗滤液运输车辆需经采购人核准并装配IC管理卡；</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8.渗滤液须统一运至相应渗滤液处理单位进行处置，实际运输量经地磅称重计量；</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9.渗滤液运输过程中须如实填写清运联单（四联单）作为依据；</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10.运输车辆须装载GPS，建立监控平台，向采购人开放端口，确保运输车辆按规定线路行驶，途中做到密闭运输，不得出现超载、超速、滴漏、偷排、混装其他污水或其他站点污水等情况；</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11.车辆的渗滤液装车系统及排出系统应与转运站及处置单位相配套；</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12.该</w:t>
      </w:r>
      <w:r>
        <w:rPr>
          <w:rFonts w:hint="eastAsia" w:ascii="宋体" w:hAnsi="宋体" w:eastAsia="宋体" w:cs="宋体"/>
          <w:sz w:val="24"/>
          <w:szCs w:val="24"/>
          <w:highlight w:val="none"/>
          <w:lang w:eastAsia="zh-CN"/>
        </w:rPr>
        <w:t>两</w:t>
      </w:r>
      <w:r>
        <w:rPr>
          <w:rFonts w:hint="eastAsia" w:ascii="宋体" w:hAnsi="宋体" w:eastAsia="宋体" w:cs="宋体"/>
          <w:sz w:val="24"/>
          <w:szCs w:val="24"/>
          <w:highlight w:val="none"/>
        </w:rPr>
        <w:t>个转运站渗滤液</w:t>
      </w:r>
      <w:r>
        <w:rPr>
          <w:rFonts w:hint="eastAsia" w:ascii="宋体" w:hAnsi="宋体" w:eastAsia="宋体" w:cs="宋体"/>
          <w:sz w:val="24"/>
          <w:szCs w:val="24"/>
          <w:highlight w:val="none"/>
          <w:lang w:eastAsia="zh-CN"/>
        </w:rPr>
        <w:t>在合同</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eastAsia="zh-CN"/>
        </w:rPr>
        <w:t>内</w:t>
      </w:r>
      <w:r>
        <w:rPr>
          <w:rFonts w:hint="eastAsia" w:ascii="宋体" w:hAnsi="宋体" w:eastAsia="宋体" w:cs="宋体"/>
          <w:sz w:val="24"/>
          <w:szCs w:val="24"/>
          <w:highlight w:val="none"/>
        </w:rPr>
        <w:t>产生量不超过</w:t>
      </w:r>
      <w:r>
        <w:rPr>
          <w:rFonts w:hint="eastAsia" w:ascii="宋体" w:hAnsi="宋体" w:eastAsia="宋体" w:cs="宋体"/>
          <w:sz w:val="24"/>
          <w:szCs w:val="24"/>
          <w:highlight w:val="none"/>
          <w:lang w:val="en-US" w:eastAsia="zh-CN"/>
        </w:rPr>
        <w:t>36200</w:t>
      </w:r>
      <w:r>
        <w:rPr>
          <w:rFonts w:hint="eastAsia" w:ascii="宋体" w:hAnsi="宋体" w:eastAsia="宋体" w:cs="宋体"/>
          <w:sz w:val="24"/>
          <w:szCs w:val="24"/>
          <w:highlight w:val="none"/>
        </w:rPr>
        <w:t>吨的情况下，按单价据实结算</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超过36200吨，按总价包干结算</w:t>
      </w:r>
      <w:r>
        <w:rPr>
          <w:rFonts w:hint="eastAsia" w:ascii="宋体" w:hAnsi="宋体" w:eastAsia="宋体" w:cs="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13.处置单位确保达标排放，不发生安全环保等事故，不影响渗滤液正常处置。</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六、采购标的验收标准</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采购人依照《转运站渗滤液外运处置考核办法》对中标人每月进行考评，每</w:t>
      </w:r>
      <w:r>
        <w:rPr>
          <w:rFonts w:hint="eastAsia" w:ascii="宋体" w:hAnsi="宋体" w:eastAsia="宋体" w:cs="宋体"/>
          <w:sz w:val="24"/>
          <w:szCs w:val="24"/>
          <w:highlight w:val="none"/>
          <w:lang w:eastAsia="zh-CN"/>
        </w:rPr>
        <w:t>季</w:t>
      </w:r>
      <w:r>
        <w:rPr>
          <w:rFonts w:hint="eastAsia" w:ascii="宋体" w:hAnsi="宋体" w:eastAsia="宋体" w:cs="宋体"/>
          <w:sz w:val="24"/>
          <w:szCs w:val="24"/>
          <w:highlight w:val="none"/>
        </w:rPr>
        <w:t>度进行奖惩、支付服务费用，每月评分结果每扣1分扣除</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千元服务费；对同一问题连续2个月出现的，</w:t>
      </w:r>
      <w:r>
        <w:rPr>
          <w:rFonts w:hint="eastAsia" w:ascii="宋体" w:hAnsi="宋体" w:eastAsia="宋体" w:cs="宋体"/>
          <w:bCs/>
          <w:sz w:val="24"/>
          <w:szCs w:val="24"/>
          <w:highlight w:val="none"/>
        </w:rPr>
        <w:t>次月</w:t>
      </w:r>
      <w:r>
        <w:rPr>
          <w:rFonts w:hint="eastAsia" w:ascii="宋体" w:hAnsi="宋体" w:eastAsia="宋体" w:cs="宋体"/>
          <w:bCs/>
          <w:sz w:val="24"/>
          <w:szCs w:val="24"/>
          <w:highlight w:val="none"/>
          <w:lang w:eastAsia="zh-CN"/>
        </w:rPr>
        <w:t>在考核办法规定的扣分分值基础上，</w:t>
      </w:r>
      <w:r>
        <w:rPr>
          <w:rFonts w:hint="eastAsia" w:ascii="宋体" w:hAnsi="宋体" w:eastAsia="宋体" w:cs="宋体"/>
          <w:bCs/>
          <w:sz w:val="24"/>
          <w:szCs w:val="24"/>
          <w:highlight w:val="none"/>
        </w:rPr>
        <w:t>加倍扣分扣款</w:t>
      </w:r>
      <w:r>
        <w:rPr>
          <w:rFonts w:hint="eastAsia" w:ascii="宋体" w:hAnsi="宋体" w:eastAsia="宋体" w:cs="宋体"/>
          <w:sz w:val="24"/>
          <w:szCs w:val="24"/>
          <w:highlight w:val="none"/>
        </w:rPr>
        <w:t>。同时，采购人有权要求中标人组织整改，并将整改情况报采购人。</w:t>
      </w:r>
    </w:p>
    <w:p>
      <w:pPr>
        <w:pStyle w:val="5"/>
        <w:keepNext w:val="0"/>
        <w:keepLines w:val="0"/>
        <w:pageBreakBefore w:val="0"/>
        <w:widowControl w:val="0"/>
        <w:kinsoku/>
        <w:wordWrap/>
        <w:overflowPunct/>
        <w:topLinePunct w:val="0"/>
        <w:autoSpaceDE/>
        <w:autoSpaceDN/>
        <w:bidi w:val="0"/>
        <w:adjustRightInd/>
        <w:snapToGrid/>
        <w:spacing w:beforeLines="0" w:afterLines="0" w:line="5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七</w:t>
      </w:r>
      <w:r>
        <w:rPr>
          <w:rFonts w:hint="eastAsia" w:ascii="宋体" w:hAnsi="宋体" w:eastAsia="宋体" w:cs="宋体"/>
          <w:sz w:val="24"/>
          <w:szCs w:val="24"/>
          <w:highlight w:val="none"/>
          <w:lang w:eastAsia="zh-CN"/>
        </w:rPr>
        <w:t>、支付方式</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采购人每月考核，每3个月</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lang w:eastAsia="zh-CN"/>
        </w:rPr>
        <w:t>按照合同总价的12.5%，结合考核结果向</w:t>
      </w:r>
      <w:r>
        <w:rPr>
          <w:rFonts w:hint="eastAsia" w:ascii="宋体" w:hAnsi="宋体" w:cs="宋体"/>
          <w:sz w:val="24"/>
          <w:szCs w:val="24"/>
          <w:highlight w:val="none"/>
          <w:lang w:val="en-US" w:eastAsia="zh-CN"/>
        </w:rPr>
        <w:t>中标人</w:t>
      </w:r>
      <w:r>
        <w:rPr>
          <w:rFonts w:hint="eastAsia" w:ascii="宋体" w:hAnsi="宋体" w:eastAsia="宋体" w:cs="宋体"/>
          <w:sz w:val="24"/>
          <w:szCs w:val="24"/>
          <w:highlight w:val="none"/>
          <w:lang w:eastAsia="zh-CN"/>
        </w:rPr>
        <w:t>支付服务费用。采购方收到中标人提交完整的请款资料和发票后十五个工作日内向市财政局办理支付服务费用的手续。</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八、</w:t>
      </w:r>
      <w:r>
        <w:rPr>
          <w:rFonts w:hint="eastAsia" w:ascii="宋体" w:hAnsi="宋体" w:eastAsia="宋体" w:cs="宋体"/>
          <w:kern w:val="0"/>
          <w:sz w:val="24"/>
          <w:szCs w:val="24"/>
          <w:highlight w:val="none"/>
        </w:rPr>
        <w:t>采购标的的其他技术、服务等要求</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1、中标人必须独立承担服务；</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2、中标人应对国家、省、地方等行业法规、标准有深入研究和实际应用经验，保证服务合规及时；</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3、中标人应建立健全内部管理、纪律安全等制度，做好人员的安全教育和技能培训，承担全部作业经费</w:t>
      </w:r>
      <w:r>
        <w:rPr>
          <w:rFonts w:hint="eastAsia" w:ascii="宋体" w:hAnsi="宋体" w:eastAsia="宋体" w:cs="宋体"/>
          <w:sz w:val="24"/>
          <w:szCs w:val="24"/>
          <w:highlight w:val="none"/>
          <w:lang w:val="en-US" w:eastAsia="zh-CN"/>
        </w:rPr>
        <w:t>和风险，负责本项目的管理、运行、维护，使本项目处于良好的运行状态</w:t>
      </w:r>
      <w:r>
        <w:rPr>
          <w:rFonts w:hint="eastAsia" w:ascii="宋体" w:hAnsi="宋体" w:eastAsia="宋体" w:cs="宋体"/>
          <w:sz w:val="24"/>
          <w:szCs w:val="24"/>
          <w:highlight w:val="none"/>
          <w:lang w:eastAsia="zh-CN"/>
        </w:rPr>
        <w:t>。中标人服务人员在服务期间发生的一切安全事故责任均由中标人承担，发生的投诉事件由中标人负责做出解释并妥善处理；</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4、中标人必须遵守劳动法，依法规范用工，</w:t>
      </w:r>
      <w:r>
        <w:rPr>
          <w:rFonts w:hint="eastAsia" w:ascii="宋体" w:hAnsi="宋体" w:eastAsia="宋体" w:cs="宋体"/>
          <w:sz w:val="24"/>
          <w:szCs w:val="24"/>
          <w:highlight w:val="none"/>
          <w:lang w:val="en-US" w:eastAsia="zh-CN"/>
        </w:rPr>
        <w:t>不得使用大于法定退休年龄人员，</w:t>
      </w:r>
      <w:r>
        <w:rPr>
          <w:rFonts w:hint="eastAsia" w:ascii="宋体" w:hAnsi="宋体" w:eastAsia="宋体" w:cs="宋体"/>
          <w:sz w:val="24"/>
          <w:szCs w:val="24"/>
          <w:highlight w:val="none"/>
          <w:lang w:eastAsia="zh-CN"/>
        </w:rPr>
        <w:t>保障职工合法权益，全员签订劳动合同，加班费用支付按政策法规规定执行；</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5、中标人应为项目工作人员提供符合环境要求的工作防护服装及劳动保护用品；</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6、中标人按采购人要求定期提供运行数据等资料，并确保资料信息的真实性和规范性；</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7、中标人应实时掌握转运站项目的渗滤液产生情况，及时清运，确保转运站渗滤液不发生外溢，合规处置；</w:t>
      </w:r>
    </w:p>
    <w:p>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8、中标人应实时掌握项目的运行状况、安全生产、环保排放等情况，遇特别紧急、重大的问题应在1小时内电话报告，后于24小时内补充书面情况说明。</w:t>
      </w:r>
    </w:p>
    <w:p>
      <w:pPr>
        <w:spacing w:line="560" w:lineRule="exact"/>
        <w:ind w:firstLine="480"/>
        <w:rPr>
          <w:rFonts w:hint="eastAsia" w:ascii="宋体" w:hAnsi="宋体" w:eastAsia="宋体" w:cs="宋体"/>
          <w:sz w:val="24"/>
          <w:szCs w:val="24"/>
          <w:highlight w:val="none"/>
        </w:rPr>
      </w:pPr>
    </w:p>
    <w:p>
      <w:pPr>
        <w:spacing w:line="560" w:lineRule="exact"/>
        <w:ind w:firstLine="480"/>
        <w:rPr>
          <w:rFonts w:hint="eastAsia" w:ascii="宋体" w:hAnsi="宋体" w:eastAsia="宋体" w:cs="宋体"/>
          <w:sz w:val="24"/>
          <w:szCs w:val="24"/>
          <w:highlight w:val="none"/>
        </w:rPr>
      </w:pPr>
    </w:p>
    <w:p>
      <w:pPr>
        <w:spacing w:line="560" w:lineRule="exact"/>
        <w:ind w:firstLine="480"/>
        <w:rPr>
          <w:rFonts w:hint="eastAsia" w:ascii="宋体" w:hAnsi="宋体" w:eastAsia="宋体" w:cs="宋体"/>
          <w:sz w:val="24"/>
          <w:szCs w:val="24"/>
          <w:highlight w:val="none"/>
        </w:rPr>
      </w:pPr>
    </w:p>
    <w:p>
      <w:pPr>
        <w:pStyle w:val="5"/>
        <w:bidi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附件1</w:t>
      </w:r>
    </w:p>
    <w:tbl>
      <w:tblPr>
        <w:tblStyle w:val="35"/>
        <w:tblW w:w="10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38"/>
        <w:gridCol w:w="3875"/>
        <w:gridCol w:w="4212"/>
        <w:gridCol w:w="800"/>
        <w:gridCol w:w="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7" w:hRule="atLeast"/>
          <w:jc w:val="center"/>
        </w:trPr>
        <w:tc>
          <w:tcPr>
            <w:tcW w:w="10626" w:type="dxa"/>
            <w:gridSpan w:val="5"/>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转运站渗滤液外运处置考核评分表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5" w:hRule="atLeast"/>
          <w:jc w:val="center"/>
        </w:trPr>
        <w:tc>
          <w:tcPr>
            <w:tcW w:w="83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考核项目</w:t>
            </w: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考核内容</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扣分标准</w:t>
            </w:r>
          </w:p>
        </w:tc>
        <w:tc>
          <w:tcPr>
            <w:tcW w:w="80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扣分</w:t>
            </w:r>
          </w:p>
        </w:tc>
        <w:tc>
          <w:tcPr>
            <w:tcW w:w="90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7" w:hRule="atLeast"/>
          <w:jc w:val="center"/>
        </w:trPr>
        <w:tc>
          <w:tcPr>
            <w:tcW w:w="838" w:type="dxa"/>
            <w:vMerge w:val="restart"/>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一、装载30分</w:t>
            </w: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1、运输车辆进站后与站内对接，正常装载渗滤液。</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装载过程发生事故影响转运站正常运行的，每站每次扣2分。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3"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2、装载完毕后工完场清。</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因装载渗滤液导致周围环境较差的，每次扣1分。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3、服从转运站的现场指挥。</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如有不服从指挥情况，每车次扣1分。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4"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4、及时清运站内渗滤液，确保转运站正常达标运行。</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如不能及时清运，每次扣1分；因未及时清运导致站点环保指标超标，引起污水管道被封的，每次扣2分；因未及时清运导致站点环保指标超标的被环保部门处罚的，每次扣3分。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3" w:hRule="atLeast"/>
          <w:jc w:val="center"/>
        </w:trPr>
        <w:tc>
          <w:tcPr>
            <w:tcW w:w="838" w:type="dxa"/>
            <w:vMerge w:val="restart"/>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二、运输25分</w:t>
            </w: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1、GPS、IC卡、随车称重系统等可正常使用。</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如有因服务单位自身原因导致无法正常使用的，每车次扣2分。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8"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2、车容车貌整洁。</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如有不整洁现象，每车次扣1分。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3"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3、运输车辆不发生超载、超速，文明驾驶；不发生有责事故。</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如有发现超速及其他不文明驾驶行为，每车次扣1分；超载5%-10%，每车次扣1分；超载10-30%，每车次扣2分；超载30%以上，每车次扣3分；发生有责事故，导致渗滤液泄漏的，每次扣5分。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8"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4、运输车辆途中确保密闭运输，不得出现抛洒滴漏等现象。</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发现一车次扣1分。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8"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5、运输过程按规定线路行驶，不得出现偷排或者装入其他废水等情况。</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发现一车次扣5分。（该项不设分值限制）</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5"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6、专车专用，不得挪作他用。</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发现一车次扣5分。（该项不设分值限制）</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80" w:hRule="atLeast"/>
          <w:jc w:val="center"/>
        </w:trPr>
        <w:tc>
          <w:tcPr>
            <w:tcW w:w="838" w:type="dxa"/>
            <w:vMerge w:val="restart"/>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三、处置25分</w:t>
            </w: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1、渗滤液处置达标排放，正常运行，不发生环保事故。</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如有指标未达标情况，每次扣2分；如有收到相关部门处罚、督查或投诉情况，每次扣5分。如有因此导致的停业整顿情况，每次扣10分。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8"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2、处置过程不得有偷排、漏排情况。</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发现一车次扣5分。（该项不设分值限制）</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0" w:hRule="atLeast"/>
          <w:jc w:val="center"/>
        </w:trPr>
        <w:tc>
          <w:tcPr>
            <w:tcW w:w="838" w:type="dxa"/>
            <w:vMerge w:val="restart"/>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四、其他20分</w:t>
            </w: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1、运输车辆需按要求填写清运联单，存根交市环卫中心管理。</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未按要求填写的，发现一车次扣1分；未及时交付的，发现一车次扣1分。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48"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2、清运的渗滤液需经过合格的地磅称重系统记录，如有特殊情况需手工记录的，需驾驶员、地磅房管理人员共同签字并同时告知市环卫中心确认。</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如有擅自手工记录输入的，发现一车次扣2分。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25"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3、安全管理制度完善、有效落实，未发生安全责任事故。</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发现安全隐患问题的每项（处）扣1分；发生人员重伤、死亡事故或重大财产事故每次扣10分（此项不受总分限制）。</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7"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4、不发生舆论负面影响。</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产生舆论负面影响，每次扣5分。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2"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5、对人员安全、起火等事件应在1小时内告知市环卫中心，24小时内提交书面报告。</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事件发生后迟报、瞒报、漏报，扣5分/次。</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5"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6、服从市环卫中心的管理和调度。</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不配合相关工作的，扣5分/次。</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2" w:hRule="atLeast"/>
          <w:jc w:val="center"/>
        </w:trPr>
        <w:tc>
          <w:tcPr>
            <w:tcW w:w="8925" w:type="dxa"/>
            <w:gridSpan w:val="3"/>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扣分合计</w:t>
            </w:r>
          </w:p>
        </w:tc>
        <w:tc>
          <w:tcPr>
            <w:tcW w:w="80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w:t>
            </w: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5" w:hRule="atLeast"/>
          <w:jc w:val="center"/>
        </w:trPr>
        <w:tc>
          <w:tcPr>
            <w:tcW w:w="8925" w:type="dxa"/>
            <w:gridSpan w:val="3"/>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得分</w:t>
            </w:r>
          </w:p>
        </w:tc>
        <w:tc>
          <w:tcPr>
            <w:tcW w:w="80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r>
    </w:p>
    <w:p>
      <w:pPr>
        <w:pStyle w:val="5"/>
        <w:bidi w:val="0"/>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附件2</w:t>
      </w:r>
    </w:p>
    <w:p>
      <w:pPr>
        <w:pStyle w:val="4"/>
        <w:bidi w:val="0"/>
        <w:rPr>
          <w:rFonts w:hint="eastAsia" w:ascii="宋体" w:hAnsi="宋体" w:eastAsia="宋体" w:cs="宋体"/>
          <w:sz w:val="24"/>
          <w:szCs w:val="24"/>
          <w:highlight w:val="none"/>
        </w:rPr>
      </w:pPr>
      <w:r>
        <w:rPr>
          <w:rFonts w:hint="eastAsia" w:ascii="宋体" w:hAnsi="宋体" w:eastAsia="宋体" w:cs="宋体"/>
          <w:sz w:val="24"/>
          <w:szCs w:val="24"/>
          <w:highlight w:val="none"/>
        </w:rPr>
        <w:t>无锡市大型生活垃圾转运站渗滤液清运联单</w:t>
      </w:r>
    </w:p>
    <w:p>
      <w:pPr>
        <w:ind w:left="0" w:leftChars="0" w:firstLine="0" w:firstLineChars="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日</w:t>
      </w:r>
      <w:r>
        <w:rPr>
          <w:rFonts w:hint="eastAsia" w:ascii="宋体" w:hAnsi="宋体" w:eastAsia="宋体" w:cs="宋体"/>
          <w:sz w:val="24"/>
          <w:szCs w:val="24"/>
          <w:highlight w:val="none"/>
        </w:rPr>
        <w:t>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NO.________</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9"/>
        <w:gridCol w:w="1449"/>
        <w:gridCol w:w="1154"/>
        <w:gridCol w:w="2041"/>
        <w:gridCol w:w="1154"/>
        <w:gridCol w:w="1745"/>
        <w:gridCol w:w="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产生单位</w:t>
            </w:r>
          </w:p>
        </w:tc>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委托时间</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车牌号</w:t>
            </w:r>
          </w:p>
        </w:tc>
        <w:tc>
          <w:tcPr>
            <w:tcW w:w="10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载重量（吨）</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实载量</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（吨）</w:t>
            </w:r>
          </w:p>
        </w:tc>
        <w:tc>
          <w:tcPr>
            <w:tcW w:w="8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产生单位</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负责人签名</w:t>
            </w:r>
          </w:p>
        </w:tc>
        <w:tc>
          <w:tcPr>
            <w:tcW w:w="4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p>
        </w:tc>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时  分</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10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8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4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运输单位</w:t>
            </w:r>
          </w:p>
        </w:tc>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离站时间</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车牌号</w:t>
            </w:r>
          </w:p>
        </w:tc>
        <w:tc>
          <w:tcPr>
            <w:tcW w:w="10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载重量（吨）</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实载量</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（吨）</w:t>
            </w:r>
          </w:p>
        </w:tc>
        <w:tc>
          <w:tcPr>
            <w:tcW w:w="8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运输单位</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经手人签名</w:t>
            </w:r>
          </w:p>
        </w:tc>
        <w:tc>
          <w:tcPr>
            <w:tcW w:w="4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10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8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4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接纳单位</w:t>
            </w:r>
          </w:p>
        </w:tc>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接收时间</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车牌号</w:t>
            </w:r>
          </w:p>
        </w:tc>
        <w:tc>
          <w:tcPr>
            <w:tcW w:w="10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载重量（吨）</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实载量</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（吨）</w:t>
            </w:r>
          </w:p>
        </w:tc>
        <w:tc>
          <w:tcPr>
            <w:tcW w:w="8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接纳</w:t>
            </w:r>
            <w:r>
              <w:rPr>
                <w:rFonts w:hint="eastAsia" w:ascii="宋体" w:hAnsi="宋体" w:eastAsia="宋体" w:cs="宋体"/>
                <w:color w:val="000000"/>
                <w:sz w:val="24"/>
                <w:szCs w:val="24"/>
                <w:highlight w:val="none"/>
              </w:rPr>
              <w:t>单位</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经手人签名</w:t>
            </w:r>
          </w:p>
        </w:tc>
        <w:tc>
          <w:tcPr>
            <w:tcW w:w="4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时  分</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10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8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4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r>
    </w:tbl>
    <w:p>
      <w:pPr>
        <w:keepNext w:val="0"/>
        <w:keepLines w:val="0"/>
        <w:pageBreakBefore w:val="0"/>
        <w:widowControl w:val="0"/>
        <w:kinsoku/>
        <w:wordWrap/>
        <w:overflowPunct/>
        <w:topLinePunct w:val="0"/>
        <w:autoSpaceDE/>
        <w:autoSpaceDN/>
        <w:bidi w:val="0"/>
        <w:adjustRightInd/>
        <w:snapToGrid/>
        <w:spacing w:line="500" w:lineRule="exact"/>
        <w:ind w:lef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备注：1、此任务单1车次1单、1式4份，为渗滤液外运处理费用的结算依据；</w:t>
      </w:r>
    </w:p>
    <w:p>
      <w:pPr>
        <w:keepNext w:val="0"/>
        <w:keepLines w:val="0"/>
        <w:pageBreakBefore w:val="0"/>
        <w:widowControl w:val="0"/>
        <w:kinsoku/>
        <w:wordWrap/>
        <w:overflowPunct/>
        <w:topLinePunct w:val="0"/>
        <w:autoSpaceDE/>
        <w:autoSpaceDN/>
        <w:bidi w:val="0"/>
        <w:adjustRightInd/>
        <w:snapToGrid/>
        <w:spacing w:line="500" w:lineRule="exact"/>
        <w:ind w:left="0" w:hanging="21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2、此任务单由各转运站负责开出，负责人填写完毕并签字后交运输单位经手人填写并签字后，运输车辆方可驶离该站；</w:t>
      </w:r>
    </w:p>
    <w:p>
      <w:pPr>
        <w:keepNext w:val="0"/>
        <w:keepLines w:val="0"/>
        <w:pageBreakBefore w:val="0"/>
        <w:widowControl w:val="0"/>
        <w:kinsoku/>
        <w:wordWrap/>
        <w:overflowPunct/>
        <w:topLinePunct w:val="0"/>
        <w:autoSpaceDE/>
        <w:autoSpaceDN/>
        <w:bidi w:val="0"/>
        <w:adjustRightInd/>
        <w:snapToGrid/>
        <w:spacing w:line="500" w:lineRule="exact"/>
        <w:ind w:lef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3、运输单位经手人将渗滤液运送至</w:t>
      </w:r>
      <w:r>
        <w:rPr>
          <w:rFonts w:hint="eastAsia" w:ascii="宋体" w:hAnsi="宋体" w:eastAsia="宋体" w:cs="宋体"/>
          <w:sz w:val="24"/>
          <w:szCs w:val="24"/>
          <w:highlight w:val="none"/>
        </w:rPr>
        <w:t>接纳单位</w:t>
      </w:r>
      <w:r>
        <w:rPr>
          <w:rFonts w:hint="eastAsia" w:ascii="宋体" w:hAnsi="宋体" w:eastAsia="宋体" w:cs="宋体"/>
          <w:sz w:val="24"/>
          <w:szCs w:val="24"/>
          <w:highlight w:val="none"/>
        </w:rPr>
        <w:t>时，应将清运联单交</w:t>
      </w:r>
      <w:r>
        <w:rPr>
          <w:rFonts w:hint="eastAsia" w:ascii="宋体" w:hAnsi="宋体" w:eastAsia="宋体" w:cs="宋体"/>
          <w:sz w:val="24"/>
          <w:szCs w:val="24"/>
          <w:highlight w:val="none"/>
        </w:rPr>
        <w:t>接纳单位</w:t>
      </w:r>
      <w:r>
        <w:rPr>
          <w:rFonts w:hint="eastAsia" w:ascii="宋体" w:hAnsi="宋体" w:eastAsia="宋体" w:cs="宋体"/>
          <w:sz w:val="24"/>
          <w:szCs w:val="24"/>
          <w:highlight w:val="none"/>
        </w:rPr>
        <w:t>经手人填写并签字后方可排放；</w:t>
      </w:r>
    </w:p>
    <w:p>
      <w:pPr>
        <w:keepNext w:val="0"/>
        <w:keepLines w:val="0"/>
        <w:pageBreakBefore w:val="0"/>
        <w:widowControl w:val="0"/>
        <w:kinsoku/>
        <w:wordWrap/>
        <w:overflowPunct/>
        <w:topLinePunct w:val="0"/>
        <w:autoSpaceDE/>
        <w:autoSpaceDN/>
        <w:bidi w:val="0"/>
        <w:adjustRightInd/>
        <w:snapToGrid/>
        <w:spacing w:line="500" w:lineRule="exact"/>
        <w:ind w:lef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4、渗滤液</w:t>
      </w:r>
      <w:r>
        <w:rPr>
          <w:rFonts w:hint="eastAsia" w:ascii="宋体" w:hAnsi="宋体" w:eastAsia="宋体" w:cs="宋体"/>
          <w:sz w:val="24"/>
          <w:szCs w:val="24"/>
          <w:highlight w:val="none"/>
        </w:rPr>
        <w:t>接纳单位</w:t>
      </w:r>
      <w:r>
        <w:rPr>
          <w:rFonts w:hint="eastAsia" w:ascii="宋体" w:hAnsi="宋体" w:eastAsia="宋体" w:cs="宋体"/>
          <w:sz w:val="24"/>
          <w:szCs w:val="24"/>
          <w:highlight w:val="none"/>
        </w:rPr>
        <w:t>填写完毕并签字后，留存1份，其余3份交运输单位；</w:t>
      </w:r>
    </w:p>
    <w:p>
      <w:pPr>
        <w:keepNext w:val="0"/>
        <w:keepLines w:val="0"/>
        <w:pageBreakBefore w:val="0"/>
        <w:widowControl w:val="0"/>
        <w:kinsoku/>
        <w:wordWrap/>
        <w:overflowPunct/>
        <w:topLinePunct w:val="0"/>
        <w:autoSpaceDE/>
        <w:autoSpaceDN/>
        <w:bidi w:val="0"/>
        <w:adjustRightInd/>
        <w:snapToGrid/>
        <w:spacing w:line="500" w:lineRule="exact"/>
        <w:ind w:left="0" w:hanging="21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5、运输单位收到</w:t>
      </w:r>
      <w:r>
        <w:rPr>
          <w:rFonts w:hint="eastAsia" w:ascii="宋体" w:hAnsi="宋体" w:eastAsia="宋体" w:cs="宋体"/>
          <w:sz w:val="24"/>
          <w:szCs w:val="24"/>
          <w:highlight w:val="none"/>
        </w:rPr>
        <w:t>接纳单位</w:t>
      </w:r>
      <w:r>
        <w:rPr>
          <w:rFonts w:hint="eastAsia" w:ascii="宋体" w:hAnsi="宋体" w:eastAsia="宋体" w:cs="宋体"/>
          <w:sz w:val="24"/>
          <w:szCs w:val="24"/>
          <w:highlight w:val="none"/>
        </w:rPr>
        <w:t>所给任务单，留存1份，其余1份返回渗滤液产生单位，1份交予无锡市环境卫生管理服务中心；</w:t>
      </w:r>
    </w:p>
    <w:p>
      <w:pPr>
        <w:keepNext w:val="0"/>
        <w:keepLines w:val="0"/>
        <w:pageBreakBefore w:val="0"/>
        <w:widowControl w:val="0"/>
        <w:kinsoku/>
        <w:wordWrap/>
        <w:overflowPunct/>
        <w:topLinePunct w:val="0"/>
        <w:autoSpaceDE/>
        <w:autoSpaceDN/>
        <w:bidi w:val="0"/>
        <w:adjustRightInd/>
        <w:snapToGrid/>
        <w:spacing w:line="500" w:lineRule="exact"/>
        <w:ind w:lef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6、无锡市环境卫生管理服务中心将随机检查清运联单的实施情况，并纳入考核。</w:t>
      </w:r>
    </w:p>
    <w:p>
      <w:pPr>
        <w:spacing w:line="560" w:lineRule="exact"/>
        <w:rPr>
          <w:rFonts w:hint="eastAsia" w:ascii="方正仿宋_GBK" w:hAnsi="方正仿宋_GBK" w:eastAsia="方正仿宋_GBK" w:cs="方正仿宋_GBK"/>
          <w:sz w:val="32"/>
          <w:szCs w:val="32"/>
          <w:highlight w:val="none"/>
        </w:rPr>
      </w:pPr>
    </w:p>
    <w:p>
      <w:pPr>
        <w:rPr>
          <w:highlight w:val="none"/>
        </w:rPr>
      </w:pPr>
    </w:p>
    <w:p>
      <w:pPr>
        <w:numPr>
          <w:ilvl w:val="0"/>
          <w:numId w:val="4"/>
        </w:numPr>
        <w:spacing w:line="360" w:lineRule="auto"/>
        <w:jc w:val="center"/>
        <w:outlineLvl w:val="0"/>
        <w:rPr>
          <w:rFonts w:ascii="黑体" w:hAnsi="宋体" w:eastAsia="黑体"/>
          <w:b/>
          <w:color w:val="000000"/>
          <w:sz w:val="28"/>
          <w:szCs w:val="28"/>
          <w:highlight w:val="none"/>
        </w:rPr>
      </w:pPr>
      <w:r>
        <w:rPr>
          <w:rFonts w:hint="eastAsia" w:ascii="黑体" w:eastAsia="黑体"/>
          <w:bCs/>
          <w:color w:val="000000"/>
          <w:sz w:val="28"/>
          <w:szCs w:val="28"/>
          <w:highlight w:val="none"/>
        </w:rPr>
        <w:br w:type="page" w:clear="all"/>
      </w:r>
      <w:r>
        <w:rPr>
          <w:rFonts w:hint="eastAsia" w:ascii="黑体" w:hAnsi="宋体" w:eastAsia="黑体"/>
          <w:b/>
          <w:color w:val="000000"/>
          <w:sz w:val="28"/>
          <w:szCs w:val="28"/>
          <w:highlight w:val="none"/>
        </w:rPr>
        <w:t>合同书（格式，投标时不需填写）</w:t>
      </w:r>
      <w:bookmarkEnd w:id="10"/>
    </w:p>
    <w:p>
      <w:pPr>
        <w:spacing w:line="440" w:lineRule="exact"/>
        <w:rPr>
          <w:rFonts w:hint="eastAsia" w:ascii="宋体" w:hAnsi="宋体"/>
          <w:b/>
          <w:sz w:val="24"/>
          <w:highlight w:val="none"/>
        </w:rPr>
      </w:pPr>
      <w:bookmarkStart w:id="12" w:name="_Toc15101"/>
    </w:p>
    <w:p>
      <w:pPr>
        <w:pStyle w:val="16"/>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center"/>
        <w:textAlignment w:val="auto"/>
        <w:rPr>
          <w:rFonts w:hint="eastAsia" w:ascii="方正小标宋_GBK" w:hAnsi="方正小标宋_GBK" w:eastAsia="方正小标宋_GBK" w:cs="方正小标宋_GBK"/>
          <w:b w:val="0"/>
          <w:bCs/>
          <w:sz w:val="44"/>
          <w:szCs w:val="44"/>
          <w:highlight w:val="none"/>
        </w:rPr>
      </w:pPr>
      <w:r>
        <w:rPr>
          <w:rFonts w:hint="eastAsia" w:ascii="方正小标宋_GBK" w:hAnsi="方正小标宋_GBK" w:eastAsia="方正小标宋_GBK" w:cs="方正小标宋_GBK"/>
          <w:b w:val="0"/>
          <w:bCs/>
          <w:sz w:val="44"/>
          <w:szCs w:val="44"/>
          <w:highlight w:val="none"/>
          <w:lang w:eastAsia="zh-CN"/>
        </w:rPr>
        <w:t>2026年生活垃圾转运站渗滤液外运处置项目</w:t>
      </w:r>
    </w:p>
    <w:p>
      <w:pPr>
        <w:pStyle w:val="16"/>
        <w:autoSpaceDE/>
        <w:autoSpaceDN/>
        <w:adjustRightInd/>
        <w:spacing w:line="380" w:lineRule="exact"/>
        <w:rPr>
          <w:rFonts w:ascii="宋体" w:hAnsi="宋体" w:eastAsia="宋体" w:cs="宋体"/>
          <w:b/>
          <w:sz w:val="32"/>
          <w:szCs w:val="32"/>
          <w:highlight w:val="none"/>
        </w:rPr>
      </w:pPr>
    </w:p>
    <w:p>
      <w:pPr>
        <w:pStyle w:val="16"/>
        <w:autoSpaceDE/>
        <w:autoSpaceDN/>
        <w:adjustRightInd/>
        <w:spacing w:line="380" w:lineRule="exact"/>
        <w:rPr>
          <w:rFonts w:ascii="宋体" w:hAnsi="宋体" w:eastAsia="宋体" w:cs="宋体"/>
          <w:b/>
          <w:sz w:val="32"/>
          <w:szCs w:val="32"/>
          <w:highlight w:val="none"/>
        </w:rPr>
      </w:pPr>
    </w:p>
    <w:p>
      <w:pPr>
        <w:spacing w:line="360" w:lineRule="auto"/>
        <w:ind w:firstLine="1500" w:firstLineChars="500"/>
        <w:rPr>
          <w:rFonts w:ascii="黑体" w:hAnsi="华文中宋" w:eastAsia="黑体"/>
          <w:bCs/>
          <w:color w:val="000000"/>
          <w:sz w:val="30"/>
          <w:szCs w:val="30"/>
          <w:highlight w:val="none"/>
        </w:rPr>
      </w:pPr>
    </w:p>
    <w:p>
      <w:pPr>
        <w:pStyle w:val="17"/>
        <w:jc w:val="center"/>
        <w:rPr>
          <w:highlight w:val="none"/>
        </w:rPr>
      </w:pPr>
    </w:p>
    <w:p>
      <w:pPr>
        <w:pStyle w:val="16"/>
        <w:autoSpaceDE/>
        <w:autoSpaceDN/>
        <w:adjustRightInd/>
        <w:snapToGrid w:val="0"/>
        <w:ind w:left="0" w:leftChars="0" w:firstLine="0" w:firstLineChars="0"/>
        <w:jc w:val="center"/>
        <w:rPr>
          <w:rFonts w:hint="eastAsia" w:ascii="方正小标宋_GBK" w:hAnsi="方正小标宋_GBK" w:eastAsia="方正小标宋_GBK" w:cs="方正小标宋_GBK"/>
          <w:sz w:val="84"/>
          <w:szCs w:val="84"/>
          <w:highlight w:val="none"/>
        </w:rPr>
      </w:pPr>
      <w:r>
        <w:rPr>
          <w:rFonts w:hint="eastAsia" w:ascii="方正小标宋_GBK" w:hAnsi="方正小标宋_GBK" w:eastAsia="方正小标宋_GBK" w:cs="方正小标宋_GBK"/>
          <w:sz w:val="84"/>
          <w:szCs w:val="84"/>
          <w:highlight w:val="none"/>
        </w:rPr>
        <w:t>合</w:t>
      </w:r>
    </w:p>
    <w:p>
      <w:pPr>
        <w:pStyle w:val="16"/>
        <w:autoSpaceDE/>
        <w:autoSpaceDN/>
        <w:adjustRightInd/>
        <w:snapToGrid w:val="0"/>
        <w:ind w:left="0" w:leftChars="0" w:firstLine="0" w:firstLineChars="0"/>
        <w:jc w:val="center"/>
        <w:rPr>
          <w:rFonts w:hint="eastAsia" w:ascii="方正小标宋_GBK" w:hAnsi="方正小标宋_GBK" w:eastAsia="方正小标宋_GBK" w:cs="方正小标宋_GBK"/>
          <w:sz w:val="84"/>
          <w:szCs w:val="84"/>
          <w:highlight w:val="none"/>
        </w:rPr>
      </w:pPr>
      <w:r>
        <w:rPr>
          <w:rFonts w:hint="eastAsia" w:ascii="方正小标宋_GBK" w:hAnsi="方正小标宋_GBK" w:eastAsia="方正小标宋_GBK" w:cs="方正小标宋_GBK"/>
          <w:sz w:val="84"/>
          <w:szCs w:val="84"/>
          <w:highlight w:val="none"/>
        </w:rPr>
        <w:t>同</w:t>
      </w:r>
    </w:p>
    <w:p>
      <w:pPr>
        <w:pStyle w:val="16"/>
        <w:autoSpaceDE/>
        <w:autoSpaceDN/>
        <w:adjustRightInd/>
        <w:snapToGrid w:val="0"/>
        <w:ind w:left="0" w:leftChars="0" w:firstLine="0" w:firstLineChars="0"/>
        <w:jc w:val="center"/>
        <w:rPr>
          <w:rFonts w:hint="eastAsia" w:ascii="方正小标宋_GBK" w:hAnsi="方正小标宋_GBK" w:eastAsia="方正小标宋_GBK" w:cs="方正小标宋_GBK"/>
          <w:b/>
          <w:sz w:val="84"/>
          <w:szCs w:val="84"/>
          <w:highlight w:val="none"/>
        </w:rPr>
      </w:pPr>
      <w:r>
        <w:rPr>
          <w:rFonts w:hint="eastAsia" w:ascii="方正小标宋_GBK" w:hAnsi="方正小标宋_GBK" w:eastAsia="方正小标宋_GBK" w:cs="方正小标宋_GBK"/>
          <w:sz w:val="84"/>
          <w:szCs w:val="84"/>
          <w:highlight w:val="none"/>
        </w:rPr>
        <w:t>书</w:t>
      </w:r>
    </w:p>
    <w:p>
      <w:pPr>
        <w:pStyle w:val="16"/>
        <w:autoSpaceDE/>
        <w:autoSpaceDN/>
        <w:adjustRightInd/>
        <w:spacing w:line="380" w:lineRule="exact"/>
        <w:rPr>
          <w:rFonts w:ascii="宋体" w:hAnsi="宋体" w:eastAsia="宋体" w:cs="宋体"/>
          <w:b/>
          <w:sz w:val="32"/>
          <w:szCs w:val="32"/>
          <w:highlight w:val="none"/>
        </w:rPr>
      </w:pPr>
    </w:p>
    <w:p>
      <w:pPr>
        <w:pStyle w:val="16"/>
        <w:autoSpaceDE/>
        <w:autoSpaceDN/>
        <w:adjustRightInd/>
        <w:spacing w:line="380" w:lineRule="exact"/>
        <w:rPr>
          <w:rFonts w:ascii="宋体" w:hAnsi="宋体" w:eastAsia="宋体" w:cs="宋体"/>
          <w:b/>
          <w:sz w:val="32"/>
          <w:szCs w:val="32"/>
          <w:highlight w:val="none"/>
        </w:rPr>
      </w:pPr>
    </w:p>
    <w:p>
      <w:pPr>
        <w:pStyle w:val="16"/>
        <w:autoSpaceDE/>
        <w:autoSpaceDN/>
        <w:adjustRightInd/>
        <w:spacing w:line="380" w:lineRule="exact"/>
        <w:rPr>
          <w:rFonts w:ascii="宋体" w:hAnsi="宋体" w:eastAsia="宋体" w:cs="宋体"/>
          <w:b/>
          <w:sz w:val="32"/>
          <w:szCs w:val="32"/>
          <w:highlight w:val="none"/>
        </w:rPr>
      </w:pPr>
    </w:p>
    <w:p>
      <w:pPr>
        <w:spacing w:line="360" w:lineRule="auto"/>
        <w:ind w:firstLine="1500" w:firstLineChars="500"/>
        <w:rPr>
          <w:rFonts w:ascii="黑体" w:hAnsi="华文中宋" w:eastAsia="黑体"/>
          <w:bCs/>
          <w:color w:val="000000"/>
          <w:sz w:val="30"/>
          <w:szCs w:val="30"/>
          <w:highlight w:val="none"/>
        </w:rPr>
      </w:pPr>
    </w:p>
    <w:p>
      <w:pPr>
        <w:keepNext w:val="0"/>
        <w:keepLines w:val="0"/>
        <w:pageBreakBefore w:val="0"/>
        <w:widowControl w:val="0"/>
        <w:kinsoku/>
        <w:wordWrap/>
        <w:overflowPunct/>
        <w:topLinePunct w:val="0"/>
        <w:autoSpaceDE/>
        <w:autoSpaceDN/>
        <w:bidi w:val="0"/>
        <w:spacing w:line="700" w:lineRule="exact"/>
        <w:ind w:firstLine="1500" w:firstLineChars="500"/>
        <w:textAlignment w:val="auto"/>
        <w:rPr>
          <w:rFonts w:hint="default"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项目编号：</w:t>
      </w:r>
      <w:r>
        <w:rPr>
          <w:rFonts w:hint="eastAsia" w:ascii="黑体" w:hAnsi="华文中宋" w:eastAsia="黑体"/>
          <w:bCs/>
          <w:color w:val="000000"/>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spacing w:line="700" w:lineRule="exact"/>
        <w:ind w:firstLine="1500" w:firstLineChars="500"/>
        <w:textAlignment w:val="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采购人：</w:t>
      </w:r>
      <w:r>
        <w:rPr>
          <w:rFonts w:hint="eastAsia" w:ascii="黑体" w:hAnsi="华文中宋" w:eastAsia="黑体"/>
          <w:bCs/>
          <w:color w:val="000000"/>
          <w:sz w:val="30"/>
          <w:szCs w:val="30"/>
          <w:highlight w:val="none"/>
          <w:lang w:eastAsia="zh-CN"/>
        </w:rPr>
        <w:t>无锡市环境卫生管理服务中心</w:t>
      </w:r>
    </w:p>
    <w:p>
      <w:pPr>
        <w:keepNext w:val="0"/>
        <w:keepLines w:val="0"/>
        <w:pageBreakBefore w:val="0"/>
        <w:widowControl w:val="0"/>
        <w:kinsoku/>
        <w:wordWrap/>
        <w:overflowPunct/>
        <w:topLinePunct w:val="0"/>
        <w:autoSpaceDE/>
        <w:autoSpaceDN/>
        <w:bidi w:val="0"/>
        <w:adjustRightInd w:val="0"/>
        <w:snapToGrid w:val="0"/>
        <w:spacing w:line="700" w:lineRule="exact"/>
        <w:ind w:firstLine="1500" w:firstLineChars="500"/>
        <w:jc w:val="left"/>
        <w:textAlignment w:val="auto"/>
        <w:rPr>
          <w:rFonts w:hint="default"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中标方：</w:t>
      </w:r>
      <w:r>
        <w:rPr>
          <w:rFonts w:hint="eastAsia" w:ascii="黑体" w:hAnsi="华文中宋" w:eastAsia="黑体"/>
          <w:bCs/>
          <w:color w:val="000000"/>
          <w:sz w:val="30"/>
          <w:szCs w:val="30"/>
          <w:highlight w:val="none"/>
          <w:lang w:val="en-US" w:eastAsia="zh-CN"/>
        </w:rPr>
        <w:t xml:space="preserve">   </w:t>
      </w:r>
    </w:p>
    <w:p>
      <w:pPr>
        <w:spacing w:line="360" w:lineRule="auto"/>
        <w:ind w:firstLine="1500" w:firstLineChars="500"/>
        <w:rPr>
          <w:rFonts w:ascii="黑体" w:hAnsi="华文中宋" w:eastAsia="黑体"/>
          <w:bCs/>
          <w:color w:val="000000"/>
          <w:sz w:val="30"/>
          <w:szCs w:val="30"/>
          <w:highlight w:val="none"/>
        </w:rPr>
      </w:pPr>
    </w:p>
    <w:p>
      <w:pPr>
        <w:spacing w:line="540" w:lineRule="exact"/>
        <w:ind w:left="0" w:leftChars="0" w:firstLine="0" w:firstLineChars="0"/>
        <w:jc w:val="center"/>
        <w:rPr>
          <w:rFonts w:hint="eastAsia" w:ascii="黑体" w:hAnsi="华文中宋" w:eastAsia="黑体"/>
          <w:bCs/>
          <w:color w:val="000000"/>
          <w:sz w:val="44"/>
          <w:szCs w:val="44"/>
          <w:highlight w:val="none"/>
        </w:rPr>
      </w:pPr>
      <w:r>
        <w:rPr>
          <w:rFonts w:hint="eastAsia" w:ascii="黑体" w:hAnsi="华文中宋" w:eastAsia="黑体"/>
          <w:bCs/>
          <w:color w:val="000000"/>
          <w:sz w:val="44"/>
          <w:szCs w:val="44"/>
          <w:highlight w:val="none"/>
          <w:lang w:eastAsia="zh-CN"/>
        </w:rPr>
        <w:t>二〇二六</w:t>
      </w:r>
      <w:r>
        <w:rPr>
          <w:rFonts w:hint="eastAsia" w:ascii="黑体" w:hAnsi="华文中宋" w:eastAsia="黑体"/>
          <w:bCs/>
          <w:color w:val="000000"/>
          <w:sz w:val="44"/>
          <w:szCs w:val="44"/>
          <w:highlight w:val="none"/>
        </w:rPr>
        <w:t>年</w:t>
      </w:r>
      <w:r>
        <w:rPr>
          <w:rFonts w:hint="eastAsia" w:ascii="黑体" w:hAnsi="华文中宋" w:eastAsia="黑体"/>
          <w:bCs/>
          <w:color w:val="000000"/>
          <w:sz w:val="44"/>
          <w:szCs w:val="44"/>
          <w:highlight w:val="none"/>
          <w:lang w:val="en-US" w:eastAsia="zh-CN"/>
        </w:rPr>
        <w:t xml:space="preserve">   </w:t>
      </w:r>
      <w:r>
        <w:rPr>
          <w:rFonts w:hint="eastAsia" w:ascii="黑体" w:hAnsi="华文中宋" w:eastAsia="黑体"/>
          <w:bCs/>
          <w:color w:val="000000"/>
          <w:sz w:val="44"/>
          <w:szCs w:val="44"/>
          <w:highlight w:val="none"/>
        </w:rPr>
        <w:t>月</w:t>
      </w:r>
    </w:p>
    <w:p>
      <w:pPr>
        <w:rPr>
          <w:rFonts w:hint="eastAsia" w:ascii="黑体" w:hAnsi="宋体" w:eastAsia="黑体"/>
          <w:b/>
          <w:color w:val="000000"/>
          <w:sz w:val="28"/>
          <w:szCs w:val="28"/>
          <w:highlight w:val="none"/>
        </w:rPr>
      </w:pPr>
      <w:r>
        <w:rPr>
          <w:rFonts w:hint="eastAsia" w:ascii="黑体" w:hAnsi="宋体" w:eastAsia="黑体"/>
          <w:b/>
          <w:color w:val="000000"/>
          <w:sz w:val="28"/>
          <w:szCs w:val="28"/>
          <w:highlight w:val="none"/>
        </w:rPr>
        <w:br w:type="page"/>
      </w:r>
    </w:p>
    <w:p>
      <w:pPr>
        <w:numPr>
          <w:ilvl w:val="0"/>
          <w:numId w:val="0"/>
        </w:numPr>
        <w:spacing w:line="360" w:lineRule="auto"/>
        <w:jc w:val="center"/>
        <w:outlineLvl w:val="0"/>
        <w:rPr>
          <w:rFonts w:hint="eastAsia" w:ascii="黑体" w:hAnsi="宋体" w:eastAsia="黑体"/>
          <w:b/>
          <w:color w:val="000000"/>
          <w:sz w:val="28"/>
          <w:szCs w:val="28"/>
          <w:highlight w:val="none"/>
        </w:rPr>
      </w:pPr>
    </w:p>
    <w:p>
      <w:pPr>
        <w:pStyle w:val="4"/>
        <w:bidi w:val="0"/>
        <w:jc w:val="center"/>
        <w:rPr>
          <w:rFonts w:hint="eastAsia"/>
          <w:highlight w:val="none"/>
        </w:rPr>
      </w:pPr>
      <w:r>
        <w:rPr>
          <w:rFonts w:hint="eastAsia"/>
          <w:highlight w:val="none"/>
        </w:rPr>
        <w:t>合同书</w:t>
      </w:r>
    </w:p>
    <w:p>
      <w:pPr>
        <w:keepNext w:val="0"/>
        <w:keepLines w:val="0"/>
        <w:pageBreakBefore w:val="0"/>
        <w:widowControl w:val="0"/>
        <w:kinsoku/>
        <w:wordWrap/>
        <w:overflowPunct/>
        <w:topLinePunct w:val="0"/>
        <w:autoSpaceDE/>
        <w:autoSpaceDN/>
        <w:bidi w:val="0"/>
        <w:spacing w:line="400" w:lineRule="exact"/>
        <w:ind w:firstLine="482" w:firstLineChars="200"/>
        <w:textAlignment w:val="auto"/>
        <w:rPr>
          <w:rFonts w:hint="eastAsia" w:ascii="宋体" w:hAnsi="宋体" w:eastAsia="宋体" w:cs="宋体"/>
          <w:b/>
          <w:sz w:val="24"/>
          <w:szCs w:val="24"/>
          <w:highlight w:val="none"/>
          <w:u w:val="single"/>
        </w:rPr>
      </w:pPr>
      <w:r>
        <w:rPr>
          <w:rFonts w:hint="eastAsia" w:ascii="宋体" w:hAnsi="宋体" w:cs="宋体"/>
          <w:b/>
          <w:sz w:val="24"/>
          <w:szCs w:val="24"/>
          <w:highlight w:val="none"/>
          <w:lang w:eastAsia="zh-CN"/>
        </w:rPr>
        <w:t>采购人</w:t>
      </w:r>
      <w:r>
        <w:rPr>
          <w:rFonts w:hint="eastAsia" w:ascii="宋体" w:hAnsi="宋体" w:eastAsia="宋体" w:cs="宋体"/>
          <w:b/>
          <w:sz w:val="24"/>
          <w:szCs w:val="24"/>
          <w:highlight w:val="none"/>
        </w:rPr>
        <w:t>（采购人）：无锡市环境卫生管理服务中心</w:t>
      </w:r>
    </w:p>
    <w:p>
      <w:pPr>
        <w:keepNext w:val="0"/>
        <w:keepLines w:val="0"/>
        <w:pageBreakBefore w:val="0"/>
        <w:widowControl w:val="0"/>
        <w:kinsoku/>
        <w:wordWrap/>
        <w:overflowPunct/>
        <w:topLinePunct w:val="0"/>
        <w:autoSpaceDE/>
        <w:autoSpaceDN/>
        <w:bidi w:val="0"/>
        <w:spacing w:line="400" w:lineRule="exact"/>
        <w:ind w:firstLine="482" w:firstLineChars="200"/>
        <w:textAlignment w:val="auto"/>
        <w:rPr>
          <w:rFonts w:hint="eastAsia" w:ascii="宋体" w:hAnsi="宋体" w:eastAsia="宋体" w:cs="宋体"/>
          <w:b/>
          <w:sz w:val="24"/>
          <w:szCs w:val="24"/>
          <w:highlight w:val="none"/>
          <w:u w:val="single"/>
          <w:lang w:val="en-US" w:eastAsia="zh-CN"/>
        </w:rPr>
      </w:pPr>
      <w:r>
        <w:rPr>
          <w:rFonts w:hint="eastAsia" w:ascii="宋体" w:hAnsi="宋体" w:eastAsia="宋体" w:cs="宋体"/>
          <w:b/>
          <w:sz w:val="24"/>
          <w:szCs w:val="24"/>
          <w:highlight w:val="none"/>
        </w:rPr>
        <w:t>乙方（中标方）：</w:t>
      </w:r>
      <w:r>
        <w:rPr>
          <w:rFonts w:hint="eastAsia" w:ascii="宋体" w:hAnsi="宋体" w:eastAsia="宋体" w:cs="宋体"/>
          <w:b/>
          <w:sz w:val="24"/>
          <w:szCs w:val="24"/>
          <w:highlight w:val="none"/>
          <w:lang w:val="en-US" w:eastAsia="zh-CN"/>
        </w:rPr>
        <w:t xml:space="preserve">    </w:t>
      </w:r>
    </w:p>
    <w:p>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w:t>
      </w:r>
      <w:r>
        <w:rPr>
          <w:rFonts w:hint="eastAsia" w:ascii="宋体" w:hAnsi="宋体" w:eastAsia="宋体" w:cs="宋体"/>
          <w:bCs/>
          <w:sz w:val="24"/>
          <w:szCs w:val="24"/>
          <w:highlight w:val="none"/>
        </w:rPr>
        <w:t>采购项目编号：</w:t>
      </w:r>
      <w:r>
        <w:rPr>
          <w:rFonts w:hint="eastAsia" w:ascii="宋体" w:hAnsi="宋体" w:eastAsia="宋体" w:cs="宋体"/>
          <w:bCs/>
          <w:sz w:val="24"/>
          <w:szCs w:val="24"/>
          <w:highlight w:val="none"/>
          <w:lang w:val="en-US" w:eastAsia="zh-CN"/>
        </w:rPr>
        <w:t xml:space="preserve">    </w:t>
      </w:r>
    </w:p>
    <w:p>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二、</w:t>
      </w:r>
      <w:r>
        <w:rPr>
          <w:rFonts w:hint="eastAsia" w:ascii="宋体" w:hAnsi="宋体" w:eastAsia="宋体" w:cs="宋体"/>
          <w:bCs/>
          <w:sz w:val="24"/>
          <w:szCs w:val="24"/>
          <w:highlight w:val="none"/>
        </w:rPr>
        <w:t>采购内容：</w:t>
      </w:r>
      <w:r>
        <w:rPr>
          <w:rFonts w:hint="eastAsia" w:ascii="宋体" w:hAnsi="宋体" w:eastAsia="宋体" w:cs="宋体"/>
          <w:bCs/>
          <w:sz w:val="24"/>
          <w:szCs w:val="24"/>
          <w:highlight w:val="none"/>
        </w:rPr>
        <w:t>本项目包括南长生活垃圾转运站（扬高路31号）和滨湖区生活垃圾转运站（青龙山133号）两座大型生活垃圾转运站的渗滤液外运处置服务，以及指定的应急保障任务。服务的目标是两座大型生活垃圾转运站产生的渗滤液得到及时清运、合规处置、达标排放，确保转运站安全、环保、稳定运行。</w:t>
      </w:r>
    </w:p>
    <w:p>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三、</w:t>
      </w:r>
      <w:r>
        <w:rPr>
          <w:rFonts w:hint="eastAsia" w:ascii="宋体" w:hAnsi="宋体" w:eastAsia="宋体" w:cs="宋体"/>
          <w:bCs/>
          <w:sz w:val="24"/>
          <w:szCs w:val="24"/>
          <w:highlight w:val="none"/>
        </w:rPr>
        <w:t>中标总金额：</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（大写）；</w:t>
      </w:r>
      <w:r>
        <w:rPr>
          <w:rFonts w:hint="eastAsia" w:ascii="宋体" w:hAnsi="宋体" w:eastAsia="宋体" w:cs="宋体"/>
          <w:bCs/>
          <w:sz w:val="24"/>
          <w:szCs w:val="24"/>
          <w:highlight w:val="none"/>
          <w:lang w:val="en-US" w:eastAsia="zh-CN"/>
        </w:rPr>
        <w:t xml:space="preserve">        元</w:t>
      </w:r>
      <w:r>
        <w:rPr>
          <w:rFonts w:hint="eastAsia" w:ascii="宋体" w:hAnsi="宋体" w:eastAsia="宋体" w:cs="宋体"/>
          <w:bCs/>
          <w:sz w:val="24"/>
          <w:szCs w:val="24"/>
          <w:highlight w:val="none"/>
        </w:rPr>
        <w:t>（小写）</w:t>
      </w:r>
    </w:p>
    <w:p>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四、</w:t>
      </w:r>
      <w:r>
        <w:rPr>
          <w:rFonts w:hint="eastAsia" w:ascii="宋体" w:hAnsi="宋体" w:eastAsia="宋体" w:cs="宋体"/>
          <w:bCs/>
          <w:sz w:val="24"/>
          <w:szCs w:val="24"/>
          <w:highlight w:val="none"/>
        </w:rPr>
        <w:t>验收标准：采购人依照《转运站渗滤液外运处置考核办法》对中标人每月进行考评，每</w:t>
      </w:r>
      <w:r>
        <w:rPr>
          <w:rFonts w:hint="eastAsia" w:ascii="宋体" w:hAnsi="宋体" w:eastAsia="宋体" w:cs="宋体"/>
          <w:bCs/>
          <w:sz w:val="24"/>
          <w:szCs w:val="24"/>
          <w:highlight w:val="none"/>
          <w:lang w:eastAsia="zh-CN"/>
        </w:rPr>
        <w:t>季</w:t>
      </w:r>
      <w:r>
        <w:rPr>
          <w:rFonts w:hint="eastAsia" w:ascii="宋体" w:hAnsi="宋体" w:eastAsia="宋体" w:cs="宋体"/>
          <w:bCs/>
          <w:sz w:val="24"/>
          <w:szCs w:val="24"/>
          <w:highlight w:val="none"/>
        </w:rPr>
        <w:t>度进行奖惩、支付服务费用，每月评分结果每扣1分扣除</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千元服务费；对同一问题连续2个月出现的，</w:t>
      </w:r>
      <w:r>
        <w:rPr>
          <w:rFonts w:hint="eastAsia" w:ascii="宋体" w:hAnsi="宋体" w:eastAsia="宋体" w:cs="宋体"/>
          <w:bCs/>
          <w:sz w:val="24"/>
          <w:szCs w:val="24"/>
          <w:highlight w:val="none"/>
        </w:rPr>
        <w:t>次月</w:t>
      </w:r>
      <w:r>
        <w:rPr>
          <w:rFonts w:hint="eastAsia" w:ascii="宋体" w:hAnsi="宋体" w:eastAsia="宋体" w:cs="宋体"/>
          <w:bCs/>
          <w:sz w:val="24"/>
          <w:szCs w:val="24"/>
          <w:highlight w:val="none"/>
          <w:lang w:eastAsia="zh-CN"/>
        </w:rPr>
        <w:t>在考核办法规定的扣分分值基础上，</w:t>
      </w:r>
      <w:r>
        <w:rPr>
          <w:rFonts w:hint="eastAsia" w:ascii="宋体" w:hAnsi="宋体" w:eastAsia="宋体" w:cs="宋体"/>
          <w:bCs/>
          <w:sz w:val="24"/>
          <w:szCs w:val="24"/>
          <w:highlight w:val="none"/>
        </w:rPr>
        <w:t>加倍扣分扣款。</w:t>
      </w:r>
      <w:r>
        <w:rPr>
          <w:rFonts w:hint="eastAsia" w:ascii="宋体" w:hAnsi="宋体" w:eastAsia="宋体" w:cs="宋体"/>
          <w:bCs/>
          <w:sz w:val="24"/>
          <w:szCs w:val="24"/>
          <w:highlight w:val="none"/>
        </w:rPr>
        <w:t>同时，采购人有权要求中标人组织整改，并将整改情况报采购人。</w:t>
      </w:r>
    </w:p>
    <w:p>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p>
    <w:p>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五、</w:t>
      </w:r>
      <w:r>
        <w:rPr>
          <w:rFonts w:hint="eastAsia" w:ascii="宋体" w:hAnsi="宋体" w:eastAsia="宋体" w:cs="宋体"/>
          <w:bCs/>
          <w:sz w:val="24"/>
          <w:szCs w:val="24"/>
          <w:highlight w:val="none"/>
        </w:rPr>
        <w:t>服务期：合同签订起始日期起</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lang w:eastAsia="zh-CN"/>
        </w:rPr>
        <w:t>。</w:t>
      </w:r>
    </w:p>
    <w:p>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六、</w:t>
      </w:r>
      <w:r>
        <w:rPr>
          <w:rFonts w:hint="eastAsia" w:ascii="宋体" w:hAnsi="宋体" w:eastAsia="宋体" w:cs="宋体"/>
          <w:bCs/>
          <w:sz w:val="24"/>
          <w:szCs w:val="24"/>
          <w:highlight w:val="none"/>
        </w:rPr>
        <w:t>服务地点和方式：</w:t>
      </w:r>
      <w:r>
        <w:rPr>
          <w:rFonts w:hint="eastAsia" w:ascii="宋体" w:hAnsi="宋体" w:eastAsia="宋体" w:cs="宋体"/>
          <w:bCs/>
          <w:sz w:val="24"/>
          <w:szCs w:val="24"/>
          <w:highlight w:val="none"/>
        </w:rPr>
        <w:t>南长生活垃圾转运站（扬高路31号）、滨湖生活垃圾转运站（青龙山133号）。</w:t>
      </w:r>
      <w:r>
        <w:rPr>
          <w:rFonts w:hint="eastAsia" w:ascii="宋体" w:hAnsi="宋体" w:eastAsia="宋体" w:cs="宋体"/>
          <w:bCs/>
          <w:sz w:val="24"/>
          <w:szCs w:val="24"/>
          <w:highlight w:val="none"/>
          <w:lang w:val="en-US" w:eastAsia="zh-CN"/>
        </w:rPr>
        <w:t>按采购要求实施。</w:t>
      </w:r>
    </w:p>
    <w:p>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七、</w:t>
      </w:r>
      <w:r>
        <w:rPr>
          <w:rFonts w:hint="eastAsia" w:ascii="宋体" w:hAnsi="宋体" w:eastAsia="宋体" w:cs="宋体"/>
          <w:bCs/>
          <w:sz w:val="24"/>
          <w:szCs w:val="24"/>
          <w:highlight w:val="none"/>
        </w:rPr>
        <w:t>支付步骤和办法：</w:t>
      </w:r>
      <w:r>
        <w:rPr>
          <w:rFonts w:hint="eastAsia" w:ascii="宋体" w:hAnsi="宋体" w:eastAsia="宋体" w:cs="宋体"/>
          <w:sz w:val="24"/>
          <w:szCs w:val="24"/>
          <w:highlight w:val="none"/>
          <w:lang w:eastAsia="zh-CN"/>
        </w:rPr>
        <w:t>采购人每月考核，</w:t>
      </w:r>
      <w:r>
        <w:rPr>
          <w:rFonts w:hint="eastAsia" w:ascii="宋体" w:hAnsi="宋体" w:eastAsia="宋体" w:cs="宋体"/>
          <w:sz w:val="24"/>
          <w:szCs w:val="24"/>
          <w:highlight w:val="none"/>
          <w:lang w:eastAsia="zh-CN"/>
        </w:rPr>
        <w:t>每3个月</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lang w:eastAsia="zh-CN"/>
        </w:rPr>
        <w:t>按照合同总价的12.5%，结合考核结果向乙方支付服务费用</w:t>
      </w:r>
      <w:r>
        <w:rPr>
          <w:rFonts w:hint="eastAsia" w:ascii="宋体" w:hAnsi="宋体" w:eastAsia="宋体" w:cs="宋体"/>
          <w:sz w:val="24"/>
          <w:szCs w:val="24"/>
          <w:highlight w:val="none"/>
          <w:lang w:eastAsia="zh-CN"/>
        </w:rPr>
        <w:t>。采购方收到中标人提交完整的请款资料和发票后十五个工作日内向市财政局办理支付服务费用的手续。</w:t>
      </w:r>
    </w:p>
    <w:p>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八、</w:t>
      </w:r>
      <w:r>
        <w:rPr>
          <w:rFonts w:hint="eastAsia" w:ascii="宋体" w:hAnsi="宋体" w:eastAsia="宋体" w:cs="宋体"/>
          <w:bCs/>
          <w:sz w:val="24"/>
          <w:szCs w:val="24"/>
          <w:highlight w:val="none"/>
        </w:rPr>
        <w:t>售后服务：</w:t>
      </w:r>
      <w:r>
        <w:rPr>
          <w:rFonts w:hint="eastAsia" w:ascii="宋体" w:hAnsi="宋体" w:eastAsia="宋体" w:cs="宋体"/>
          <w:bCs/>
          <w:sz w:val="24"/>
          <w:szCs w:val="24"/>
          <w:highlight w:val="none"/>
          <w:lang w:val="en-US" w:eastAsia="zh-CN"/>
        </w:rPr>
        <w:t>/</w:t>
      </w:r>
    </w:p>
    <w:p>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九、</w:t>
      </w:r>
      <w:r>
        <w:rPr>
          <w:rFonts w:hint="eastAsia" w:ascii="宋体" w:hAnsi="宋体" w:eastAsia="宋体" w:cs="宋体"/>
          <w:bCs/>
          <w:sz w:val="24"/>
          <w:szCs w:val="24"/>
          <w:highlight w:val="none"/>
        </w:rPr>
        <w:t>违约责任：</w:t>
      </w:r>
      <w:r>
        <w:rPr>
          <w:rFonts w:hint="eastAsia" w:ascii="宋体" w:hAnsi="宋体" w:eastAsia="宋体" w:cs="宋体"/>
          <w:bCs/>
          <w:sz w:val="24"/>
          <w:szCs w:val="24"/>
          <w:highlight w:val="none"/>
          <w:lang w:val="en-US" w:eastAsia="zh-CN"/>
        </w:rPr>
        <w:t>详见“合同条款”</w:t>
      </w:r>
    </w:p>
    <w:p>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十、</w:t>
      </w:r>
      <w:r>
        <w:rPr>
          <w:rFonts w:hint="eastAsia" w:ascii="宋体" w:hAnsi="宋体" w:eastAsia="宋体" w:cs="宋体"/>
          <w:sz w:val="24"/>
          <w:szCs w:val="24"/>
          <w:highlight w:val="none"/>
        </w:rPr>
        <w:t>解决争议的方式：</w:t>
      </w:r>
      <w:r>
        <w:rPr>
          <w:rFonts w:hint="eastAsia" w:ascii="宋体" w:hAnsi="宋体" w:eastAsia="宋体" w:cs="宋体"/>
          <w:bCs/>
          <w:sz w:val="24"/>
          <w:szCs w:val="24"/>
          <w:highlight w:val="none"/>
          <w:lang w:val="en-US" w:eastAsia="zh-CN"/>
        </w:rPr>
        <w:t>详见“合同条款”</w:t>
      </w:r>
    </w:p>
    <w:p>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十一、</w:t>
      </w:r>
      <w:r>
        <w:rPr>
          <w:rFonts w:hint="eastAsia" w:ascii="宋体" w:hAnsi="宋体" w:eastAsia="宋体" w:cs="宋体"/>
          <w:bCs/>
          <w:sz w:val="24"/>
          <w:szCs w:val="24"/>
          <w:highlight w:val="none"/>
          <w:lang w:eastAsia="zh-CN"/>
        </w:rPr>
        <w:t>其他</w:t>
      </w:r>
      <w:r>
        <w:rPr>
          <w:rFonts w:hint="eastAsia" w:ascii="宋体" w:hAnsi="宋体" w:eastAsia="宋体" w:cs="宋体"/>
          <w:bCs/>
          <w:sz w:val="24"/>
          <w:szCs w:val="24"/>
          <w:highlight w:val="none"/>
        </w:rPr>
        <w:t>事项：</w:t>
      </w:r>
      <w:r>
        <w:rPr>
          <w:rFonts w:hint="eastAsia" w:ascii="宋体" w:hAnsi="宋体" w:eastAsia="宋体" w:cs="宋体"/>
          <w:bCs/>
          <w:sz w:val="24"/>
          <w:szCs w:val="24"/>
          <w:highlight w:val="none"/>
          <w:lang w:val="en-US" w:eastAsia="zh-CN"/>
        </w:rPr>
        <w:t>/</w:t>
      </w:r>
    </w:p>
    <w:p>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十二、</w:t>
      </w:r>
      <w:r>
        <w:rPr>
          <w:rFonts w:hint="eastAsia" w:ascii="宋体" w:hAnsi="宋体" w:eastAsia="宋体" w:cs="宋体"/>
          <w:bCs/>
          <w:sz w:val="24"/>
          <w:szCs w:val="24"/>
          <w:highlight w:val="none"/>
        </w:rPr>
        <w:t>合同不可分割部分：</w:t>
      </w:r>
    </w:p>
    <w:p>
      <w:pPr>
        <w:keepNext w:val="0"/>
        <w:keepLines w:val="0"/>
        <w:pageBreakBefore w:val="0"/>
        <w:widowControl w:val="0"/>
        <w:tabs>
          <w:tab w:val="left" w:pos="210"/>
          <w:tab w:val="left" w:pos="420"/>
          <w:tab w:val="left" w:pos="1155"/>
        </w:tabs>
        <w:kinsoku/>
        <w:wordWrap/>
        <w:overflowPunct/>
        <w:topLinePunct w:val="0"/>
        <w:autoSpaceDE/>
        <w:autoSpaceDN/>
        <w:bidi w:val="0"/>
        <w:adjustRightInd w:val="0"/>
        <w:snapToGrid w:val="0"/>
        <w:spacing w:line="400" w:lineRule="exact"/>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招标文件、投标文件、合同条款及中标通知书，供方在投标、评标过程中所作</w:t>
      </w:r>
      <w:r>
        <w:rPr>
          <w:rFonts w:hint="eastAsia" w:ascii="宋体" w:hAnsi="宋体" w:eastAsia="宋体" w:cs="宋体"/>
          <w:bCs/>
          <w:sz w:val="24"/>
          <w:szCs w:val="24"/>
          <w:highlight w:val="none"/>
          <w:lang w:eastAsia="zh-CN"/>
        </w:rPr>
        <w:t>其他有关</w:t>
      </w:r>
      <w:r>
        <w:rPr>
          <w:rFonts w:hint="eastAsia" w:ascii="宋体" w:hAnsi="宋体" w:eastAsia="宋体" w:cs="宋体"/>
          <w:bCs/>
          <w:sz w:val="24"/>
          <w:szCs w:val="24"/>
          <w:highlight w:val="none"/>
        </w:rPr>
        <w:t>承诺、声明、书面澄清、</w:t>
      </w:r>
      <w:r>
        <w:rPr>
          <w:rFonts w:hint="eastAsia" w:ascii="宋体" w:hAnsi="宋体" w:eastAsia="宋体" w:cs="宋体"/>
          <w:b/>
          <w:sz w:val="24"/>
          <w:szCs w:val="24"/>
          <w:highlight w:val="none"/>
        </w:rPr>
        <w:t>确认的考核标准及考核方案</w:t>
      </w:r>
      <w:r>
        <w:rPr>
          <w:rFonts w:hint="eastAsia" w:ascii="宋体" w:hAnsi="宋体" w:eastAsia="宋体" w:cs="宋体"/>
          <w:bCs/>
          <w:sz w:val="24"/>
          <w:szCs w:val="24"/>
          <w:highlight w:val="none"/>
        </w:rPr>
        <w:t>等均为合同不可分割的部分，与主合同具有同等法律效力。</w:t>
      </w:r>
    </w:p>
    <w:p>
      <w:pPr>
        <w:keepNext w:val="0"/>
        <w:keepLines w:val="0"/>
        <w:pageBreakBefore w:val="0"/>
        <w:widowControl w:val="0"/>
        <w:numPr>
          <w:ilvl w:val="0"/>
          <w:numId w:val="0"/>
        </w:numPr>
        <w:tabs>
          <w:tab w:val="left" w:pos="210"/>
          <w:tab w:val="left" w:pos="840"/>
          <w:tab w:val="left" w:pos="1155"/>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十三、</w:t>
      </w:r>
      <w:r>
        <w:rPr>
          <w:rFonts w:hint="eastAsia" w:ascii="宋体" w:hAnsi="宋体" w:eastAsia="宋体" w:cs="宋体"/>
          <w:bCs/>
          <w:sz w:val="24"/>
          <w:szCs w:val="24"/>
          <w:highlight w:val="none"/>
        </w:rPr>
        <w:t>合同备案：</w:t>
      </w:r>
    </w:p>
    <w:p>
      <w:pPr>
        <w:keepNext w:val="0"/>
        <w:keepLines w:val="0"/>
        <w:pageBreakBefore w:val="0"/>
        <w:widowControl w:val="0"/>
        <w:tabs>
          <w:tab w:val="left" w:pos="210"/>
          <w:tab w:val="left" w:pos="735"/>
          <w:tab w:val="left" w:pos="1155"/>
        </w:tabs>
        <w:kinsoku/>
        <w:wordWrap/>
        <w:overflowPunct/>
        <w:topLinePunct w:val="0"/>
        <w:autoSpaceDE/>
        <w:autoSpaceDN/>
        <w:bidi w:val="0"/>
        <w:adjustRightInd w:val="0"/>
        <w:snapToGrid w:val="0"/>
        <w:spacing w:line="400" w:lineRule="exact"/>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合同一式</w:t>
      </w:r>
      <w:r>
        <w:rPr>
          <w:rFonts w:hint="eastAsia" w:ascii="宋体" w:hAnsi="宋体" w:eastAsia="宋体" w:cs="宋体"/>
          <w:bCs/>
          <w:sz w:val="24"/>
          <w:szCs w:val="24"/>
          <w:highlight w:val="none"/>
          <w:lang w:val="en-US" w:eastAsia="zh-CN"/>
        </w:rPr>
        <w:t>伍</w:t>
      </w:r>
      <w:r>
        <w:rPr>
          <w:rFonts w:hint="eastAsia" w:ascii="宋体" w:hAnsi="宋体" w:eastAsia="宋体" w:cs="宋体"/>
          <w:bCs/>
          <w:sz w:val="24"/>
          <w:szCs w:val="24"/>
          <w:highlight w:val="none"/>
        </w:rPr>
        <w:t>份，供需双方各执</w:t>
      </w:r>
      <w:r>
        <w:rPr>
          <w:rFonts w:hint="eastAsia" w:ascii="宋体" w:hAnsi="宋体" w:eastAsia="宋体" w:cs="宋体"/>
          <w:bCs/>
          <w:sz w:val="24"/>
          <w:szCs w:val="24"/>
          <w:highlight w:val="none"/>
          <w:lang w:val="en-US" w:eastAsia="zh-CN"/>
        </w:rPr>
        <w:t>贰</w:t>
      </w:r>
      <w:r>
        <w:rPr>
          <w:rFonts w:hint="eastAsia" w:ascii="宋体" w:hAnsi="宋体" w:eastAsia="宋体" w:cs="宋体"/>
          <w:bCs/>
          <w:sz w:val="24"/>
          <w:szCs w:val="24"/>
          <w:highlight w:val="none"/>
        </w:rPr>
        <w:t>份，</w:t>
      </w:r>
      <w:r>
        <w:rPr>
          <w:rFonts w:hint="eastAsia" w:ascii="宋体" w:hAnsi="宋体" w:eastAsia="宋体" w:cs="宋体"/>
          <w:bCs/>
          <w:sz w:val="24"/>
          <w:szCs w:val="24"/>
          <w:highlight w:val="none"/>
          <w:lang w:eastAsia="zh-CN"/>
        </w:rPr>
        <w:t>江苏博智工程咨询有限公司</w:t>
      </w:r>
      <w:r>
        <w:rPr>
          <w:rFonts w:hint="eastAsia" w:ascii="宋体" w:hAnsi="宋体" w:eastAsia="宋体" w:cs="宋体"/>
          <w:bCs/>
          <w:sz w:val="24"/>
          <w:szCs w:val="24"/>
          <w:highlight w:val="none"/>
          <w:lang w:val="en-US" w:eastAsia="zh-CN"/>
        </w:rPr>
        <w:t>壹</w:t>
      </w:r>
      <w:r>
        <w:rPr>
          <w:rFonts w:hint="eastAsia" w:ascii="宋体" w:hAnsi="宋体" w:eastAsia="宋体" w:cs="宋体"/>
          <w:bCs/>
          <w:sz w:val="24"/>
          <w:szCs w:val="24"/>
          <w:highlight w:val="none"/>
        </w:rPr>
        <w:t>份。</w:t>
      </w:r>
    </w:p>
    <w:p>
      <w:pPr>
        <w:keepNext w:val="0"/>
        <w:keepLines w:val="0"/>
        <w:pageBreakBefore w:val="0"/>
        <w:widowControl w:val="0"/>
        <w:numPr>
          <w:ilvl w:val="0"/>
          <w:numId w:val="0"/>
        </w:numPr>
        <w:tabs>
          <w:tab w:val="left" w:pos="210"/>
          <w:tab w:val="left" w:pos="840"/>
          <w:tab w:val="left" w:pos="1155"/>
        </w:tabs>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十四、</w:t>
      </w:r>
      <w:r>
        <w:rPr>
          <w:rFonts w:hint="eastAsia" w:ascii="宋体" w:hAnsi="宋体" w:eastAsia="宋体" w:cs="宋体"/>
          <w:bCs/>
          <w:sz w:val="24"/>
          <w:szCs w:val="24"/>
          <w:highlight w:val="none"/>
        </w:rPr>
        <w:t>合同生效：</w:t>
      </w:r>
    </w:p>
    <w:p>
      <w:pPr>
        <w:keepNext w:val="0"/>
        <w:keepLines w:val="0"/>
        <w:pageBreakBefore w:val="0"/>
        <w:widowControl w:val="0"/>
        <w:tabs>
          <w:tab w:val="left" w:pos="210"/>
          <w:tab w:val="left" w:pos="840"/>
          <w:tab w:val="left" w:pos="1155"/>
        </w:tabs>
        <w:kinsoku/>
        <w:wordWrap/>
        <w:overflowPunct/>
        <w:topLinePunct w:val="0"/>
        <w:autoSpaceDE/>
        <w:autoSpaceDN/>
        <w:bidi w:val="0"/>
        <w:adjustRightInd w:val="0"/>
        <w:snapToGrid w:val="0"/>
        <w:spacing w:line="400" w:lineRule="exact"/>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本合同由供需双</w:t>
      </w:r>
      <w:r>
        <w:rPr>
          <w:rFonts w:hint="eastAsia" w:ascii="宋体" w:hAnsi="宋体" w:eastAsia="宋体" w:cs="宋体"/>
          <w:bCs/>
          <w:sz w:val="24"/>
          <w:szCs w:val="24"/>
          <w:highlight w:val="none"/>
        </w:rPr>
        <w:t>方</w:t>
      </w:r>
      <w:r>
        <w:rPr>
          <w:rFonts w:hint="eastAsia" w:ascii="宋体" w:hAnsi="宋体" w:eastAsia="宋体" w:cs="宋体"/>
          <w:bCs/>
          <w:sz w:val="24"/>
          <w:szCs w:val="24"/>
          <w:highlight w:val="none"/>
          <w:u w:val="none"/>
        </w:rPr>
        <w:t>法定代表人或授权代表签字、加盖公章</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rPr>
        <w:t>并经</w:t>
      </w:r>
      <w:r>
        <w:rPr>
          <w:rFonts w:hint="eastAsia" w:ascii="宋体" w:hAnsi="宋体" w:eastAsia="宋体" w:cs="宋体"/>
          <w:bCs/>
          <w:sz w:val="24"/>
          <w:szCs w:val="24"/>
          <w:highlight w:val="none"/>
          <w:lang w:eastAsia="zh-CN"/>
        </w:rPr>
        <w:t>江苏博智工程咨询有限公司</w:t>
      </w:r>
      <w:r>
        <w:rPr>
          <w:rFonts w:hint="eastAsia" w:ascii="宋体" w:hAnsi="宋体" w:eastAsia="宋体" w:cs="宋体"/>
          <w:bCs/>
          <w:sz w:val="24"/>
          <w:szCs w:val="24"/>
          <w:highlight w:val="none"/>
        </w:rPr>
        <w:t>见证后生效。</w:t>
      </w:r>
    </w:p>
    <w:p>
      <w:pPr>
        <w:keepNext w:val="0"/>
        <w:keepLines w:val="0"/>
        <w:pageBreakBefore w:val="0"/>
        <w:widowControl w:val="0"/>
        <w:kinsoku/>
        <w:wordWrap/>
        <w:overflowPunct/>
        <w:topLinePunct w:val="0"/>
        <w:autoSpaceDE/>
        <w:autoSpaceDN/>
        <w:bidi w:val="0"/>
        <w:spacing w:line="580" w:lineRule="exact"/>
        <w:textAlignment w:val="auto"/>
        <w:rPr>
          <w:rFonts w:hint="eastAsia"/>
          <w:highlight w:val="none"/>
        </w:rPr>
      </w:pPr>
      <w:r>
        <w:rPr>
          <w:rFonts w:hint="eastAsia"/>
          <w:highlight w:val="none"/>
        </w:rPr>
        <w:br w:type="page"/>
      </w:r>
    </w:p>
    <w:p>
      <w:pPr>
        <w:pStyle w:val="4"/>
        <w:keepNext w:val="0"/>
        <w:keepLines w:val="0"/>
        <w:pageBreakBefore w:val="0"/>
        <w:widowControl w:val="0"/>
        <w:kinsoku/>
        <w:wordWrap/>
        <w:overflowPunct/>
        <w:topLinePunct w:val="0"/>
        <w:autoSpaceDE/>
        <w:autoSpaceDN/>
        <w:bidi w:val="0"/>
        <w:spacing w:beforeLines="0" w:afterLines="0" w:line="580" w:lineRule="exact"/>
        <w:jc w:val="center"/>
        <w:textAlignment w:val="auto"/>
        <w:rPr>
          <w:highlight w:val="none"/>
        </w:rPr>
      </w:pPr>
      <w:r>
        <w:rPr>
          <w:rFonts w:hint="eastAsia"/>
          <w:highlight w:val="none"/>
        </w:rPr>
        <w:t>合同条款</w:t>
      </w:r>
    </w:p>
    <w:p>
      <w:pPr>
        <w:keepNext w:val="0"/>
        <w:keepLines w:val="0"/>
        <w:pageBreakBefore w:val="0"/>
        <w:widowControl w:val="0"/>
        <w:numPr>
          <w:ilvl w:val="0"/>
          <w:numId w:val="0"/>
        </w:numPr>
        <w:kinsoku/>
        <w:wordWrap/>
        <w:overflowPunct/>
        <w:topLinePunct w:val="0"/>
        <w:autoSpaceDE/>
        <w:autoSpaceDN/>
        <w:bidi w:val="0"/>
        <w:spacing w:line="400" w:lineRule="exact"/>
        <w:ind w:firstLine="480" w:firstLineChars="200"/>
        <w:jc w:val="left"/>
        <w:textAlignment w:val="auto"/>
        <w:rPr>
          <w:rStyle w:val="216"/>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第一条 </w:t>
      </w:r>
      <w:r>
        <w:rPr>
          <w:rStyle w:val="216"/>
          <w:rFonts w:hint="eastAsia" w:ascii="宋体" w:hAnsi="宋体" w:eastAsia="宋体" w:cs="宋体"/>
          <w:sz w:val="24"/>
          <w:szCs w:val="24"/>
          <w:highlight w:val="none"/>
          <w:lang w:val="en-US" w:eastAsia="zh-CN"/>
        </w:rPr>
        <w:t>服务内容和范围</w:t>
      </w:r>
    </w:p>
    <w:p>
      <w:pPr>
        <w:keepNext w:val="0"/>
        <w:keepLines w:val="0"/>
        <w:pageBreakBefore w:val="0"/>
        <w:widowControl w:val="0"/>
        <w:numPr>
          <w:ilvl w:val="0"/>
          <w:numId w:val="0"/>
        </w:numPr>
        <w:kinsoku/>
        <w:wordWrap/>
        <w:overflowPunct/>
        <w:topLinePunct w:val="0"/>
        <w:autoSpaceDE/>
        <w:autoSpaceDN/>
        <w:bidi w:val="0"/>
        <w:spacing w:line="40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1.1</w:t>
      </w:r>
      <w:r>
        <w:rPr>
          <w:rFonts w:hint="eastAsia" w:ascii="宋体" w:hAnsi="宋体" w:eastAsia="宋体" w:cs="宋体"/>
          <w:bCs/>
          <w:sz w:val="24"/>
          <w:szCs w:val="24"/>
          <w:highlight w:val="none"/>
        </w:rPr>
        <w:t>采购项目名称：</w:t>
      </w:r>
      <w:r>
        <w:rPr>
          <w:rFonts w:hint="eastAsia" w:ascii="宋体" w:hAnsi="宋体" w:eastAsia="宋体" w:cs="宋体"/>
          <w:b w:val="0"/>
          <w:bCs w:val="0"/>
          <w:sz w:val="24"/>
          <w:szCs w:val="24"/>
          <w:highlight w:val="none"/>
          <w:lang w:eastAsia="zh-CN"/>
        </w:rPr>
        <w:t>2026年生活垃圾转运站渗滤液外运处置项目</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1.2具体</w:t>
      </w:r>
      <w:r>
        <w:rPr>
          <w:rFonts w:hint="eastAsia" w:ascii="宋体" w:hAnsi="宋体" w:eastAsia="宋体" w:cs="宋体"/>
          <w:bCs/>
          <w:sz w:val="24"/>
          <w:szCs w:val="24"/>
          <w:highlight w:val="none"/>
        </w:rPr>
        <w:t>采购内容：</w:t>
      </w:r>
      <w:r>
        <w:rPr>
          <w:rFonts w:hint="eastAsia" w:ascii="宋体" w:hAnsi="宋体" w:eastAsia="宋体" w:cs="宋体"/>
          <w:bCs/>
          <w:sz w:val="24"/>
          <w:szCs w:val="24"/>
          <w:highlight w:val="none"/>
        </w:rPr>
        <w:t>无锡市</w:t>
      </w:r>
      <w:r>
        <w:rPr>
          <w:rFonts w:hint="eastAsia" w:ascii="宋体" w:hAnsi="宋体" w:eastAsia="宋体" w:cs="宋体"/>
          <w:bCs/>
          <w:sz w:val="24"/>
          <w:szCs w:val="24"/>
          <w:highlight w:val="none"/>
          <w:lang w:eastAsia="zh-CN"/>
        </w:rPr>
        <w:t>两</w:t>
      </w:r>
      <w:r>
        <w:rPr>
          <w:rFonts w:hint="eastAsia" w:ascii="宋体" w:hAnsi="宋体" w:eastAsia="宋体" w:cs="宋体"/>
          <w:bCs/>
          <w:sz w:val="24"/>
          <w:szCs w:val="24"/>
          <w:highlight w:val="none"/>
        </w:rPr>
        <w:t>座大型生活垃圾转运站（南长、滨湖）</w:t>
      </w:r>
      <w:r>
        <w:rPr>
          <w:rFonts w:hint="eastAsia" w:ascii="宋体" w:hAnsi="宋体" w:eastAsia="宋体" w:cs="宋体"/>
          <w:bCs/>
          <w:sz w:val="24"/>
          <w:szCs w:val="24"/>
          <w:highlight w:val="none"/>
        </w:rPr>
        <w:t>的渗滤液外运处置，以及</w:t>
      </w:r>
      <w:r>
        <w:rPr>
          <w:rFonts w:hint="eastAsia" w:ascii="宋体" w:hAnsi="宋体" w:cs="宋体"/>
          <w:bCs/>
          <w:sz w:val="24"/>
          <w:szCs w:val="24"/>
          <w:highlight w:val="none"/>
          <w:lang w:eastAsia="zh-CN"/>
        </w:rPr>
        <w:t>采购人</w:t>
      </w:r>
      <w:r>
        <w:rPr>
          <w:rFonts w:hint="eastAsia" w:ascii="宋体" w:hAnsi="宋体" w:eastAsia="宋体" w:cs="宋体"/>
          <w:bCs/>
          <w:sz w:val="24"/>
          <w:szCs w:val="24"/>
          <w:highlight w:val="none"/>
        </w:rPr>
        <w:t>指定的应急保障任务。服务的目标是渗滤液及时清运、合规处置、达标排放，确保转运站安全、环保、稳定运行</w:t>
      </w:r>
      <w:r>
        <w:rPr>
          <w:rFonts w:hint="eastAsia" w:ascii="宋体" w:hAnsi="宋体" w:eastAsia="宋体" w:cs="宋体"/>
          <w:bCs/>
          <w:sz w:val="24"/>
          <w:szCs w:val="24"/>
          <w:highlight w:val="none"/>
          <w:lang w:eastAsia="zh-CN"/>
        </w:rPr>
        <w:t>。</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1.3服务地点：</w:t>
      </w:r>
      <w:r>
        <w:rPr>
          <w:rFonts w:hint="eastAsia" w:ascii="宋体" w:hAnsi="宋体" w:eastAsia="宋体" w:cs="宋体"/>
          <w:bCs/>
          <w:sz w:val="24"/>
          <w:szCs w:val="24"/>
          <w:highlight w:val="none"/>
        </w:rPr>
        <w:t>南长生活垃圾转运站（扬高路31号）、滨湖生活垃圾转运站（青龙山133号）</w:t>
      </w:r>
      <w:r>
        <w:rPr>
          <w:rFonts w:hint="eastAsia" w:ascii="宋体" w:hAnsi="宋体" w:eastAsia="宋体" w:cs="宋体"/>
          <w:bCs/>
          <w:sz w:val="24"/>
          <w:szCs w:val="24"/>
          <w:highlight w:val="none"/>
          <w:lang w:eastAsia="zh-CN"/>
        </w:rPr>
        <w:t>。</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1.4服务期限：合同签订之日起2年。</w:t>
      </w:r>
    </w:p>
    <w:p>
      <w:pPr>
        <w:pStyle w:val="5"/>
        <w:keepNext w:val="0"/>
        <w:keepLines w:val="0"/>
        <w:pageBreakBefore w:val="0"/>
        <w:widowControl w:val="0"/>
        <w:numPr>
          <w:ilvl w:val="0"/>
          <w:numId w:val="0"/>
        </w:numPr>
        <w:kinsoku/>
        <w:wordWrap/>
        <w:overflowPunct/>
        <w:topLinePunct w:val="0"/>
        <w:autoSpaceDE/>
        <w:autoSpaceDN/>
        <w:bidi w:val="0"/>
        <w:spacing w:before="0" w:after="0" w:line="400" w:lineRule="exact"/>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第二条 </w:t>
      </w:r>
      <w:r>
        <w:rPr>
          <w:rFonts w:hint="eastAsia" w:ascii="宋体" w:hAnsi="宋体" w:eastAsia="宋体" w:cs="宋体"/>
          <w:sz w:val="24"/>
          <w:szCs w:val="24"/>
          <w:highlight w:val="none"/>
          <w:lang w:val="en-US" w:eastAsia="zh-CN"/>
        </w:rPr>
        <w:t>合同价款及支付方式</w:t>
      </w:r>
    </w:p>
    <w:p>
      <w:pPr>
        <w:pStyle w:val="5"/>
        <w:keepNext w:val="0"/>
        <w:keepLines w:val="0"/>
        <w:pageBreakBefore w:val="0"/>
        <w:widowControl w:val="0"/>
        <w:numPr>
          <w:ilvl w:val="0"/>
          <w:numId w:val="0"/>
        </w:numPr>
        <w:kinsoku/>
        <w:wordWrap/>
        <w:overflowPunct/>
        <w:topLinePunct w:val="0"/>
        <w:autoSpaceDE/>
        <w:autoSpaceDN/>
        <w:bidi w:val="0"/>
        <w:spacing w:before="0" w:after="0" w:line="400" w:lineRule="exact"/>
        <w:ind w:firstLine="480" w:firstLineChars="200"/>
        <w:textAlignment w:va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2.1合同价款：单价：   元/吨；总价：   万元。</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2.2支付方式：</w:t>
      </w:r>
      <w:r>
        <w:rPr>
          <w:rFonts w:hint="eastAsia" w:ascii="宋体" w:hAnsi="宋体" w:eastAsia="宋体" w:cs="宋体"/>
          <w:sz w:val="24"/>
          <w:szCs w:val="24"/>
          <w:highlight w:val="none"/>
        </w:rPr>
        <w:t>甲乙双方每月根据四联单和地磅数据进行核对，</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rPr>
        <w:t>出具考核结果；乙方须在每季度结束后下一个月内根据核对结果和</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rPr>
        <w:t>考核结果，将上季度的结算量和费用书面通知</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rPr>
        <w:t>相关负责人确认，经</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rPr>
        <w:t>确认无误后，乙方于该月底前开具有效发票；</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rPr>
        <w:t>根据乙方开具的有效发票按流程支付费用。</w:t>
      </w:r>
    </w:p>
    <w:p>
      <w:pPr>
        <w:pStyle w:val="5"/>
        <w:keepNext w:val="0"/>
        <w:keepLines w:val="0"/>
        <w:pageBreakBefore w:val="0"/>
        <w:widowControl w:val="0"/>
        <w:numPr>
          <w:ilvl w:val="0"/>
          <w:numId w:val="0"/>
        </w:numPr>
        <w:kinsoku/>
        <w:wordWrap/>
        <w:overflowPunct/>
        <w:topLinePunct w:val="0"/>
        <w:autoSpaceDE/>
        <w:autoSpaceDN/>
        <w:bidi w:val="0"/>
        <w:spacing w:before="0" w:after="0"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第三条 考核</w:t>
      </w:r>
      <w:r>
        <w:rPr>
          <w:rFonts w:hint="eastAsia" w:ascii="宋体" w:hAnsi="宋体" w:eastAsia="宋体" w:cs="宋体"/>
          <w:sz w:val="24"/>
          <w:szCs w:val="24"/>
          <w:highlight w:val="none"/>
          <w:lang w:val="en-US" w:eastAsia="zh-CN"/>
        </w:rPr>
        <w:t>和验收</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3.1考核办法</w:t>
      </w:r>
      <w:r>
        <w:rPr>
          <w:rFonts w:hint="eastAsia" w:ascii="宋体" w:hAnsi="宋体" w:eastAsia="宋体" w:cs="宋体"/>
          <w:sz w:val="24"/>
          <w:szCs w:val="24"/>
          <w:highlight w:val="none"/>
          <w:lang w:val="en-US" w:eastAsia="zh-CN" w:bidi="ar-SA"/>
        </w:rPr>
        <w:t>：</w:t>
      </w:r>
      <w:r>
        <w:rPr>
          <w:rFonts w:hint="eastAsia" w:ascii="宋体" w:hAnsi="宋体" w:eastAsia="宋体" w:cs="宋体"/>
          <w:sz w:val="24"/>
          <w:szCs w:val="24"/>
          <w:highlight w:val="none"/>
          <w:lang w:val="en-US" w:eastAsia="zh-CN"/>
        </w:rPr>
        <w:t>按照《转运站渗滤液外运处置考核评分表》（见附件）进行考核。</w:t>
      </w:r>
      <w:r>
        <w:rPr>
          <w:rFonts w:hint="eastAsia" w:ascii="宋体" w:hAnsi="宋体" w:eastAsia="宋体" w:cs="宋体"/>
          <w:sz w:val="24"/>
          <w:szCs w:val="24"/>
          <w:highlight w:val="none"/>
          <w:lang w:eastAsia="zh-CN"/>
        </w:rPr>
        <w:t>考核记分周期为</w:t>
      </w:r>
      <w:r>
        <w:rPr>
          <w:rFonts w:hint="eastAsia" w:ascii="宋体" w:hAnsi="宋体" w:eastAsia="宋体" w:cs="宋体"/>
          <w:sz w:val="24"/>
          <w:szCs w:val="24"/>
          <w:highlight w:val="none"/>
          <w:lang w:val="en-US" w:eastAsia="zh-CN"/>
        </w:rPr>
        <w:t>1个自然月，当月考核扣分按</w:t>
      </w:r>
      <w:r>
        <w:rPr>
          <w:rFonts w:hint="eastAsia" w:ascii="宋体" w:hAnsi="宋体" w:eastAsia="宋体" w:cs="宋体"/>
          <w:sz w:val="24"/>
          <w:szCs w:val="24"/>
          <w:highlight w:val="none"/>
          <w:lang w:val="en-US" w:eastAsia="zh-CN"/>
        </w:rPr>
        <w:t>2000元/分从</w:t>
      </w:r>
      <w:r>
        <w:rPr>
          <w:rFonts w:hint="eastAsia" w:ascii="宋体" w:hAnsi="宋体" w:eastAsia="宋体" w:cs="宋体"/>
          <w:sz w:val="24"/>
          <w:szCs w:val="24"/>
          <w:highlight w:val="none"/>
          <w:lang w:val="en-US" w:eastAsia="zh-CN"/>
        </w:rPr>
        <w:t>服务费中扣除。</w:t>
      </w:r>
      <w:r>
        <w:rPr>
          <w:rFonts w:hint="eastAsia" w:ascii="宋体" w:hAnsi="宋体" w:eastAsia="宋体" w:cs="宋体"/>
          <w:sz w:val="24"/>
          <w:szCs w:val="24"/>
          <w:highlight w:val="none"/>
        </w:rPr>
        <w:t>对同一问题连续2个月出现的，</w:t>
      </w:r>
      <w:r>
        <w:rPr>
          <w:rFonts w:hint="eastAsia" w:ascii="宋体" w:hAnsi="宋体" w:eastAsia="宋体" w:cs="宋体"/>
          <w:bCs/>
          <w:sz w:val="24"/>
          <w:szCs w:val="24"/>
          <w:highlight w:val="none"/>
        </w:rPr>
        <w:t>次</w:t>
      </w:r>
      <w:r>
        <w:rPr>
          <w:rFonts w:hint="eastAsia" w:ascii="宋体" w:hAnsi="宋体" w:eastAsia="宋体" w:cs="宋体"/>
          <w:bCs/>
          <w:sz w:val="24"/>
          <w:szCs w:val="24"/>
          <w:highlight w:val="none"/>
          <w:lang w:val="en-US" w:eastAsia="zh-CN"/>
        </w:rPr>
        <w:t>月在考核办法规定的扣分分值基础上，加倍扣分扣款。</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每月的考核情况将在下月的前10个工作日内告知乙方。若乙方对考核结果有异议的，应于5个工作日内向采购人提出，采购人应及时回复。</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假设同一问题扣1分(对应罚款</w:t>
      </w:r>
      <w:r>
        <w:rPr>
          <w:rFonts w:hint="eastAsia" w:ascii="宋体" w:hAnsi="宋体" w:cs="宋体"/>
          <w:bCs/>
          <w:sz w:val="24"/>
          <w:szCs w:val="24"/>
          <w:highlight w:val="none"/>
          <w:lang w:val="en-US" w:eastAsia="zh-CN"/>
        </w:rPr>
        <w:t>2</w:t>
      </w:r>
      <w:r>
        <w:rPr>
          <w:rFonts w:hint="eastAsia" w:ascii="宋体" w:hAnsi="宋体" w:eastAsia="宋体" w:cs="宋体"/>
          <w:bCs/>
          <w:sz w:val="24"/>
          <w:szCs w:val="24"/>
          <w:highlight w:val="none"/>
          <w:lang w:val="en-US" w:eastAsia="zh-CN"/>
        </w:rPr>
        <w:t>000元)，连续出现几个月的扣罚明细如下(以类推):</w:t>
      </w:r>
    </w:p>
    <w:p>
      <w:pPr>
        <w:rPr>
          <w:highlight w:val="none"/>
        </w:rPr>
      </w:pP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9"/>
        <w:gridCol w:w="1969"/>
        <w:gridCol w:w="1969"/>
        <w:gridCol w:w="1971"/>
        <w:gridCol w:w="19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月份</w:t>
            </w:r>
          </w:p>
        </w:tc>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违规状态</w:t>
            </w:r>
          </w:p>
        </w:tc>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扣分倍数</w:t>
            </w:r>
          </w:p>
        </w:tc>
        <w:tc>
          <w:tcPr>
            <w:tcW w:w="1000"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实际扣分</w:t>
            </w:r>
          </w:p>
        </w:tc>
        <w:tc>
          <w:tcPr>
            <w:tcW w:w="1000"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罚款金额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1月</w:t>
            </w:r>
          </w:p>
        </w:tc>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首次出现</w:t>
            </w:r>
          </w:p>
        </w:tc>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1倍</w:t>
            </w:r>
          </w:p>
        </w:tc>
        <w:tc>
          <w:tcPr>
            <w:tcW w:w="1000"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1分</w:t>
            </w:r>
          </w:p>
        </w:tc>
        <w:tc>
          <w:tcPr>
            <w:tcW w:w="1000" w:type="pct"/>
          </w:tcPr>
          <w:p>
            <w:pPr>
              <w:rPr>
                <w:rFonts w:hint="eastAsia" w:ascii="宋体" w:hAnsi="宋体" w:eastAsia="宋体" w:cs="宋体"/>
                <w:sz w:val="24"/>
                <w:szCs w:val="24"/>
                <w:highlight w:val="none"/>
                <w:vertAlign w:val="baseli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2月</w:t>
            </w:r>
          </w:p>
        </w:tc>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连续重复</w:t>
            </w:r>
          </w:p>
        </w:tc>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 xml:space="preserve">2倍 </w:t>
            </w:r>
          </w:p>
        </w:tc>
        <w:tc>
          <w:tcPr>
            <w:tcW w:w="1000"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2.分</w:t>
            </w:r>
          </w:p>
        </w:tc>
        <w:tc>
          <w:tcPr>
            <w:tcW w:w="1000" w:type="pct"/>
          </w:tcPr>
          <w:p>
            <w:pPr>
              <w:rPr>
                <w:rFonts w:hint="eastAsia" w:ascii="宋体" w:hAnsi="宋体" w:eastAsia="宋体" w:cs="宋体"/>
                <w:sz w:val="24"/>
                <w:szCs w:val="24"/>
                <w:highlight w:val="none"/>
                <w:vertAlign w:val="baseli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3月</w:t>
            </w:r>
          </w:p>
        </w:tc>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再次重复</w:t>
            </w:r>
          </w:p>
        </w:tc>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2倍</w:t>
            </w:r>
          </w:p>
        </w:tc>
        <w:tc>
          <w:tcPr>
            <w:tcW w:w="1000"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2分</w:t>
            </w:r>
          </w:p>
        </w:tc>
        <w:tc>
          <w:tcPr>
            <w:tcW w:w="1000" w:type="pct"/>
          </w:tcPr>
          <w:p>
            <w:pPr>
              <w:rPr>
                <w:rFonts w:hint="eastAsia" w:ascii="宋体" w:hAnsi="宋体" w:eastAsia="宋体" w:cs="宋体"/>
                <w:sz w:val="24"/>
                <w:szCs w:val="24"/>
                <w:highlight w:val="none"/>
                <w:vertAlign w:val="baseli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4月</w:t>
            </w:r>
          </w:p>
        </w:tc>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再次重复</w:t>
            </w:r>
          </w:p>
        </w:tc>
        <w:tc>
          <w:tcPr>
            <w:tcW w:w="999"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2倍</w:t>
            </w:r>
          </w:p>
        </w:tc>
        <w:tc>
          <w:tcPr>
            <w:tcW w:w="1000" w:type="pct"/>
          </w:tcPr>
          <w:p>
            <w:pP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2分</w:t>
            </w:r>
          </w:p>
        </w:tc>
        <w:tc>
          <w:tcPr>
            <w:tcW w:w="1000" w:type="pct"/>
          </w:tcPr>
          <w:p>
            <w:pPr>
              <w:rPr>
                <w:rFonts w:hint="eastAsia" w:ascii="宋体" w:hAnsi="宋体" w:eastAsia="宋体" w:cs="宋体"/>
                <w:sz w:val="24"/>
                <w:szCs w:val="24"/>
                <w:highlight w:val="none"/>
                <w:vertAlign w:val="baseli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,000元</w:t>
            </w:r>
          </w:p>
        </w:tc>
      </w:tr>
    </w:tbl>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3.2 在合同约定的履约验收条件达到时，</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应及时启动履约验收工作，并向乙方发出《采购履约通知单》。</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根据合同条款和项目需求，组织验收。</w:t>
      </w:r>
    </w:p>
    <w:p>
      <w:pPr>
        <w:pStyle w:val="5"/>
        <w:keepNext w:val="0"/>
        <w:keepLines w:val="0"/>
        <w:pageBreakBefore w:val="0"/>
        <w:widowControl w:val="0"/>
        <w:numPr>
          <w:ilvl w:val="0"/>
          <w:numId w:val="0"/>
        </w:numPr>
        <w:kinsoku/>
        <w:wordWrap/>
        <w:overflowPunct/>
        <w:topLinePunct w:val="0"/>
        <w:autoSpaceDE/>
        <w:autoSpaceDN/>
        <w:bidi w:val="0"/>
        <w:spacing w:before="0" w:after="0" w:line="400" w:lineRule="exact"/>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第四条 </w:t>
      </w:r>
      <w:r>
        <w:rPr>
          <w:rFonts w:hint="eastAsia" w:ascii="宋体" w:hAnsi="宋体" w:eastAsia="宋体" w:cs="宋体"/>
          <w:sz w:val="24"/>
          <w:szCs w:val="24"/>
          <w:highlight w:val="none"/>
          <w:lang w:val="en-US" w:eastAsia="zh-CN"/>
        </w:rPr>
        <w:t>采购人权利义务</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4.1核对四联单数量和地磅计量数据，每月核对汇总；</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4.2依据考核办法，每月对乙方实施考核；</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4.3按合同要求支付乙方服务经费。</w:t>
      </w:r>
    </w:p>
    <w:p>
      <w:pPr>
        <w:pStyle w:val="5"/>
        <w:keepNext w:val="0"/>
        <w:keepLines w:val="0"/>
        <w:pageBreakBefore w:val="0"/>
        <w:widowControl w:val="0"/>
        <w:numPr>
          <w:ilvl w:val="0"/>
          <w:numId w:val="5"/>
        </w:numPr>
        <w:kinsoku/>
        <w:wordWrap/>
        <w:overflowPunct/>
        <w:topLinePunct w:val="0"/>
        <w:autoSpaceDE/>
        <w:autoSpaceDN/>
        <w:bidi w:val="0"/>
        <w:spacing w:before="0" w:after="0" w:line="400" w:lineRule="exact"/>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乙方权利义务</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5.1专用于本项目运输的罐式货车（或吸污车、吸粪车），需安装随车称重系统；</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5.2严格按操作规程和保养守则操作，确保车辆设备工况完好，不发生有责事故；</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5.3渗滤液运输车辆需及时将转运站产生的渗滤液运送至处置单位，不得影响转运站的安全环保运行，服从</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安排的渗滤液清运调配要求；</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5.4每次装载渗滤液后，确保工完场清，应清尽清；</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5.5渗滤液运输车辆需经市环卫中心核准并装配IC管理卡；</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5.6渗滤液需统一运至相应渗滤液处理单位进行处置，实际运输量经地磅称重计量；</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5.7渗滤液运输过程中需如实填写清运联单（四联单）作为依据；</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5.8运输车辆须装载GPS，建立监控平台，向</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开放端口，确保运输车辆按规定线路行驶，途中做到密闭运输，不得出现超载、超速、滴漏、偷排、混装其他污水或其他站点污水等情况；</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5.9车辆的渗滤液装车系统及排出系统应和转运站及处置单位相配套；</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5.10</w:t>
      </w:r>
      <w:r>
        <w:rPr>
          <w:rFonts w:hint="eastAsia" w:ascii="宋体" w:hAnsi="宋体" w:eastAsia="宋体" w:cs="宋体"/>
          <w:bCs/>
          <w:sz w:val="24"/>
          <w:szCs w:val="24"/>
          <w:highlight w:val="none"/>
          <w:lang w:val="en-US" w:eastAsia="zh-CN"/>
        </w:rPr>
        <w:t>两座转运站渗滤液在合同期限内（2年）产生量不超过36200吨的情况下，按单价据实结算；超过36200吨，按总价包干结算</w:t>
      </w:r>
      <w:r>
        <w:rPr>
          <w:rFonts w:hint="eastAsia" w:ascii="宋体" w:hAnsi="宋体" w:eastAsia="宋体" w:cs="宋体"/>
          <w:bCs/>
          <w:sz w:val="24"/>
          <w:szCs w:val="24"/>
          <w:highlight w:val="none"/>
          <w:lang w:val="en-US" w:eastAsia="zh-CN"/>
        </w:rPr>
        <w:t>；</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5.11处置单位确保达标排放，不发生安全环保等事故，不影响渗滤液正常处置。如装车、运输、处置等所有服务过程中发生有责事故，将由乙方承担；</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sz w:val="24"/>
          <w:szCs w:val="24"/>
          <w:highlight w:val="none"/>
          <w:lang w:val="en-US" w:eastAsia="zh-CN"/>
        </w:rPr>
        <w:t>5.12</w:t>
      </w:r>
      <w:r>
        <w:rPr>
          <w:rFonts w:hint="eastAsia" w:ascii="宋体" w:hAnsi="宋体" w:eastAsia="宋体" w:cs="宋体"/>
          <w:sz w:val="24"/>
          <w:szCs w:val="24"/>
          <w:highlight w:val="none"/>
        </w:rPr>
        <w:t>乙方对涉及</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rPr>
        <w:t>提供要求保密的有关资料予以保密，不得泄漏给任何第三方。本条款长期有效。</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5.13接受</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监管和考核。</w:t>
      </w:r>
    </w:p>
    <w:p>
      <w:pPr>
        <w:pStyle w:val="5"/>
        <w:keepNext w:val="0"/>
        <w:keepLines w:val="0"/>
        <w:pageBreakBefore w:val="0"/>
        <w:widowControl w:val="0"/>
        <w:numPr>
          <w:ilvl w:val="0"/>
          <w:numId w:val="5"/>
        </w:numPr>
        <w:kinsoku/>
        <w:wordWrap/>
        <w:overflowPunct/>
        <w:topLinePunct w:val="0"/>
        <w:autoSpaceDE/>
        <w:autoSpaceDN/>
        <w:bidi w:val="0"/>
        <w:spacing w:before="0" w:after="0" w:line="400" w:lineRule="exact"/>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违约责任</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lang w:val="en-US" w:eastAsia="zh-CN"/>
        </w:rPr>
        <w:t>1乙方明示不能按时提供服务，或服务不合格</w:t>
      </w:r>
      <w:r>
        <w:rPr>
          <w:rFonts w:hint="eastAsia" w:ascii="宋体" w:hAnsi="宋体" w:eastAsia="宋体" w:cs="宋体"/>
          <w:bCs/>
          <w:sz w:val="24"/>
          <w:szCs w:val="24"/>
          <w:highlight w:val="none"/>
          <w:lang w:val="en-US" w:eastAsia="zh-CN"/>
        </w:rPr>
        <w:t>，影响</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转运站</w:t>
      </w:r>
      <w:r>
        <w:rPr>
          <w:rFonts w:hint="eastAsia" w:ascii="宋体" w:hAnsi="宋体" w:eastAsia="宋体" w:cs="宋体"/>
          <w:bCs/>
          <w:strike/>
          <w:dstrike w:val="0"/>
          <w:sz w:val="24"/>
          <w:szCs w:val="24"/>
          <w:highlight w:val="none"/>
          <w:lang w:val="en-US" w:eastAsia="zh-CN"/>
        </w:rPr>
        <w:t>按期</w:t>
      </w:r>
      <w:r>
        <w:rPr>
          <w:rFonts w:hint="eastAsia" w:ascii="宋体" w:hAnsi="宋体" w:eastAsia="宋体" w:cs="宋体"/>
          <w:bCs/>
          <w:sz w:val="24"/>
          <w:szCs w:val="24"/>
          <w:highlight w:val="none"/>
          <w:lang w:val="en-US" w:eastAsia="zh-CN"/>
        </w:rPr>
        <w:t>正常运行使用的，</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有权解除合同，乙方应返还已支付的服务价款，并向</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赔偿合同总价款10%的违约金，违约金不足以补偿损失的，</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有权要求乙方补足。</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6.2乙方未按指定的时间提供服务的</w:t>
      </w:r>
      <w:r>
        <w:rPr>
          <w:rFonts w:hint="eastAsia" w:ascii="宋体" w:hAnsi="宋体" w:eastAsia="宋体" w:cs="宋体"/>
          <w:bCs/>
          <w:sz w:val="24"/>
          <w:szCs w:val="24"/>
          <w:highlight w:val="none"/>
          <w:lang w:val="en-US" w:eastAsia="zh-CN"/>
        </w:rPr>
        <w:t>，应与</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协商，</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仍</w:t>
      </w:r>
      <w:r>
        <w:rPr>
          <w:rFonts w:hint="eastAsia" w:ascii="宋体" w:hAnsi="宋体" w:eastAsia="宋体" w:cs="宋体"/>
          <w:bCs/>
          <w:sz w:val="24"/>
          <w:szCs w:val="24"/>
          <w:highlight w:val="none"/>
          <w:lang w:val="en-US" w:eastAsia="zh-CN"/>
        </w:rPr>
        <w:t>有</w:t>
      </w:r>
      <w:r>
        <w:rPr>
          <w:rFonts w:hint="eastAsia" w:ascii="宋体" w:hAnsi="宋体" w:eastAsia="宋体" w:cs="宋体"/>
          <w:bCs/>
          <w:sz w:val="24"/>
          <w:szCs w:val="24"/>
          <w:highlight w:val="none"/>
          <w:lang w:val="en-US" w:eastAsia="zh-CN"/>
        </w:rPr>
        <w:t>需求的，乙方应尽快完成未履行服务期内任务，并按照未提供服务数量（渗滤液量）费用的万分之四支付服务违约金。该违约金不影响考核扣分扣减服务价款事项的执行。</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6.3乙方不得将本项目转包给任何第三方，否则</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有权解除合同，乙方应返还服务价款并按照合同金额的10%支付违约金。</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6.4乙方未经招标人同意擅自将本项目部分服务分包给第三方的，</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有权解除合同，乙方应返还服务价款并按照合同金额的10%支付违约金。</w:t>
      </w:r>
    </w:p>
    <w:p>
      <w:pPr>
        <w:pStyle w:val="5"/>
        <w:keepNext w:val="0"/>
        <w:keepLines w:val="0"/>
        <w:pageBreakBefore w:val="0"/>
        <w:widowControl w:val="0"/>
        <w:numPr>
          <w:ilvl w:val="0"/>
          <w:numId w:val="5"/>
        </w:numPr>
        <w:kinsoku/>
        <w:wordWrap/>
        <w:overflowPunct/>
        <w:topLinePunct w:val="0"/>
        <w:autoSpaceDE/>
        <w:autoSpaceDN/>
        <w:bidi w:val="0"/>
        <w:spacing w:before="0" w:after="0" w:line="400" w:lineRule="exact"/>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合同的变更与解除</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7.1</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和乙方都不得擅自变更本合同，但合同继续履行将损害国家和社会公共利益的除外。如必须对合同条款进行改动时，当事人双方须共同签署书面文件，作为合同的补充，并报同级政府采购监督管理部门备案。</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7.2.</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lang w:val="en-US" w:eastAsia="zh-CN"/>
        </w:rPr>
        <w:t>和乙方协商一致，可以解除合同。有下列情形之一，合同一方可以解除合同：</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（1）因不可抗力致使不能实现合同目的，未受不可抗力影响的一方有权解除合同。</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（2）因合同一方违约导致合同不能履行，另一方有权解除合同。</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（3）有权解除合同的一方，应当在违约事实或不可抗力发生之后三十天内书面通知对方以主张解除合同，合同在书面通知到达对方时解除。</w:t>
      </w:r>
    </w:p>
    <w:p>
      <w:pPr>
        <w:pStyle w:val="5"/>
        <w:keepNext w:val="0"/>
        <w:keepLines w:val="0"/>
        <w:pageBreakBefore w:val="0"/>
        <w:widowControl w:val="0"/>
        <w:numPr>
          <w:ilvl w:val="0"/>
          <w:numId w:val="5"/>
        </w:numPr>
        <w:kinsoku/>
        <w:wordWrap/>
        <w:overflowPunct/>
        <w:topLinePunct w:val="0"/>
        <w:autoSpaceDE/>
        <w:autoSpaceDN/>
        <w:bidi w:val="0"/>
        <w:spacing w:before="0" w:after="0" w:line="400" w:lineRule="exact"/>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争议解决</w:t>
      </w:r>
    </w:p>
    <w:p>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凡因本合同引起的或与本合同有关的任何争议，双方应友好协商解决；协商不成的，向</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rPr>
        <w:t>所在地法院提起诉讼。</w:t>
      </w:r>
    </w:p>
    <w:p>
      <w:pPr>
        <w:pStyle w:val="5"/>
        <w:keepNext w:val="0"/>
        <w:keepLines w:val="0"/>
        <w:pageBreakBefore w:val="0"/>
        <w:widowControl w:val="0"/>
        <w:numPr>
          <w:ilvl w:val="0"/>
          <w:numId w:val="5"/>
        </w:numPr>
        <w:kinsoku/>
        <w:wordWrap/>
        <w:overflowPunct/>
        <w:topLinePunct w:val="0"/>
        <w:autoSpaceDE/>
        <w:autoSpaceDN/>
        <w:bidi w:val="0"/>
        <w:spacing w:before="0" w:after="0" w:line="400" w:lineRule="exact"/>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其他</w:t>
      </w:r>
    </w:p>
    <w:p>
      <w:pPr>
        <w:keepNext w:val="0"/>
        <w:keepLines w:val="0"/>
        <w:pageBreakBefore w:val="0"/>
        <w:widowControl w:val="0"/>
        <w:tabs>
          <w:tab w:val="left" w:pos="210"/>
          <w:tab w:val="left" w:pos="840"/>
          <w:tab w:val="left" w:pos="1155"/>
        </w:tabs>
        <w:kinsoku/>
        <w:wordWrap/>
        <w:overflowPunct/>
        <w:topLinePunct w:val="0"/>
        <w:autoSpaceDE/>
        <w:autoSpaceDN/>
        <w:bidi w:val="0"/>
        <w:adjustRightInd w:val="0"/>
        <w:snapToGrid w:val="0"/>
        <w:spacing w:line="400" w:lineRule="exact"/>
        <w:ind w:left="0"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9.1 本合同附件为合同不可分割的组成部分，与本合同具有同等法律效力。</w:t>
      </w:r>
    </w:p>
    <w:p>
      <w:pPr>
        <w:keepNext w:val="0"/>
        <w:keepLines w:val="0"/>
        <w:pageBreakBefore w:val="0"/>
        <w:widowControl w:val="0"/>
        <w:tabs>
          <w:tab w:val="left" w:pos="210"/>
          <w:tab w:val="left" w:pos="840"/>
          <w:tab w:val="left" w:pos="1155"/>
        </w:tabs>
        <w:kinsoku/>
        <w:wordWrap/>
        <w:overflowPunct/>
        <w:topLinePunct w:val="0"/>
        <w:autoSpaceDE/>
        <w:autoSpaceDN/>
        <w:bidi w:val="0"/>
        <w:adjustRightInd w:val="0"/>
        <w:snapToGrid w:val="0"/>
        <w:spacing w:line="400" w:lineRule="exact"/>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9.2 </w:t>
      </w:r>
      <w:r>
        <w:rPr>
          <w:rFonts w:hint="eastAsia" w:ascii="宋体" w:hAnsi="宋体" w:eastAsia="宋体" w:cs="宋体"/>
          <w:bCs/>
          <w:sz w:val="24"/>
          <w:szCs w:val="24"/>
          <w:highlight w:val="none"/>
        </w:rPr>
        <w:t>合同一式</w:t>
      </w:r>
      <w:r>
        <w:rPr>
          <w:rFonts w:hint="eastAsia" w:ascii="宋体" w:hAnsi="宋体" w:eastAsia="宋体" w:cs="宋体"/>
          <w:bCs/>
          <w:sz w:val="24"/>
          <w:szCs w:val="24"/>
          <w:highlight w:val="none"/>
          <w:lang w:val="en-US" w:eastAsia="zh-CN"/>
        </w:rPr>
        <w:t>伍</w:t>
      </w:r>
      <w:r>
        <w:rPr>
          <w:rFonts w:hint="eastAsia" w:ascii="宋体" w:hAnsi="宋体" w:eastAsia="宋体" w:cs="宋体"/>
          <w:bCs/>
          <w:sz w:val="24"/>
          <w:szCs w:val="24"/>
          <w:highlight w:val="none"/>
        </w:rPr>
        <w:t>份，</w:t>
      </w:r>
      <w:r>
        <w:rPr>
          <w:rFonts w:hint="eastAsia" w:ascii="宋体" w:hAnsi="宋体" w:eastAsia="宋体" w:cs="宋体"/>
          <w:bCs/>
          <w:sz w:val="24"/>
          <w:szCs w:val="24"/>
          <w:highlight w:val="none"/>
          <w:lang w:eastAsia="zh-CN"/>
        </w:rPr>
        <w:t>甲乙</w:t>
      </w:r>
      <w:r>
        <w:rPr>
          <w:rFonts w:hint="eastAsia" w:ascii="宋体" w:hAnsi="宋体" w:eastAsia="宋体" w:cs="宋体"/>
          <w:bCs/>
          <w:sz w:val="24"/>
          <w:szCs w:val="24"/>
          <w:highlight w:val="none"/>
        </w:rPr>
        <w:t>双方各执</w:t>
      </w:r>
      <w:r>
        <w:rPr>
          <w:rFonts w:hint="eastAsia" w:ascii="宋体" w:hAnsi="宋体" w:eastAsia="宋体" w:cs="宋体"/>
          <w:bCs/>
          <w:sz w:val="24"/>
          <w:szCs w:val="24"/>
          <w:highlight w:val="none"/>
          <w:lang w:val="en-US" w:eastAsia="zh-CN"/>
        </w:rPr>
        <w:t>贰</w:t>
      </w:r>
      <w:r>
        <w:rPr>
          <w:rFonts w:hint="eastAsia" w:ascii="宋体" w:hAnsi="宋体" w:eastAsia="宋体" w:cs="宋体"/>
          <w:bCs/>
          <w:sz w:val="24"/>
          <w:szCs w:val="24"/>
          <w:highlight w:val="none"/>
        </w:rPr>
        <w:t>份，</w:t>
      </w:r>
      <w:r>
        <w:rPr>
          <w:rFonts w:hint="eastAsia" w:ascii="宋体" w:hAnsi="宋体" w:eastAsia="宋体" w:cs="宋体"/>
          <w:bCs/>
          <w:sz w:val="24"/>
          <w:szCs w:val="24"/>
          <w:highlight w:val="none"/>
          <w:lang w:eastAsia="zh-CN"/>
        </w:rPr>
        <w:t>江苏博智工程咨询有限公司</w:t>
      </w:r>
      <w:r>
        <w:rPr>
          <w:rFonts w:hint="eastAsia" w:ascii="宋体" w:hAnsi="宋体" w:eastAsia="宋体" w:cs="宋体"/>
          <w:bCs/>
          <w:sz w:val="24"/>
          <w:szCs w:val="24"/>
          <w:highlight w:val="none"/>
          <w:lang w:val="en-US" w:eastAsia="zh-CN"/>
        </w:rPr>
        <w:t>壹</w:t>
      </w:r>
      <w:r>
        <w:rPr>
          <w:rFonts w:hint="eastAsia" w:ascii="宋体" w:hAnsi="宋体" w:eastAsia="宋体" w:cs="宋体"/>
          <w:bCs/>
          <w:sz w:val="24"/>
          <w:szCs w:val="24"/>
          <w:highlight w:val="none"/>
        </w:rPr>
        <w:t>份。本合同由</w:t>
      </w:r>
      <w:r>
        <w:rPr>
          <w:rFonts w:hint="eastAsia" w:ascii="宋体" w:hAnsi="宋体" w:eastAsia="宋体" w:cs="宋体"/>
          <w:bCs/>
          <w:sz w:val="24"/>
          <w:szCs w:val="24"/>
          <w:highlight w:val="none"/>
          <w:lang w:eastAsia="zh-CN"/>
        </w:rPr>
        <w:t>甲乙</w:t>
      </w:r>
      <w:r>
        <w:rPr>
          <w:rFonts w:hint="eastAsia" w:ascii="宋体" w:hAnsi="宋体" w:eastAsia="宋体" w:cs="宋体"/>
          <w:bCs/>
          <w:sz w:val="24"/>
          <w:szCs w:val="24"/>
          <w:highlight w:val="none"/>
        </w:rPr>
        <w:t>双</w:t>
      </w:r>
      <w:r>
        <w:rPr>
          <w:rFonts w:hint="eastAsia" w:ascii="宋体" w:hAnsi="宋体" w:eastAsia="宋体" w:cs="宋体"/>
          <w:bCs/>
          <w:sz w:val="24"/>
          <w:szCs w:val="24"/>
          <w:highlight w:val="none"/>
        </w:rPr>
        <w:t>方</w:t>
      </w:r>
      <w:r>
        <w:rPr>
          <w:rFonts w:hint="eastAsia" w:ascii="宋体" w:hAnsi="宋体" w:eastAsia="宋体" w:cs="宋体"/>
          <w:bCs/>
          <w:sz w:val="24"/>
          <w:szCs w:val="24"/>
          <w:highlight w:val="none"/>
          <w:u w:val="none"/>
        </w:rPr>
        <w:t>法定代表人或授权代表签字、加盖公章</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rPr>
        <w:t>并经</w:t>
      </w:r>
      <w:r>
        <w:rPr>
          <w:rFonts w:hint="eastAsia" w:ascii="宋体" w:hAnsi="宋体" w:eastAsia="宋体" w:cs="宋体"/>
          <w:bCs/>
          <w:sz w:val="24"/>
          <w:szCs w:val="24"/>
          <w:highlight w:val="none"/>
          <w:lang w:eastAsia="zh-CN"/>
        </w:rPr>
        <w:t>江苏博智工程咨询有限公司</w:t>
      </w:r>
      <w:r>
        <w:rPr>
          <w:rFonts w:hint="eastAsia" w:ascii="宋体" w:hAnsi="宋体" w:eastAsia="宋体" w:cs="宋体"/>
          <w:bCs/>
          <w:sz w:val="24"/>
          <w:szCs w:val="24"/>
          <w:highlight w:val="none"/>
        </w:rPr>
        <w:t>见证后生效。</w:t>
      </w:r>
    </w:p>
    <w:p>
      <w:pPr>
        <w:pStyle w:val="5"/>
        <w:keepNext w:val="0"/>
        <w:keepLines w:val="0"/>
        <w:pageBreakBefore w:val="0"/>
        <w:widowControl w:val="0"/>
        <w:kinsoku/>
        <w:wordWrap/>
        <w:overflowPunct/>
        <w:topLinePunct w:val="0"/>
        <w:autoSpaceDE/>
        <w:autoSpaceDN/>
        <w:bidi w:val="0"/>
        <w:spacing w:beforeLines="0" w:afterLines="0" w:line="580" w:lineRule="exact"/>
        <w:ind w:left="0" w:leftChars="0" w:firstLine="480" w:firstLineChars="200"/>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spacing w:line="580" w:lineRule="exact"/>
        <w:jc w:val="center"/>
        <w:textAlignment w:val="auto"/>
        <w:outlineLvl w:val="0"/>
        <w:rPr>
          <w:rFonts w:hint="eastAsia" w:ascii="宋体" w:hAnsi="宋体" w:eastAsia="宋体" w:cs="宋体"/>
          <w:b/>
          <w:sz w:val="24"/>
          <w:szCs w:val="24"/>
          <w:highlight w:val="none"/>
        </w:rPr>
      </w:pPr>
    </w:p>
    <w:p>
      <w:pPr>
        <w:keepNext w:val="0"/>
        <w:keepLines w:val="0"/>
        <w:pageBreakBefore w:val="0"/>
        <w:widowControl w:val="0"/>
        <w:kinsoku/>
        <w:wordWrap/>
        <w:overflowPunct/>
        <w:topLinePunct w:val="0"/>
        <w:autoSpaceDE/>
        <w:autoSpaceDN/>
        <w:bidi w:val="0"/>
        <w:spacing w:line="580" w:lineRule="exact"/>
        <w:jc w:val="center"/>
        <w:textAlignment w:val="auto"/>
        <w:outlineLvl w:val="0"/>
        <w:rPr>
          <w:rFonts w:hint="eastAsia" w:ascii="宋体" w:hAnsi="宋体" w:eastAsia="宋体" w:cs="宋体"/>
          <w:b/>
          <w:sz w:val="24"/>
          <w:szCs w:val="24"/>
          <w:highlight w:val="none"/>
        </w:rPr>
      </w:pPr>
    </w:p>
    <w:p>
      <w:pPr>
        <w:keepNext w:val="0"/>
        <w:keepLines w:val="0"/>
        <w:pageBreakBefore w:val="0"/>
        <w:widowControl w:val="0"/>
        <w:kinsoku/>
        <w:wordWrap/>
        <w:overflowPunct/>
        <w:topLinePunct w:val="0"/>
        <w:autoSpaceDE/>
        <w:autoSpaceDN/>
        <w:bidi w:val="0"/>
        <w:spacing w:line="580" w:lineRule="exact"/>
        <w:ind w:left="0" w:leftChars="0" w:firstLine="0" w:firstLineChars="0"/>
        <w:jc w:val="both"/>
        <w:textAlignment w:val="auto"/>
        <w:outlineLvl w:val="0"/>
        <w:rPr>
          <w:rFonts w:hint="eastAsia" w:ascii="宋体" w:hAnsi="宋体" w:eastAsia="宋体" w:cs="宋体"/>
          <w:b/>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580" w:lineRule="exact"/>
        <w:textAlignment w:val="auto"/>
        <w:rPr>
          <w:rFonts w:hint="eastAsia" w:ascii="宋体" w:hAnsi="宋体" w:eastAsia="宋体" w:cs="宋体"/>
          <w:bCs/>
          <w:sz w:val="24"/>
          <w:szCs w:val="24"/>
          <w:highlight w:val="none"/>
          <w:u w:val="single"/>
        </w:rPr>
      </w:pP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rPr>
        <w:t xml:space="preserve">（采购人）：（盖章）   </w:t>
      </w:r>
      <w:r>
        <w:rPr>
          <w:rFonts w:hint="eastAsia" w:ascii="宋体" w:hAnsi="宋体" w:eastAsia="宋体" w:cs="宋体"/>
          <w:bCs/>
          <w:sz w:val="24"/>
          <w:szCs w:val="24"/>
          <w:highlight w:val="none"/>
          <w:lang w:val="en-US" w:eastAsia="zh-CN"/>
        </w:rPr>
        <w:t xml:space="preserve">                 乙</w:t>
      </w:r>
      <w:r>
        <w:rPr>
          <w:rFonts w:hint="eastAsia" w:ascii="宋体" w:hAnsi="宋体" w:eastAsia="宋体" w:cs="宋体"/>
          <w:bCs/>
          <w:sz w:val="24"/>
          <w:szCs w:val="24"/>
          <w:highlight w:val="none"/>
        </w:rPr>
        <w:t>方（中标方）：（盖章）</w:t>
      </w:r>
    </w:p>
    <w:p>
      <w:pPr>
        <w:keepNext w:val="0"/>
        <w:keepLines w:val="0"/>
        <w:pageBreakBefore w:val="0"/>
        <w:widowControl w:val="0"/>
        <w:kinsoku/>
        <w:wordWrap/>
        <w:overflowPunct/>
        <w:topLinePunct w:val="0"/>
        <w:autoSpaceDE/>
        <w:autoSpaceDN/>
        <w:bidi w:val="0"/>
        <w:adjustRightInd w:val="0"/>
        <w:snapToGrid w:val="0"/>
        <w:spacing w:line="580" w:lineRule="exact"/>
        <w:textAlignment w:val="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法定（授权）代表人：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法定（授权）代表人：</w:t>
      </w:r>
    </w:p>
    <w:p>
      <w:pPr>
        <w:keepNext w:val="0"/>
        <w:keepLines w:val="0"/>
        <w:pageBreakBefore w:val="0"/>
        <w:widowControl w:val="0"/>
        <w:kinsoku/>
        <w:wordWrap/>
        <w:overflowPunct/>
        <w:topLinePunct w:val="0"/>
        <w:autoSpaceDE/>
        <w:autoSpaceDN/>
        <w:bidi w:val="0"/>
        <w:adjustRightInd w:val="0"/>
        <w:snapToGrid w:val="0"/>
        <w:spacing w:line="58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日                      </w:t>
      </w:r>
    </w:p>
    <w:p>
      <w:pPr>
        <w:keepNext w:val="0"/>
        <w:keepLines w:val="0"/>
        <w:pageBreakBefore w:val="0"/>
        <w:widowControl w:val="0"/>
        <w:kinsoku/>
        <w:wordWrap/>
        <w:overflowPunct/>
        <w:topLinePunct w:val="0"/>
        <w:autoSpaceDE/>
        <w:autoSpaceDN/>
        <w:bidi w:val="0"/>
        <w:adjustRightInd w:val="0"/>
        <w:snapToGrid w:val="0"/>
        <w:spacing w:line="580" w:lineRule="exact"/>
        <w:textAlignment w:val="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供方户名：</w:t>
      </w:r>
    </w:p>
    <w:p>
      <w:pPr>
        <w:keepNext w:val="0"/>
        <w:keepLines w:val="0"/>
        <w:pageBreakBefore w:val="0"/>
        <w:widowControl w:val="0"/>
        <w:kinsoku/>
        <w:wordWrap/>
        <w:overflowPunct/>
        <w:topLinePunct w:val="0"/>
        <w:autoSpaceDE/>
        <w:autoSpaceDN/>
        <w:bidi w:val="0"/>
        <w:adjustRightInd w:val="0"/>
        <w:snapToGrid w:val="0"/>
        <w:spacing w:line="580" w:lineRule="exact"/>
        <w:textAlignment w:val="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供方开户银行：</w:t>
      </w:r>
    </w:p>
    <w:p>
      <w:pPr>
        <w:keepNext w:val="0"/>
        <w:keepLines w:val="0"/>
        <w:pageBreakBefore w:val="0"/>
        <w:widowControl w:val="0"/>
        <w:kinsoku/>
        <w:wordWrap/>
        <w:overflowPunct/>
        <w:topLinePunct w:val="0"/>
        <w:autoSpaceDE/>
        <w:autoSpaceDN/>
        <w:bidi w:val="0"/>
        <w:adjustRightInd w:val="0"/>
        <w:snapToGrid w:val="0"/>
        <w:spacing w:line="580" w:lineRule="exact"/>
        <w:textAlignment w:val="auto"/>
        <w:outlineLvl w:val="0"/>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供方</w:t>
      </w:r>
      <w:r>
        <w:rPr>
          <w:rFonts w:hint="eastAsia" w:ascii="宋体" w:hAnsi="宋体" w:eastAsia="宋体" w:cs="宋体"/>
          <w:bCs/>
          <w:sz w:val="24"/>
          <w:szCs w:val="24"/>
          <w:highlight w:val="none"/>
          <w:lang w:eastAsia="zh-CN"/>
        </w:rPr>
        <w:t>账号</w:t>
      </w:r>
      <w:r>
        <w:rPr>
          <w:rFonts w:hint="eastAsia" w:ascii="宋体" w:hAnsi="宋体" w:eastAsia="宋体" w:cs="宋体"/>
          <w:bCs/>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580" w:lineRule="exact"/>
        <w:textAlignment w:val="auto"/>
        <w:outlineLvl w:val="0"/>
        <w:rPr>
          <w:rFonts w:hint="eastAsia" w:ascii="宋体" w:hAnsi="宋体" w:eastAsia="宋体" w:cs="宋体"/>
          <w:bCs/>
          <w:sz w:val="24"/>
          <w:szCs w:val="24"/>
          <w:highlight w:val="none"/>
        </w:rPr>
      </w:pPr>
      <w:r>
        <w:rPr>
          <w:rFonts w:hint="eastAsia" w:ascii="宋体" w:hAnsi="宋体" w:eastAsia="宋体" w:cs="宋体"/>
          <w:bCs/>
          <w:sz w:val="24"/>
          <w:szCs w:val="24"/>
          <w:highlight w:val="none"/>
        </w:rPr>
        <w:t>见证方： （盖章）</w:t>
      </w:r>
    </w:p>
    <w:p>
      <w:pPr>
        <w:keepNext w:val="0"/>
        <w:keepLines w:val="0"/>
        <w:pageBreakBefore w:val="0"/>
        <w:widowControl w:val="0"/>
        <w:kinsoku/>
        <w:wordWrap/>
        <w:overflowPunct/>
        <w:topLinePunct w:val="0"/>
        <w:autoSpaceDE/>
        <w:autoSpaceDN/>
        <w:bidi w:val="0"/>
        <w:adjustRightInd w:val="0"/>
        <w:snapToGrid w:val="0"/>
        <w:spacing w:line="580" w:lineRule="exact"/>
        <w:textAlignment w:val="auto"/>
        <w:outlineLvl w:val="0"/>
        <w:rPr>
          <w:rFonts w:hint="eastAsia" w:ascii="宋体" w:hAnsi="宋体" w:eastAsia="宋体" w:cs="宋体"/>
          <w:bCs/>
          <w:sz w:val="24"/>
          <w:szCs w:val="24"/>
          <w:highlight w:val="none"/>
        </w:rPr>
      </w:pPr>
      <w:r>
        <w:rPr>
          <w:rFonts w:hint="eastAsia" w:ascii="宋体" w:hAnsi="宋体" w:eastAsia="宋体" w:cs="宋体"/>
          <w:bCs/>
          <w:sz w:val="24"/>
          <w:szCs w:val="24"/>
          <w:highlight w:val="none"/>
        </w:rPr>
        <w:t>见证人：</w:t>
      </w:r>
    </w:p>
    <w:p>
      <w:pPr>
        <w:keepNext w:val="0"/>
        <w:keepLines w:val="0"/>
        <w:pageBreakBefore w:val="0"/>
        <w:widowControl w:val="0"/>
        <w:kinsoku/>
        <w:wordWrap/>
        <w:overflowPunct/>
        <w:topLinePunct w:val="0"/>
        <w:autoSpaceDE/>
        <w:autoSpaceDN/>
        <w:bidi w:val="0"/>
        <w:adjustRightInd w:val="0"/>
        <w:snapToGrid w:val="0"/>
        <w:spacing w:line="580" w:lineRule="exact"/>
        <w:textAlignment w:val="auto"/>
        <w:outlineLvl w:val="0"/>
        <w:rPr>
          <w:rFonts w:hint="eastAsia" w:ascii="宋体" w:hAnsi="宋体" w:eastAsia="宋体" w:cs="宋体"/>
          <w:bCs/>
          <w:sz w:val="24"/>
          <w:szCs w:val="24"/>
          <w:highlight w:val="none"/>
        </w:rPr>
      </w:pP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日  </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5"/>
        <w:bidi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附件1</w:t>
      </w:r>
    </w:p>
    <w:tbl>
      <w:tblPr>
        <w:tblStyle w:val="35"/>
        <w:tblW w:w="10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38"/>
        <w:gridCol w:w="3875"/>
        <w:gridCol w:w="4212"/>
        <w:gridCol w:w="800"/>
        <w:gridCol w:w="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7" w:hRule="atLeast"/>
          <w:jc w:val="center"/>
        </w:trPr>
        <w:tc>
          <w:tcPr>
            <w:tcW w:w="10626" w:type="dxa"/>
            <w:gridSpan w:val="5"/>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转运站渗滤液外运处置考核评分表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5" w:hRule="atLeast"/>
          <w:jc w:val="center"/>
        </w:trPr>
        <w:tc>
          <w:tcPr>
            <w:tcW w:w="83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考核项目</w:t>
            </w: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考核内容</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扣分标准</w:t>
            </w:r>
          </w:p>
        </w:tc>
        <w:tc>
          <w:tcPr>
            <w:tcW w:w="80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扣分</w:t>
            </w:r>
          </w:p>
        </w:tc>
        <w:tc>
          <w:tcPr>
            <w:tcW w:w="901"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7" w:hRule="atLeast"/>
          <w:jc w:val="center"/>
        </w:trPr>
        <w:tc>
          <w:tcPr>
            <w:tcW w:w="838" w:type="dxa"/>
            <w:vMerge w:val="restart"/>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一、装载30分</w:t>
            </w: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1、运输车辆进站后与站内对接，正常装载渗滤液。</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装载过程发生事故影响转运站正常运行的，每站每次扣2分。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3"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2、装载完毕后工完场清。</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因装载渗滤液导致周围环境较差的，每次扣1分。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3、服从转运站的现场指挥。</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如有不服从指挥情况，每车次扣1分。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4"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4、及时清运站内渗滤液，确保转运站正常达标运行。</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如不能及时清运，每次扣1分；因未及时清运导致站点环保指标超标，引起污水管道被封的，每次扣2分；因未及时清运导致站点环保指标超标的被环保部门处罚的，每次扣3分。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3" w:hRule="atLeast"/>
          <w:jc w:val="center"/>
        </w:trPr>
        <w:tc>
          <w:tcPr>
            <w:tcW w:w="838" w:type="dxa"/>
            <w:vMerge w:val="restart"/>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二、运输25分</w:t>
            </w: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1、GPS、IC卡、随车称重系统等可正常使用。</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如有因服务单位自身原因导致无法正常使用的，每车次扣2分。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8"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2、车容车貌整洁。</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如有不整洁现象，每车次扣1分。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3"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3、运输车辆不发生超载、超速，文明驾驶；不发生有责事故。</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如有发现超速及其他不文明驾驶行为，每车次扣1分；超载5%-10%，每车次扣1分；超载10-30%，每车次扣2分；超载30%以上，每车次扣3分；发生有责事故，导致渗滤液泄漏的，每次扣5分。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8"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4、运输车辆途中确保密闭运输，不得出现抛洒滴漏等现象。</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发现一车次扣</w:t>
            </w: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5、运输过程按规定线路行驶，不得出现偷排或者装入其他废水等情况。</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发现一车次扣5分。（该项不设分值限制）</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5"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6、专车专用，不得挪作他用。</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发现一车次扣5分。（该项不设分值限制）</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838" w:type="dxa"/>
            <w:vMerge w:val="restart"/>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三、处置25分</w:t>
            </w: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1、渗滤液处置达标排放，正常运行，不发生环保事故。</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如有指标未达标情况，每次扣2分；如有收到相关部门处罚、督查或投诉情况，每次扣5分。如有因此导致的停业整顿情况，每次扣10分。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2、处置过程不得有偷排、漏排情况。</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发现一车次扣5分。（该项不设分值限制）</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0" w:hRule="atLeast"/>
          <w:jc w:val="center"/>
        </w:trPr>
        <w:tc>
          <w:tcPr>
            <w:tcW w:w="838" w:type="dxa"/>
            <w:vMerge w:val="restart"/>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四、其他20分</w:t>
            </w: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1、运输车辆需按要求填写清运联单，存根交市环卫中心管理。</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未按要求填写的，发现一车次扣1分；未及时交付的，发现一车次扣1分。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48"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2、清运的渗滤液需经过合格的地磅称重系统记录，如有特殊情况需手工记录的，需驾驶员、地磅房管理人员共同签字并同时告知市环卫中心确认。</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如有擅自手工记录输入的，发现一车次扣2分。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25"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3、安全管理制度完善、有效落实，未发生安全责任事故。</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发现安全隐患问题的每项（处）扣1分；发生人员重伤、死亡事故或重大财产事故每次扣10分（此项不受总分限制）。</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7"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4、不发生舆论负面影响。</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产生舆论负面影响，每次扣5分。</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2"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5、对人员安全、起火等事件应在1小时内告知市环卫中心，24小时内提交书面报告。</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事件发生后迟报、瞒报、漏报，扣5分/次。</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5" w:hRule="atLeast"/>
          <w:jc w:val="center"/>
        </w:trPr>
        <w:tc>
          <w:tcPr>
            <w:tcW w:w="838"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387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6、服从市环卫中心的管理和调度。</w:t>
            </w:r>
          </w:p>
        </w:tc>
        <w:tc>
          <w:tcPr>
            <w:tcW w:w="4212"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不配合相关工作的，扣5分/次。</w:t>
            </w:r>
          </w:p>
        </w:tc>
        <w:tc>
          <w:tcPr>
            <w:tcW w:w="800"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center"/>
              <w:rPr>
                <w:rFonts w:hint="eastAsia" w:ascii="宋体" w:hAnsi="宋体" w:eastAsia="宋体" w:cs="宋体"/>
                <w:i w:val="0"/>
                <w:iCs w:val="0"/>
                <w:color w:val="000000"/>
                <w:sz w:val="24"/>
                <w:szCs w:val="24"/>
                <w:highlight w:val="none"/>
                <w:u w:val="none"/>
              </w:rPr>
            </w:pP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2" w:hRule="atLeast"/>
          <w:jc w:val="center"/>
        </w:trPr>
        <w:tc>
          <w:tcPr>
            <w:tcW w:w="8925" w:type="dxa"/>
            <w:gridSpan w:val="3"/>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扣分合计</w:t>
            </w:r>
          </w:p>
        </w:tc>
        <w:tc>
          <w:tcPr>
            <w:tcW w:w="80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w:t>
            </w: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5" w:hRule="atLeast"/>
          <w:jc w:val="center"/>
        </w:trPr>
        <w:tc>
          <w:tcPr>
            <w:tcW w:w="8925" w:type="dxa"/>
            <w:gridSpan w:val="3"/>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得分</w:t>
            </w:r>
          </w:p>
        </w:tc>
        <w:tc>
          <w:tcPr>
            <w:tcW w:w="80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01" w:type="dxa"/>
            <w:shd w:val="clear" w:color="auto" w:fill="auto"/>
            <w:vAlign w:val="center"/>
          </w:tcPr>
          <w:p>
            <w:pPr>
              <w:keepNext w:val="0"/>
              <w:keepLines w:val="0"/>
              <w:pageBreakBefore w:val="0"/>
              <w:kinsoku/>
              <w:wordWrap/>
              <w:overflowPunct/>
              <w:topLinePunct w:val="0"/>
              <w:autoSpaceDE/>
              <w:autoSpaceDN/>
              <w:bidi w:val="0"/>
              <w:adjustRightInd/>
              <w:snapToGrid/>
              <w:spacing w:line="360" w:lineRule="exact"/>
              <w:ind w:firstLine="0" w:firstLineChars="0"/>
              <w:jc w:val="left"/>
              <w:rPr>
                <w:rFonts w:hint="eastAsia" w:ascii="宋体" w:hAnsi="宋体" w:eastAsia="宋体" w:cs="宋体"/>
                <w:i w:val="0"/>
                <w:iCs w:val="0"/>
                <w:color w:val="000000"/>
                <w:sz w:val="24"/>
                <w:szCs w:val="24"/>
                <w:highlight w:val="none"/>
                <w:u w:val="none"/>
              </w:rPr>
            </w:pP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r>
    </w:p>
    <w:p>
      <w:pPr>
        <w:pStyle w:val="5"/>
        <w:bidi w:val="0"/>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附件2</w:t>
      </w:r>
    </w:p>
    <w:p>
      <w:pPr>
        <w:jc w:val="both"/>
        <w:rPr>
          <w:rFonts w:hint="eastAsia" w:ascii="宋体" w:hAnsi="宋体" w:eastAsia="宋体" w:cs="宋体"/>
          <w:sz w:val="24"/>
          <w:szCs w:val="24"/>
          <w:highlight w:val="none"/>
          <w:lang w:val="en-US" w:eastAsia="zh-CN"/>
        </w:rPr>
      </w:pPr>
    </w:p>
    <w:p>
      <w:pPr>
        <w:pStyle w:val="4"/>
        <w:bidi w:val="0"/>
        <w:rPr>
          <w:rFonts w:hint="eastAsia" w:ascii="宋体" w:hAnsi="宋体" w:eastAsia="宋体" w:cs="宋体"/>
          <w:sz w:val="24"/>
          <w:szCs w:val="24"/>
          <w:highlight w:val="none"/>
        </w:rPr>
      </w:pPr>
      <w:r>
        <w:rPr>
          <w:rFonts w:hint="eastAsia" w:ascii="宋体" w:hAnsi="宋体" w:eastAsia="宋体" w:cs="宋体"/>
          <w:sz w:val="24"/>
          <w:szCs w:val="24"/>
          <w:highlight w:val="none"/>
        </w:rPr>
        <w:t>无锡市大型生活垃圾转运站渗滤液清运联单</w:t>
      </w:r>
    </w:p>
    <w:p>
      <w:pPr>
        <w:ind w:left="0" w:leftChars="0" w:firstLine="0" w:firstLineChars="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日</w:t>
      </w:r>
      <w:r>
        <w:rPr>
          <w:rFonts w:hint="eastAsia" w:ascii="宋体" w:hAnsi="宋体" w:eastAsia="宋体" w:cs="宋体"/>
          <w:sz w:val="24"/>
          <w:szCs w:val="24"/>
          <w:highlight w:val="none"/>
        </w:rPr>
        <w:t>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NO.________</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9"/>
        <w:gridCol w:w="1449"/>
        <w:gridCol w:w="1154"/>
        <w:gridCol w:w="2041"/>
        <w:gridCol w:w="1154"/>
        <w:gridCol w:w="1745"/>
        <w:gridCol w:w="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产生单位</w:t>
            </w:r>
          </w:p>
        </w:tc>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委托时间</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车牌号</w:t>
            </w:r>
          </w:p>
        </w:tc>
        <w:tc>
          <w:tcPr>
            <w:tcW w:w="10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载重量（吨）</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实载量</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（吨）</w:t>
            </w:r>
          </w:p>
        </w:tc>
        <w:tc>
          <w:tcPr>
            <w:tcW w:w="8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产生单位</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负责人签名</w:t>
            </w:r>
          </w:p>
        </w:tc>
        <w:tc>
          <w:tcPr>
            <w:tcW w:w="4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p>
        </w:tc>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时  分</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10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8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4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运输单位</w:t>
            </w:r>
          </w:p>
        </w:tc>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离站时间</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车牌号</w:t>
            </w:r>
          </w:p>
        </w:tc>
        <w:tc>
          <w:tcPr>
            <w:tcW w:w="10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载重量（吨）</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实载量</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（吨）</w:t>
            </w:r>
          </w:p>
        </w:tc>
        <w:tc>
          <w:tcPr>
            <w:tcW w:w="8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运输单位</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经手人签名</w:t>
            </w:r>
          </w:p>
        </w:tc>
        <w:tc>
          <w:tcPr>
            <w:tcW w:w="4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时  分</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10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8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4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接纳单位</w:t>
            </w:r>
          </w:p>
        </w:tc>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接收时间</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车牌号</w:t>
            </w:r>
          </w:p>
        </w:tc>
        <w:tc>
          <w:tcPr>
            <w:tcW w:w="10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载重量（吨）</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实载量</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（吨）</w:t>
            </w:r>
          </w:p>
        </w:tc>
        <w:tc>
          <w:tcPr>
            <w:tcW w:w="8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接纳</w:t>
            </w:r>
            <w:r>
              <w:rPr>
                <w:rFonts w:hint="eastAsia" w:ascii="宋体" w:hAnsi="宋体" w:eastAsia="宋体" w:cs="宋体"/>
                <w:color w:val="000000"/>
                <w:sz w:val="24"/>
                <w:szCs w:val="24"/>
                <w:highlight w:val="none"/>
              </w:rPr>
              <w:t>单位</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经手人签名</w:t>
            </w:r>
          </w:p>
        </w:tc>
        <w:tc>
          <w:tcPr>
            <w:tcW w:w="4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7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时  分</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10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5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88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435" w:type="pct"/>
            <w:noWrap/>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r>
    </w:tbl>
    <w:p>
      <w:pPr>
        <w:keepNext w:val="0"/>
        <w:keepLines w:val="0"/>
        <w:pageBreakBefore w:val="0"/>
        <w:widowControl w:val="0"/>
        <w:kinsoku/>
        <w:wordWrap/>
        <w:overflowPunct/>
        <w:topLinePunct w:val="0"/>
        <w:autoSpaceDE/>
        <w:autoSpaceDN/>
        <w:bidi w:val="0"/>
        <w:adjustRightInd/>
        <w:snapToGrid/>
        <w:spacing w:line="500" w:lineRule="exact"/>
        <w:ind w:lef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备注：1、此任务单1车次1单、1式4份，为渗滤液外运处理费用的结算依据；</w:t>
      </w:r>
    </w:p>
    <w:p>
      <w:pPr>
        <w:keepNext w:val="0"/>
        <w:keepLines w:val="0"/>
        <w:pageBreakBefore w:val="0"/>
        <w:widowControl w:val="0"/>
        <w:kinsoku/>
        <w:wordWrap/>
        <w:overflowPunct/>
        <w:topLinePunct w:val="0"/>
        <w:autoSpaceDE/>
        <w:autoSpaceDN/>
        <w:bidi w:val="0"/>
        <w:adjustRightInd/>
        <w:snapToGrid/>
        <w:spacing w:line="500" w:lineRule="exact"/>
        <w:ind w:left="0" w:hanging="21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2、此任务单由各转运站负责开出，负责人填写完毕并签字后交运输单位经手人填写并签字后，运输车辆方可驶离该站；</w:t>
      </w:r>
    </w:p>
    <w:p>
      <w:pPr>
        <w:keepNext w:val="0"/>
        <w:keepLines w:val="0"/>
        <w:pageBreakBefore w:val="0"/>
        <w:widowControl w:val="0"/>
        <w:kinsoku/>
        <w:wordWrap/>
        <w:overflowPunct/>
        <w:topLinePunct w:val="0"/>
        <w:autoSpaceDE/>
        <w:autoSpaceDN/>
        <w:bidi w:val="0"/>
        <w:adjustRightInd/>
        <w:snapToGrid/>
        <w:spacing w:line="500" w:lineRule="exact"/>
        <w:ind w:lef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3、运输单位经手人将渗滤液运送至</w:t>
      </w:r>
      <w:r>
        <w:rPr>
          <w:rFonts w:hint="eastAsia" w:ascii="宋体" w:hAnsi="宋体" w:eastAsia="宋体" w:cs="宋体"/>
          <w:sz w:val="24"/>
          <w:szCs w:val="24"/>
          <w:highlight w:val="none"/>
        </w:rPr>
        <w:t>接纳单位</w:t>
      </w:r>
      <w:r>
        <w:rPr>
          <w:rFonts w:hint="eastAsia" w:ascii="宋体" w:hAnsi="宋体" w:eastAsia="宋体" w:cs="宋体"/>
          <w:sz w:val="24"/>
          <w:szCs w:val="24"/>
          <w:highlight w:val="none"/>
        </w:rPr>
        <w:t>时，应将清运联单交</w:t>
      </w:r>
      <w:r>
        <w:rPr>
          <w:rFonts w:hint="eastAsia" w:ascii="宋体" w:hAnsi="宋体" w:eastAsia="宋体" w:cs="宋体"/>
          <w:sz w:val="24"/>
          <w:szCs w:val="24"/>
          <w:highlight w:val="none"/>
        </w:rPr>
        <w:t>接纳单位</w:t>
      </w:r>
      <w:r>
        <w:rPr>
          <w:rFonts w:hint="eastAsia" w:ascii="宋体" w:hAnsi="宋体" w:eastAsia="宋体" w:cs="宋体"/>
          <w:sz w:val="24"/>
          <w:szCs w:val="24"/>
          <w:highlight w:val="none"/>
        </w:rPr>
        <w:t>经手人填写并签字后方可排放；</w:t>
      </w:r>
    </w:p>
    <w:p>
      <w:pPr>
        <w:keepNext w:val="0"/>
        <w:keepLines w:val="0"/>
        <w:pageBreakBefore w:val="0"/>
        <w:widowControl w:val="0"/>
        <w:kinsoku/>
        <w:wordWrap/>
        <w:overflowPunct/>
        <w:topLinePunct w:val="0"/>
        <w:autoSpaceDE/>
        <w:autoSpaceDN/>
        <w:bidi w:val="0"/>
        <w:adjustRightInd/>
        <w:snapToGrid/>
        <w:spacing w:line="500" w:lineRule="exact"/>
        <w:ind w:lef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4、渗滤液</w:t>
      </w:r>
      <w:r>
        <w:rPr>
          <w:rFonts w:hint="eastAsia" w:ascii="宋体" w:hAnsi="宋体" w:eastAsia="宋体" w:cs="宋体"/>
          <w:sz w:val="24"/>
          <w:szCs w:val="24"/>
          <w:highlight w:val="none"/>
        </w:rPr>
        <w:t>接纳单位</w:t>
      </w:r>
      <w:r>
        <w:rPr>
          <w:rFonts w:hint="eastAsia" w:ascii="宋体" w:hAnsi="宋体" w:eastAsia="宋体" w:cs="宋体"/>
          <w:sz w:val="24"/>
          <w:szCs w:val="24"/>
          <w:highlight w:val="none"/>
        </w:rPr>
        <w:t>填写完毕并签字后，留存1份，其余3份交运输单位；</w:t>
      </w:r>
    </w:p>
    <w:p>
      <w:pPr>
        <w:keepNext w:val="0"/>
        <w:keepLines w:val="0"/>
        <w:pageBreakBefore w:val="0"/>
        <w:widowControl w:val="0"/>
        <w:kinsoku/>
        <w:wordWrap/>
        <w:overflowPunct/>
        <w:topLinePunct w:val="0"/>
        <w:autoSpaceDE/>
        <w:autoSpaceDN/>
        <w:bidi w:val="0"/>
        <w:adjustRightInd/>
        <w:snapToGrid/>
        <w:spacing w:line="500" w:lineRule="exact"/>
        <w:ind w:left="0" w:hanging="21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5、运输单位收到</w:t>
      </w:r>
      <w:r>
        <w:rPr>
          <w:rFonts w:hint="eastAsia" w:ascii="宋体" w:hAnsi="宋体" w:eastAsia="宋体" w:cs="宋体"/>
          <w:sz w:val="24"/>
          <w:szCs w:val="24"/>
          <w:highlight w:val="none"/>
        </w:rPr>
        <w:t>接纳单位</w:t>
      </w:r>
      <w:r>
        <w:rPr>
          <w:rFonts w:hint="eastAsia" w:ascii="宋体" w:hAnsi="宋体" w:eastAsia="宋体" w:cs="宋体"/>
          <w:sz w:val="24"/>
          <w:szCs w:val="24"/>
          <w:highlight w:val="none"/>
        </w:rPr>
        <w:t>所给任务单，留存1份，其余1份返回渗滤液产生单位，1份交予无锡市环境卫生管理服务中心；</w:t>
      </w:r>
    </w:p>
    <w:p>
      <w:pPr>
        <w:keepNext w:val="0"/>
        <w:keepLines w:val="0"/>
        <w:pageBreakBefore w:val="0"/>
        <w:widowControl w:val="0"/>
        <w:kinsoku/>
        <w:wordWrap/>
        <w:overflowPunct/>
        <w:topLinePunct w:val="0"/>
        <w:autoSpaceDE/>
        <w:autoSpaceDN/>
        <w:bidi w:val="0"/>
        <w:adjustRightInd/>
        <w:snapToGrid/>
        <w:spacing w:line="500" w:lineRule="exact"/>
        <w:ind w:lef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6、无锡市环境卫生管理服务中心将随机检查清运联单的实施情况，并纳入考核。</w:t>
      </w:r>
    </w:p>
    <w:p>
      <w:pPr>
        <w:outlineLvl w:val="0"/>
        <w:rPr>
          <w:rFonts w:ascii="黑体" w:eastAsia="黑体"/>
          <w:bCs/>
          <w:color w:val="000000"/>
          <w:sz w:val="28"/>
          <w:szCs w:val="28"/>
          <w:highlight w:val="none"/>
        </w:rPr>
      </w:pPr>
    </w:p>
    <w:p>
      <w:pPr>
        <w:pStyle w:val="41"/>
        <w:rPr>
          <w:rFonts w:ascii="黑体" w:eastAsia="黑体"/>
          <w:bCs/>
          <w:color w:val="000000"/>
          <w:sz w:val="28"/>
          <w:szCs w:val="28"/>
          <w:highlight w:val="none"/>
        </w:rPr>
      </w:pPr>
    </w:p>
    <w:p>
      <w:pPr>
        <w:pStyle w:val="15"/>
        <w:ind w:left="1680"/>
        <w:rPr>
          <w:rFonts w:ascii="黑体" w:eastAsia="黑体"/>
          <w:bCs/>
          <w:color w:val="000000"/>
          <w:sz w:val="28"/>
          <w:szCs w:val="28"/>
          <w:highlight w:val="none"/>
        </w:rPr>
      </w:pPr>
    </w:p>
    <w:p>
      <w:pPr>
        <w:rPr>
          <w:rFonts w:ascii="黑体" w:eastAsia="黑体"/>
          <w:bCs/>
          <w:color w:val="000000"/>
          <w:sz w:val="28"/>
          <w:szCs w:val="28"/>
          <w:highlight w:val="none"/>
        </w:rPr>
      </w:pPr>
    </w:p>
    <w:p>
      <w:pPr>
        <w:rPr>
          <w:rFonts w:ascii="黑体" w:eastAsia="黑体"/>
          <w:bCs/>
          <w:color w:val="000000"/>
          <w:sz w:val="28"/>
          <w:szCs w:val="28"/>
          <w:highlight w:val="none"/>
        </w:rPr>
      </w:pPr>
    </w:p>
    <w:p>
      <w:pPr>
        <w:rPr>
          <w:rFonts w:ascii="黑体" w:eastAsia="黑体"/>
          <w:bCs/>
          <w:color w:val="000000"/>
          <w:sz w:val="28"/>
          <w:szCs w:val="28"/>
          <w:highlight w:val="none"/>
        </w:rPr>
      </w:pPr>
    </w:p>
    <w:p>
      <w:pPr>
        <w:rPr>
          <w:rFonts w:ascii="黑体" w:eastAsia="黑体"/>
          <w:bCs/>
          <w:color w:val="000000"/>
          <w:sz w:val="28"/>
          <w:szCs w:val="28"/>
          <w:highlight w:val="none"/>
        </w:rPr>
      </w:pPr>
    </w:p>
    <w:p>
      <w:pPr>
        <w:rPr>
          <w:rFonts w:ascii="黑体" w:eastAsia="黑体"/>
          <w:bCs/>
          <w:color w:val="000000"/>
          <w:sz w:val="28"/>
          <w:szCs w:val="28"/>
          <w:highlight w:val="none"/>
        </w:rPr>
      </w:pPr>
    </w:p>
    <w:p>
      <w:pPr>
        <w:rPr>
          <w:rFonts w:ascii="黑体" w:eastAsia="黑体"/>
          <w:bCs/>
          <w:color w:val="000000"/>
          <w:sz w:val="28"/>
          <w:szCs w:val="28"/>
          <w:highlight w:val="none"/>
        </w:rPr>
      </w:pPr>
    </w:p>
    <w:p>
      <w:pPr>
        <w:rPr>
          <w:rFonts w:ascii="黑体" w:eastAsia="黑体"/>
          <w:bCs/>
          <w:color w:val="000000"/>
          <w:sz w:val="28"/>
          <w:szCs w:val="28"/>
          <w:highlight w:val="none"/>
        </w:rPr>
      </w:pPr>
    </w:p>
    <w:p>
      <w:pPr>
        <w:pStyle w:val="41"/>
        <w:ind w:left="0" w:leftChars="0" w:firstLine="0" w:firstLineChars="0"/>
        <w:rPr>
          <w:rFonts w:ascii="黑体" w:eastAsia="黑体"/>
          <w:bCs/>
          <w:color w:val="000000"/>
          <w:sz w:val="28"/>
          <w:szCs w:val="28"/>
          <w:highlight w:val="none"/>
        </w:rPr>
      </w:pPr>
    </w:p>
    <w:p>
      <w:pPr>
        <w:pStyle w:val="41"/>
        <w:rPr>
          <w:rFonts w:ascii="黑体" w:eastAsia="黑体"/>
          <w:bCs/>
          <w:color w:val="000000"/>
          <w:sz w:val="28"/>
          <w:szCs w:val="28"/>
          <w:highlight w:val="none"/>
        </w:rPr>
      </w:pPr>
    </w:p>
    <w:p>
      <w:pPr>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五.附件</w:t>
      </w:r>
      <w:bookmarkEnd w:id="12"/>
    </w:p>
    <w:p>
      <w:pPr>
        <w:jc w:val="left"/>
        <w:outlineLvl w:val="1"/>
        <w:rPr>
          <w:rFonts w:ascii="黑体" w:eastAsia="黑体"/>
          <w:bCs/>
          <w:color w:val="000000"/>
          <w:sz w:val="24"/>
          <w:szCs w:val="24"/>
          <w:highlight w:val="none"/>
        </w:rPr>
      </w:pPr>
      <w:r>
        <w:rPr>
          <w:rFonts w:hint="eastAsia" w:ascii="黑体" w:eastAsia="黑体"/>
          <w:bCs/>
          <w:color w:val="000000"/>
          <w:sz w:val="24"/>
          <w:szCs w:val="24"/>
          <w:highlight w:val="none"/>
        </w:rPr>
        <w:t>附件一：评分标准</w:t>
      </w:r>
    </w:p>
    <w:p>
      <w:pPr>
        <w:tabs>
          <w:tab w:val="left" w:pos="1155"/>
          <w:tab w:val="left" w:pos="1365"/>
        </w:tabs>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本次评标采用综合评估法</w:t>
      </w:r>
      <w:r>
        <w:rPr>
          <w:rFonts w:hint="eastAsia" w:ascii="宋体" w:hAnsi="宋体" w:cs="宋体"/>
          <w:color w:val="000000"/>
          <w:sz w:val="24"/>
          <w:szCs w:val="24"/>
          <w:highlight w:val="none"/>
        </w:rPr>
        <w:t>，评标总分100分，其中</w:t>
      </w:r>
      <w:r>
        <w:rPr>
          <w:rFonts w:hint="eastAsia" w:ascii="宋体" w:hAnsi="宋体" w:cs="宋体"/>
          <w:bCs/>
          <w:color w:val="000000"/>
          <w:sz w:val="24"/>
          <w:szCs w:val="24"/>
          <w:highlight w:val="none"/>
        </w:rPr>
        <w:t>报价</w:t>
      </w:r>
      <w:r>
        <w:rPr>
          <w:rFonts w:hint="eastAsia" w:ascii="宋体" w:hAnsi="宋体" w:cs="宋体"/>
          <w:bCs/>
          <w:color w:val="000000"/>
          <w:sz w:val="24"/>
          <w:szCs w:val="24"/>
          <w:highlight w:val="none"/>
          <w:lang w:val="en-US" w:eastAsia="zh-CN"/>
        </w:rPr>
        <w:t>20</w:t>
      </w:r>
      <w:r>
        <w:rPr>
          <w:rFonts w:hint="eastAsia" w:ascii="宋体" w:hAnsi="宋体" w:cs="宋体"/>
          <w:bCs/>
          <w:color w:val="000000"/>
          <w:sz w:val="24"/>
          <w:szCs w:val="24"/>
          <w:highlight w:val="none"/>
        </w:rPr>
        <w:t>分</w:t>
      </w:r>
      <w:r>
        <w:rPr>
          <w:rFonts w:hint="eastAsia" w:ascii="宋体" w:hAnsi="宋体" w:cs="宋体"/>
          <w:bCs/>
          <w:color w:val="000000"/>
          <w:sz w:val="24"/>
          <w:highlight w:val="none"/>
        </w:rPr>
        <w:t>，</w:t>
      </w:r>
      <w:r>
        <w:rPr>
          <w:rFonts w:hint="eastAsia" w:ascii="宋体" w:hAnsi="宋体" w:cs="宋体"/>
          <w:bCs/>
          <w:sz w:val="24"/>
          <w:highlight w:val="none"/>
        </w:rPr>
        <w:t>投标供应商评价</w:t>
      </w:r>
      <w:r>
        <w:rPr>
          <w:rFonts w:hint="eastAsia" w:ascii="宋体" w:hAnsi="宋体" w:cs="宋体"/>
          <w:bCs/>
          <w:sz w:val="24"/>
          <w:highlight w:val="none"/>
          <w:lang w:val="en-US" w:eastAsia="zh-CN"/>
        </w:rPr>
        <w:t>20</w:t>
      </w:r>
      <w:r>
        <w:rPr>
          <w:rFonts w:hint="eastAsia" w:ascii="宋体" w:hAnsi="宋体" w:cs="宋体"/>
          <w:bCs/>
          <w:sz w:val="24"/>
          <w:highlight w:val="none"/>
        </w:rPr>
        <w:t>分</w:t>
      </w:r>
      <w:r>
        <w:rPr>
          <w:rFonts w:hint="eastAsia" w:ascii="宋体" w:hAnsi="宋体" w:cs="宋体"/>
          <w:bCs/>
          <w:color w:val="000000"/>
          <w:sz w:val="24"/>
          <w:szCs w:val="24"/>
          <w:highlight w:val="none"/>
        </w:rPr>
        <w:t>，技术文件（服务方案）</w:t>
      </w:r>
      <w:r>
        <w:rPr>
          <w:rFonts w:hint="eastAsia" w:ascii="宋体" w:hAnsi="宋体" w:cs="宋体"/>
          <w:bCs/>
          <w:color w:val="000000"/>
          <w:sz w:val="24"/>
          <w:szCs w:val="24"/>
          <w:highlight w:val="none"/>
          <w:lang w:val="en-US" w:eastAsia="zh-CN"/>
        </w:rPr>
        <w:t>60</w:t>
      </w:r>
      <w:r>
        <w:rPr>
          <w:rFonts w:hint="eastAsia" w:ascii="宋体" w:hAnsi="宋体" w:cs="宋体"/>
          <w:bCs/>
          <w:color w:val="000000"/>
          <w:sz w:val="24"/>
          <w:szCs w:val="24"/>
          <w:highlight w:val="none"/>
        </w:rPr>
        <w:t>分。若得分相同时，则以投标报价由低到高顺序排序；若得分相同的情况下投标报价也相同时，则按技术指标优劣顺序排序。</w:t>
      </w:r>
    </w:p>
    <w:p>
      <w:pPr>
        <w:spacing w:line="360" w:lineRule="auto"/>
        <w:outlineLvl w:val="3"/>
        <w:rPr>
          <w:rFonts w:ascii="宋体" w:hAnsi="宋体" w:cs="宋体"/>
          <w:b/>
          <w:color w:val="000000"/>
          <w:sz w:val="24"/>
          <w:szCs w:val="24"/>
          <w:highlight w:val="none"/>
        </w:rPr>
      </w:pPr>
      <w:bookmarkStart w:id="13" w:name="_Toc21224"/>
      <w:r>
        <w:rPr>
          <w:rFonts w:hint="eastAsia" w:ascii="宋体" w:hAnsi="宋体" w:cs="宋体"/>
          <w:b/>
          <w:bCs/>
          <w:color w:val="000000"/>
          <w:sz w:val="24"/>
          <w:szCs w:val="24"/>
          <w:highlight w:val="none"/>
        </w:rPr>
        <w:t>一、</w:t>
      </w:r>
      <w:bookmarkEnd w:id="13"/>
      <w:r>
        <w:rPr>
          <w:rFonts w:hint="eastAsia" w:ascii="宋体" w:hAnsi="宋体" w:cs="宋体"/>
          <w:b/>
          <w:color w:val="000000"/>
          <w:sz w:val="24"/>
          <w:szCs w:val="24"/>
          <w:highlight w:val="none"/>
        </w:rPr>
        <w:t xml:space="preserve"> 报价（</w:t>
      </w:r>
      <w:r>
        <w:rPr>
          <w:rFonts w:hint="eastAsia" w:ascii="宋体" w:hAnsi="宋体" w:cs="宋体"/>
          <w:b/>
          <w:color w:val="000000"/>
          <w:sz w:val="24"/>
          <w:szCs w:val="24"/>
          <w:highlight w:val="none"/>
          <w:lang w:val="en-US" w:eastAsia="zh-CN"/>
        </w:rPr>
        <w:t>20</w:t>
      </w:r>
      <w:r>
        <w:rPr>
          <w:rFonts w:hint="eastAsia" w:ascii="宋体" w:hAnsi="宋体" w:cs="宋体"/>
          <w:b/>
          <w:color w:val="000000"/>
          <w:sz w:val="24"/>
          <w:szCs w:val="24"/>
          <w:highlight w:val="none"/>
        </w:rPr>
        <w:t>分）</w:t>
      </w:r>
    </w:p>
    <w:p>
      <w:pPr>
        <w:tabs>
          <w:tab w:val="left" w:pos="945"/>
          <w:tab w:val="left" w:pos="1155"/>
        </w:tabs>
        <w:spacing w:line="360" w:lineRule="auto"/>
        <w:ind w:firstLine="600"/>
        <w:jc w:val="left"/>
        <w:rPr>
          <w:rFonts w:ascii="宋体" w:hAnsi="宋体" w:cs="宋体"/>
          <w:color w:val="000000"/>
          <w:sz w:val="24"/>
          <w:szCs w:val="24"/>
          <w:highlight w:val="none"/>
        </w:rPr>
      </w:pPr>
      <w:r>
        <w:rPr>
          <w:rFonts w:hint="eastAsia" w:ascii="宋体" w:hAnsi="宋体"/>
          <w:bCs/>
          <w:color w:val="000000"/>
          <w:sz w:val="24"/>
          <w:szCs w:val="24"/>
          <w:highlight w:val="none"/>
        </w:rPr>
        <w:t>采用低价优先法计算，即满足招标文件要求且投标价格最低的投标报价为评标基准价，其价格分为满分。其他投标人的价格分统一按照下列公式计算</w:t>
      </w:r>
      <w:r>
        <w:rPr>
          <w:rFonts w:hint="eastAsia" w:ascii="宋体" w:hAnsi="宋体" w:cs="宋体"/>
          <w:color w:val="000000"/>
          <w:sz w:val="24"/>
          <w:szCs w:val="24"/>
          <w:highlight w:val="none"/>
        </w:rPr>
        <w:t>：</w:t>
      </w:r>
    </w:p>
    <w:p>
      <w:pPr>
        <w:spacing w:line="360" w:lineRule="auto"/>
        <w:ind w:firstLine="480"/>
        <w:rPr>
          <w:rFonts w:hint="eastAsia" w:ascii="宋体" w:hAnsi="宋体"/>
          <w:bCs/>
          <w:color w:val="000000"/>
          <w:sz w:val="24"/>
          <w:szCs w:val="24"/>
          <w:highlight w:val="none"/>
        </w:rPr>
      </w:pPr>
      <w:bookmarkStart w:id="14" w:name="_Toc1317"/>
      <w:r>
        <w:rPr>
          <w:rFonts w:hint="eastAsia" w:ascii="宋体" w:hAnsi="宋体"/>
          <w:bCs/>
          <w:color w:val="000000"/>
          <w:sz w:val="24"/>
          <w:szCs w:val="24"/>
          <w:highlight w:val="none"/>
        </w:rPr>
        <w:t>投标报价得分=(评标基准价／投标报价)×价格权值×100</w:t>
      </w:r>
      <w:bookmarkEnd w:id="14"/>
    </w:p>
    <w:p>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价格扣除：专门面向中小/小微企业的项目除外。</w:t>
      </w:r>
    </w:p>
    <w:p>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①对小型和微型企业产品的价格给予10</w:t>
      </w:r>
      <w:r>
        <w:rPr>
          <w:rFonts w:ascii="宋体" w:hAnsi="宋体"/>
          <w:bCs/>
          <w:color w:val="000000"/>
          <w:sz w:val="24"/>
          <w:szCs w:val="24"/>
          <w:highlight w:val="none"/>
        </w:rPr>
        <w:t>%</w:t>
      </w:r>
      <w:r>
        <w:rPr>
          <w:rFonts w:hint="eastAsia" w:ascii="宋体" w:hAnsi="宋体"/>
          <w:bCs/>
          <w:color w:val="000000"/>
          <w:sz w:val="24"/>
          <w:szCs w:val="24"/>
          <w:highlight w:val="none"/>
        </w:rPr>
        <w:t>的扣除，用扣除后的价格参与评审。参加投标的中小企业，应当按照《政府采购促进中小企业发展管理办法》</w:t>
      </w:r>
      <w:r>
        <w:rPr>
          <w:rFonts w:ascii="宋体" w:hAnsi="宋体"/>
          <w:bCs/>
          <w:color w:val="000000"/>
          <w:sz w:val="24"/>
          <w:szCs w:val="24"/>
          <w:highlight w:val="none"/>
        </w:rPr>
        <w:t>（财库﹝2020﹞46 号）</w:t>
      </w:r>
      <w:r>
        <w:rPr>
          <w:rFonts w:hint="eastAsia" w:ascii="宋体" w:hAnsi="宋体"/>
          <w:bCs/>
          <w:color w:val="000000"/>
          <w:sz w:val="24"/>
          <w:szCs w:val="24"/>
          <w:highlight w:val="none"/>
        </w:rPr>
        <w:t>的规定提供《中小企业声明函》（货物/</w:t>
      </w:r>
      <w:r>
        <w:rPr>
          <w:rFonts w:ascii="宋体" w:hAnsi="宋体"/>
          <w:bCs/>
          <w:color w:val="000000"/>
          <w:sz w:val="24"/>
          <w:szCs w:val="24"/>
          <w:highlight w:val="none"/>
        </w:rPr>
        <w:t>服务</w:t>
      </w:r>
      <w:r>
        <w:rPr>
          <w:rFonts w:hint="eastAsia" w:ascii="宋体" w:hAnsi="宋体"/>
          <w:bCs/>
          <w:color w:val="000000"/>
          <w:sz w:val="24"/>
          <w:szCs w:val="24"/>
          <w:highlight w:val="none"/>
        </w:rPr>
        <w:t>）（中小企业划型标准详见《关于印发中小企业划型标准规定的通知》工信部联企业〔</w:t>
      </w:r>
      <w:r>
        <w:rPr>
          <w:rFonts w:ascii="宋体" w:hAnsi="宋体"/>
          <w:bCs/>
          <w:color w:val="000000"/>
          <w:sz w:val="24"/>
          <w:szCs w:val="24"/>
          <w:highlight w:val="none"/>
        </w:rPr>
        <w:t>2011</w:t>
      </w:r>
      <w:r>
        <w:rPr>
          <w:rFonts w:hint="eastAsia" w:ascii="宋体" w:hAnsi="宋体"/>
          <w:bCs/>
          <w:color w:val="000000"/>
          <w:sz w:val="24"/>
          <w:szCs w:val="24"/>
          <w:highlight w:val="none"/>
        </w:rPr>
        <w:t>〕</w:t>
      </w:r>
      <w:r>
        <w:rPr>
          <w:rFonts w:ascii="宋体" w:hAnsi="宋体"/>
          <w:bCs/>
          <w:color w:val="000000"/>
          <w:sz w:val="24"/>
          <w:szCs w:val="24"/>
          <w:highlight w:val="none"/>
        </w:rPr>
        <w:t>300</w:t>
      </w:r>
      <w:r>
        <w:rPr>
          <w:rFonts w:hint="eastAsia" w:ascii="宋体" w:hAnsi="宋体"/>
          <w:bCs/>
          <w:color w:val="000000"/>
          <w:sz w:val="24"/>
          <w:szCs w:val="24"/>
          <w:highlight w:val="none"/>
        </w:rPr>
        <w:t>号）。</w:t>
      </w:r>
    </w:p>
    <w:p>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②监狱企业视同小型、微型企业，对其产品价格给予10%的扣除，用扣除后的价格参与评审。参加投标的监狱企业，应当按照《关于政府采购支持监狱企业发展有关问题的通知》（财库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highlight w:val="none"/>
          <w:lang w:eastAsia="zh-CN"/>
        </w:rPr>
        <w:t>〔2014〕68号</w:t>
      </w:r>
      <w:r>
        <w:rPr>
          <w:rFonts w:hint="eastAsia" w:ascii="宋体" w:hAnsi="宋体"/>
          <w:bCs/>
          <w:color w:val="000000"/>
          <w:sz w:val="24"/>
          <w:szCs w:val="24"/>
          <w:highlight w:val="none"/>
        </w:rPr>
        <w:t>）的规定提供由省级以上监狱管理局、戒毒管理局</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含新疆生产建设兵团</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出具的属于监狱企业的证明文件扫描件。</w:t>
      </w:r>
    </w:p>
    <w:p>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pPr>
        <w:spacing w:line="360" w:lineRule="auto"/>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同一投标人，上述三项价格扣除优惠不得重复享受。</w:t>
      </w:r>
    </w:p>
    <w:p>
      <w:pPr>
        <w:spacing w:line="360" w:lineRule="auto"/>
        <w:rPr>
          <w:rFonts w:ascii="宋体" w:hAnsi="宋体" w:cs="宋体"/>
          <w:b/>
          <w:bCs/>
          <w:sz w:val="24"/>
          <w:highlight w:val="none"/>
        </w:rPr>
      </w:pPr>
      <w:r>
        <w:rPr>
          <w:rFonts w:hint="eastAsia" w:ascii="宋体" w:hAnsi="宋体" w:cs="宋体"/>
          <w:b/>
          <w:bCs/>
          <w:sz w:val="24"/>
          <w:highlight w:val="none"/>
        </w:rPr>
        <w:t>二、投标供应商评价（</w:t>
      </w:r>
      <w:r>
        <w:rPr>
          <w:rFonts w:hint="eastAsia" w:ascii="宋体" w:hAnsi="宋体" w:cs="宋体"/>
          <w:b/>
          <w:bCs/>
          <w:sz w:val="24"/>
          <w:highlight w:val="none"/>
          <w:lang w:val="en-US" w:eastAsia="zh-CN"/>
        </w:rPr>
        <w:t>20</w:t>
      </w:r>
      <w:r>
        <w:rPr>
          <w:rFonts w:hint="eastAsia" w:ascii="宋体" w:hAnsi="宋体" w:cs="宋体"/>
          <w:b/>
          <w:bCs/>
          <w:sz w:val="24"/>
          <w:highlight w:val="none"/>
        </w:rPr>
        <w:t>分）</w:t>
      </w:r>
    </w:p>
    <w:p>
      <w:pPr>
        <w:spacing w:line="360" w:lineRule="auto"/>
        <w:ind w:firstLine="482" w:firstLineChars="200"/>
        <w:rPr>
          <w:rFonts w:ascii="宋体" w:hAnsi="宋体" w:cs="宋体"/>
          <w:b/>
          <w:bCs/>
          <w:color w:val="000000"/>
          <w:sz w:val="24"/>
          <w:highlight w:val="none"/>
        </w:rPr>
      </w:pPr>
      <w:r>
        <w:rPr>
          <w:rFonts w:ascii="宋体" w:hAnsi="宋体"/>
          <w:b/>
          <w:bCs/>
          <w:sz w:val="24"/>
          <w:highlight w:val="none"/>
        </w:rPr>
        <w:t>（</w:t>
      </w:r>
      <w:r>
        <w:rPr>
          <w:rFonts w:hint="eastAsia" w:ascii="宋体" w:hAnsi="宋体"/>
          <w:b/>
          <w:bCs/>
          <w:sz w:val="24"/>
          <w:highlight w:val="none"/>
        </w:rPr>
        <w:t>1</w:t>
      </w:r>
      <w:r>
        <w:rPr>
          <w:rFonts w:ascii="宋体" w:hAnsi="宋体"/>
          <w:b/>
          <w:bCs/>
          <w:sz w:val="24"/>
          <w:highlight w:val="none"/>
        </w:rPr>
        <w:t>）</w:t>
      </w:r>
      <w:r>
        <w:rPr>
          <w:rFonts w:hint="eastAsia" w:ascii="宋体" w:hAnsi="宋体"/>
          <w:b/>
          <w:bCs/>
          <w:sz w:val="24"/>
          <w:highlight w:val="none"/>
          <w:lang w:val="en-US" w:eastAsia="zh-CN"/>
        </w:rPr>
        <w:t>业绩（8分）：</w:t>
      </w:r>
      <w:r>
        <w:rPr>
          <w:rFonts w:ascii="宋体" w:hAnsi="宋体"/>
          <w:bCs/>
          <w:sz w:val="24"/>
          <w:highlight w:val="none"/>
        </w:rPr>
        <w:t>投标供应商自</w:t>
      </w:r>
      <w:r>
        <w:rPr>
          <w:rFonts w:hint="eastAsia" w:ascii="宋体" w:hAnsi="宋体"/>
          <w:bCs/>
          <w:sz w:val="24"/>
          <w:highlight w:val="none"/>
        </w:rPr>
        <w:t>202</w:t>
      </w:r>
      <w:r>
        <w:rPr>
          <w:rFonts w:hint="eastAsia" w:ascii="宋体" w:hAnsi="宋体"/>
          <w:bCs/>
          <w:sz w:val="24"/>
          <w:highlight w:val="none"/>
          <w:lang w:val="en-US" w:eastAsia="zh-CN"/>
        </w:rPr>
        <w:t>3</w:t>
      </w:r>
      <w:r>
        <w:rPr>
          <w:rFonts w:ascii="宋体" w:hAnsi="宋体"/>
          <w:bCs/>
          <w:sz w:val="24"/>
          <w:highlight w:val="none"/>
        </w:rPr>
        <w:t>年1月1日以来</w:t>
      </w:r>
      <w:r>
        <w:rPr>
          <w:rFonts w:hint="eastAsia" w:ascii="宋体" w:hAnsi="宋体"/>
          <w:bCs/>
          <w:sz w:val="24"/>
          <w:highlight w:val="none"/>
        </w:rPr>
        <w:t>承担过</w:t>
      </w:r>
      <w:r>
        <w:rPr>
          <w:rFonts w:hint="eastAsia" w:hAnsi="宋体" w:cs="宋体"/>
          <w:b w:val="0"/>
          <w:bCs/>
          <w:sz w:val="24"/>
          <w:highlight w:val="none"/>
        </w:rPr>
        <w:t>渗滤液处置</w:t>
      </w:r>
      <w:r>
        <w:rPr>
          <w:rFonts w:hint="eastAsia" w:hAnsi="宋体" w:cs="宋体"/>
          <w:b w:val="0"/>
          <w:bCs/>
          <w:sz w:val="24"/>
          <w:highlight w:val="none"/>
          <w:lang w:val="en-US" w:eastAsia="zh-CN"/>
        </w:rPr>
        <w:t>项目</w:t>
      </w:r>
      <w:r>
        <w:rPr>
          <w:rFonts w:ascii="宋体" w:hAnsi="宋体"/>
          <w:bCs/>
          <w:sz w:val="24"/>
          <w:highlight w:val="none"/>
        </w:rPr>
        <w:t>业绩</w:t>
      </w:r>
      <w:r>
        <w:rPr>
          <w:rFonts w:hint="eastAsia" w:ascii="宋体" w:hAnsi="宋体"/>
          <w:bCs/>
          <w:sz w:val="24"/>
          <w:highlight w:val="none"/>
        </w:rPr>
        <w:t>的，有一个</w:t>
      </w:r>
      <w:r>
        <w:rPr>
          <w:rFonts w:ascii="宋体" w:hAnsi="宋体"/>
          <w:bCs/>
          <w:sz w:val="24"/>
          <w:highlight w:val="none"/>
        </w:rPr>
        <w:t>得</w:t>
      </w:r>
      <w:r>
        <w:rPr>
          <w:rFonts w:hint="eastAsia" w:ascii="宋体" w:hAnsi="宋体"/>
          <w:bCs/>
          <w:sz w:val="24"/>
          <w:highlight w:val="none"/>
          <w:lang w:val="en-US" w:eastAsia="zh-CN"/>
        </w:rPr>
        <w:t>4</w:t>
      </w:r>
      <w:r>
        <w:rPr>
          <w:rFonts w:ascii="宋体" w:hAnsi="宋体"/>
          <w:bCs/>
          <w:sz w:val="24"/>
          <w:highlight w:val="none"/>
        </w:rPr>
        <w:t>分</w:t>
      </w:r>
      <w:r>
        <w:rPr>
          <w:rFonts w:hint="eastAsia" w:ascii="宋体" w:hAnsi="宋体"/>
          <w:bCs/>
          <w:sz w:val="24"/>
          <w:highlight w:val="none"/>
          <w:lang w:eastAsia="zh-CN"/>
        </w:rPr>
        <w:t>，</w:t>
      </w:r>
      <w:r>
        <w:rPr>
          <w:rFonts w:hint="eastAsia" w:ascii="宋体" w:hAnsi="宋体"/>
          <w:bCs/>
          <w:sz w:val="24"/>
          <w:highlight w:val="none"/>
        </w:rPr>
        <w:t>最高得</w:t>
      </w:r>
      <w:r>
        <w:rPr>
          <w:rFonts w:hint="eastAsia" w:ascii="宋体" w:hAnsi="宋体"/>
          <w:bCs/>
          <w:sz w:val="24"/>
          <w:highlight w:val="none"/>
          <w:lang w:val="en-US" w:eastAsia="zh-CN"/>
        </w:rPr>
        <w:t>8</w:t>
      </w:r>
      <w:r>
        <w:rPr>
          <w:rFonts w:hint="eastAsia" w:ascii="宋体" w:hAnsi="宋体"/>
          <w:bCs/>
          <w:sz w:val="24"/>
          <w:highlight w:val="none"/>
        </w:rPr>
        <w:t>分。</w:t>
      </w:r>
      <w:r>
        <w:rPr>
          <w:rFonts w:hint="eastAsia" w:ascii="宋体" w:hAnsi="宋体" w:cs="宋体"/>
          <w:b/>
          <w:bCs/>
          <w:color w:val="000000"/>
          <w:sz w:val="24"/>
          <w:highlight w:val="none"/>
        </w:rPr>
        <w:t>（</w:t>
      </w:r>
      <w:r>
        <w:rPr>
          <w:rFonts w:hint="eastAsia" w:ascii="宋体" w:hAnsi="宋体" w:cs="宋体"/>
          <w:b/>
          <w:bCs/>
          <w:color w:val="000000"/>
          <w:sz w:val="24"/>
          <w:highlight w:val="none"/>
          <w:lang w:val="en-US" w:eastAsia="zh-CN"/>
        </w:rPr>
        <w:t>注：同一采购人的合同只算1次业绩。</w:t>
      </w:r>
      <w:r>
        <w:rPr>
          <w:rFonts w:hint="eastAsia" w:ascii="宋体" w:hAnsi="宋体" w:cs="宋体"/>
          <w:b/>
          <w:bCs/>
          <w:color w:val="000000"/>
          <w:sz w:val="24"/>
          <w:highlight w:val="none"/>
        </w:rPr>
        <w:t>时间以合同签订日期为准，合同</w:t>
      </w:r>
      <w:r>
        <w:rPr>
          <w:rFonts w:hint="eastAsia" w:ascii="宋体" w:hAnsi="宋体" w:cs="宋体"/>
          <w:b/>
          <w:bCs/>
          <w:color w:val="000000"/>
          <w:sz w:val="24"/>
          <w:highlight w:val="none"/>
          <w:lang w:val="en-US" w:eastAsia="zh-CN"/>
        </w:rPr>
        <w:t>或协议书</w:t>
      </w:r>
      <w:r>
        <w:rPr>
          <w:rFonts w:hint="eastAsia" w:ascii="宋体" w:hAnsi="宋体" w:cs="宋体"/>
          <w:b/>
          <w:bCs/>
          <w:color w:val="000000"/>
          <w:sz w:val="24"/>
          <w:highlight w:val="none"/>
        </w:rPr>
        <w:t>原件扫描件上传至系统，不提供不得分）</w:t>
      </w:r>
    </w:p>
    <w:p>
      <w:pPr>
        <w:tabs>
          <w:tab w:val="left" w:pos="945"/>
          <w:tab w:val="left" w:pos="1155"/>
        </w:tabs>
        <w:spacing w:line="360" w:lineRule="auto"/>
        <w:ind w:firstLine="482" w:firstLineChars="200"/>
        <w:jc w:val="left"/>
        <w:rPr>
          <w:rFonts w:ascii="宋体" w:hAnsi="宋体" w:cs="宋体"/>
          <w:b/>
          <w:bCs/>
          <w:color w:val="000000"/>
          <w:sz w:val="24"/>
          <w:highlight w:val="none"/>
        </w:rPr>
      </w:pPr>
      <w:r>
        <w:rPr>
          <w:rFonts w:hint="eastAsia" w:ascii="宋体" w:hAnsi="宋体"/>
          <w:b/>
          <w:bCs w:val="0"/>
          <w:sz w:val="24"/>
          <w:highlight w:val="none"/>
        </w:rPr>
        <w:t>（2）</w:t>
      </w:r>
      <w:r>
        <w:rPr>
          <w:rFonts w:hint="eastAsia" w:ascii="宋体" w:hAnsi="宋体"/>
          <w:b/>
          <w:bCs w:val="0"/>
          <w:sz w:val="24"/>
          <w:highlight w:val="none"/>
          <w:lang w:val="en-US" w:eastAsia="zh-CN"/>
        </w:rPr>
        <w:t>认证证书（3分）：</w:t>
      </w:r>
      <w:r>
        <w:rPr>
          <w:rFonts w:hint="eastAsia" w:ascii="宋体" w:hAnsi="宋体"/>
          <w:bCs/>
          <w:sz w:val="24"/>
          <w:highlight w:val="none"/>
        </w:rPr>
        <w:t>具有有效期内的质量管理体系认证证书、环境管理体系认证证书、职业健康安全管理体系认证证书，有一个</w:t>
      </w:r>
      <w:r>
        <w:rPr>
          <w:rFonts w:ascii="宋体" w:hAnsi="宋体"/>
          <w:bCs/>
          <w:sz w:val="24"/>
          <w:highlight w:val="none"/>
        </w:rPr>
        <w:t>得</w:t>
      </w:r>
      <w:r>
        <w:rPr>
          <w:rFonts w:hint="eastAsia" w:ascii="宋体" w:hAnsi="宋体"/>
          <w:bCs/>
          <w:sz w:val="24"/>
          <w:highlight w:val="none"/>
          <w:lang w:val="en-US" w:eastAsia="zh-CN"/>
        </w:rPr>
        <w:t>1</w:t>
      </w:r>
      <w:r>
        <w:rPr>
          <w:rFonts w:ascii="宋体" w:hAnsi="宋体"/>
          <w:bCs/>
          <w:sz w:val="24"/>
          <w:highlight w:val="none"/>
        </w:rPr>
        <w:t>分</w:t>
      </w:r>
      <w:r>
        <w:rPr>
          <w:rFonts w:hint="eastAsia" w:ascii="宋体" w:hAnsi="宋体"/>
          <w:bCs/>
          <w:sz w:val="24"/>
          <w:highlight w:val="none"/>
          <w:lang w:eastAsia="zh-CN"/>
        </w:rPr>
        <w:t>，</w:t>
      </w:r>
      <w:r>
        <w:rPr>
          <w:rFonts w:hint="eastAsia" w:ascii="宋体" w:hAnsi="宋体"/>
          <w:bCs/>
          <w:sz w:val="24"/>
          <w:highlight w:val="none"/>
        </w:rPr>
        <w:t>最高得</w:t>
      </w:r>
      <w:r>
        <w:rPr>
          <w:rFonts w:hint="eastAsia" w:ascii="宋体" w:hAnsi="宋体"/>
          <w:bCs/>
          <w:sz w:val="24"/>
          <w:highlight w:val="none"/>
          <w:lang w:val="en-US" w:eastAsia="zh-CN"/>
        </w:rPr>
        <w:t>3</w:t>
      </w:r>
      <w:r>
        <w:rPr>
          <w:rFonts w:hint="eastAsia" w:ascii="宋体" w:hAnsi="宋体"/>
          <w:bCs/>
          <w:sz w:val="24"/>
          <w:highlight w:val="none"/>
        </w:rPr>
        <w:t>分</w:t>
      </w:r>
      <w:r>
        <w:rPr>
          <w:rFonts w:hint="eastAsia" w:ascii="宋体" w:hAnsi="宋体"/>
          <w:bCs/>
          <w:sz w:val="24"/>
          <w:highlight w:val="none"/>
        </w:rPr>
        <w:t>。</w:t>
      </w:r>
      <w:r>
        <w:rPr>
          <w:rFonts w:hint="eastAsia" w:ascii="宋体" w:hAnsi="宋体" w:eastAsia="宋体" w:cs="宋体"/>
          <w:b/>
          <w:bCs/>
          <w:color w:val="000000"/>
          <w:sz w:val="24"/>
          <w:highlight w:val="none"/>
        </w:rPr>
        <w:t>（提供证书原件扫描件以及该证书在“国家市场监督管理总局-全国认证认可信息公共服务平台”网站查询到的有效认证截图原件上传系统</w:t>
      </w:r>
      <w:r>
        <w:rPr>
          <w:rFonts w:hint="eastAsia" w:ascii="宋体" w:hAnsi="宋体" w:cs="宋体"/>
          <w:b/>
          <w:bCs/>
          <w:color w:val="000000"/>
          <w:sz w:val="24"/>
          <w:highlight w:val="none"/>
        </w:rPr>
        <w:t>，不提供不得分）</w:t>
      </w:r>
    </w:p>
    <w:p>
      <w:pPr>
        <w:spacing w:line="360" w:lineRule="auto"/>
        <w:ind w:firstLine="472"/>
        <w:rPr>
          <w:rFonts w:hAnsi="宋体" w:cs="宋体"/>
          <w:b/>
          <w:bCs w:val="0"/>
          <w:sz w:val="24"/>
          <w:highlight w:val="none"/>
        </w:rPr>
      </w:pPr>
      <w:r>
        <w:rPr>
          <w:rFonts w:hint="eastAsia" w:ascii="宋体" w:hAnsi="宋体" w:cs="宋体"/>
          <w:b/>
          <w:bCs w:val="0"/>
          <w:sz w:val="24"/>
          <w:highlight w:val="none"/>
        </w:rPr>
        <w:t>（3）</w:t>
      </w:r>
      <w:r>
        <w:rPr>
          <w:rFonts w:hint="eastAsia" w:hAnsi="宋体" w:cs="宋体"/>
          <w:b/>
          <w:bCs w:val="0"/>
          <w:sz w:val="24"/>
          <w:highlight w:val="none"/>
        </w:rPr>
        <w:t>渗滤液</w:t>
      </w:r>
      <w:r>
        <w:rPr>
          <w:rFonts w:hint="eastAsia" w:ascii="宋体" w:hAnsi="宋体" w:cs="宋体"/>
          <w:b/>
          <w:bCs w:val="0"/>
          <w:sz w:val="24"/>
          <w:highlight w:val="none"/>
          <w:lang w:val="en-US" w:eastAsia="zh-CN"/>
        </w:rPr>
        <w:t>处理能力（2分）：</w:t>
      </w:r>
      <w:r>
        <w:rPr>
          <w:rFonts w:hint="eastAsia" w:hAnsi="宋体" w:cs="宋体"/>
          <w:b w:val="0"/>
          <w:bCs/>
          <w:sz w:val="24"/>
          <w:highlight w:val="none"/>
        </w:rPr>
        <w:t>具有相应的渗滤液处理能力渗滤液处理能力达到4</w:t>
      </w:r>
      <w:r>
        <w:rPr>
          <w:rFonts w:hAnsi="宋体" w:cs="宋体"/>
          <w:b w:val="0"/>
          <w:bCs/>
          <w:sz w:val="24"/>
          <w:highlight w:val="none"/>
        </w:rPr>
        <w:t>00</w:t>
      </w:r>
      <w:r>
        <w:rPr>
          <w:rFonts w:hint="eastAsia" w:hAnsi="宋体" w:cs="宋体"/>
          <w:b w:val="0"/>
          <w:bCs/>
          <w:sz w:val="22"/>
          <w:szCs w:val="21"/>
          <w:highlight w:val="none"/>
        </w:rPr>
        <w:t>m</w:t>
      </w:r>
      <w:r>
        <w:rPr>
          <w:rFonts w:hint="eastAsia" w:hAnsi="宋体" w:cs="宋体"/>
          <w:b w:val="0"/>
          <w:bCs/>
          <w:sz w:val="22"/>
          <w:szCs w:val="21"/>
          <w:highlight w:val="none"/>
          <w:vertAlign w:val="superscript"/>
        </w:rPr>
        <w:t>3</w:t>
      </w:r>
      <w:r>
        <w:rPr>
          <w:rFonts w:hint="eastAsia" w:hAnsi="宋体" w:cs="宋体"/>
          <w:b w:val="0"/>
          <w:bCs/>
          <w:sz w:val="22"/>
          <w:szCs w:val="21"/>
          <w:highlight w:val="none"/>
        </w:rPr>
        <w:t>/d</w:t>
      </w:r>
      <w:r>
        <w:rPr>
          <w:rFonts w:hint="eastAsia" w:hAnsi="宋体" w:cs="宋体"/>
          <w:b w:val="0"/>
          <w:bCs/>
          <w:sz w:val="24"/>
          <w:highlight w:val="none"/>
        </w:rPr>
        <w:t>的得</w:t>
      </w:r>
      <w:r>
        <w:rPr>
          <w:rFonts w:hint="eastAsia" w:hAnsi="宋体" w:cs="宋体"/>
          <w:b w:val="0"/>
          <w:bCs/>
          <w:sz w:val="24"/>
          <w:highlight w:val="none"/>
          <w:lang w:val="en-US" w:eastAsia="zh-CN"/>
        </w:rPr>
        <w:t>1</w:t>
      </w:r>
      <w:r>
        <w:rPr>
          <w:rFonts w:hint="eastAsia" w:hAnsi="宋体" w:cs="宋体"/>
          <w:b w:val="0"/>
          <w:bCs/>
          <w:sz w:val="24"/>
          <w:highlight w:val="none"/>
        </w:rPr>
        <w:t>分，渗滤液处理能力达到6</w:t>
      </w:r>
      <w:r>
        <w:rPr>
          <w:rFonts w:hAnsi="宋体" w:cs="宋体"/>
          <w:b w:val="0"/>
          <w:bCs/>
          <w:sz w:val="24"/>
          <w:highlight w:val="none"/>
        </w:rPr>
        <w:t>00</w:t>
      </w:r>
      <w:r>
        <w:rPr>
          <w:rFonts w:hint="eastAsia" w:hAnsi="宋体" w:cs="宋体"/>
          <w:b w:val="0"/>
          <w:bCs/>
          <w:sz w:val="22"/>
          <w:szCs w:val="21"/>
          <w:highlight w:val="none"/>
        </w:rPr>
        <w:t xml:space="preserve"> m</w:t>
      </w:r>
      <w:r>
        <w:rPr>
          <w:rFonts w:hint="eastAsia" w:hAnsi="宋体" w:cs="宋体"/>
          <w:b w:val="0"/>
          <w:bCs/>
          <w:sz w:val="22"/>
          <w:szCs w:val="21"/>
          <w:highlight w:val="none"/>
          <w:vertAlign w:val="superscript"/>
        </w:rPr>
        <w:t>3</w:t>
      </w:r>
      <w:r>
        <w:rPr>
          <w:rFonts w:hint="eastAsia" w:hAnsi="宋体" w:cs="宋体"/>
          <w:b w:val="0"/>
          <w:bCs/>
          <w:sz w:val="22"/>
          <w:szCs w:val="21"/>
          <w:highlight w:val="none"/>
        </w:rPr>
        <w:t>/d</w:t>
      </w:r>
      <w:r>
        <w:rPr>
          <w:rFonts w:hint="eastAsia" w:hAnsi="宋体" w:cs="宋体"/>
          <w:b w:val="0"/>
          <w:bCs/>
          <w:sz w:val="24"/>
          <w:highlight w:val="none"/>
        </w:rPr>
        <w:t>及以上规模的得</w:t>
      </w:r>
      <w:r>
        <w:rPr>
          <w:rFonts w:hint="eastAsia" w:hAnsi="宋体" w:cs="宋体"/>
          <w:b w:val="0"/>
          <w:bCs/>
          <w:sz w:val="24"/>
          <w:highlight w:val="none"/>
          <w:lang w:val="en-US" w:eastAsia="zh-CN"/>
        </w:rPr>
        <w:t>2</w:t>
      </w:r>
      <w:r>
        <w:rPr>
          <w:rFonts w:hint="eastAsia" w:hAnsi="宋体" w:cs="宋体"/>
          <w:b w:val="0"/>
          <w:bCs/>
          <w:sz w:val="24"/>
          <w:highlight w:val="none"/>
        </w:rPr>
        <w:t>分，本项最高得</w:t>
      </w:r>
      <w:r>
        <w:rPr>
          <w:rFonts w:hint="eastAsia" w:hAnsi="宋体" w:cs="宋体"/>
          <w:b w:val="0"/>
          <w:bCs/>
          <w:sz w:val="24"/>
          <w:highlight w:val="none"/>
          <w:lang w:val="en-US" w:eastAsia="zh-CN"/>
        </w:rPr>
        <w:t>2</w:t>
      </w:r>
      <w:r>
        <w:rPr>
          <w:rFonts w:hint="eastAsia" w:hAnsi="宋体" w:cs="宋体"/>
          <w:b w:val="0"/>
          <w:bCs/>
          <w:sz w:val="24"/>
          <w:highlight w:val="none"/>
        </w:rPr>
        <w:t>分。</w:t>
      </w:r>
      <w:r>
        <w:rPr>
          <w:rFonts w:hint="eastAsia" w:hAnsi="宋体" w:cs="宋体"/>
          <w:b/>
          <w:bCs w:val="0"/>
          <w:sz w:val="24"/>
          <w:highlight w:val="none"/>
          <w:lang w:eastAsia="zh-CN"/>
        </w:rPr>
        <w:t>（</w:t>
      </w:r>
      <w:r>
        <w:rPr>
          <w:rFonts w:hint="eastAsia" w:hAnsi="宋体" w:cs="宋体"/>
          <w:b/>
          <w:bCs w:val="0"/>
          <w:sz w:val="24"/>
          <w:highlight w:val="none"/>
        </w:rPr>
        <w:t>投标供应商自有渗滤液处理设施的，提供渗滤液处理工程的环保验收合格</w:t>
      </w:r>
      <w:r>
        <w:rPr>
          <w:rFonts w:hint="eastAsia" w:hAnsi="宋体" w:cs="宋体"/>
          <w:b/>
          <w:bCs w:val="0"/>
          <w:sz w:val="24"/>
          <w:highlight w:val="none"/>
          <w:lang w:eastAsia="zh-CN"/>
        </w:rPr>
        <w:t>（</w:t>
      </w:r>
      <w:r>
        <w:rPr>
          <w:rFonts w:hint="eastAsia" w:hAnsi="宋体" w:cs="宋体"/>
          <w:b/>
          <w:bCs w:val="0"/>
          <w:sz w:val="24"/>
          <w:highlight w:val="none"/>
          <w:lang w:val="en-US" w:eastAsia="zh-CN"/>
        </w:rPr>
        <w:t>或</w:t>
      </w:r>
      <w:r>
        <w:rPr>
          <w:rFonts w:hint="eastAsia" w:ascii="宋体" w:hAnsi="宋体" w:eastAsia="宋体" w:cs="宋体"/>
          <w:b/>
          <w:bCs w:val="0"/>
          <w:sz w:val="24"/>
          <w:szCs w:val="24"/>
          <w:highlight w:val="none"/>
          <w:lang w:eastAsia="zh-CN"/>
        </w:rPr>
        <w:t>环评批复</w:t>
      </w:r>
      <w:r>
        <w:rPr>
          <w:rFonts w:hint="eastAsia" w:ascii="宋体" w:hAnsi="宋体" w:cs="宋体"/>
          <w:b/>
          <w:bCs w:val="0"/>
          <w:sz w:val="24"/>
          <w:szCs w:val="24"/>
          <w:highlight w:val="none"/>
          <w:lang w:val="en-US" w:eastAsia="zh-CN"/>
        </w:rPr>
        <w:t>或</w:t>
      </w:r>
      <w:r>
        <w:rPr>
          <w:rFonts w:hint="eastAsia" w:ascii="宋体" w:hAnsi="宋体" w:eastAsia="宋体" w:cs="宋体"/>
          <w:b/>
          <w:bCs w:val="0"/>
          <w:sz w:val="24"/>
          <w:szCs w:val="24"/>
          <w:highlight w:val="none"/>
          <w:lang w:eastAsia="zh-CN"/>
        </w:rPr>
        <w:t>竣工验收报告</w:t>
      </w:r>
      <w:r>
        <w:rPr>
          <w:rFonts w:hint="eastAsia" w:hAnsi="宋体" w:cs="宋体"/>
          <w:b/>
          <w:bCs w:val="0"/>
          <w:sz w:val="24"/>
          <w:highlight w:val="none"/>
          <w:lang w:eastAsia="zh-CN"/>
        </w:rPr>
        <w:t>）</w:t>
      </w:r>
      <w:r>
        <w:rPr>
          <w:rFonts w:hint="eastAsia" w:hAnsi="宋体" w:cs="宋体"/>
          <w:b/>
          <w:bCs w:val="0"/>
          <w:sz w:val="24"/>
          <w:highlight w:val="none"/>
        </w:rPr>
        <w:t>文件</w:t>
      </w:r>
      <w:r>
        <w:rPr>
          <w:rFonts w:hint="eastAsia" w:hAnsi="宋体" w:cs="宋体"/>
          <w:b/>
          <w:bCs w:val="0"/>
          <w:sz w:val="24"/>
          <w:highlight w:val="none"/>
          <w:lang w:val="en-US" w:eastAsia="zh-CN"/>
        </w:rPr>
        <w:t>原件扫描件</w:t>
      </w:r>
      <w:r>
        <w:rPr>
          <w:rFonts w:hint="eastAsia" w:hAnsi="宋体" w:cs="宋体"/>
          <w:b/>
          <w:bCs w:val="0"/>
          <w:sz w:val="24"/>
          <w:highlight w:val="none"/>
        </w:rPr>
        <w:t>；不具有相应的渗滤液处理能力，但与具有渗滤液处理能力的处理单位签订协议或合同</w:t>
      </w:r>
      <w:r>
        <w:rPr>
          <w:rFonts w:hint="eastAsia" w:hAnsi="宋体" w:cs="宋体"/>
          <w:b/>
          <w:bCs w:val="0"/>
          <w:sz w:val="24"/>
          <w:highlight w:val="none"/>
          <w:lang w:eastAsia="zh-CN"/>
        </w:rPr>
        <w:t>，</w:t>
      </w:r>
      <w:r>
        <w:rPr>
          <w:rFonts w:hint="eastAsia" w:hAnsi="宋体" w:cs="宋体"/>
          <w:b/>
          <w:bCs w:val="0"/>
          <w:sz w:val="24"/>
          <w:highlight w:val="none"/>
        </w:rPr>
        <w:t>提供与具有渗滤液处理能力的处理单位签订满足本项目处理要求和服务期的协议或合同</w:t>
      </w:r>
      <w:r>
        <w:rPr>
          <w:rFonts w:hint="eastAsia" w:hAnsi="宋体" w:cs="宋体"/>
          <w:b/>
          <w:bCs w:val="0"/>
          <w:sz w:val="24"/>
          <w:highlight w:val="none"/>
          <w:lang w:val="en-US" w:eastAsia="zh-CN"/>
        </w:rPr>
        <w:t>原件扫描件</w:t>
      </w:r>
      <w:r>
        <w:rPr>
          <w:rFonts w:hint="eastAsia" w:hAnsi="宋体" w:cs="宋体"/>
          <w:b/>
          <w:bCs w:val="0"/>
          <w:sz w:val="24"/>
          <w:highlight w:val="none"/>
        </w:rPr>
        <w:t>，同时提供渗滤液处理工程的环保验收合格</w:t>
      </w:r>
      <w:r>
        <w:rPr>
          <w:rFonts w:hint="eastAsia" w:hAnsi="宋体" w:cs="宋体"/>
          <w:b/>
          <w:bCs w:val="0"/>
          <w:sz w:val="24"/>
          <w:highlight w:val="none"/>
          <w:lang w:eastAsia="zh-CN"/>
        </w:rPr>
        <w:t>（</w:t>
      </w:r>
      <w:r>
        <w:rPr>
          <w:rFonts w:hint="eastAsia" w:hAnsi="宋体" w:cs="宋体"/>
          <w:b/>
          <w:bCs w:val="0"/>
          <w:sz w:val="24"/>
          <w:highlight w:val="none"/>
          <w:lang w:val="en-US" w:eastAsia="zh-CN"/>
        </w:rPr>
        <w:t>或</w:t>
      </w:r>
      <w:r>
        <w:rPr>
          <w:rFonts w:hint="eastAsia" w:ascii="宋体" w:hAnsi="宋体" w:eastAsia="宋体" w:cs="宋体"/>
          <w:b/>
          <w:bCs w:val="0"/>
          <w:sz w:val="24"/>
          <w:szCs w:val="24"/>
          <w:highlight w:val="none"/>
          <w:lang w:eastAsia="zh-CN"/>
        </w:rPr>
        <w:t>环评批复</w:t>
      </w:r>
      <w:r>
        <w:rPr>
          <w:rFonts w:hint="eastAsia" w:ascii="宋体" w:hAnsi="宋体" w:cs="宋体"/>
          <w:b/>
          <w:bCs w:val="0"/>
          <w:sz w:val="24"/>
          <w:szCs w:val="24"/>
          <w:highlight w:val="none"/>
          <w:lang w:val="en-US" w:eastAsia="zh-CN"/>
        </w:rPr>
        <w:t>或</w:t>
      </w:r>
      <w:r>
        <w:rPr>
          <w:rFonts w:hint="eastAsia" w:ascii="宋体" w:hAnsi="宋体" w:eastAsia="宋体" w:cs="宋体"/>
          <w:b/>
          <w:bCs w:val="0"/>
          <w:sz w:val="24"/>
          <w:szCs w:val="24"/>
          <w:highlight w:val="none"/>
          <w:lang w:eastAsia="zh-CN"/>
        </w:rPr>
        <w:t>竣工验收报告</w:t>
      </w:r>
      <w:r>
        <w:rPr>
          <w:rFonts w:hint="eastAsia" w:hAnsi="宋体" w:cs="宋体"/>
          <w:b/>
          <w:bCs w:val="0"/>
          <w:sz w:val="24"/>
          <w:highlight w:val="none"/>
          <w:lang w:eastAsia="zh-CN"/>
        </w:rPr>
        <w:t>）</w:t>
      </w:r>
      <w:r>
        <w:rPr>
          <w:rFonts w:hint="eastAsia" w:hAnsi="宋体" w:cs="宋体"/>
          <w:b/>
          <w:bCs w:val="0"/>
          <w:sz w:val="24"/>
          <w:highlight w:val="none"/>
        </w:rPr>
        <w:t>文件</w:t>
      </w:r>
      <w:r>
        <w:rPr>
          <w:rFonts w:hint="eastAsia" w:hAnsi="宋体" w:cs="宋体"/>
          <w:b/>
          <w:bCs w:val="0"/>
          <w:sz w:val="24"/>
          <w:highlight w:val="none"/>
          <w:lang w:val="en-US" w:eastAsia="zh-CN"/>
        </w:rPr>
        <w:t>原件扫描件）</w:t>
      </w:r>
    </w:p>
    <w:p>
      <w:pPr>
        <w:spacing w:line="360" w:lineRule="auto"/>
        <w:ind w:firstLine="482"/>
        <w:rPr>
          <w:rFonts w:hint="eastAsia" w:hAnsi="宋体" w:eastAsia="宋体" w:cs="宋体"/>
          <w:b w:val="0"/>
          <w:bCs w:val="0"/>
          <w:sz w:val="24"/>
          <w:highlight w:val="none"/>
          <w:lang w:eastAsia="zh-CN"/>
        </w:rPr>
      </w:pP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4</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拟投入人员情况（</w:t>
      </w:r>
      <w:r>
        <w:rPr>
          <w:rFonts w:hint="eastAsia" w:ascii="宋体" w:hAnsi="宋体" w:eastAsia="宋体" w:cs="宋体"/>
          <w:b/>
          <w:bCs/>
          <w:sz w:val="24"/>
          <w:highlight w:val="none"/>
          <w:lang w:val="en-US" w:eastAsia="zh-CN"/>
        </w:rPr>
        <w:t>7</w:t>
      </w:r>
      <w:r>
        <w:rPr>
          <w:rFonts w:hint="eastAsia" w:ascii="宋体" w:hAnsi="宋体" w:eastAsia="宋体" w:cs="宋体"/>
          <w:b/>
          <w:bCs/>
          <w:sz w:val="24"/>
          <w:highlight w:val="none"/>
        </w:rPr>
        <w:t>分）</w:t>
      </w:r>
      <w:r>
        <w:rPr>
          <w:rFonts w:hint="eastAsia" w:ascii="宋体" w:hAnsi="宋体" w:eastAsia="宋体" w:cs="宋体"/>
          <w:b/>
          <w:bCs/>
          <w:sz w:val="24"/>
          <w:highlight w:val="none"/>
          <w:lang w:eastAsia="zh-CN"/>
        </w:rPr>
        <w:t>：</w:t>
      </w:r>
    </w:p>
    <w:p>
      <w:pPr>
        <w:spacing w:line="360" w:lineRule="auto"/>
        <w:ind w:firstLine="720" w:firstLineChars="300"/>
        <w:rPr>
          <w:rFonts w:hAnsi="宋体" w:cs="宋体"/>
          <w:b w:val="0"/>
          <w:bCs w:val="0"/>
          <w:sz w:val="24"/>
          <w:highlight w:val="none"/>
        </w:rPr>
      </w:pPr>
      <w:r>
        <w:rPr>
          <w:rFonts w:hint="eastAsia" w:hAnsi="宋体" w:cs="宋体"/>
          <w:b w:val="0"/>
          <w:bCs w:val="0"/>
          <w:sz w:val="24"/>
          <w:highlight w:val="none"/>
          <w:lang w:val="en-US" w:eastAsia="zh-CN"/>
        </w:rPr>
        <w:t>1）</w:t>
      </w:r>
      <w:r>
        <w:rPr>
          <w:rFonts w:hint="eastAsia" w:hAnsi="宋体" w:cs="宋体"/>
          <w:b w:val="0"/>
          <w:bCs w:val="0"/>
          <w:sz w:val="24"/>
          <w:highlight w:val="none"/>
        </w:rPr>
        <w:t>拟投入本项目的人员中具备污水处理操作证的，每提供1人得1分，最高得</w:t>
      </w:r>
      <w:r>
        <w:rPr>
          <w:rFonts w:hint="eastAsia" w:hAnsi="宋体" w:cs="宋体"/>
          <w:b w:val="0"/>
          <w:bCs w:val="0"/>
          <w:sz w:val="24"/>
          <w:highlight w:val="none"/>
          <w:lang w:val="en-US" w:eastAsia="zh-CN"/>
        </w:rPr>
        <w:t>3</w:t>
      </w:r>
      <w:r>
        <w:rPr>
          <w:rFonts w:hint="eastAsia" w:hAnsi="宋体" w:cs="宋体"/>
          <w:b w:val="0"/>
          <w:bCs w:val="0"/>
          <w:sz w:val="24"/>
          <w:highlight w:val="none"/>
        </w:rPr>
        <w:t>分。</w:t>
      </w:r>
    </w:p>
    <w:p>
      <w:pPr>
        <w:spacing w:line="360" w:lineRule="auto"/>
        <w:ind w:firstLine="720" w:firstLineChars="300"/>
        <w:rPr>
          <w:rFonts w:hint="eastAsia" w:hAnsi="宋体" w:cs="宋体"/>
          <w:b w:val="0"/>
          <w:bCs w:val="0"/>
          <w:sz w:val="24"/>
          <w:highlight w:val="none"/>
        </w:rPr>
      </w:pPr>
      <w:r>
        <w:rPr>
          <w:rFonts w:hint="eastAsia" w:hAnsi="宋体" w:cs="宋体"/>
          <w:b w:val="0"/>
          <w:bCs w:val="0"/>
          <w:sz w:val="24"/>
          <w:highlight w:val="none"/>
          <w:lang w:val="en-US" w:eastAsia="zh-CN"/>
        </w:rPr>
        <w:t>2）</w:t>
      </w:r>
      <w:r>
        <w:rPr>
          <w:rFonts w:hint="eastAsia" w:hAnsi="宋体" w:cs="宋体"/>
          <w:b w:val="0"/>
          <w:bCs w:val="0"/>
          <w:sz w:val="24"/>
          <w:highlight w:val="none"/>
        </w:rPr>
        <w:t>拟投入本项目的人员中具备环境类工程师及以上职称的，每提供1人得2分，最高得4分。</w:t>
      </w:r>
    </w:p>
    <w:p>
      <w:pPr>
        <w:spacing w:line="360" w:lineRule="auto"/>
        <w:ind w:firstLine="482"/>
        <w:rPr>
          <w:rFonts w:hint="default" w:hAnsi="宋体" w:eastAsia="宋体" w:cs="宋体"/>
          <w:b/>
          <w:bCs/>
          <w:sz w:val="24"/>
          <w:highlight w:val="none"/>
          <w:lang w:val="en-US" w:eastAsia="zh-CN"/>
        </w:rPr>
      </w:pPr>
      <w:r>
        <w:rPr>
          <w:rFonts w:hint="eastAsia" w:hAnsi="宋体" w:cs="宋体"/>
          <w:b/>
          <w:bCs/>
          <w:sz w:val="24"/>
          <w:highlight w:val="none"/>
          <w:lang w:val="en-US" w:eastAsia="zh-CN"/>
        </w:rPr>
        <w:t>注：以上人员不可重复得分，另提供以上人员证书原件扫描件放入投标文件中，不提供不得分。</w:t>
      </w:r>
    </w:p>
    <w:p>
      <w:pPr>
        <w:spacing w:line="360" w:lineRule="auto"/>
        <w:outlineLvl w:val="3"/>
        <w:rPr>
          <w:rFonts w:ascii="宋体" w:hAnsi="宋体" w:cs="宋体"/>
          <w:b/>
          <w:bCs/>
          <w:color w:val="auto"/>
          <w:sz w:val="24"/>
          <w:szCs w:val="24"/>
          <w:highlight w:val="none"/>
        </w:rPr>
      </w:pPr>
      <w:r>
        <w:rPr>
          <w:rFonts w:hint="eastAsia" w:ascii="宋体" w:hAnsi="宋体" w:cs="宋体"/>
          <w:b/>
          <w:bCs/>
          <w:color w:val="auto"/>
          <w:sz w:val="24"/>
          <w:szCs w:val="24"/>
          <w:highlight w:val="none"/>
        </w:rPr>
        <w:t>三、技术文件（服务方案）</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暗标</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（60分）</w:t>
      </w:r>
    </w:p>
    <w:p>
      <w:pPr>
        <w:tabs>
          <w:tab w:val="left" w:pos="1155"/>
        </w:tabs>
        <w:spacing w:line="360" w:lineRule="auto"/>
        <w:ind w:firstLine="480"/>
        <w:rPr>
          <w:rFonts w:ascii="宋体" w:hAnsi="宋体"/>
          <w:bCs/>
          <w:sz w:val="24"/>
          <w:highlight w:val="none"/>
        </w:rPr>
      </w:pPr>
      <w:r>
        <w:rPr>
          <w:rFonts w:hint="eastAsia" w:ascii="宋体" w:hAnsi="宋体"/>
          <w:bCs/>
          <w:sz w:val="24"/>
          <w:highlight w:val="none"/>
        </w:rPr>
        <w:t>在响应采购文件需求的基础上针对下列各部分进行评价，要求体现科学合理性、条理性、可行性、完善性、针对性，以下各部分如未见阐述则不得分：</w:t>
      </w:r>
    </w:p>
    <w:p>
      <w:pPr>
        <w:tabs>
          <w:tab w:val="left" w:pos="945"/>
          <w:tab w:val="left" w:pos="1155"/>
        </w:tabs>
        <w:spacing w:line="360" w:lineRule="auto"/>
        <w:ind w:firstLine="480" w:firstLineChars="2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（1）目标及整体设想（8分）:①运输服务理念与目标、②运输服务整体设想及措施。</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投标供应商针对每一项内容进行阐述。内容详实、需求贴合度高且条理清晰的得4分；内容较为简单、可行、细节待完善的得2分；内容粗略、无针对性、基本满足采购需求的得1分；未进行阐述或不满足采购需求的不得分；本项最高得</w:t>
      </w:r>
      <w:r>
        <w:rPr>
          <w:rFonts w:hint="eastAsia" w:ascii="宋体" w:hAnsi="宋体" w:cs="宋体"/>
          <w:bCs/>
          <w:color w:val="000000"/>
          <w:sz w:val="24"/>
          <w:szCs w:val="24"/>
          <w:highlight w:val="none"/>
          <w:lang w:val="en-US" w:eastAsia="zh-CN"/>
        </w:rPr>
        <w:t>8</w:t>
      </w:r>
      <w:r>
        <w:rPr>
          <w:rFonts w:hint="eastAsia" w:ascii="宋体" w:hAnsi="宋体" w:cs="宋体"/>
          <w:bCs/>
          <w:color w:val="000000"/>
          <w:sz w:val="24"/>
          <w:szCs w:val="24"/>
          <w:highlight w:val="none"/>
        </w:rPr>
        <w:t>分。</w:t>
      </w:r>
    </w:p>
    <w:p>
      <w:pPr>
        <w:tabs>
          <w:tab w:val="left" w:pos="945"/>
          <w:tab w:val="left" w:pos="1155"/>
        </w:tabs>
        <w:spacing w:line="360" w:lineRule="auto"/>
        <w:ind w:firstLine="480" w:firstLineChars="200"/>
        <w:jc w:val="left"/>
        <w:rPr>
          <w:rFonts w:ascii="宋体" w:hAnsi="宋体" w:cs="宋体"/>
          <w:bCs/>
          <w:color w:val="000000"/>
          <w:sz w:val="24"/>
          <w:szCs w:val="24"/>
          <w:highlight w:val="none"/>
        </w:rPr>
      </w:pP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lang w:val="en-US" w:eastAsia="zh-CN"/>
        </w:rPr>
        <w:t>2</w:t>
      </w: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rPr>
        <w:t>运输管理服务体系（10分）：①运输方案工作流程及管理服务机制、②运输过程应急情况处理方案及安全措施。</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投标供应商针对每一项内容进行阐述。内容详实、需求贴合度高且条理清晰的得5分；内容较为简单、可行、细节待完善的得3分；内容粗略、无针对性、基本满足采购需求的得1分。未进行阐述或不满足采购需求的不得分；本项最高得10分。</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lang w:val="en-US" w:eastAsia="zh-CN"/>
        </w:rPr>
        <w:t>3</w:t>
      </w: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rPr>
        <w:t>人员配备（4分）：①人员配备组织架构、②人员参与运输方式及各部门人员职责。</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投标供应商针对每一项内容进行阐述，方案合理、描述详细、内容全面可行的得2分；内容较为简单、可行、细节待完善的得1分；内容粗略、无针对性、基本满足采购需求的得0.5分；未进行阐述或不满足采购需求的不得分；本项最高得4分。</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（4）岗前培训管理（6分）：①培训目标及方式、②具体培训方案</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投标供应商针对每一项内容进行阐述。内容详实、需求贴合度高且条理清晰的得3分；内容较为简单、可行、细节待完善的得2分；内容粗略、无针对性、基本满足采购需求的得1分。未进行阐述或不满足采购需求的不得分；本项最高得6分。</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（5）管理规章制度（6分）：①制度适用范围；②各项管理制度。</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投标供应商针对每一项内容进行阐述。制度合理、内容详实、切实可行有效得3分；内容较为简单、可行、细节待完善的得2分；内容粗略、无针对性、基本满足采购需求的得1分。未进行阐述或不满足采购需求的不得分；本项最高得6分。</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（6）设施设备管理（6分）：①设备操作规程；②设备维修保养管理措施。</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投标供应商针对每一项内容进行阐述。设备管理合理、内容详实、切实可行有效得3分；内容较为简单、可行、细节待完善的得2分；内容粗略、无针对性、基本满足采购需求的得1分。未进行阐述或不满足采购需求的不得分；本项最高得6分。</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（7）管理重点难点和措施（8分）：①运输方案重点难点</w:t>
      </w:r>
      <w:r>
        <w:rPr>
          <w:rFonts w:hint="eastAsia" w:ascii="宋体" w:hAnsi="宋体" w:cs="宋体"/>
          <w:bCs/>
          <w:color w:val="000000"/>
          <w:sz w:val="24"/>
          <w:szCs w:val="24"/>
          <w:highlight w:val="none"/>
          <w:lang w:val="en-US" w:eastAsia="zh-CN"/>
        </w:rPr>
        <w:t>及环保处置方式</w:t>
      </w: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rPr>
        <w:t>②服务质量保证措施。</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投标供应商针对每一项内容进行阐述。设备管理合理、内容详实、切实可行有效得4分；内容较为简单、可行、细节待完善的得2分；内容粗略、无针对性、基本满足采购需求的得1分。未进行阐述或不满足采购需求的不得分；本项最高得8分。</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（8）与采购人协调沟通方案（5分）：方案合理、描述详细、切实可行有效，内容全面可行的得5分；阐述较好但有待完善的得3分；阐述一般的得1分，未进行阐述或不满足采购需求的不得分；本项最高得5分。</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（9）</w:t>
      </w:r>
      <w:r>
        <w:rPr>
          <w:rFonts w:hint="eastAsia" w:ascii="宋体" w:hAnsi="宋体" w:cs="宋体"/>
          <w:bCs/>
          <w:color w:val="000000"/>
          <w:sz w:val="24"/>
          <w:szCs w:val="24"/>
          <w:highlight w:val="none"/>
          <w:lang w:val="en-US" w:eastAsia="zh-CN"/>
        </w:rPr>
        <w:t>渗滤液处置技术工艺技术</w:t>
      </w:r>
      <w:r>
        <w:rPr>
          <w:rFonts w:hint="eastAsia" w:ascii="宋体" w:hAnsi="宋体" w:cs="宋体"/>
          <w:bCs/>
          <w:color w:val="000000"/>
          <w:sz w:val="24"/>
          <w:szCs w:val="24"/>
          <w:highlight w:val="none"/>
        </w:rPr>
        <w:t>（4分）：①</w:t>
      </w:r>
      <w:r>
        <w:rPr>
          <w:rFonts w:hint="eastAsia" w:ascii="宋体" w:hAnsi="宋体" w:cs="宋体"/>
          <w:bCs/>
          <w:color w:val="000000"/>
          <w:sz w:val="24"/>
          <w:szCs w:val="24"/>
          <w:highlight w:val="none"/>
          <w:lang w:val="en-US" w:eastAsia="zh-CN"/>
        </w:rPr>
        <w:t>渗滤液处置技术工艺技术的可靠性</w:t>
      </w:r>
      <w:r>
        <w:rPr>
          <w:rFonts w:hint="eastAsia" w:ascii="宋体" w:hAnsi="宋体" w:cs="宋体"/>
          <w:bCs/>
          <w:color w:val="000000"/>
          <w:sz w:val="24"/>
          <w:szCs w:val="24"/>
          <w:highlight w:val="none"/>
        </w:rPr>
        <w:t>、②</w:t>
      </w:r>
      <w:r>
        <w:rPr>
          <w:rFonts w:hint="eastAsia" w:ascii="宋体" w:hAnsi="宋体" w:cs="宋体"/>
          <w:bCs/>
          <w:color w:val="000000"/>
          <w:sz w:val="24"/>
          <w:szCs w:val="24"/>
          <w:highlight w:val="none"/>
          <w:lang w:val="en-US" w:eastAsia="zh-CN"/>
        </w:rPr>
        <w:t>渗滤液处置技术工艺技术的稳定性</w:t>
      </w:r>
      <w:r>
        <w:rPr>
          <w:rFonts w:hint="eastAsia" w:ascii="宋体" w:hAnsi="宋体" w:cs="宋体"/>
          <w:bCs/>
          <w:color w:val="000000"/>
          <w:sz w:val="24"/>
          <w:szCs w:val="24"/>
          <w:highlight w:val="none"/>
        </w:rPr>
        <w:t>。</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投标供应商针对每一项内容进行阐述，方案合理、描述详细、内容全面可行的得2分；内容较为简单、可行、细节待完善的得1分；内容粗略、无针对性、基本满足采购需求的得0.5分；未进行阐述或不满足采购需求的不得分；本项最高得4分。</w:t>
      </w: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lang w:val="en-US" w:eastAsia="zh-CN"/>
        </w:rPr>
        <w:t>10</w:t>
      </w: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rPr>
        <w:t>服务响应时间（3分）：服务响应时间小于1小时的得3分；响应时间在1</w:t>
      </w: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rPr>
        <w:t>2小时的得2分；响应时间超过2</w:t>
      </w:r>
      <w:r>
        <w:rPr>
          <w:rFonts w:hint="eastAsia" w:ascii="宋体" w:hAnsi="宋体" w:cs="宋体"/>
          <w:bCs/>
          <w:color w:val="000000"/>
          <w:sz w:val="24"/>
          <w:szCs w:val="24"/>
          <w:highlight w:val="none"/>
          <w:lang w:eastAsia="zh-CN"/>
        </w:rPr>
        <w:t>～</w:t>
      </w:r>
      <w:r>
        <w:rPr>
          <w:rFonts w:hint="eastAsia" w:ascii="宋体" w:hAnsi="宋体" w:cs="宋体"/>
          <w:bCs/>
          <w:color w:val="000000"/>
          <w:sz w:val="24"/>
          <w:szCs w:val="24"/>
          <w:highlight w:val="none"/>
        </w:rPr>
        <w:t>4小时的得1分，响应时间超过4小时的不得分。</w:t>
      </w:r>
    </w:p>
    <w:p>
      <w:pPr>
        <w:tabs>
          <w:tab w:val="left" w:pos="945"/>
          <w:tab w:val="left" w:pos="1155"/>
        </w:tabs>
        <w:spacing w:line="360" w:lineRule="auto"/>
        <w:ind w:firstLine="600"/>
        <w:jc w:val="left"/>
        <w:rPr>
          <w:rFonts w:ascii="宋体" w:hAnsi="宋体" w:cs="宋体"/>
          <w:bCs/>
          <w:color w:val="000000"/>
          <w:sz w:val="24"/>
          <w:szCs w:val="24"/>
          <w:highlight w:val="none"/>
        </w:rPr>
      </w:pPr>
    </w:p>
    <w:p>
      <w:pPr>
        <w:tabs>
          <w:tab w:val="left" w:pos="945"/>
          <w:tab w:val="left" w:pos="1155"/>
        </w:tabs>
        <w:spacing w:line="360" w:lineRule="auto"/>
        <w:ind w:firstLine="6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采购人。未列入本评分细则的其他条件不作为评分内容。</w:t>
      </w:r>
    </w:p>
    <w:p>
      <w:pPr>
        <w:jc w:val="left"/>
        <w:outlineLvl w:val="1"/>
        <w:rPr>
          <w:rFonts w:ascii="黑体" w:eastAsia="黑体"/>
          <w:bCs/>
          <w:color w:val="000000"/>
          <w:sz w:val="24"/>
          <w:szCs w:val="24"/>
          <w:highlight w:val="none"/>
        </w:rPr>
      </w:pPr>
    </w:p>
    <w:p>
      <w:pPr>
        <w:jc w:val="left"/>
        <w:outlineLvl w:val="1"/>
        <w:rPr>
          <w:rFonts w:ascii="黑体" w:eastAsia="黑体"/>
          <w:bCs/>
          <w:color w:val="000000"/>
          <w:sz w:val="24"/>
          <w:szCs w:val="24"/>
          <w:highlight w:val="none"/>
        </w:rPr>
      </w:pPr>
      <w:r>
        <w:rPr>
          <w:rFonts w:hint="eastAsia" w:ascii="黑体" w:eastAsia="黑体"/>
          <w:bCs/>
          <w:color w:val="000000"/>
          <w:sz w:val="24"/>
          <w:szCs w:val="24"/>
          <w:highlight w:val="none"/>
        </w:rPr>
        <w:t>附件二：投标文件格式</w:t>
      </w:r>
    </w:p>
    <w:p>
      <w:pPr>
        <w:rPr>
          <w:rFonts w:ascii="黑体" w:eastAsia="黑体"/>
          <w:bCs/>
          <w:color w:val="000000"/>
          <w:sz w:val="32"/>
          <w:highlight w:val="none"/>
        </w:rPr>
      </w:pPr>
    </w:p>
    <w:p>
      <w:pPr>
        <w:rPr>
          <w:rFonts w:ascii="黑体" w:eastAsia="黑体"/>
          <w:bCs/>
          <w:color w:val="000000"/>
          <w:sz w:val="32"/>
          <w:highlight w:val="none"/>
        </w:rPr>
      </w:pPr>
    </w:p>
    <w:p>
      <w:pPr>
        <w:jc w:val="center"/>
        <w:rPr>
          <w:rFonts w:ascii="黑体" w:eastAsia="黑体"/>
          <w:bCs/>
          <w:color w:val="000000"/>
          <w:sz w:val="52"/>
          <w:szCs w:val="52"/>
          <w:highlight w:val="none"/>
        </w:rPr>
      </w:pPr>
      <w:r>
        <w:rPr>
          <w:rFonts w:hint="eastAsia" w:ascii="黑体" w:eastAsia="黑体"/>
          <w:bCs/>
          <w:color w:val="000000"/>
          <w:sz w:val="52"/>
          <w:szCs w:val="52"/>
          <w:highlight w:val="none"/>
        </w:rPr>
        <w:t>投</w:t>
      </w:r>
    </w:p>
    <w:p>
      <w:pPr>
        <w:jc w:val="center"/>
        <w:rPr>
          <w:rFonts w:ascii="黑体" w:eastAsia="黑体"/>
          <w:bCs/>
          <w:color w:val="000000"/>
          <w:sz w:val="72"/>
          <w:highlight w:val="none"/>
        </w:rPr>
      </w:pPr>
    </w:p>
    <w:p>
      <w:pPr>
        <w:jc w:val="center"/>
        <w:rPr>
          <w:rFonts w:ascii="黑体" w:eastAsia="黑体"/>
          <w:bCs/>
          <w:color w:val="000000"/>
          <w:sz w:val="52"/>
          <w:szCs w:val="52"/>
          <w:highlight w:val="none"/>
        </w:rPr>
      </w:pPr>
      <w:r>
        <w:rPr>
          <w:rFonts w:hint="eastAsia" w:ascii="黑体" w:eastAsia="黑体"/>
          <w:bCs/>
          <w:color w:val="000000"/>
          <w:sz w:val="52"/>
          <w:szCs w:val="52"/>
          <w:highlight w:val="none"/>
        </w:rPr>
        <w:t>标</w:t>
      </w:r>
    </w:p>
    <w:p>
      <w:pPr>
        <w:jc w:val="center"/>
        <w:rPr>
          <w:rFonts w:ascii="黑体" w:eastAsia="黑体"/>
          <w:bCs/>
          <w:color w:val="000000"/>
          <w:sz w:val="72"/>
          <w:highlight w:val="none"/>
        </w:rPr>
      </w:pPr>
    </w:p>
    <w:p>
      <w:pPr>
        <w:jc w:val="center"/>
        <w:rPr>
          <w:rFonts w:ascii="黑体" w:eastAsia="黑体"/>
          <w:bCs/>
          <w:color w:val="000000"/>
          <w:sz w:val="52"/>
          <w:szCs w:val="52"/>
          <w:highlight w:val="none"/>
        </w:rPr>
      </w:pPr>
      <w:r>
        <w:rPr>
          <w:rFonts w:hint="eastAsia" w:ascii="黑体" w:eastAsia="黑体"/>
          <w:bCs/>
          <w:color w:val="000000"/>
          <w:sz w:val="52"/>
          <w:szCs w:val="52"/>
          <w:highlight w:val="none"/>
        </w:rPr>
        <w:t>文</w:t>
      </w:r>
    </w:p>
    <w:p>
      <w:pPr>
        <w:jc w:val="center"/>
        <w:rPr>
          <w:rFonts w:ascii="黑体" w:eastAsia="黑体"/>
          <w:bCs/>
          <w:color w:val="000000"/>
          <w:sz w:val="52"/>
          <w:szCs w:val="52"/>
          <w:highlight w:val="none"/>
        </w:rPr>
      </w:pPr>
    </w:p>
    <w:p>
      <w:pPr>
        <w:jc w:val="center"/>
        <w:rPr>
          <w:rFonts w:ascii="黑体" w:eastAsia="黑体"/>
          <w:bCs/>
          <w:color w:val="000000"/>
          <w:sz w:val="52"/>
          <w:szCs w:val="52"/>
          <w:highlight w:val="none"/>
        </w:rPr>
      </w:pPr>
      <w:r>
        <w:rPr>
          <w:rFonts w:hint="eastAsia" w:ascii="黑体" w:eastAsia="黑体"/>
          <w:bCs/>
          <w:color w:val="000000"/>
          <w:sz w:val="52"/>
          <w:szCs w:val="52"/>
          <w:highlight w:val="none"/>
        </w:rPr>
        <w:t>件</w:t>
      </w:r>
    </w:p>
    <w:p>
      <w:pPr>
        <w:rPr>
          <w:rFonts w:ascii="楷体_GB2312" w:eastAsia="楷体_GB2312"/>
          <w:bCs/>
          <w:color w:val="000000"/>
          <w:sz w:val="72"/>
          <w:highlight w:val="none"/>
        </w:rPr>
      </w:pPr>
    </w:p>
    <w:p>
      <w:pPr>
        <w:rPr>
          <w:rFonts w:ascii="楷体_GB2312" w:eastAsia="楷体_GB2312"/>
          <w:bCs/>
          <w:color w:val="000000"/>
          <w:sz w:val="28"/>
          <w:highlight w:val="none"/>
        </w:rPr>
      </w:pPr>
    </w:p>
    <w:p>
      <w:pPr>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采购项目编号：</w:t>
      </w:r>
      <w:r>
        <w:rPr>
          <w:rFonts w:hint="eastAsia" w:ascii="黑体" w:eastAsia="黑体"/>
          <w:bCs/>
          <w:color w:val="000000"/>
          <w:sz w:val="28"/>
          <w:szCs w:val="28"/>
          <w:highlight w:val="none"/>
          <w:lang w:eastAsia="zh-CN"/>
        </w:rPr>
        <w:t>JSZC-320200-BZDL-G2026-0018</w:t>
      </w:r>
    </w:p>
    <w:p>
      <w:pPr>
        <w:ind w:firstLine="560"/>
        <w:jc w:val="left"/>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采购项目名称：</w:t>
      </w:r>
      <w:r>
        <w:rPr>
          <w:rFonts w:hint="eastAsia" w:ascii="黑体" w:eastAsia="黑体"/>
          <w:bCs/>
          <w:color w:val="000000"/>
          <w:sz w:val="28"/>
          <w:szCs w:val="28"/>
          <w:highlight w:val="none"/>
          <w:lang w:eastAsia="zh-CN"/>
        </w:rPr>
        <w:t>2026年生活垃圾转运站渗滤液外运处置项目</w:t>
      </w:r>
    </w:p>
    <w:p>
      <w:pPr>
        <w:ind w:firstLine="560"/>
        <w:jc w:val="left"/>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lang w:eastAsia="zh-CN"/>
        </w:rPr>
        <w:t>外运处置项目</w:t>
      </w:r>
    </w:p>
    <w:p>
      <w:pPr>
        <w:ind w:firstLine="560"/>
        <w:rPr>
          <w:rFonts w:ascii="黑体" w:eastAsia="黑体"/>
          <w:bCs/>
          <w:color w:val="000000"/>
          <w:sz w:val="28"/>
          <w:szCs w:val="28"/>
          <w:highlight w:val="none"/>
        </w:rPr>
      </w:pPr>
      <w:r>
        <w:rPr>
          <w:rFonts w:hint="eastAsia" w:ascii="黑体" w:eastAsia="黑体"/>
          <w:bCs/>
          <w:color w:val="000000"/>
          <w:sz w:val="28"/>
          <w:szCs w:val="28"/>
          <w:highlight w:val="none"/>
        </w:rPr>
        <w:t>投标人：（公章）</w:t>
      </w:r>
    </w:p>
    <w:p>
      <w:pPr>
        <w:rPr>
          <w:rFonts w:ascii="黑体" w:eastAsia="黑体"/>
          <w:bCs/>
          <w:color w:val="000000"/>
          <w:sz w:val="32"/>
          <w:highlight w:val="none"/>
        </w:rPr>
      </w:pPr>
    </w:p>
    <w:p>
      <w:pPr>
        <w:jc w:val="center"/>
        <w:rPr>
          <w:rFonts w:ascii="黑体" w:eastAsia="黑体"/>
          <w:bCs/>
          <w:color w:val="000000"/>
          <w:sz w:val="36"/>
          <w:szCs w:val="36"/>
          <w:highlight w:val="none"/>
        </w:rPr>
      </w:pPr>
      <w:r>
        <w:rPr>
          <w:rFonts w:hint="eastAsia" w:ascii="黑体" w:eastAsia="黑体"/>
          <w:bCs/>
          <w:color w:val="000000"/>
          <w:sz w:val="36"/>
          <w:szCs w:val="36"/>
          <w:highlight w:val="none"/>
        </w:rPr>
        <w:t>年  月  日</w:t>
      </w:r>
    </w:p>
    <w:p>
      <w:pPr>
        <w:rPr>
          <w:rFonts w:ascii="黑体" w:hAnsi="宋体" w:eastAsia="黑体"/>
          <w:bCs/>
          <w:color w:val="000000"/>
          <w:sz w:val="24"/>
          <w:szCs w:val="24"/>
          <w:highlight w:val="none"/>
        </w:rPr>
      </w:pPr>
      <w:bookmarkStart w:id="15" w:name="一．报价函（格式）"/>
      <w:bookmarkEnd w:id="15"/>
    </w:p>
    <w:p>
      <w:pPr>
        <w:rPr>
          <w:rFonts w:ascii="黑体" w:hAnsi="宋体" w:eastAsia="黑体"/>
          <w:bCs/>
          <w:color w:val="000000"/>
          <w:sz w:val="24"/>
          <w:szCs w:val="24"/>
          <w:highlight w:val="none"/>
        </w:rPr>
      </w:pPr>
    </w:p>
    <w:p>
      <w:pPr>
        <w:rPr>
          <w:rFonts w:ascii="黑体" w:hAnsi="宋体" w:eastAsia="黑体"/>
          <w:bCs/>
          <w:color w:val="000000"/>
          <w:sz w:val="24"/>
          <w:szCs w:val="24"/>
          <w:highlight w:val="none"/>
        </w:rPr>
      </w:pPr>
    </w:p>
    <w:p>
      <w:pPr>
        <w:rPr>
          <w:rFonts w:ascii="黑体" w:hAnsi="宋体" w:eastAsia="黑体"/>
          <w:bCs/>
          <w:color w:val="000000"/>
          <w:sz w:val="24"/>
          <w:szCs w:val="24"/>
          <w:highlight w:val="none"/>
        </w:rPr>
      </w:pPr>
    </w:p>
    <w:p>
      <w:pPr>
        <w:rPr>
          <w:rFonts w:ascii="黑体" w:hAnsi="宋体" w:eastAsia="黑体"/>
          <w:bCs/>
          <w:color w:val="000000"/>
          <w:sz w:val="24"/>
          <w:szCs w:val="24"/>
          <w:highlight w:val="none"/>
        </w:rPr>
      </w:pPr>
    </w:p>
    <w:p>
      <w:pPr>
        <w:outlineLvl w:val="2"/>
        <w:rPr>
          <w:rFonts w:ascii="黑体" w:hAnsi="宋体" w:eastAsia="黑体"/>
          <w:color w:val="000000"/>
          <w:sz w:val="24"/>
          <w:szCs w:val="24"/>
          <w:highlight w:val="none"/>
        </w:rPr>
      </w:pPr>
      <w:r>
        <w:rPr>
          <w:rFonts w:hint="eastAsia" w:ascii="黑体" w:hAnsi="宋体" w:eastAsia="黑体"/>
          <w:bCs/>
          <w:color w:val="000000"/>
          <w:sz w:val="24"/>
          <w:szCs w:val="24"/>
          <w:highlight w:val="none"/>
        </w:rPr>
        <w:br w:type="page" w:clear="all"/>
      </w:r>
    </w:p>
    <w:p>
      <w:pPr>
        <w:outlineLvl w:val="2"/>
        <w:rPr>
          <w:rFonts w:ascii="黑体" w:hAnsi="宋体" w:eastAsia="黑体"/>
          <w:color w:val="000000"/>
          <w:sz w:val="24"/>
          <w:szCs w:val="24"/>
          <w:highlight w:val="none"/>
        </w:rPr>
      </w:pPr>
      <w:r>
        <w:rPr>
          <w:rFonts w:hint="eastAsia" w:ascii="黑体" w:hAnsi="宋体" w:eastAsia="黑体"/>
          <w:bCs/>
          <w:color w:val="000000"/>
          <w:sz w:val="24"/>
          <w:szCs w:val="24"/>
          <w:highlight w:val="none"/>
        </w:rPr>
        <w:t>（一）投标函（格式）：</w:t>
      </w:r>
    </w:p>
    <w:p>
      <w:pPr>
        <w:rPr>
          <w:rFonts w:ascii="宋体"/>
          <w:b/>
          <w:bCs/>
          <w:color w:val="000000"/>
          <w:sz w:val="24"/>
          <w:szCs w:val="24"/>
          <w:highlight w:val="none"/>
        </w:rPr>
      </w:pPr>
    </w:p>
    <w:p>
      <w:pPr>
        <w:spacing w:line="360" w:lineRule="auto"/>
        <w:jc w:val="center"/>
        <w:rPr>
          <w:rFonts w:ascii="宋体"/>
          <w:bCs/>
          <w:color w:val="000000"/>
          <w:sz w:val="24"/>
          <w:szCs w:val="24"/>
          <w:highlight w:val="none"/>
        </w:rPr>
      </w:pPr>
      <w:r>
        <w:rPr>
          <w:rFonts w:hint="eastAsia" w:ascii="黑体" w:eastAsia="黑体"/>
          <w:bCs/>
          <w:color w:val="000000"/>
          <w:sz w:val="28"/>
          <w:szCs w:val="28"/>
          <w:highlight w:val="none"/>
        </w:rPr>
        <w:t>投标函</w:t>
      </w:r>
    </w:p>
    <w:p>
      <w:pPr>
        <w:spacing w:line="360" w:lineRule="auto"/>
        <w:rPr>
          <w:rFonts w:ascii="宋体"/>
          <w:bCs/>
          <w:color w:val="000000"/>
          <w:sz w:val="24"/>
          <w:szCs w:val="24"/>
          <w:highlight w:val="none"/>
          <w:u w:val="single"/>
        </w:rPr>
      </w:pPr>
      <w:r>
        <w:rPr>
          <w:rFonts w:hint="eastAsia" w:ascii="宋体" w:hAnsi="宋体"/>
          <w:bCs/>
          <w:color w:val="000000"/>
          <w:sz w:val="24"/>
          <w:szCs w:val="24"/>
          <w:highlight w:val="none"/>
        </w:rPr>
        <w:t>致：</w:t>
      </w:r>
    </w:p>
    <w:p>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我方收到贵方编号</w:t>
      </w:r>
      <w:r>
        <w:rPr>
          <w:rFonts w:hint="eastAsia" w:ascii="宋体" w:hAnsi="宋体"/>
          <w:bCs/>
          <w:color w:val="000000"/>
          <w:sz w:val="24"/>
          <w:szCs w:val="24"/>
          <w:highlight w:val="none"/>
          <w:lang w:eastAsia="zh-CN"/>
        </w:rPr>
        <w:t>JSZC-320200-BZDL-G2026-0018</w:t>
      </w:r>
      <w:r>
        <w:rPr>
          <w:rFonts w:hint="eastAsia" w:ascii="宋体" w:hAnsi="宋体"/>
          <w:bCs/>
          <w:color w:val="000000"/>
          <w:sz w:val="24"/>
          <w:szCs w:val="24"/>
          <w:highlight w:val="none"/>
        </w:rPr>
        <w:t>招标文件，经仔细阅读和研究，我方决定参加此项目</w:t>
      </w:r>
      <w:r>
        <w:rPr>
          <w:rFonts w:hint="eastAsia" w:ascii="宋体" w:hAnsi="宋体" w:cs="宋体"/>
          <w:bCs/>
          <w:color w:val="000000"/>
          <w:sz w:val="24"/>
          <w:szCs w:val="24"/>
          <w:highlight w:val="none"/>
          <w:u w:val="single"/>
          <w:lang w:eastAsia="zh-CN"/>
        </w:rPr>
        <w:t>2026年生活垃圾转运站渗滤液外运处置项目</w:t>
      </w:r>
      <w:r>
        <w:rPr>
          <w:rFonts w:hint="eastAsia" w:ascii="宋体" w:hAnsi="宋体"/>
          <w:bCs/>
          <w:color w:val="000000"/>
          <w:sz w:val="24"/>
          <w:szCs w:val="24"/>
          <w:highlight w:val="none"/>
        </w:rPr>
        <w:t>的投标。</w:t>
      </w:r>
    </w:p>
    <w:p>
      <w:pPr>
        <w:numPr>
          <w:ilvl w:val="0"/>
          <w:numId w:val="6"/>
        </w:numPr>
        <w:tabs>
          <w:tab w:val="left" w:pos="315"/>
          <w:tab w:val="left" w:pos="840"/>
          <w:tab w:val="left" w:pos="945"/>
          <w:tab w:val="left" w:pos="1050"/>
          <w:tab w:val="left" w:pos="1260"/>
        </w:tabs>
        <w:spacing w:line="360" w:lineRule="auto"/>
        <w:ind w:left="0" w:firstLine="525"/>
        <w:rPr>
          <w:rFonts w:ascii="宋体"/>
          <w:bCs/>
          <w:color w:val="000000"/>
          <w:sz w:val="24"/>
          <w:szCs w:val="24"/>
          <w:highlight w:val="none"/>
        </w:rPr>
      </w:pPr>
      <w:r>
        <w:rPr>
          <w:rFonts w:hint="eastAsia" w:ascii="宋体" w:hAnsi="宋体"/>
          <w:bCs/>
          <w:color w:val="000000"/>
          <w:sz w:val="24"/>
          <w:szCs w:val="24"/>
          <w:highlight w:val="none"/>
        </w:rPr>
        <w:t>我方愿意按照招标文件的一切要求，提供本项目的投标，投标总价见《开标一览表》。</w:t>
      </w:r>
    </w:p>
    <w:p>
      <w:pPr>
        <w:numPr>
          <w:ilvl w:val="0"/>
          <w:numId w:val="6"/>
        </w:numPr>
        <w:tabs>
          <w:tab w:val="left" w:pos="0"/>
          <w:tab w:val="left" w:pos="315"/>
          <w:tab w:val="left" w:pos="525"/>
          <w:tab w:val="left" w:pos="840"/>
          <w:tab w:val="left" w:pos="945"/>
          <w:tab w:val="left" w:pos="1050"/>
        </w:tabs>
        <w:spacing w:line="360" w:lineRule="auto"/>
        <w:ind w:left="0" w:firstLine="523"/>
        <w:rPr>
          <w:rStyle w:val="258"/>
          <w:bCs/>
          <w:color w:val="000000"/>
          <w:highlight w:val="none"/>
        </w:rPr>
      </w:pPr>
      <w:r>
        <w:rPr>
          <w:rFonts w:hint="eastAsia" w:ascii="宋体" w:hAnsi="宋体"/>
          <w:bCs/>
          <w:color w:val="000000"/>
          <w:sz w:val="24"/>
          <w:szCs w:val="24"/>
          <w:highlight w:val="none"/>
        </w:rPr>
        <w:t>我方愿意提供招标文件中要求的文件、资料。</w:t>
      </w:r>
    </w:p>
    <w:p>
      <w:pPr>
        <w:numPr>
          <w:ilvl w:val="0"/>
          <w:numId w:val="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我方同意按招标文件中的规定，本投标文件投标的有效期限为开标之日起</w:t>
      </w:r>
      <w:r>
        <w:rPr>
          <w:rFonts w:ascii="宋体" w:hAnsi="宋体"/>
          <w:bCs/>
          <w:color w:val="000000"/>
          <w:sz w:val="24"/>
          <w:szCs w:val="24"/>
          <w:highlight w:val="none"/>
        </w:rPr>
        <w:t>90</w:t>
      </w:r>
      <w:r>
        <w:rPr>
          <w:rFonts w:hint="eastAsia" w:ascii="宋体" w:hAnsi="宋体"/>
          <w:bCs/>
          <w:color w:val="000000"/>
          <w:sz w:val="24"/>
          <w:szCs w:val="24"/>
          <w:highlight w:val="none"/>
        </w:rPr>
        <w:t>天。</w:t>
      </w:r>
    </w:p>
    <w:p>
      <w:pPr>
        <w:numPr>
          <w:ilvl w:val="0"/>
          <w:numId w:val="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如果我方的投标文件被接受，我方将履行招标文件中规定的每一项要求，按期、按质、按量，完成服务任务。</w:t>
      </w:r>
    </w:p>
    <w:p>
      <w:pPr>
        <w:numPr>
          <w:ilvl w:val="0"/>
          <w:numId w:val="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cs="宋体"/>
          <w:bCs/>
          <w:color w:val="000000"/>
          <w:sz w:val="24"/>
          <w:szCs w:val="24"/>
          <w:highlight w:val="none"/>
        </w:rPr>
        <w:t>我们尊重和服从评标委员会的评审结果</w:t>
      </w:r>
      <w:r>
        <w:rPr>
          <w:rFonts w:hint="eastAsia" w:ascii="宋体" w:hAnsi="宋体"/>
          <w:bCs/>
          <w:color w:val="000000"/>
          <w:sz w:val="24"/>
          <w:szCs w:val="24"/>
          <w:highlight w:val="none"/>
        </w:rPr>
        <w:t>。</w:t>
      </w:r>
    </w:p>
    <w:p>
      <w:pPr>
        <w:numPr>
          <w:ilvl w:val="0"/>
          <w:numId w:val="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cs="宋体"/>
          <w:bCs/>
          <w:color w:val="000000"/>
          <w:sz w:val="24"/>
          <w:szCs w:val="24"/>
          <w:highlight w:val="none"/>
        </w:rPr>
        <w:t>我方愿意遵守《中华人民共和国政府采购法》，并按《中华人民共和国民法典》、财政部《政府采购货物和服务招标投标管理办法》和合同条款履行自己的全部责任。在合同履行过程中，双方如有争议，同意由</w:t>
      </w:r>
      <w:r>
        <w:rPr>
          <w:rFonts w:hint="eastAsia" w:ascii="宋体" w:hAnsi="宋体" w:cs="宋体"/>
          <w:bCs/>
          <w:color w:val="000000"/>
          <w:sz w:val="24"/>
          <w:szCs w:val="24"/>
          <w:highlight w:val="none"/>
          <w:lang w:eastAsia="zh-CN"/>
        </w:rPr>
        <w:t>江苏博智工程咨询有限公司</w:t>
      </w:r>
      <w:r>
        <w:rPr>
          <w:rFonts w:hint="eastAsia" w:ascii="宋体" w:hAnsi="宋体" w:cs="宋体"/>
          <w:bCs/>
          <w:color w:val="000000"/>
          <w:sz w:val="24"/>
          <w:szCs w:val="24"/>
          <w:highlight w:val="none"/>
        </w:rPr>
        <w:t>协调解决，并按相关法规和有关文件规定处理</w:t>
      </w:r>
      <w:r>
        <w:rPr>
          <w:rFonts w:hint="eastAsia" w:ascii="宋体" w:hAnsi="宋体"/>
          <w:bCs/>
          <w:color w:val="000000"/>
          <w:sz w:val="24"/>
          <w:szCs w:val="24"/>
          <w:highlight w:val="none"/>
        </w:rPr>
        <w:t>。</w:t>
      </w:r>
    </w:p>
    <w:p>
      <w:pPr>
        <w:numPr>
          <w:ilvl w:val="0"/>
          <w:numId w:val="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我方认可并遵守招标文件的所有规定，放弃对招标文件提出质疑的权利。</w:t>
      </w:r>
    </w:p>
    <w:p>
      <w:pPr>
        <w:numPr>
          <w:ilvl w:val="0"/>
          <w:numId w:val="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pPr>
        <w:numPr>
          <w:ilvl w:val="0"/>
          <w:numId w:val="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pPr>
        <w:spacing w:line="360" w:lineRule="auto"/>
        <w:ind w:firstLine="720"/>
        <w:rPr>
          <w:rFonts w:ascii="宋体"/>
          <w:bCs/>
          <w:color w:val="000000"/>
          <w:sz w:val="24"/>
          <w:szCs w:val="24"/>
          <w:highlight w:val="none"/>
        </w:rPr>
      </w:pPr>
    </w:p>
    <w:p>
      <w:pPr>
        <w:spacing w:line="400" w:lineRule="exact"/>
        <w:ind w:firstLine="480"/>
        <w:rPr>
          <w:rFonts w:ascii="宋体"/>
          <w:bCs/>
          <w:color w:val="000000"/>
          <w:sz w:val="24"/>
          <w:szCs w:val="24"/>
          <w:highlight w:val="none"/>
        </w:rPr>
      </w:pPr>
      <w:r>
        <w:rPr>
          <w:rFonts w:hint="eastAsia" w:ascii="宋体" w:hAnsi="宋体"/>
          <w:bCs/>
          <w:color w:val="000000"/>
          <w:sz w:val="24"/>
          <w:szCs w:val="24"/>
          <w:highlight w:val="none"/>
        </w:rPr>
        <w:t>投标人（盖章）：</w:t>
      </w:r>
    </w:p>
    <w:p>
      <w:pPr>
        <w:spacing w:line="400" w:lineRule="exact"/>
        <w:ind w:firstLine="480"/>
        <w:rPr>
          <w:rFonts w:ascii="宋体"/>
          <w:bCs/>
          <w:color w:val="000000"/>
          <w:sz w:val="24"/>
          <w:szCs w:val="24"/>
          <w:highlight w:val="none"/>
        </w:rPr>
      </w:pPr>
      <w:r>
        <w:rPr>
          <w:rFonts w:hint="eastAsia" w:ascii="宋体" w:hAnsi="宋体"/>
          <w:bCs/>
          <w:color w:val="000000"/>
          <w:sz w:val="24"/>
          <w:szCs w:val="24"/>
          <w:highlight w:val="none"/>
        </w:rPr>
        <w:t>法定代表人或法定代表人授权代表签字或盖章：</w:t>
      </w:r>
    </w:p>
    <w:p>
      <w:pPr>
        <w:spacing w:line="400" w:lineRule="exact"/>
        <w:ind w:firstLine="480"/>
        <w:rPr>
          <w:rFonts w:ascii="宋体"/>
          <w:bCs/>
          <w:color w:val="000000"/>
          <w:sz w:val="24"/>
          <w:szCs w:val="24"/>
          <w:highlight w:val="none"/>
        </w:rPr>
      </w:pPr>
      <w:r>
        <w:rPr>
          <w:rFonts w:hint="eastAsia" w:ascii="宋体" w:hAnsi="宋体"/>
          <w:bCs/>
          <w:color w:val="000000"/>
          <w:sz w:val="24"/>
          <w:szCs w:val="24"/>
          <w:highlight w:val="none"/>
        </w:rPr>
        <w:t>电话：传真：</w:t>
      </w:r>
    </w:p>
    <w:p>
      <w:pPr>
        <w:spacing w:line="40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通讯地址：邮编：</w:t>
      </w:r>
    </w:p>
    <w:p>
      <w:pPr>
        <w:outlineLvl w:val="2"/>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（二）（投标人）关于资格的声明函（格式）：</w:t>
      </w:r>
    </w:p>
    <w:p>
      <w:pPr>
        <w:spacing w:line="360" w:lineRule="auto"/>
        <w:rPr>
          <w:rFonts w:ascii="黑体" w:eastAsia="黑体"/>
          <w:bCs/>
          <w:color w:val="000000"/>
          <w:sz w:val="36"/>
          <w:highlight w:val="none"/>
        </w:rPr>
      </w:pPr>
    </w:p>
    <w:p>
      <w:pPr>
        <w:jc w:val="center"/>
        <w:rPr>
          <w:rFonts w:ascii="黑体" w:eastAsia="黑体"/>
          <w:bCs/>
          <w:color w:val="000000"/>
          <w:sz w:val="28"/>
          <w:szCs w:val="28"/>
          <w:highlight w:val="none"/>
        </w:rPr>
      </w:pPr>
      <w:bookmarkStart w:id="16" w:name="报价方关于资格的声明函（格式）"/>
      <w:bookmarkEnd w:id="16"/>
      <w:r>
        <w:rPr>
          <w:rFonts w:hint="eastAsia" w:ascii="黑体" w:eastAsia="黑体"/>
          <w:bCs/>
          <w:color w:val="000000"/>
          <w:sz w:val="28"/>
          <w:szCs w:val="28"/>
          <w:highlight w:val="none"/>
        </w:rPr>
        <w:t>关于资格的声明函</w:t>
      </w:r>
    </w:p>
    <w:p>
      <w:pPr>
        <w:jc w:val="center"/>
        <w:rPr>
          <w:rFonts w:ascii="黑体" w:eastAsia="黑体"/>
          <w:bCs/>
          <w:color w:val="000000"/>
          <w:sz w:val="32"/>
          <w:highlight w:val="none"/>
        </w:rPr>
      </w:pPr>
    </w:p>
    <w:p>
      <w:pPr>
        <w:spacing w:line="480" w:lineRule="auto"/>
        <w:jc w:val="center"/>
        <w:rPr>
          <w:rFonts w:ascii="宋体"/>
          <w:bCs/>
          <w:color w:val="000000"/>
          <w:sz w:val="24"/>
          <w:szCs w:val="24"/>
          <w:highlight w:val="none"/>
        </w:rPr>
      </w:pPr>
      <w:r>
        <w:rPr>
          <w:rFonts w:hint="eastAsia" w:ascii="宋体" w:hAnsi="宋体"/>
          <w:bCs/>
          <w:color w:val="000000"/>
          <w:sz w:val="24"/>
          <w:szCs w:val="24"/>
          <w:highlight w:val="none"/>
        </w:rPr>
        <w:t>采购项目编号：</w:t>
      </w:r>
    </w:p>
    <w:p>
      <w:pPr>
        <w:tabs>
          <w:tab w:val="left" w:pos="6300"/>
        </w:tabs>
        <w:spacing w:line="480" w:lineRule="auto"/>
        <w:jc w:val="center"/>
        <w:rPr>
          <w:rFonts w:ascii="宋体"/>
          <w:bCs/>
          <w:color w:val="000000"/>
          <w:sz w:val="24"/>
          <w:szCs w:val="24"/>
          <w:highlight w:val="none"/>
        </w:rPr>
      </w:pPr>
      <w:r>
        <w:rPr>
          <w:rFonts w:hint="eastAsia" w:ascii="宋体" w:hAnsi="宋体"/>
          <w:bCs/>
          <w:color w:val="000000"/>
          <w:sz w:val="24"/>
          <w:szCs w:val="24"/>
          <w:highlight w:val="none"/>
        </w:rPr>
        <w:t>日期：</w:t>
      </w:r>
    </w:p>
    <w:p>
      <w:pPr>
        <w:spacing w:line="480" w:lineRule="auto"/>
        <w:jc w:val="center"/>
        <w:rPr>
          <w:rFonts w:ascii="宋体"/>
          <w:bCs/>
          <w:color w:val="000000"/>
          <w:sz w:val="24"/>
          <w:szCs w:val="24"/>
          <w:highlight w:val="none"/>
        </w:rPr>
      </w:pPr>
    </w:p>
    <w:p>
      <w:pPr>
        <w:spacing w:line="360" w:lineRule="auto"/>
        <w:rPr>
          <w:rFonts w:ascii="宋体"/>
          <w:bCs/>
          <w:color w:val="000000"/>
          <w:sz w:val="24"/>
          <w:szCs w:val="24"/>
          <w:highlight w:val="none"/>
          <w:u w:val="single"/>
        </w:rPr>
      </w:pPr>
      <w:r>
        <w:rPr>
          <w:rFonts w:hint="eastAsia" w:ascii="宋体" w:hAnsi="宋体"/>
          <w:bCs/>
          <w:color w:val="000000"/>
          <w:sz w:val="24"/>
          <w:szCs w:val="24"/>
          <w:highlight w:val="none"/>
        </w:rPr>
        <w:t>致：</w:t>
      </w:r>
    </w:p>
    <w:p>
      <w:pPr>
        <w:spacing w:line="48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我公司(单位)愿针对本次项目进行投标。</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我公司符合《中华人民共和国政府采购法》第二十二条的规定，在此郑重承诺具备以下条件：</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(一)具有独立承担民事责任的能力；</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(二)具有良好的商业信誉和健全的财务会计制度；</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(三)具有履行合同所必需的设备和专业技术能力；</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(四)有依法缴纳税收和社会保障资金的良好记录；</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(五)近三年内，在经营活动中没有重大违法记录；</w:t>
      </w:r>
    </w:p>
    <w:p>
      <w:pPr>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(六)投标文件中所有关于投标资格的文件、证明、陈述均是真实的、准确的。</w:t>
      </w:r>
    </w:p>
    <w:p>
      <w:pPr>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若有违背，我公司(单位)愿意承担由此而产生的一切后果。</w:t>
      </w:r>
    </w:p>
    <w:p>
      <w:pPr>
        <w:spacing w:line="480" w:lineRule="auto"/>
        <w:rPr>
          <w:rFonts w:ascii="宋体"/>
          <w:bCs/>
          <w:color w:val="000000"/>
          <w:sz w:val="24"/>
          <w:szCs w:val="24"/>
          <w:highlight w:val="none"/>
        </w:rPr>
      </w:pPr>
    </w:p>
    <w:p>
      <w:pPr>
        <w:spacing w:line="480" w:lineRule="auto"/>
        <w:rPr>
          <w:rFonts w:ascii="宋体"/>
          <w:bCs/>
          <w:color w:val="000000"/>
          <w:sz w:val="24"/>
          <w:szCs w:val="24"/>
          <w:highlight w:val="none"/>
        </w:rPr>
      </w:pPr>
      <w:r>
        <w:rPr>
          <w:rFonts w:hint="eastAsia" w:ascii="宋体" w:hAnsi="宋体"/>
          <w:bCs/>
          <w:color w:val="000000"/>
          <w:sz w:val="24"/>
          <w:szCs w:val="24"/>
          <w:highlight w:val="none"/>
        </w:rPr>
        <w:t>投标人（盖章）：</w:t>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法定代表人或法定代表人授权代表（签字或盖章）：</w:t>
      </w:r>
    </w:p>
    <w:p>
      <w:pPr>
        <w:spacing w:line="480" w:lineRule="auto"/>
        <w:rPr>
          <w:rFonts w:ascii="宋体"/>
          <w:bCs/>
          <w:color w:val="000000"/>
          <w:sz w:val="24"/>
          <w:szCs w:val="24"/>
          <w:highlight w:val="none"/>
        </w:rPr>
      </w:pPr>
    </w:p>
    <w:p>
      <w:pPr>
        <w:ind w:firstLine="480"/>
        <w:rPr>
          <w:rFonts w:ascii="黑体" w:hAnsi="宋体" w:eastAsia="黑体"/>
          <w:bCs/>
          <w:color w:val="000000"/>
          <w:sz w:val="24"/>
          <w:szCs w:val="24"/>
          <w:highlight w:val="none"/>
        </w:rPr>
      </w:pPr>
    </w:p>
    <w:p>
      <w:pPr>
        <w:ind w:firstLine="420"/>
        <w:rPr>
          <w:rFonts w:ascii="黑体" w:hAnsi="宋体" w:eastAsia="黑体"/>
          <w:bCs/>
          <w:color w:val="000000"/>
          <w:sz w:val="24"/>
          <w:szCs w:val="24"/>
          <w:highlight w:val="none"/>
        </w:rPr>
      </w:pPr>
      <w:r>
        <w:rPr>
          <w:rFonts w:hint="eastAsia"/>
          <w:color w:val="000000"/>
          <w:highlight w:val="none"/>
        </w:rPr>
        <w:t>备注：上述所称“重大违法记录”,是指供应商因违法经营受到刑事处罚或者责令停产停业、吊销许可证或者执照、较大数额罚款等行政处罚。</w:t>
      </w:r>
    </w:p>
    <w:p>
      <w:pPr>
        <w:ind w:firstLine="480"/>
        <w:rPr>
          <w:rFonts w:ascii="黑体" w:hAnsi="宋体" w:eastAsia="黑体"/>
          <w:bCs/>
          <w:color w:val="000000"/>
          <w:sz w:val="24"/>
          <w:szCs w:val="24"/>
          <w:highlight w:val="none"/>
        </w:rPr>
      </w:pPr>
    </w:p>
    <w:p>
      <w:pPr>
        <w:ind w:firstLine="480"/>
        <w:rPr>
          <w:rFonts w:ascii="黑体" w:hAnsi="宋体" w:eastAsia="黑体"/>
          <w:bCs/>
          <w:color w:val="000000"/>
          <w:sz w:val="24"/>
          <w:szCs w:val="24"/>
          <w:highlight w:val="none"/>
        </w:rPr>
      </w:pPr>
    </w:p>
    <w:p>
      <w:pPr>
        <w:ind w:firstLine="480"/>
        <w:rPr>
          <w:rFonts w:ascii="黑体" w:hAnsi="宋体" w:eastAsia="黑体"/>
          <w:bCs/>
          <w:color w:val="000000"/>
          <w:sz w:val="24"/>
          <w:szCs w:val="24"/>
          <w:highlight w:val="none"/>
        </w:rPr>
      </w:pPr>
    </w:p>
    <w:p>
      <w:pPr>
        <w:ind w:firstLine="480"/>
        <w:rPr>
          <w:rFonts w:ascii="黑体" w:hAnsi="宋体" w:eastAsia="黑体"/>
          <w:bCs/>
          <w:color w:val="000000"/>
          <w:sz w:val="24"/>
          <w:szCs w:val="24"/>
          <w:highlight w:val="none"/>
        </w:rPr>
      </w:pPr>
    </w:p>
    <w:p>
      <w:pPr>
        <w:ind w:firstLine="480"/>
        <w:rPr>
          <w:rFonts w:ascii="黑体" w:hAnsi="宋体" w:eastAsia="黑体"/>
          <w:bCs/>
          <w:color w:val="000000"/>
          <w:sz w:val="24"/>
          <w:szCs w:val="24"/>
          <w:highlight w:val="none"/>
        </w:rPr>
      </w:pPr>
    </w:p>
    <w:p>
      <w:pPr>
        <w:outlineLvl w:val="2"/>
        <w:rPr>
          <w:rFonts w:ascii="黑体" w:eastAsia="黑体"/>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（三）（投标人）法定代表人授权委托书（格式）：</w:t>
      </w:r>
    </w:p>
    <w:p>
      <w:pPr>
        <w:jc w:val="center"/>
        <w:rPr>
          <w:rFonts w:ascii="宋体"/>
          <w:bCs/>
          <w:color w:val="000000"/>
          <w:sz w:val="24"/>
          <w:szCs w:val="24"/>
          <w:highlight w:val="none"/>
        </w:rPr>
      </w:pPr>
      <w:r>
        <w:rPr>
          <w:rFonts w:hint="eastAsia" w:ascii="黑体" w:eastAsia="黑体"/>
          <w:bCs/>
          <w:color w:val="000000"/>
          <w:sz w:val="28"/>
          <w:szCs w:val="28"/>
          <w:highlight w:val="none"/>
        </w:rPr>
        <w:t>法定代表人授权委托书</w:t>
      </w:r>
    </w:p>
    <w:p>
      <w:pPr>
        <w:spacing w:line="600" w:lineRule="exact"/>
        <w:rPr>
          <w:rFonts w:ascii="宋体"/>
          <w:bCs/>
          <w:color w:val="000000"/>
          <w:sz w:val="24"/>
          <w:szCs w:val="24"/>
          <w:highlight w:val="none"/>
          <w:u w:val="single"/>
        </w:rPr>
      </w:pPr>
      <w:r>
        <w:rPr>
          <w:rFonts w:hint="eastAsia" w:ascii="宋体" w:hAnsi="宋体"/>
          <w:bCs/>
          <w:color w:val="000000"/>
          <w:sz w:val="24"/>
          <w:szCs w:val="24"/>
          <w:highlight w:val="none"/>
        </w:rPr>
        <w:t>致：</w:t>
      </w:r>
    </w:p>
    <w:p>
      <w:pPr>
        <w:spacing w:line="600" w:lineRule="exact"/>
        <w:ind w:firstLine="480"/>
        <w:rPr>
          <w:rFonts w:ascii="宋体"/>
          <w:bCs/>
          <w:color w:val="000000"/>
          <w:sz w:val="24"/>
          <w:szCs w:val="24"/>
          <w:highlight w:val="none"/>
        </w:rPr>
      </w:pPr>
      <w:r>
        <w:rPr>
          <w:rFonts w:hint="eastAsia" w:ascii="宋体" w:hAnsi="宋体"/>
          <w:bCs/>
          <w:color w:val="000000"/>
          <w:sz w:val="24"/>
          <w:szCs w:val="24"/>
          <w:highlight w:val="none"/>
        </w:rPr>
        <w:t>系中华人民共和国合法公司（单位），特授权代表我公司（单位）全权办理针对本项目（</w:t>
      </w:r>
      <w:r>
        <w:rPr>
          <w:rFonts w:hint="eastAsia" w:ascii="黑体" w:eastAsia="黑体"/>
          <w:bCs/>
          <w:color w:val="000000"/>
          <w:sz w:val="24"/>
          <w:szCs w:val="24"/>
          <w:highlight w:val="none"/>
          <w:lang w:eastAsia="zh-CN"/>
        </w:rPr>
        <w:t>JSZC-320200-BZDL-G2026-0018</w:t>
      </w:r>
      <w:r>
        <w:rPr>
          <w:rFonts w:hint="eastAsia" w:ascii="黑体" w:eastAsia="黑体"/>
          <w:bCs/>
          <w:color w:val="000000"/>
          <w:sz w:val="24"/>
          <w:szCs w:val="24"/>
          <w:highlight w:val="none"/>
        </w:rPr>
        <w:t>）</w:t>
      </w:r>
      <w:r>
        <w:rPr>
          <w:rFonts w:hint="eastAsia" w:ascii="宋体" w:hAnsi="宋体"/>
          <w:bCs/>
          <w:color w:val="000000"/>
          <w:sz w:val="24"/>
          <w:szCs w:val="24"/>
          <w:highlight w:val="none"/>
        </w:rPr>
        <w:t>的投标、参与开标、评标、签约等具体工作，并签署全部有关的文件、协议及合同。</w:t>
      </w:r>
    </w:p>
    <w:p>
      <w:pPr>
        <w:spacing w:line="580" w:lineRule="exact"/>
        <w:ind w:firstLine="480"/>
        <w:rPr>
          <w:rFonts w:ascii="宋体"/>
          <w:bCs/>
          <w:color w:val="000000"/>
          <w:sz w:val="24"/>
          <w:szCs w:val="24"/>
          <w:highlight w:val="none"/>
        </w:rPr>
      </w:pPr>
      <w:r>
        <w:rPr>
          <w:rFonts w:hint="eastAsia" w:ascii="宋体" w:hAnsi="宋体"/>
          <w:bCs/>
          <w:color w:val="000000"/>
          <w:sz w:val="24"/>
          <w:szCs w:val="24"/>
          <w:highlight w:val="none"/>
        </w:rPr>
        <w:t>我公司（单位）对被授权代表的签名负全部责任。</w:t>
      </w:r>
    </w:p>
    <w:p>
      <w:pPr>
        <w:spacing w:line="580" w:lineRule="exact"/>
        <w:ind w:firstLine="480"/>
        <w:rPr>
          <w:rFonts w:ascii="宋体"/>
          <w:bCs/>
          <w:color w:val="000000"/>
          <w:sz w:val="24"/>
          <w:szCs w:val="24"/>
          <w:highlight w:val="none"/>
        </w:rPr>
      </w:pPr>
      <w:r>
        <w:rPr>
          <w:rFonts w:hint="eastAsia" w:ascii="宋体" w:hAnsi="宋体"/>
          <w:bCs/>
          <w:color w:val="000000"/>
          <w:sz w:val="24"/>
          <w:szCs w:val="24"/>
          <w:highlight w:val="none"/>
        </w:rPr>
        <w:t>在撤销授权的书面通知送达你处以前，本授权书一直有效，被授权代表签署的所有文件（在授权书有效期内签署的）不因授权的撤销而失效。</w:t>
      </w:r>
    </w:p>
    <w:p>
      <w:pPr>
        <w:spacing w:line="580" w:lineRule="exact"/>
        <w:ind w:firstLine="480"/>
        <w:rPr>
          <w:rFonts w:ascii="宋体"/>
          <w:bCs/>
          <w:color w:val="000000"/>
          <w:sz w:val="24"/>
          <w:szCs w:val="24"/>
          <w:highlight w:val="none"/>
        </w:rPr>
      </w:pPr>
      <w:r>
        <w:rPr>
          <w:rFonts w:hint="eastAsia" w:ascii="宋体" w:hAnsi="宋体"/>
          <w:bCs/>
          <w:color w:val="000000"/>
          <w:sz w:val="24"/>
          <w:szCs w:val="24"/>
          <w:highlight w:val="none"/>
        </w:rPr>
        <w:t>被授权代表情况：</w:t>
      </w:r>
    </w:p>
    <w:p>
      <w:pPr>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姓名：         性别：  </w:t>
      </w:r>
    </w:p>
    <w:p>
      <w:pPr>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身份证件号码：                电话：</w:t>
      </w:r>
    </w:p>
    <w:p>
      <w:pPr>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被授权人(签字或盖章)：               </w:t>
      </w:r>
    </w:p>
    <w:p>
      <w:pPr>
        <w:spacing w:line="360" w:lineRule="auto"/>
        <w:ind w:firstLine="480"/>
        <w:rPr>
          <w:rFonts w:ascii="宋体" w:hAnsi="宋体" w:cs="宋体"/>
          <w:bCs/>
          <w:color w:val="000000"/>
          <w:sz w:val="24"/>
          <w:szCs w:val="24"/>
          <w:highlight w:val="none"/>
        </w:rPr>
      </w:pPr>
    </w:p>
    <w:p>
      <w:pPr>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单位名称(盖章)：</w:t>
      </w:r>
    </w:p>
    <w:p>
      <w:pPr>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法定代表人(签字或盖章)：</w:t>
      </w:r>
    </w:p>
    <w:p>
      <w:pPr>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日期：</w:t>
      </w:r>
    </w:p>
    <w:p>
      <w:pPr>
        <w:spacing w:line="360" w:lineRule="auto"/>
        <w:ind w:firstLine="480"/>
        <w:rPr>
          <w:rFonts w:ascii="宋体" w:hAnsi="宋体"/>
          <w:color w:val="000000"/>
          <w:sz w:val="24"/>
          <w:szCs w:val="24"/>
          <w:highlight w:val="none"/>
        </w:rPr>
      </w:pPr>
      <w:r>
        <w:rPr>
          <w:rFonts w:hint="eastAsia" w:ascii="宋体" w:hAnsi="宋体" w:cs="宋体"/>
          <w:color w:val="000000"/>
          <w:sz w:val="24"/>
          <w:szCs w:val="24"/>
          <w:highlight w:val="none"/>
        </w:rPr>
        <w:t>附法人和被授权代表身份证复印件（正反面）</w:t>
      </w:r>
      <w:r>
        <w:rPr>
          <w:rFonts w:hint="eastAsia" w:ascii="宋体" w:hAnsi="宋体" w:cs="宋体"/>
          <w:bCs/>
          <w:color w:val="000000"/>
          <w:sz w:val="24"/>
          <w:szCs w:val="24"/>
          <w:highlight w:val="none"/>
        </w:rPr>
        <w:t>（</w:t>
      </w:r>
      <w:r>
        <w:rPr>
          <w:rFonts w:hint="eastAsia" w:ascii="宋体" w:hAnsi="宋体" w:cs="宋体"/>
          <w:b/>
          <w:bCs/>
          <w:color w:val="000000"/>
          <w:sz w:val="24"/>
          <w:szCs w:val="24"/>
          <w:highlight w:val="none"/>
        </w:rPr>
        <w:t>法定代表人亲自参与投标的除外）</w:t>
      </w:r>
    </w:p>
    <w:p>
      <w:pPr>
        <w:tabs>
          <w:tab w:val="left" w:pos="2136"/>
        </w:tabs>
        <w:rPr>
          <w:rFonts w:ascii="宋体" w:hAnsi="宋体" w:cs="宋体"/>
          <w:bCs/>
          <w:color w:val="000000"/>
          <w:sz w:val="24"/>
          <w:szCs w:val="24"/>
          <w:highlight w:val="none"/>
        </w:rPr>
      </w:pPr>
      <w:r>
        <w:rPr>
          <w:rFonts w:ascii="宋体" w:hAnsi="宋体" w:cs="宋体"/>
          <w:bCs/>
          <w:color w:val="00000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2969895</wp:posOffset>
                </wp:positionH>
                <wp:positionV relativeFrom="paragraph">
                  <wp:posOffset>0</wp:posOffset>
                </wp:positionV>
                <wp:extent cx="2804160" cy="1584960"/>
                <wp:effectExtent l="0" t="0" r="15240" b="15240"/>
                <wp:wrapNone/>
                <wp:docPr id="3" name="文本框 3"/>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noFill/>
                          <a:round/>
                        </a:ln>
                        <a:effectLst/>
                      </wps:spPr>
                      <wps:txb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法定代表人身份证复印件</w:t>
                            </w:r>
                          </w:p>
                          <w:p>
                            <w:pPr>
                              <w:jc w:val="center"/>
                              <w:rPr>
                                <w:rFonts w:ascii="黑体" w:eastAsia="黑体"/>
                                <w:color w:val="000000"/>
                                <w:sz w:val="32"/>
                                <w:szCs w:val="32"/>
                              </w:rPr>
                            </w:pPr>
                            <w:r>
                              <w:rPr>
                                <w:rFonts w:hint="eastAsia" w:ascii="黑体" w:eastAsia="黑体"/>
                                <w:color w:val="000000"/>
                                <w:sz w:val="32"/>
                                <w:szCs w:val="32"/>
                              </w:rPr>
                              <w:t>（证面）</w:t>
                            </w:r>
                          </w:p>
                          <w:p/>
                        </w:txbxContent>
                      </wps:txbx>
                      <wps:bodyPr wrap="square" upright="1"/>
                    </wps:wsp>
                  </a:graphicData>
                </a:graphic>
              </wp:anchor>
            </w:drawing>
          </mc:Choice>
          <mc:Fallback>
            <w:pict>
              <v:shape id="_x0000_s1026" o:spid="_x0000_s1026" o:spt="202" type="#_x0000_t202" style="position:absolute;left:0pt;margin-left:233.85pt;margin-top:0pt;height:124.8pt;width:220.8pt;z-index:251661312;mso-width-relative:page;mso-height-relative:page;" fillcolor="#FFFFFF" filled="t" stroked="f" coordsize="21600,21600" o:gfxdata="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fbso1wAAAAgBAAAP&#10;AAAAAAAAAAEAIAAAACIAAABkcnMvZG93bnJldi54bWxQSwECFAAUAAAACACHTuJAwaBJmOABAACs&#10;AwAADgAAAAAAAAABACAAAAAmAQAAZHJzL2Uyb0RvYy54bWxQSwUGAAAAAAYABgBZAQAAeAUAAAAA&#10;">
                <v:fill on="t" focussize="0,0"/>
                <v:stroke on="f" joinstyle="round"/>
                <v:imagedata o:title=""/>
                <o:lock v:ext="edit" aspectratio="f"/>
                <v:textbo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法定代表人身份证复印件</w:t>
                      </w:r>
                    </w:p>
                    <w:p>
                      <w:pPr>
                        <w:jc w:val="center"/>
                        <w:rPr>
                          <w:rFonts w:ascii="黑体" w:eastAsia="黑体"/>
                          <w:color w:val="000000"/>
                          <w:sz w:val="32"/>
                          <w:szCs w:val="32"/>
                        </w:rPr>
                      </w:pPr>
                      <w:r>
                        <w:rPr>
                          <w:rFonts w:hint="eastAsia" w:ascii="黑体" w:eastAsia="黑体"/>
                          <w:color w:val="000000"/>
                          <w:sz w:val="32"/>
                          <w:szCs w:val="32"/>
                        </w:rPr>
                        <w:t>（证面）</w:t>
                      </w:r>
                    </w:p>
                    <w:p/>
                  </w:txbxContent>
                </v:textbox>
              </v:shape>
            </w:pict>
          </mc:Fallback>
        </mc:AlternateContent>
      </w:r>
      <w:r>
        <w:rPr>
          <w:rFonts w:ascii="宋体" w:hAnsi="宋体" w:cs="宋体"/>
          <w:bCs/>
          <w:color w:val="000000"/>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719705" cy="1584960"/>
                <wp:effectExtent l="0" t="0" r="4445" b="15240"/>
                <wp:wrapNone/>
                <wp:docPr id="4" name="文本框 4"/>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noFill/>
                          <a:round/>
                        </a:ln>
                        <a:effectLst/>
                      </wps:spPr>
                      <wps:txb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法定代表人身份证复印件</w:t>
                            </w:r>
                          </w:p>
                          <w:p>
                            <w:pPr>
                              <w:jc w:val="center"/>
                              <w:rPr>
                                <w:rFonts w:ascii="黑体" w:eastAsia="黑体"/>
                                <w:color w:val="000000"/>
                                <w:sz w:val="32"/>
                                <w:szCs w:val="32"/>
                              </w:rPr>
                            </w:pPr>
                            <w:r>
                              <w:rPr>
                                <w:rFonts w:hint="eastAsia" w:ascii="黑体" w:eastAsia="黑体"/>
                                <w:color w:val="000000"/>
                                <w:sz w:val="32"/>
                                <w:szCs w:val="32"/>
                              </w:rPr>
                              <w:t>（反面）</w:t>
                            </w:r>
                          </w:p>
                          <w:p/>
                        </w:txbxContent>
                      </wps:txbx>
                      <wps:bodyPr wrap="square" upright="1"/>
                    </wps:wsp>
                  </a:graphicData>
                </a:graphic>
              </wp:anchor>
            </w:drawing>
          </mc:Choice>
          <mc:Fallback>
            <w:pict>
              <v:shape id="_x0000_s1026" o:spid="_x0000_s1026" o:spt="202" type="#_x0000_t202" style="position:absolute;left:0pt;margin-left:0pt;margin-top:0pt;height:124.8pt;width:214.15pt;z-index:251659264;mso-width-relative:page;mso-height-relative:page;" fillcolor="#FFFFFF" filled="t" stroked="f" coordsize="21600,21600" o:gfxdata="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HxJOfVAAAABQEA&#10;AA8AAAAAAAAAAQAgAAAAIgAAAGRycy9kb3ducmV2LnhtbFBLAQIUABQAAAAIAIdO4kCDjmlf5AEA&#10;AKwDAAAOAAAAAAAAAAEAIAAAACQBAABkcnMvZTJvRG9jLnhtbFBLBQYAAAAABgAGAFkBAAB6BQAA&#10;AAA=&#10;">
                <v:fill on="t" focussize="0,0"/>
                <v:stroke on="f" joinstyle="round"/>
                <v:imagedata o:title=""/>
                <o:lock v:ext="edit" aspectratio="f"/>
                <v:textbo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法定代表人身份证复印件</w:t>
                      </w:r>
                    </w:p>
                    <w:p>
                      <w:pPr>
                        <w:jc w:val="center"/>
                        <w:rPr>
                          <w:rFonts w:ascii="黑体" w:eastAsia="黑体"/>
                          <w:color w:val="000000"/>
                          <w:sz w:val="32"/>
                          <w:szCs w:val="32"/>
                        </w:rPr>
                      </w:pPr>
                      <w:r>
                        <w:rPr>
                          <w:rFonts w:hint="eastAsia" w:ascii="黑体" w:eastAsia="黑体"/>
                          <w:color w:val="000000"/>
                          <w:sz w:val="32"/>
                          <w:szCs w:val="32"/>
                        </w:rPr>
                        <w:t>（反面）</w:t>
                      </w:r>
                    </w:p>
                    <w:p/>
                  </w:txbxContent>
                </v:textbox>
              </v:shape>
            </w:pict>
          </mc:Fallback>
        </mc:AlternateContent>
      </w:r>
    </w:p>
    <w:p>
      <w:pPr>
        <w:rPr>
          <w:rFonts w:ascii="宋体" w:hAnsi="宋体" w:cs="宋体"/>
          <w:bCs/>
          <w:color w:val="000000"/>
          <w:sz w:val="24"/>
          <w:szCs w:val="24"/>
          <w:highlight w:val="none"/>
        </w:rPr>
      </w:pPr>
    </w:p>
    <w:p>
      <w:pPr>
        <w:ind w:left="105" w:firstLine="3960"/>
        <w:rPr>
          <w:rFonts w:ascii="宋体" w:hAnsi="宋体" w:cs="宋体"/>
          <w:bCs/>
          <w:color w:val="000000"/>
          <w:sz w:val="24"/>
          <w:szCs w:val="24"/>
          <w:highlight w:val="none"/>
        </w:rPr>
      </w:pPr>
    </w:p>
    <w:p>
      <w:pPr>
        <w:ind w:firstLine="4080"/>
        <w:rPr>
          <w:rFonts w:ascii="宋体" w:hAnsi="宋体" w:cs="宋体"/>
          <w:bCs/>
          <w:color w:val="000000"/>
          <w:sz w:val="24"/>
          <w:szCs w:val="24"/>
          <w:highlight w:val="none"/>
        </w:rPr>
      </w:pPr>
    </w:p>
    <w:p>
      <w:pPr>
        <w:ind w:firstLine="480"/>
        <w:rPr>
          <w:rFonts w:ascii="宋体" w:hAnsi="宋体" w:cs="宋体"/>
          <w:bCs/>
          <w:color w:val="000000"/>
          <w:sz w:val="24"/>
          <w:szCs w:val="24"/>
          <w:highlight w:val="none"/>
        </w:rPr>
      </w:pPr>
    </w:p>
    <w:p>
      <w:pPr>
        <w:ind w:firstLine="480"/>
        <w:rPr>
          <w:rFonts w:ascii="宋体" w:hAnsi="宋体" w:cs="宋体"/>
          <w:bCs/>
          <w:color w:val="000000"/>
          <w:sz w:val="24"/>
          <w:szCs w:val="24"/>
          <w:highlight w:val="none"/>
        </w:rPr>
      </w:pPr>
    </w:p>
    <w:p>
      <w:pPr>
        <w:ind w:firstLine="480"/>
        <w:rPr>
          <w:rFonts w:ascii="宋体" w:hAnsi="宋体" w:cs="宋体"/>
          <w:b/>
          <w:bCs/>
          <w:color w:val="000000"/>
          <w:sz w:val="24"/>
          <w:szCs w:val="24"/>
          <w:highlight w:val="none"/>
        </w:rPr>
      </w:pPr>
      <w:r>
        <w:rPr>
          <w:rFonts w:hint="eastAsia" w:ascii="宋体" w:hAnsi="宋体" w:cs="宋体"/>
          <w:bCs/>
          <w:color w:val="000000"/>
          <w:sz w:val="24"/>
          <w:szCs w:val="24"/>
          <w:highlight w:val="none"/>
        </w:rPr>
        <w:t>法定代表人授权代表身份证复印件：</w:t>
      </w:r>
    </w:p>
    <w:p>
      <w:pPr>
        <w:ind w:firstLine="480"/>
        <w:rPr>
          <w:rFonts w:ascii="宋体" w:hAnsi="宋体" w:cs="宋体"/>
          <w:b/>
          <w:bCs/>
          <w:color w:val="000000"/>
          <w:sz w:val="24"/>
          <w:szCs w:val="24"/>
          <w:highlight w:val="none"/>
        </w:rPr>
      </w:pPr>
    </w:p>
    <w:p>
      <w:pPr>
        <w:ind w:firstLine="480"/>
        <w:rPr>
          <w:rFonts w:ascii="宋体" w:hAnsi="宋体" w:cs="宋体"/>
          <w:bCs/>
          <w:color w:val="000000"/>
          <w:sz w:val="24"/>
          <w:szCs w:val="24"/>
          <w:highlight w:val="none"/>
        </w:rPr>
      </w:pPr>
    </w:p>
    <w:p>
      <w:pPr>
        <w:tabs>
          <w:tab w:val="left" w:pos="893"/>
        </w:tabs>
        <w:rPr>
          <w:rFonts w:ascii="宋体" w:hAnsi="宋体"/>
          <w:color w:val="000000"/>
          <w:sz w:val="24"/>
          <w:szCs w:val="24"/>
          <w:highlight w:val="none"/>
        </w:rPr>
      </w:pPr>
      <w:r>
        <w:rPr>
          <w:rFonts w:ascii="宋体" w:hAnsi="宋体" w:cs="宋体"/>
          <w:bCs/>
          <w:color w:val="000000"/>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2969895</wp:posOffset>
                </wp:positionH>
                <wp:positionV relativeFrom="paragraph">
                  <wp:posOffset>0</wp:posOffset>
                </wp:positionV>
                <wp:extent cx="2804160" cy="1584960"/>
                <wp:effectExtent l="0" t="0" r="15240" b="15240"/>
                <wp:wrapNone/>
                <wp:docPr id="5" name="文本框 5"/>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noFill/>
                          <a:round/>
                        </a:ln>
                        <a:effectLst/>
                      </wps:spPr>
                      <wps:txb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被授权人身份证复印件</w:t>
                            </w:r>
                          </w:p>
                          <w:p>
                            <w:pPr>
                              <w:jc w:val="center"/>
                              <w:rPr>
                                <w:rFonts w:ascii="黑体" w:eastAsia="黑体"/>
                                <w:color w:val="000000"/>
                                <w:sz w:val="32"/>
                                <w:szCs w:val="32"/>
                              </w:rPr>
                            </w:pPr>
                            <w:r>
                              <w:rPr>
                                <w:rFonts w:hint="eastAsia" w:ascii="黑体" w:eastAsia="黑体"/>
                                <w:color w:val="000000"/>
                                <w:sz w:val="32"/>
                                <w:szCs w:val="32"/>
                              </w:rPr>
                              <w:t>（正面）</w:t>
                            </w:r>
                          </w:p>
                          <w:p/>
                        </w:txbxContent>
                      </wps:txbx>
                      <wps:bodyPr wrap="square" upright="1"/>
                    </wps:wsp>
                  </a:graphicData>
                </a:graphic>
              </wp:anchor>
            </w:drawing>
          </mc:Choice>
          <mc:Fallback>
            <w:pict>
              <v:shape id="_x0000_s1026" o:spid="_x0000_s1026" o:spt="202" type="#_x0000_t202" style="position:absolute;left:0pt;margin-left:233.85pt;margin-top:0pt;height:124.8pt;width:220.8pt;z-index:251660288;mso-width-relative:page;mso-height-relative:page;" fillcolor="#FFFFFF" filled="t" stroked="f" coordsize="21600,21600" o:gfxdata="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fbso1wAAAAgBAAAP&#10;AAAAAAAAAAEAIAAAACIAAABkcnMvZG93bnJldi54bWxQSwECFAAUAAAACACHTuJARUT29+ABAACs&#10;AwAADgAAAAAAAAABACAAAAAmAQAAZHJzL2Uyb0RvYy54bWxQSwUGAAAAAAYABgBZAQAAeAUAAAAA&#10;">
                <v:fill on="t" focussize="0,0"/>
                <v:stroke on="f" joinstyle="round"/>
                <v:imagedata o:title=""/>
                <o:lock v:ext="edit" aspectratio="f"/>
                <v:textbo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被授权人身份证复印件</w:t>
                      </w:r>
                    </w:p>
                    <w:p>
                      <w:pPr>
                        <w:jc w:val="center"/>
                        <w:rPr>
                          <w:rFonts w:ascii="黑体" w:eastAsia="黑体"/>
                          <w:color w:val="000000"/>
                          <w:sz w:val="32"/>
                          <w:szCs w:val="32"/>
                        </w:rPr>
                      </w:pPr>
                      <w:r>
                        <w:rPr>
                          <w:rFonts w:hint="eastAsia" w:ascii="黑体" w:eastAsia="黑体"/>
                          <w:color w:val="000000"/>
                          <w:sz w:val="32"/>
                          <w:szCs w:val="32"/>
                        </w:rPr>
                        <w:t>（正面）</w:t>
                      </w:r>
                    </w:p>
                    <w:p/>
                  </w:txbxContent>
                </v:textbox>
              </v:shape>
            </w:pict>
          </mc:Fallback>
        </mc:AlternateContent>
      </w:r>
      <w:r>
        <w:rPr>
          <w:rFonts w:ascii="宋体" w:hAnsi="宋体" w:cs="宋体"/>
          <w:bCs/>
          <w:color w:val="00000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719705" cy="1584960"/>
                <wp:effectExtent l="0" t="0" r="4445" b="15240"/>
                <wp:wrapNone/>
                <wp:docPr id="6" name="文本框 6"/>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noFill/>
                          <a:round/>
                        </a:ln>
                        <a:effectLst/>
                      </wps:spPr>
                      <wps:txb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被授权人身份证复印件</w:t>
                            </w:r>
                          </w:p>
                          <w:p>
                            <w:pPr>
                              <w:jc w:val="center"/>
                              <w:rPr>
                                <w:rFonts w:ascii="黑体" w:eastAsia="黑体"/>
                                <w:color w:val="000000"/>
                                <w:sz w:val="32"/>
                                <w:szCs w:val="32"/>
                              </w:rPr>
                            </w:pPr>
                            <w:r>
                              <w:rPr>
                                <w:rFonts w:hint="eastAsia" w:ascii="黑体" w:eastAsia="黑体"/>
                                <w:color w:val="000000"/>
                                <w:sz w:val="32"/>
                                <w:szCs w:val="32"/>
                              </w:rPr>
                              <w:t>（反面）</w:t>
                            </w:r>
                          </w:p>
                          <w:p/>
                        </w:txbxContent>
                      </wps:txbx>
                      <wps:bodyPr wrap="square" upright="1"/>
                    </wps:wsp>
                  </a:graphicData>
                </a:graphic>
              </wp:anchor>
            </w:drawing>
          </mc:Choice>
          <mc:Fallback>
            <w:pict>
              <v:shape id="_x0000_s1026" o:spid="_x0000_s1026" o:spt="202" type="#_x0000_t202" style="position:absolute;left:0pt;margin-left:0pt;margin-top:0pt;height:124.8pt;width:214.15pt;z-index:251661312;mso-width-relative:page;mso-height-relative:page;" fillcolor="#FFFFFF" filled="t" stroked="f" coordsize="21600,21600" o:gfxdata="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B8STn1QAAAAUB&#10;AAAPAAAAAAAAAAEAIAAAACIAAABkcnMvZG93bnJldi54bWxQSwECFAAUAAAACACHTuJAwNDTzOUB&#10;AACsAwAADgAAAAAAAAABACAAAAAkAQAAZHJzL2Uyb0RvYy54bWxQSwUGAAAAAAYABgBZAQAAewUA&#10;AAAA&#10;">
                <v:fill on="t" focussize="0,0"/>
                <v:stroke on="f" joinstyle="round"/>
                <v:imagedata o:title=""/>
                <o:lock v:ext="edit" aspectratio="f"/>
                <v:textbo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被授权人身份证复印件</w:t>
                      </w:r>
                    </w:p>
                    <w:p>
                      <w:pPr>
                        <w:jc w:val="center"/>
                        <w:rPr>
                          <w:rFonts w:ascii="黑体" w:eastAsia="黑体"/>
                          <w:color w:val="000000"/>
                          <w:sz w:val="32"/>
                          <w:szCs w:val="32"/>
                        </w:rPr>
                      </w:pPr>
                      <w:r>
                        <w:rPr>
                          <w:rFonts w:hint="eastAsia" w:ascii="黑体" w:eastAsia="黑体"/>
                          <w:color w:val="000000"/>
                          <w:sz w:val="32"/>
                          <w:szCs w:val="32"/>
                        </w:rPr>
                        <w:t>（反面）</w:t>
                      </w:r>
                    </w:p>
                    <w:p/>
                  </w:txbxContent>
                </v:textbox>
              </v:shape>
            </w:pict>
          </mc:Fallback>
        </mc:AlternateContent>
      </w:r>
    </w:p>
    <w:p>
      <w:pPr>
        <w:spacing w:line="580" w:lineRule="exact"/>
        <w:ind w:firstLine="420"/>
        <w:rPr>
          <w:rFonts w:ascii="宋体"/>
          <w:bCs/>
          <w:color w:val="000000"/>
          <w:sz w:val="24"/>
          <w:szCs w:val="24"/>
          <w:highlight w:val="none"/>
        </w:rPr>
      </w:pPr>
    </w:p>
    <w:p>
      <w:pPr>
        <w:ind w:firstLine="480"/>
        <w:rPr>
          <w:rFonts w:ascii="黑体" w:hAnsi="宋体" w:eastAsia="黑体"/>
          <w:bCs/>
          <w:color w:val="000000"/>
          <w:sz w:val="24"/>
          <w:szCs w:val="24"/>
          <w:highlight w:val="none"/>
        </w:rPr>
      </w:pPr>
    </w:p>
    <w:p>
      <w:pPr>
        <w:ind w:firstLine="480"/>
        <w:rPr>
          <w:rFonts w:ascii="黑体" w:hAnsi="宋体" w:eastAsia="黑体"/>
          <w:bCs/>
          <w:color w:val="000000"/>
          <w:sz w:val="24"/>
          <w:szCs w:val="24"/>
          <w:highlight w:val="none"/>
        </w:rPr>
      </w:pPr>
    </w:p>
    <w:p>
      <w:pPr>
        <w:spacing w:line="360" w:lineRule="exact"/>
        <w:jc w:val="left"/>
        <w:outlineLvl w:val="2"/>
        <w:rPr>
          <w:rFonts w:ascii="黑体" w:hAnsi="宋体" w:eastAsia="黑体"/>
          <w:bCs/>
          <w:color w:val="000000"/>
          <w:sz w:val="24"/>
          <w:szCs w:val="24"/>
          <w:highlight w:val="none"/>
        </w:rPr>
      </w:pPr>
      <w:r>
        <w:rPr>
          <w:rFonts w:hint="eastAsia" w:ascii="宋体" w:hAnsi="宋体" w:cs="宋体"/>
          <w:b/>
          <w:color w:val="000000"/>
          <w:sz w:val="28"/>
          <w:szCs w:val="28"/>
          <w:highlight w:val="none"/>
        </w:rPr>
        <w:br w:type="page" w:clear="all"/>
      </w:r>
      <w:r>
        <w:rPr>
          <w:rFonts w:hint="eastAsia" w:ascii="黑体" w:hAnsi="宋体" w:eastAsia="黑体"/>
          <w:bCs/>
          <w:color w:val="000000"/>
          <w:sz w:val="24"/>
          <w:szCs w:val="24"/>
          <w:highlight w:val="none"/>
        </w:rPr>
        <w:t xml:space="preserve">（四）开标一览表 </w:t>
      </w:r>
    </w:p>
    <w:p>
      <w:pPr>
        <w:spacing w:line="400" w:lineRule="exact"/>
        <w:ind w:firstLine="480"/>
        <w:jc w:val="center"/>
        <w:rPr>
          <w:rFonts w:ascii="宋体" w:hAnsi="宋体" w:cs="宋体"/>
          <w:bCs/>
          <w:color w:val="000000"/>
          <w:sz w:val="24"/>
          <w:highlight w:val="none"/>
        </w:rPr>
      </w:pPr>
      <w:r>
        <w:rPr>
          <w:rFonts w:hint="eastAsia" w:ascii="黑体" w:hAnsi="宋体" w:eastAsia="黑体"/>
          <w:bCs/>
          <w:color w:val="000000"/>
          <w:sz w:val="24"/>
          <w:szCs w:val="24"/>
          <w:highlight w:val="none"/>
        </w:rPr>
        <w:t>开标一览表</w:t>
      </w:r>
    </w:p>
    <w:p>
      <w:pPr>
        <w:spacing w:line="300" w:lineRule="auto"/>
        <w:rPr>
          <w:rFonts w:hint="eastAsia" w:ascii="宋体" w:hAnsi="宋体"/>
          <w:color w:val="000000"/>
          <w:sz w:val="24"/>
          <w:highlight w:val="none"/>
        </w:rPr>
      </w:pPr>
    </w:p>
    <w:p>
      <w:pPr>
        <w:spacing w:line="300" w:lineRule="auto"/>
        <w:rPr>
          <w:rFonts w:ascii="宋体" w:hAnsi="宋体"/>
          <w:color w:val="000000"/>
          <w:sz w:val="24"/>
          <w:highlight w:val="none"/>
        </w:rPr>
      </w:pPr>
      <w:r>
        <w:rPr>
          <w:rFonts w:hint="eastAsia" w:ascii="宋体" w:hAnsi="宋体"/>
          <w:color w:val="000000"/>
          <w:sz w:val="24"/>
          <w:highlight w:val="none"/>
        </w:rPr>
        <w:t xml:space="preserve">供应商全称（加盖公章）：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采购项目编号：</w:t>
      </w:r>
    </w:p>
    <w:tbl>
      <w:tblPr>
        <w:tblStyle w:val="35"/>
        <w:tblW w:w="91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12"/>
        <w:gridCol w:w="58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1" w:hRule="atLeast"/>
          <w:jc w:val="center"/>
        </w:trPr>
        <w:tc>
          <w:tcPr>
            <w:tcW w:w="3312" w:type="dxa"/>
            <w:vMerge w:val="restart"/>
            <w:noWrap/>
            <w:vAlign w:val="center"/>
          </w:tcPr>
          <w:p>
            <w:pPr>
              <w:pStyle w:val="227"/>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项目报价</w:t>
            </w:r>
          </w:p>
          <w:p>
            <w:pPr>
              <w:pStyle w:val="227"/>
              <w:spacing w:line="600" w:lineRule="exact"/>
              <w:jc w:val="center"/>
              <w:rPr>
                <w:rFonts w:hint="eastAsia" w:ascii="宋体" w:hAnsi="宋体" w:eastAsia="宋体" w:cs="宋体"/>
                <w:color w:val="000000"/>
                <w:sz w:val="24"/>
                <w:szCs w:val="24"/>
                <w:highlight w:val="none"/>
              </w:rPr>
            </w:pPr>
            <w:r>
              <w:rPr>
                <w:rFonts w:hint="eastAsia" w:ascii="宋体" w:hAnsi="宋体"/>
                <w:b/>
                <w:bCs/>
                <w:color w:val="auto"/>
                <w:sz w:val="24"/>
                <w:highlight w:val="none"/>
              </w:rPr>
              <w:t>（注：该项目以</w:t>
            </w:r>
            <w:r>
              <w:rPr>
                <w:rFonts w:hint="eastAsia" w:ascii="宋体" w:hAnsi="宋体"/>
                <w:b/>
                <w:bCs/>
                <w:color w:val="auto"/>
                <w:sz w:val="24"/>
                <w:highlight w:val="none"/>
                <w:lang w:val="en-US" w:eastAsia="zh-CN"/>
              </w:rPr>
              <w:t>36200</w:t>
            </w:r>
            <w:r>
              <w:rPr>
                <w:rFonts w:hint="eastAsia" w:ascii="宋体" w:hAnsi="宋体"/>
                <w:b/>
                <w:bCs/>
                <w:color w:val="auto"/>
                <w:sz w:val="24"/>
                <w:highlight w:val="none"/>
              </w:rPr>
              <w:t>吨/年的渗滤液作为计算依据</w:t>
            </w:r>
            <w:r>
              <w:rPr>
                <w:rFonts w:hint="eastAsia" w:ascii="宋体" w:hAnsi="宋体"/>
                <w:b/>
                <w:bCs/>
                <w:sz w:val="24"/>
                <w:highlight w:val="none"/>
              </w:rPr>
              <w:t>）</w:t>
            </w:r>
          </w:p>
        </w:tc>
        <w:tc>
          <w:tcPr>
            <w:tcW w:w="5824" w:type="dxa"/>
            <w:tcBorders>
              <w:bottom w:val="single" w:color="auto" w:sz="4" w:space="0"/>
            </w:tcBorders>
            <w:noWrap/>
            <w:vAlign w:val="center"/>
          </w:tcPr>
          <w:p>
            <w:pPr>
              <w:pStyle w:val="227"/>
              <w:spacing w:line="600"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投标总价：</w:t>
            </w:r>
          </w:p>
          <w:p>
            <w:pPr>
              <w:pStyle w:val="227"/>
              <w:spacing w:line="6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小写：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元（人民币） </w:t>
            </w:r>
          </w:p>
          <w:p>
            <w:pPr>
              <w:pStyle w:val="227"/>
              <w:spacing w:line="600" w:lineRule="exact"/>
              <w:rPr>
                <w:rFonts w:ascii="宋体" w:hAnsi="宋体" w:eastAsia="宋体" w:cs="宋体"/>
                <w:color w:val="000000"/>
                <w:sz w:val="24"/>
                <w:szCs w:val="24"/>
                <w:highlight w:val="none"/>
              </w:rPr>
            </w:pPr>
            <w:r>
              <w:rPr>
                <w:rFonts w:hint="eastAsia" w:ascii="宋体" w:hAnsi="宋体" w:eastAsia="宋体" w:cs="宋体"/>
                <w:color w:val="000000"/>
                <w:sz w:val="24"/>
                <w:highlight w:val="none"/>
              </w:rPr>
              <w:t>大写：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元（人民币）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99" w:hRule="atLeast"/>
          <w:jc w:val="center"/>
        </w:trPr>
        <w:tc>
          <w:tcPr>
            <w:tcW w:w="3312" w:type="dxa"/>
            <w:vMerge w:val="continue"/>
            <w:noWrap/>
            <w:vAlign w:val="center"/>
          </w:tcPr>
          <w:p>
            <w:pPr>
              <w:pStyle w:val="227"/>
              <w:spacing w:line="600" w:lineRule="exact"/>
              <w:jc w:val="center"/>
              <w:rPr>
                <w:rFonts w:hint="eastAsia" w:ascii="宋体" w:hAnsi="宋体" w:eastAsia="宋体" w:cs="宋体"/>
                <w:color w:val="000000"/>
                <w:sz w:val="24"/>
                <w:szCs w:val="24"/>
                <w:highlight w:val="none"/>
              </w:rPr>
            </w:pPr>
          </w:p>
        </w:tc>
        <w:tc>
          <w:tcPr>
            <w:tcW w:w="5824" w:type="dxa"/>
            <w:tcBorders>
              <w:top w:val="single" w:color="auto" w:sz="4" w:space="0"/>
            </w:tcBorders>
            <w:noWrap/>
            <w:vAlign w:val="center"/>
          </w:tcPr>
          <w:p>
            <w:pPr>
              <w:pStyle w:val="227"/>
              <w:spacing w:line="6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投标单价：</w:t>
            </w:r>
          </w:p>
          <w:p>
            <w:pPr>
              <w:pStyle w:val="227"/>
              <w:spacing w:line="6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小写：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元（人民币） </w:t>
            </w:r>
          </w:p>
          <w:p>
            <w:pPr>
              <w:pStyle w:val="227"/>
              <w:spacing w:line="600"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大写：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元（人民币）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84" w:hRule="atLeast"/>
          <w:jc w:val="center"/>
        </w:trPr>
        <w:tc>
          <w:tcPr>
            <w:tcW w:w="3312" w:type="dxa"/>
            <w:noWrap/>
            <w:vAlign w:val="center"/>
          </w:tcPr>
          <w:p>
            <w:pPr>
              <w:pStyle w:val="227"/>
              <w:spacing w:line="600" w:lineRule="exact"/>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服务期限</w:t>
            </w:r>
          </w:p>
        </w:tc>
        <w:tc>
          <w:tcPr>
            <w:tcW w:w="5824" w:type="dxa"/>
            <w:noWrap/>
            <w:vAlign w:val="center"/>
          </w:tcPr>
          <w:p>
            <w:pPr>
              <w:pStyle w:val="227"/>
              <w:spacing w:line="600" w:lineRule="exact"/>
              <w:jc w:val="center"/>
              <w:rPr>
                <w:rFonts w:ascii="宋体" w:hAnsi="宋体" w:eastAsia="宋体" w:cs="宋体"/>
                <w:color w:val="000000"/>
                <w:sz w:val="24"/>
                <w:szCs w:val="24"/>
                <w:highlight w:val="none"/>
              </w:rPr>
            </w:pPr>
            <w:r>
              <w:rPr>
                <w:rFonts w:hint="eastAsia" w:ascii="宋体" w:hAnsi="宋体" w:eastAsia="宋体" w:cs="宋体"/>
                <w:color w:val="auto"/>
                <w:sz w:val="24"/>
                <w:szCs w:val="24"/>
                <w:highlight w:val="none"/>
              </w:rPr>
              <w:t>合同签订起始日期起一年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5" w:hRule="atLeast"/>
          <w:jc w:val="center"/>
        </w:trPr>
        <w:tc>
          <w:tcPr>
            <w:tcW w:w="3312" w:type="dxa"/>
            <w:noWrap/>
            <w:vAlign w:val="center"/>
          </w:tcPr>
          <w:p>
            <w:pPr>
              <w:pStyle w:val="227"/>
              <w:spacing w:line="600" w:lineRule="exact"/>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项目负责人</w:t>
            </w:r>
          </w:p>
        </w:tc>
        <w:tc>
          <w:tcPr>
            <w:tcW w:w="5824" w:type="dxa"/>
            <w:noWrap/>
          </w:tcPr>
          <w:p>
            <w:pPr>
              <w:pStyle w:val="227"/>
              <w:spacing w:line="600" w:lineRule="exact"/>
              <w:jc w:val="center"/>
              <w:rPr>
                <w:rFonts w:ascii="宋体" w:hAnsi="宋体" w:eastAsia="宋体" w:cs="宋体"/>
                <w:color w:val="000000"/>
                <w:sz w:val="24"/>
                <w:szCs w:val="24"/>
                <w:highlight w:val="none"/>
              </w:rPr>
            </w:pPr>
          </w:p>
        </w:tc>
      </w:tr>
    </w:tbl>
    <w:p>
      <w:pPr>
        <w:spacing w:line="360" w:lineRule="auto"/>
        <w:ind w:firstLine="480"/>
        <w:rPr>
          <w:rFonts w:ascii="宋体" w:hAnsi="宋体" w:cs="宋体"/>
          <w:bCs/>
          <w:color w:val="000000"/>
          <w:sz w:val="24"/>
          <w:szCs w:val="24"/>
          <w:highlight w:val="none"/>
        </w:rPr>
      </w:pPr>
    </w:p>
    <w:p>
      <w:pPr>
        <w:spacing w:line="360" w:lineRule="auto"/>
        <w:ind w:firstLine="480"/>
        <w:rPr>
          <w:rFonts w:ascii="宋体" w:hAnsi="宋体" w:cs="宋体"/>
          <w:bCs/>
          <w:color w:val="000000"/>
          <w:sz w:val="24"/>
          <w:szCs w:val="24"/>
          <w:highlight w:val="none"/>
        </w:rPr>
      </w:pPr>
    </w:p>
    <w:p>
      <w:pPr>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单位名称(盖章)：</w:t>
      </w:r>
    </w:p>
    <w:p>
      <w:pPr>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法定代表人或法定代表人授权代表签字或盖章：</w:t>
      </w:r>
    </w:p>
    <w:p>
      <w:pPr>
        <w:spacing w:line="360" w:lineRule="auto"/>
        <w:ind w:left="420" w:firstLine="480"/>
        <w:rPr>
          <w:rFonts w:ascii="宋体" w:hAnsi="宋体" w:cs="宋体"/>
          <w:color w:val="000000"/>
          <w:highlight w:val="none"/>
        </w:rPr>
      </w:pPr>
      <w:r>
        <w:rPr>
          <w:rFonts w:hint="eastAsia" w:ascii="宋体" w:hAnsi="宋体" w:cs="宋体"/>
          <w:bCs/>
          <w:color w:val="000000"/>
          <w:sz w:val="24"/>
          <w:szCs w:val="24"/>
          <w:highlight w:val="none"/>
        </w:rPr>
        <w:t>日期：</w:t>
      </w:r>
    </w:p>
    <w:p>
      <w:pPr>
        <w:spacing w:before="5"/>
        <w:rPr>
          <w:b/>
          <w:bCs/>
          <w:color w:val="000000"/>
          <w:sz w:val="24"/>
          <w:szCs w:val="24"/>
          <w:highlight w:val="none"/>
        </w:rPr>
      </w:pPr>
    </w:p>
    <w:p>
      <w:pPr>
        <w:spacing w:line="400" w:lineRule="exact"/>
        <w:ind w:left="720" w:hanging="720"/>
        <w:rPr>
          <w:rFonts w:ascii="黑体" w:eastAsia="黑体"/>
          <w:bCs/>
          <w:color w:val="000000"/>
          <w:sz w:val="24"/>
          <w:szCs w:val="24"/>
          <w:highlight w:val="none"/>
        </w:rPr>
      </w:pPr>
    </w:p>
    <w:p>
      <w:pPr>
        <w:spacing w:line="400" w:lineRule="exact"/>
        <w:ind w:left="720" w:hanging="720"/>
        <w:rPr>
          <w:rFonts w:ascii="黑体" w:eastAsia="黑体"/>
          <w:bCs/>
          <w:color w:val="000000"/>
          <w:sz w:val="24"/>
          <w:szCs w:val="24"/>
          <w:highlight w:val="none"/>
        </w:rPr>
      </w:pPr>
    </w:p>
    <w:p>
      <w:pPr>
        <w:spacing w:line="400" w:lineRule="exact"/>
        <w:ind w:left="720" w:hanging="720"/>
        <w:rPr>
          <w:rFonts w:ascii="黑体" w:eastAsia="黑体"/>
          <w:bCs/>
          <w:color w:val="000000"/>
          <w:sz w:val="24"/>
          <w:szCs w:val="24"/>
          <w:highlight w:val="none"/>
        </w:rPr>
      </w:pPr>
    </w:p>
    <w:p>
      <w:pPr>
        <w:spacing w:line="400" w:lineRule="exact"/>
        <w:ind w:left="720" w:hanging="720"/>
        <w:rPr>
          <w:rFonts w:ascii="黑体" w:eastAsia="黑体"/>
          <w:bCs/>
          <w:color w:val="000000"/>
          <w:sz w:val="24"/>
          <w:szCs w:val="24"/>
          <w:highlight w:val="none"/>
        </w:rPr>
      </w:pPr>
    </w:p>
    <w:p>
      <w:pPr>
        <w:spacing w:line="400" w:lineRule="exact"/>
        <w:ind w:left="720" w:hanging="720"/>
        <w:rPr>
          <w:rFonts w:ascii="黑体" w:eastAsia="黑体"/>
          <w:bCs/>
          <w:color w:val="000000"/>
          <w:sz w:val="24"/>
          <w:szCs w:val="24"/>
          <w:highlight w:val="none"/>
        </w:rPr>
      </w:pPr>
    </w:p>
    <w:p>
      <w:pPr>
        <w:spacing w:line="400" w:lineRule="exact"/>
        <w:ind w:left="720" w:hanging="720"/>
        <w:rPr>
          <w:rFonts w:ascii="黑体" w:eastAsia="黑体"/>
          <w:bCs/>
          <w:color w:val="000000"/>
          <w:sz w:val="24"/>
          <w:szCs w:val="24"/>
          <w:highlight w:val="none"/>
        </w:rPr>
      </w:pPr>
    </w:p>
    <w:p>
      <w:pPr>
        <w:spacing w:line="400" w:lineRule="exact"/>
        <w:ind w:left="720" w:hanging="720"/>
        <w:rPr>
          <w:rFonts w:ascii="黑体" w:eastAsia="黑体"/>
          <w:bCs/>
          <w:color w:val="000000"/>
          <w:sz w:val="24"/>
          <w:szCs w:val="24"/>
          <w:highlight w:val="none"/>
        </w:rPr>
      </w:pPr>
    </w:p>
    <w:p>
      <w:pPr>
        <w:spacing w:line="400" w:lineRule="exact"/>
        <w:ind w:left="720" w:hanging="720"/>
        <w:rPr>
          <w:rFonts w:ascii="黑体" w:eastAsia="黑体"/>
          <w:bCs/>
          <w:color w:val="000000"/>
          <w:sz w:val="24"/>
          <w:szCs w:val="24"/>
          <w:highlight w:val="none"/>
        </w:rPr>
      </w:pPr>
    </w:p>
    <w:p>
      <w:pPr>
        <w:jc w:val="left"/>
        <w:outlineLvl w:val="2"/>
        <w:rPr>
          <w:rFonts w:ascii="黑体" w:hAnsi="宋体" w:eastAsia="黑体"/>
          <w:bCs/>
          <w:color w:val="000000"/>
          <w:sz w:val="24"/>
          <w:szCs w:val="24"/>
          <w:highlight w:val="none"/>
        </w:rPr>
      </w:pPr>
      <w:r>
        <w:rPr>
          <w:rFonts w:hint="eastAsia" w:ascii="黑体" w:eastAsia="黑体"/>
          <w:bCs/>
          <w:color w:val="000000"/>
          <w:sz w:val="28"/>
          <w:szCs w:val="28"/>
          <w:highlight w:val="none"/>
        </w:rPr>
        <w:br w:type="page" w:clear="all"/>
      </w:r>
      <w:r>
        <w:rPr>
          <w:rFonts w:hint="eastAsia" w:ascii="黑体" w:hAnsi="宋体" w:eastAsia="黑体"/>
          <w:bCs/>
          <w:color w:val="000000"/>
          <w:sz w:val="24"/>
          <w:szCs w:val="24"/>
          <w:highlight w:val="none"/>
        </w:rPr>
        <w:t>（五）明细报价表</w:t>
      </w:r>
    </w:p>
    <w:p>
      <w:pPr>
        <w:spacing w:line="400" w:lineRule="exact"/>
        <w:jc w:val="center"/>
        <w:rPr>
          <w:rFonts w:ascii="黑体" w:eastAsia="黑体"/>
          <w:bCs/>
          <w:color w:val="000000"/>
          <w:highlight w:val="none"/>
        </w:rPr>
      </w:pPr>
      <w:r>
        <w:rPr>
          <w:rFonts w:hint="eastAsia" w:ascii="黑体" w:hAnsi="宋体" w:eastAsia="黑体"/>
          <w:bCs/>
          <w:color w:val="000000"/>
          <w:sz w:val="24"/>
          <w:szCs w:val="24"/>
          <w:highlight w:val="none"/>
        </w:rPr>
        <w:t>明细报价表</w:t>
      </w:r>
    </w:p>
    <w:p>
      <w:pPr>
        <w:spacing w:line="400" w:lineRule="exact"/>
        <w:rPr>
          <w:rFonts w:ascii="黑体" w:eastAsia="黑体"/>
          <w:bCs/>
          <w:color w:val="000000"/>
          <w:highlight w:val="none"/>
        </w:rPr>
      </w:pPr>
      <w:r>
        <w:rPr>
          <w:rFonts w:hint="eastAsia" w:ascii="黑体" w:eastAsia="黑体"/>
          <w:bCs/>
          <w:color w:val="000000"/>
          <w:highlight w:val="none"/>
        </w:rPr>
        <w:t>供应商名称（盖章）                                 采购项目编号：</w:t>
      </w:r>
    </w:p>
    <w:tbl>
      <w:tblPr>
        <w:tblStyle w:val="35"/>
        <w:tblW w:w="980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3259"/>
        <w:gridCol w:w="2036"/>
        <w:gridCol w:w="1739"/>
        <w:gridCol w:w="1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0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序号</w:t>
            </w:r>
          </w:p>
        </w:tc>
        <w:tc>
          <w:tcPr>
            <w:tcW w:w="325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项目名称</w:t>
            </w:r>
          </w:p>
        </w:tc>
        <w:tc>
          <w:tcPr>
            <w:tcW w:w="20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报价（元/月）</w:t>
            </w:r>
          </w:p>
        </w:tc>
        <w:tc>
          <w:tcPr>
            <w:tcW w:w="173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报价（元/年）</w:t>
            </w:r>
          </w:p>
        </w:tc>
        <w:tc>
          <w:tcPr>
            <w:tcW w:w="167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10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1</w:t>
            </w:r>
          </w:p>
        </w:tc>
        <w:tc>
          <w:tcPr>
            <w:tcW w:w="325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b/>
                <w:bCs/>
                <w:color w:val="000000"/>
                <w:szCs w:val="21"/>
                <w:highlight w:val="none"/>
              </w:rPr>
            </w:pPr>
            <w:r>
              <w:rPr>
                <w:rFonts w:hint="eastAsia" w:ascii="宋体" w:hAnsi="宋体" w:cs="宋体"/>
                <w:b/>
                <w:bCs/>
                <w:color w:val="000000"/>
                <w:szCs w:val="21"/>
                <w:highlight w:val="none"/>
              </w:rPr>
              <w:t>员工工资、福利、法定计提费用</w:t>
            </w:r>
          </w:p>
        </w:tc>
        <w:tc>
          <w:tcPr>
            <w:tcW w:w="20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73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67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0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2</w:t>
            </w:r>
          </w:p>
        </w:tc>
        <w:tc>
          <w:tcPr>
            <w:tcW w:w="325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b/>
                <w:bCs/>
                <w:color w:val="000000"/>
                <w:szCs w:val="21"/>
                <w:highlight w:val="none"/>
              </w:rPr>
            </w:pPr>
            <w:r>
              <w:rPr>
                <w:rFonts w:hint="eastAsia" w:ascii="宋体" w:hAnsi="宋体" w:cs="宋体"/>
                <w:b/>
                <w:bCs/>
                <w:color w:val="000000"/>
                <w:szCs w:val="21"/>
                <w:highlight w:val="none"/>
              </w:rPr>
              <w:t>行政办公费用</w:t>
            </w:r>
          </w:p>
        </w:tc>
        <w:tc>
          <w:tcPr>
            <w:tcW w:w="20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73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672"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10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3</w:t>
            </w:r>
          </w:p>
        </w:tc>
        <w:tc>
          <w:tcPr>
            <w:tcW w:w="325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b/>
                <w:bCs/>
                <w:color w:val="000000"/>
                <w:szCs w:val="21"/>
                <w:highlight w:val="none"/>
              </w:rPr>
            </w:pPr>
            <w:r>
              <w:rPr>
                <w:rFonts w:hint="eastAsia" w:ascii="宋体" w:hAnsi="宋体" w:cs="宋体"/>
                <w:b/>
                <w:bCs/>
                <w:color w:val="000000"/>
                <w:szCs w:val="21"/>
                <w:highlight w:val="none"/>
              </w:rPr>
              <w:t>管理费</w:t>
            </w:r>
          </w:p>
        </w:tc>
        <w:tc>
          <w:tcPr>
            <w:tcW w:w="20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73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67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10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4</w:t>
            </w:r>
          </w:p>
        </w:tc>
        <w:tc>
          <w:tcPr>
            <w:tcW w:w="325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b/>
                <w:bCs/>
                <w:color w:val="000000"/>
                <w:szCs w:val="21"/>
                <w:highlight w:val="none"/>
              </w:rPr>
            </w:pPr>
            <w:r>
              <w:rPr>
                <w:rFonts w:hint="eastAsia" w:ascii="宋体" w:hAnsi="宋体" w:cs="宋体"/>
                <w:b/>
                <w:bCs/>
                <w:color w:val="000000"/>
                <w:szCs w:val="21"/>
                <w:highlight w:val="none"/>
              </w:rPr>
              <w:t>公众责任险</w:t>
            </w:r>
          </w:p>
        </w:tc>
        <w:tc>
          <w:tcPr>
            <w:tcW w:w="20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73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67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10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5</w:t>
            </w:r>
          </w:p>
        </w:tc>
        <w:tc>
          <w:tcPr>
            <w:tcW w:w="325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b/>
                <w:bCs/>
                <w:color w:val="000000"/>
                <w:szCs w:val="21"/>
                <w:highlight w:val="none"/>
              </w:rPr>
            </w:pPr>
            <w:r>
              <w:rPr>
                <w:rFonts w:hint="eastAsia" w:ascii="宋体" w:hAnsi="宋体" w:cs="宋体"/>
                <w:b/>
                <w:bCs/>
                <w:color w:val="000000"/>
                <w:szCs w:val="21"/>
                <w:highlight w:val="none"/>
              </w:rPr>
              <w:t>合理利润</w:t>
            </w:r>
          </w:p>
        </w:tc>
        <w:tc>
          <w:tcPr>
            <w:tcW w:w="20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73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67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0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6</w:t>
            </w:r>
          </w:p>
        </w:tc>
        <w:tc>
          <w:tcPr>
            <w:tcW w:w="325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b/>
                <w:bCs/>
                <w:color w:val="000000"/>
                <w:szCs w:val="21"/>
                <w:highlight w:val="none"/>
              </w:rPr>
            </w:pPr>
            <w:r>
              <w:rPr>
                <w:rFonts w:hint="eastAsia" w:ascii="宋体" w:hAnsi="宋体" w:cs="宋体"/>
                <w:b/>
                <w:bCs/>
                <w:color w:val="000000"/>
                <w:szCs w:val="21"/>
                <w:highlight w:val="none"/>
              </w:rPr>
              <w:t>税金</w:t>
            </w:r>
          </w:p>
        </w:tc>
        <w:tc>
          <w:tcPr>
            <w:tcW w:w="20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73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67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10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7</w:t>
            </w:r>
          </w:p>
        </w:tc>
        <w:tc>
          <w:tcPr>
            <w:tcW w:w="325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b/>
                <w:bCs/>
                <w:color w:val="000000"/>
                <w:szCs w:val="21"/>
                <w:highlight w:val="none"/>
              </w:rPr>
            </w:pPr>
            <w:r>
              <w:rPr>
                <w:rFonts w:hint="eastAsia" w:ascii="宋体" w:hAnsi="宋体" w:cs="宋体"/>
                <w:b/>
                <w:bCs/>
                <w:color w:val="000000"/>
                <w:szCs w:val="21"/>
                <w:highlight w:val="none"/>
              </w:rPr>
              <w:t>其他支出</w:t>
            </w:r>
          </w:p>
        </w:tc>
        <w:tc>
          <w:tcPr>
            <w:tcW w:w="20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73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67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10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 …</w:t>
            </w:r>
          </w:p>
        </w:tc>
        <w:tc>
          <w:tcPr>
            <w:tcW w:w="325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203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73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67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10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325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合计（元）</w:t>
            </w:r>
          </w:p>
        </w:tc>
        <w:tc>
          <w:tcPr>
            <w:tcW w:w="5447" w:type="dxa"/>
            <w:gridSpan w:val="3"/>
            <w:tcBorders>
              <w:top w:val="single" w:color="auto" w:sz="4" w:space="0"/>
              <w:left w:val="single" w:color="auto" w:sz="4" w:space="0"/>
              <w:bottom w:val="single" w:color="auto" w:sz="4" w:space="0"/>
              <w:right w:val="single" w:color="auto" w:sz="4" w:space="0"/>
            </w:tcBorders>
            <w:shd w:val="clear" w:color="auto" w:fill="auto"/>
            <w:noWrap/>
          </w:tcPr>
          <w:p>
            <w:pPr>
              <w:jc w:val="left"/>
              <w:rPr>
                <w:rFonts w:ascii="宋体" w:hAnsi="宋体" w:cs="宋体"/>
                <w:color w:val="000000"/>
                <w:szCs w:val="21"/>
                <w:highlight w:val="none"/>
              </w:rPr>
            </w:pPr>
          </w:p>
        </w:tc>
      </w:tr>
    </w:tbl>
    <w:p>
      <w:pPr>
        <w:jc w:val="left"/>
        <w:outlineLvl w:val="0"/>
        <w:rPr>
          <w:rFonts w:ascii="黑体" w:hAnsi="宋体" w:eastAsia="黑体" w:cs="黑体"/>
          <w:color w:val="000000"/>
          <w:sz w:val="24"/>
          <w:szCs w:val="24"/>
          <w:highlight w:val="none"/>
        </w:rPr>
      </w:pPr>
    </w:p>
    <w:p>
      <w:pPr>
        <w:jc w:val="left"/>
        <w:outlineLvl w:val="0"/>
        <w:rPr>
          <w:rFonts w:ascii="宋体" w:hAnsi="宋体" w:cs="宋体"/>
          <w:color w:val="000000"/>
          <w:sz w:val="24"/>
          <w:szCs w:val="24"/>
          <w:highlight w:val="none"/>
        </w:rPr>
      </w:pPr>
      <w:r>
        <w:rPr>
          <w:rFonts w:hint="eastAsia" w:ascii="宋体" w:hAnsi="宋体" w:cs="宋体"/>
          <w:color w:val="000000"/>
          <w:sz w:val="24"/>
          <w:szCs w:val="24"/>
          <w:highlight w:val="none"/>
        </w:rPr>
        <w:t>法定代表人或法定代表人授权代表签字或盖章：</w:t>
      </w:r>
    </w:p>
    <w:p>
      <w:pPr>
        <w:jc w:val="left"/>
        <w:outlineLvl w:val="0"/>
        <w:rPr>
          <w:rFonts w:ascii="宋体" w:hAnsi="宋体" w:cs="宋体"/>
          <w:color w:val="000000"/>
          <w:sz w:val="24"/>
          <w:szCs w:val="24"/>
          <w:highlight w:val="none"/>
        </w:rPr>
      </w:pPr>
    </w:p>
    <w:p>
      <w:pPr>
        <w:spacing w:line="360" w:lineRule="auto"/>
        <w:jc w:val="left"/>
        <w:outlineLvl w:val="0"/>
        <w:rPr>
          <w:rFonts w:ascii="宋体" w:hAnsi="宋体" w:cs="宋体"/>
          <w:color w:val="000000"/>
          <w:sz w:val="22"/>
          <w:szCs w:val="22"/>
          <w:highlight w:val="none"/>
        </w:rPr>
      </w:pPr>
      <w:r>
        <w:rPr>
          <w:rFonts w:hint="eastAsia" w:ascii="宋体" w:hAnsi="宋体" w:cs="宋体"/>
          <w:color w:val="000000"/>
          <w:sz w:val="22"/>
          <w:szCs w:val="22"/>
          <w:highlight w:val="none"/>
        </w:rPr>
        <w:t>注：</w:t>
      </w:r>
    </w:p>
    <w:p>
      <w:pPr>
        <w:spacing w:line="360" w:lineRule="auto"/>
        <w:jc w:val="left"/>
        <w:outlineLvl w:val="0"/>
        <w:rPr>
          <w:rFonts w:ascii="宋体" w:hAnsi="宋体" w:cs="宋体"/>
          <w:color w:val="000000"/>
          <w:sz w:val="22"/>
          <w:szCs w:val="22"/>
          <w:highlight w:val="none"/>
        </w:rPr>
      </w:pPr>
      <w:r>
        <w:rPr>
          <w:rFonts w:hint="eastAsia" w:ascii="宋体" w:hAnsi="宋体" w:cs="宋体"/>
          <w:color w:val="000000"/>
          <w:sz w:val="22"/>
          <w:szCs w:val="22"/>
          <w:highlight w:val="none"/>
        </w:rPr>
        <w:t>（1）投标供应商应当根据第三章“采购需求”的内容在上表中详细填写；</w:t>
      </w:r>
    </w:p>
    <w:p>
      <w:pPr>
        <w:spacing w:line="360" w:lineRule="auto"/>
        <w:jc w:val="left"/>
        <w:outlineLvl w:val="0"/>
        <w:rPr>
          <w:rFonts w:ascii="宋体" w:hAnsi="宋体" w:cs="宋体"/>
          <w:color w:val="000000"/>
          <w:sz w:val="22"/>
          <w:szCs w:val="22"/>
          <w:highlight w:val="none"/>
        </w:rPr>
      </w:pPr>
      <w:r>
        <w:rPr>
          <w:rFonts w:hint="eastAsia" w:ascii="宋体" w:hAnsi="宋体" w:cs="宋体"/>
          <w:color w:val="000000"/>
          <w:sz w:val="22"/>
          <w:szCs w:val="22"/>
          <w:highlight w:val="none"/>
        </w:rPr>
        <w:t>（2）表格不够可自行延长；</w:t>
      </w:r>
    </w:p>
    <w:p>
      <w:pPr>
        <w:spacing w:line="360" w:lineRule="auto"/>
        <w:jc w:val="left"/>
        <w:outlineLvl w:val="0"/>
        <w:rPr>
          <w:rFonts w:ascii="黑体" w:hAnsi="宋体" w:eastAsia="黑体" w:cs="黑体"/>
          <w:color w:val="000000"/>
          <w:sz w:val="22"/>
          <w:szCs w:val="22"/>
          <w:highlight w:val="none"/>
        </w:rPr>
      </w:pPr>
    </w:p>
    <w:p>
      <w:pPr>
        <w:jc w:val="left"/>
        <w:outlineLvl w:val="0"/>
        <w:rPr>
          <w:rFonts w:ascii="黑体" w:hAnsi="宋体" w:eastAsia="黑体" w:cs="黑体"/>
          <w:color w:val="000000"/>
          <w:sz w:val="24"/>
          <w:szCs w:val="24"/>
          <w:highlight w:val="none"/>
        </w:rPr>
      </w:pPr>
    </w:p>
    <w:p>
      <w:pPr>
        <w:pageBreakBefore/>
        <w:spacing w:line="400" w:lineRule="exact"/>
        <w:jc w:val="center"/>
        <w:rPr>
          <w:rFonts w:ascii="宋体" w:hAnsi="宋体" w:cs="宋体"/>
          <w:color w:val="000000"/>
          <w:szCs w:val="21"/>
          <w:highlight w:val="none"/>
        </w:rPr>
      </w:pPr>
      <w:r>
        <w:rPr>
          <w:rFonts w:hint="eastAsia" w:ascii="宋体" w:hAnsi="宋体" w:cs="宋体"/>
          <w:color w:val="000000"/>
          <w:szCs w:val="21"/>
          <w:highlight w:val="none"/>
        </w:rPr>
        <w:t>（1）员工工资福利及法定计提费用明细表</w:t>
      </w:r>
    </w:p>
    <w:tbl>
      <w:tblPr>
        <w:tblStyle w:val="35"/>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2512"/>
        <w:gridCol w:w="826"/>
        <w:gridCol w:w="1462"/>
        <w:gridCol w:w="1287"/>
        <w:gridCol w:w="1550"/>
        <w:gridCol w:w="1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序号</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项目名称</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人数配置</w:t>
            </w: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人员费用标准（元/月）</w:t>
            </w: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合计费用（元/月）</w:t>
            </w:r>
          </w:p>
        </w:tc>
        <w:tc>
          <w:tcPr>
            <w:tcW w:w="15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合计费用（元/年）</w:t>
            </w:r>
          </w:p>
        </w:tc>
        <w:tc>
          <w:tcPr>
            <w:tcW w:w="12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1</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员工工资及福利</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（1）</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项目负责人</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（2）</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其他人员</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（3）</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法定节假日加班工资</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（4）</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员工人身意外保险费</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Cs w:val="21"/>
                <w:highlight w:val="none"/>
              </w:rPr>
            </w:pPr>
            <w:r>
              <w:rPr>
                <w:rFonts w:hint="eastAsia" w:ascii="宋体" w:hAnsi="宋体" w:cs="宋体"/>
                <w:color w:val="000000"/>
                <w:szCs w:val="21"/>
                <w:highlight w:val="none"/>
              </w:rPr>
              <w:t>按人员配置总数计算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（5）</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高温费</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（6）</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其他员工福利</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 …</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2</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法定计提费用</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b/>
                <w:bCs/>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（1）</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养老保险</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Cs w:val="21"/>
                <w:highlight w:val="none"/>
              </w:rPr>
            </w:pPr>
            <w:r>
              <w:rPr>
                <w:rFonts w:hint="eastAsia" w:ascii="宋体" w:hAnsi="宋体" w:cs="宋体"/>
                <w:color w:val="000000"/>
                <w:szCs w:val="21"/>
                <w:highlight w:val="none"/>
              </w:rPr>
              <w:t>按人员配置数计算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（2）</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医疗统筹</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Cs w:val="21"/>
                <w:highlight w:val="none"/>
              </w:rPr>
            </w:pPr>
            <w:r>
              <w:rPr>
                <w:rFonts w:hint="eastAsia" w:ascii="宋体" w:hAnsi="宋体" w:cs="宋体"/>
                <w:color w:val="000000"/>
                <w:szCs w:val="21"/>
                <w:highlight w:val="none"/>
              </w:rPr>
              <w:t>按人员配置数计算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（3）</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失业</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Cs w:val="21"/>
                <w:highlight w:val="none"/>
              </w:rPr>
            </w:pPr>
            <w:r>
              <w:rPr>
                <w:rFonts w:hint="eastAsia" w:ascii="宋体" w:hAnsi="宋体" w:cs="宋体"/>
                <w:color w:val="000000"/>
                <w:szCs w:val="21"/>
                <w:highlight w:val="none"/>
              </w:rPr>
              <w:t>按人员配置数计算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（4）</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工伤</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Cs w:val="21"/>
                <w:highlight w:val="none"/>
              </w:rPr>
            </w:pPr>
            <w:r>
              <w:rPr>
                <w:rFonts w:hint="eastAsia" w:ascii="宋体" w:hAnsi="宋体" w:cs="宋体"/>
                <w:color w:val="000000"/>
                <w:szCs w:val="21"/>
                <w:highlight w:val="none"/>
              </w:rPr>
              <w:t>按人员配置数计算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（5）</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生育</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Cs w:val="21"/>
                <w:highlight w:val="none"/>
              </w:rPr>
            </w:pPr>
            <w:r>
              <w:rPr>
                <w:rFonts w:hint="eastAsia" w:ascii="宋体" w:hAnsi="宋体" w:cs="宋体"/>
                <w:color w:val="000000"/>
                <w:szCs w:val="21"/>
                <w:highlight w:val="none"/>
              </w:rPr>
              <w:t>按人员配置数计算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（6）</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其他法定计提费用</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 …</w:t>
            </w:r>
          </w:p>
        </w:tc>
        <w:tc>
          <w:tcPr>
            <w:tcW w:w="251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3344"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r>
              <w:rPr>
                <w:rFonts w:hint="eastAsia" w:ascii="宋体" w:hAnsi="宋体" w:cs="宋体"/>
                <w:color w:val="000000"/>
                <w:szCs w:val="21"/>
                <w:highlight w:val="none"/>
              </w:rPr>
              <w:t>合计：</w:t>
            </w:r>
          </w:p>
        </w:tc>
        <w:tc>
          <w:tcPr>
            <w:tcW w:w="82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462"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8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5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szCs w:val="21"/>
                <w:highlight w:val="none"/>
              </w:rPr>
            </w:pPr>
          </w:p>
        </w:tc>
      </w:tr>
    </w:tbl>
    <w:p>
      <w:pPr>
        <w:widowControl/>
        <w:jc w:val="lef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1、</w:t>
      </w:r>
      <w:r>
        <w:rPr>
          <w:rFonts w:hint="eastAsia" w:ascii="宋体" w:hAnsi="宋体" w:cs="宋体"/>
          <w:b w:val="0"/>
          <w:bCs w:val="0"/>
          <w:color w:val="000000"/>
          <w:szCs w:val="21"/>
          <w:highlight w:val="none"/>
        </w:rPr>
        <w:t>以上人员费用包括工资、社保、福利费、法定节假日加班费、高温费等内容，符合国家、省、市相关政策规定（表中已列出的法定计提费用必须按照本项目人员配置数计提和填写）</w:t>
      </w:r>
    </w:p>
    <w:p>
      <w:pPr>
        <w:pStyle w:val="41"/>
        <w:ind w:left="0" w:leftChars="0" w:firstLine="0" w:firstLineChars="0"/>
        <w:rPr>
          <w:highlight w:val="none"/>
        </w:rPr>
      </w:pPr>
      <w:r>
        <w:rPr>
          <w:rFonts w:hint="eastAsia" w:ascii="宋体" w:hAnsi="宋体"/>
          <w:b w:val="0"/>
          <w:bCs w:val="0"/>
          <w:color w:val="auto"/>
          <w:szCs w:val="21"/>
          <w:highlight w:val="none"/>
        </w:rPr>
        <w:t>2、上述报价表由投标单位参照，不限于此，可根据采购需求自行添加条目进行投报。</w:t>
      </w:r>
    </w:p>
    <w:p>
      <w:pPr>
        <w:spacing w:line="400" w:lineRule="exact"/>
        <w:rPr>
          <w:rFonts w:hint="eastAsia" w:ascii="宋体" w:hAnsi="宋体" w:cs="宋体"/>
          <w:b/>
          <w:bCs/>
          <w:color w:val="000000"/>
          <w:szCs w:val="21"/>
          <w:highlight w:val="none"/>
        </w:rPr>
      </w:pPr>
    </w:p>
    <w:p>
      <w:pPr>
        <w:spacing w:line="400" w:lineRule="exact"/>
        <w:jc w:val="center"/>
        <w:outlineLvl w:val="3"/>
        <w:rPr>
          <w:rFonts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59"/>
        <w:gridCol w:w="851"/>
        <w:gridCol w:w="709"/>
        <w:gridCol w:w="708"/>
        <w:gridCol w:w="1418"/>
        <w:gridCol w:w="1417"/>
        <w:gridCol w:w="1560"/>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序号</w:t>
            </w:r>
          </w:p>
        </w:tc>
        <w:tc>
          <w:tcPr>
            <w:tcW w:w="1559" w:type="dxa"/>
            <w:noWrap w:val="0"/>
            <w:vAlign w:val="center"/>
          </w:tcPr>
          <w:p>
            <w:pPr>
              <w:rPr>
                <w:rFonts w:ascii="宋体" w:hAnsi="宋体"/>
                <w:b/>
                <w:color w:val="auto"/>
                <w:sz w:val="18"/>
                <w:szCs w:val="18"/>
                <w:highlight w:val="none"/>
              </w:rPr>
            </w:pPr>
            <w:r>
              <w:rPr>
                <w:rFonts w:hint="eastAsia" w:ascii="宋体" w:hAnsi="宋体"/>
                <w:b/>
                <w:color w:val="auto"/>
                <w:sz w:val="18"/>
                <w:szCs w:val="18"/>
                <w:highlight w:val="none"/>
              </w:rPr>
              <w:t>物品名称</w:t>
            </w:r>
          </w:p>
        </w:tc>
        <w:tc>
          <w:tcPr>
            <w:tcW w:w="851" w:type="dxa"/>
            <w:noWrap w:val="0"/>
            <w:vAlign w:val="center"/>
          </w:tcPr>
          <w:p>
            <w:pPr>
              <w:rPr>
                <w:rFonts w:ascii="宋体" w:hAnsi="宋体"/>
                <w:b/>
                <w:color w:val="auto"/>
                <w:sz w:val="18"/>
                <w:szCs w:val="18"/>
                <w:highlight w:val="none"/>
              </w:rPr>
            </w:pPr>
            <w:r>
              <w:rPr>
                <w:rFonts w:hint="eastAsia" w:ascii="宋体" w:hAnsi="宋体"/>
                <w:b/>
                <w:color w:val="auto"/>
                <w:sz w:val="18"/>
                <w:szCs w:val="18"/>
                <w:highlight w:val="none"/>
              </w:rPr>
              <w:t>品牌</w:t>
            </w:r>
          </w:p>
          <w:p>
            <w:pPr>
              <w:rPr>
                <w:rFonts w:ascii="宋体" w:hAnsi="宋体"/>
                <w:b/>
                <w:color w:val="auto"/>
                <w:sz w:val="18"/>
                <w:szCs w:val="18"/>
                <w:highlight w:val="none"/>
              </w:rPr>
            </w:pPr>
            <w:r>
              <w:rPr>
                <w:rFonts w:hint="eastAsia" w:ascii="宋体" w:hAnsi="宋体"/>
                <w:b/>
                <w:color w:val="auto"/>
                <w:sz w:val="18"/>
                <w:szCs w:val="18"/>
                <w:highlight w:val="none"/>
              </w:rPr>
              <w:t>型号</w:t>
            </w:r>
          </w:p>
        </w:tc>
        <w:tc>
          <w:tcPr>
            <w:tcW w:w="709"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数量</w:t>
            </w:r>
          </w:p>
        </w:tc>
        <w:tc>
          <w:tcPr>
            <w:tcW w:w="708"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1418"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单价（元）</w:t>
            </w:r>
          </w:p>
        </w:tc>
        <w:tc>
          <w:tcPr>
            <w:tcW w:w="1417"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合计费用</w:t>
            </w:r>
          </w:p>
          <w:p>
            <w:pPr>
              <w:jc w:val="center"/>
              <w:rPr>
                <w:rFonts w:ascii="宋体" w:hAnsi="宋体"/>
                <w:b/>
                <w:color w:val="auto"/>
                <w:sz w:val="18"/>
                <w:szCs w:val="18"/>
                <w:highlight w:val="none"/>
              </w:rPr>
            </w:pPr>
            <w:r>
              <w:rPr>
                <w:rFonts w:hint="eastAsia" w:ascii="宋体" w:hAnsi="宋体"/>
                <w:b/>
                <w:color w:val="auto"/>
                <w:sz w:val="18"/>
                <w:szCs w:val="18"/>
                <w:highlight w:val="none"/>
              </w:rPr>
              <w:t>（元/月）</w:t>
            </w:r>
          </w:p>
        </w:tc>
        <w:tc>
          <w:tcPr>
            <w:tcW w:w="1560"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合计费用</w:t>
            </w:r>
          </w:p>
          <w:p>
            <w:pPr>
              <w:jc w:val="center"/>
              <w:rPr>
                <w:rFonts w:ascii="宋体" w:hAnsi="宋体"/>
                <w:b/>
                <w:color w:val="auto"/>
                <w:sz w:val="18"/>
                <w:szCs w:val="18"/>
                <w:highlight w:val="none"/>
              </w:rPr>
            </w:pPr>
            <w:r>
              <w:rPr>
                <w:rFonts w:hint="eastAsia" w:ascii="宋体" w:hAnsi="宋体"/>
                <w:b/>
                <w:color w:val="auto"/>
                <w:sz w:val="18"/>
                <w:szCs w:val="18"/>
                <w:highlight w:val="none"/>
              </w:rPr>
              <w:t>（元/年）</w:t>
            </w:r>
          </w:p>
        </w:tc>
        <w:tc>
          <w:tcPr>
            <w:tcW w:w="992" w:type="dxa"/>
            <w:noWrap w:val="0"/>
            <w:vAlign w:val="center"/>
          </w:tcPr>
          <w:p>
            <w:pPr>
              <w:rPr>
                <w:rFonts w:ascii="宋体" w:hAnsi="宋体"/>
                <w:b/>
                <w:color w:val="auto"/>
                <w:sz w:val="18"/>
                <w:szCs w:val="18"/>
                <w:highlight w:val="none"/>
              </w:rPr>
            </w:pPr>
            <w:r>
              <w:rPr>
                <w:rFonts w:hint="eastAsia" w:ascii="宋体" w:hAnsi="宋体"/>
                <w:b/>
                <w:color w:val="auto"/>
                <w:sz w:val="18"/>
                <w:szCs w:val="18"/>
                <w:highlight w:val="none"/>
              </w:rPr>
              <w:t>产地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1559" w:type="dxa"/>
            <w:noWrap w:val="0"/>
            <w:vAlign w:val="center"/>
          </w:tcPr>
          <w:p>
            <w:pPr>
              <w:jc w:val="center"/>
              <w:rPr>
                <w:rFonts w:ascii="宋体" w:hAnsi="宋体"/>
                <w:b/>
                <w:color w:val="auto"/>
                <w:sz w:val="18"/>
                <w:szCs w:val="18"/>
                <w:highlight w:val="none"/>
              </w:rPr>
            </w:pPr>
          </w:p>
        </w:tc>
        <w:tc>
          <w:tcPr>
            <w:tcW w:w="851" w:type="dxa"/>
            <w:noWrap w:val="0"/>
            <w:vAlign w:val="center"/>
          </w:tcPr>
          <w:p>
            <w:pPr>
              <w:jc w:val="center"/>
              <w:rPr>
                <w:rFonts w:ascii="宋体" w:hAnsi="宋体"/>
                <w:b/>
                <w:color w:val="auto"/>
                <w:sz w:val="18"/>
                <w:szCs w:val="18"/>
                <w:highlight w:val="none"/>
              </w:rPr>
            </w:pPr>
          </w:p>
        </w:tc>
        <w:tc>
          <w:tcPr>
            <w:tcW w:w="709" w:type="dxa"/>
            <w:noWrap w:val="0"/>
            <w:vAlign w:val="center"/>
          </w:tcPr>
          <w:p>
            <w:pPr>
              <w:jc w:val="center"/>
              <w:rPr>
                <w:rFonts w:ascii="宋体" w:hAnsi="宋体"/>
                <w:color w:val="auto"/>
                <w:sz w:val="18"/>
                <w:szCs w:val="18"/>
                <w:highlight w:val="none"/>
              </w:rPr>
            </w:pPr>
          </w:p>
        </w:tc>
        <w:tc>
          <w:tcPr>
            <w:tcW w:w="708"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417" w:type="dxa"/>
            <w:noWrap w:val="0"/>
            <w:vAlign w:val="center"/>
          </w:tcPr>
          <w:p>
            <w:pPr>
              <w:jc w:val="center"/>
              <w:rPr>
                <w:rFonts w:ascii="宋体" w:hAnsi="宋体"/>
                <w:color w:val="auto"/>
                <w:sz w:val="18"/>
                <w:szCs w:val="18"/>
                <w:highlight w:val="none"/>
              </w:rPr>
            </w:pPr>
          </w:p>
        </w:tc>
        <w:tc>
          <w:tcPr>
            <w:tcW w:w="1560" w:type="dxa"/>
            <w:noWrap w:val="0"/>
            <w:vAlign w:val="center"/>
          </w:tcPr>
          <w:p>
            <w:pPr>
              <w:jc w:val="center"/>
              <w:rPr>
                <w:rFonts w:ascii="宋体" w:hAnsi="宋体"/>
                <w:color w:val="auto"/>
                <w:sz w:val="18"/>
                <w:szCs w:val="18"/>
                <w:highlight w:val="none"/>
              </w:rPr>
            </w:pPr>
          </w:p>
        </w:tc>
        <w:tc>
          <w:tcPr>
            <w:tcW w:w="992"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1559" w:type="dxa"/>
            <w:noWrap w:val="0"/>
            <w:vAlign w:val="center"/>
          </w:tcPr>
          <w:p>
            <w:pPr>
              <w:jc w:val="center"/>
              <w:rPr>
                <w:rFonts w:ascii="宋体" w:hAnsi="宋体"/>
                <w:b/>
                <w:color w:val="auto"/>
                <w:sz w:val="18"/>
                <w:szCs w:val="18"/>
                <w:highlight w:val="none"/>
              </w:rPr>
            </w:pPr>
          </w:p>
        </w:tc>
        <w:tc>
          <w:tcPr>
            <w:tcW w:w="851" w:type="dxa"/>
            <w:noWrap w:val="0"/>
            <w:vAlign w:val="center"/>
          </w:tcPr>
          <w:p>
            <w:pPr>
              <w:jc w:val="center"/>
              <w:rPr>
                <w:rFonts w:ascii="宋体" w:hAnsi="宋体"/>
                <w:b/>
                <w:color w:val="auto"/>
                <w:sz w:val="18"/>
                <w:szCs w:val="18"/>
                <w:highlight w:val="none"/>
              </w:rPr>
            </w:pPr>
          </w:p>
        </w:tc>
        <w:tc>
          <w:tcPr>
            <w:tcW w:w="709" w:type="dxa"/>
            <w:noWrap w:val="0"/>
            <w:vAlign w:val="center"/>
          </w:tcPr>
          <w:p>
            <w:pPr>
              <w:jc w:val="center"/>
              <w:rPr>
                <w:rFonts w:ascii="宋体" w:hAnsi="宋体"/>
                <w:color w:val="auto"/>
                <w:sz w:val="18"/>
                <w:szCs w:val="18"/>
                <w:highlight w:val="none"/>
              </w:rPr>
            </w:pPr>
          </w:p>
        </w:tc>
        <w:tc>
          <w:tcPr>
            <w:tcW w:w="708"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417" w:type="dxa"/>
            <w:noWrap w:val="0"/>
            <w:vAlign w:val="center"/>
          </w:tcPr>
          <w:p>
            <w:pPr>
              <w:jc w:val="center"/>
              <w:rPr>
                <w:rFonts w:ascii="宋体" w:hAnsi="宋体"/>
                <w:color w:val="auto"/>
                <w:sz w:val="18"/>
                <w:szCs w:val="18"/>
                <w:highlight w:val="none"/>
              </w:rPr>
            </w:pPr>
          </w:p>
        </w:tc>
        <w:tc>
          <w:tcPr>
            <w:tcW w:w="1560" w:type="dxa"/>
            <w:noWrap w:val="0"/>
            <w:vAlign w:val="center"/>
          </w:tcPr>
          <w:p>
            <w:pPr>
              <w:jc w:val="center"/>
              <w:rPr>
                <w:rFonts w:ascii="宋体" w:hAnsi="宋体"/>
                <w:color w:val="auto"/>
                <w:sz w:val="18"/>
                <w:szCs w:val="18"/>
                <w:highlight w:val="none"/>
              </w:rPr>
            </w:pPr>
          </w:p>
        </w:tc>
        <w:tc>
          <w:tcPr>
            <w:tcW w:w="992"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1559" w:type="dxa"/>
            <w:noWrap w:val="0"/>
            <w:vAlign w:val="center"/>
          </w:tcPr>
          <w:p>
            <w:pPr>
              <w:jc w:val="center"/>
              <w:rPr>
                <w:rFonts w:ascii="宋体" w:hAnsi="宋体"/>
                <w:color w:val="auto"/>
                <w:sz w:val="18"/>
                <w:szCs w:val="18"/>
                <w:highlight w:val="none"/>
              </w:rPr>
            </w:pPr>
          </w:p>
        </w:tc>
        <w:tc>
          <w:tcPr>
            <w:tcW w:w="851" w:type="dxa"/>
            <w:noWrap w:val="0"/>
            <w:vAlign w:val="center"/>
          </w:tcPr>
          <w:p>
            <w:pPr>
              <w:jc w:val="center"/>
              <w:rPr>
                <w:rFonts w:ascii="宋体" w:hAnsi="宋体"/>
                <w:color w:val="auto"/>
                <w:sz w:val="18"/>
                <w:szCs w:val="18"/>
                <w:highlight w:val="none"/>
              </w:rPr>
            </w:pPr>
          </w:p>
        </w:tc>
        <w:tc>
          <w:tcPr>
            <w:tcW w:w="709" w:type="dxa"/>
            <w:noWrap w:val="0"/>
            <w:vAlign w:val="center"/>
          </w:tcPr>
          <w:p>
            <w:pPr>
              <w:jc w:val="center"/>
              <w:rPr>
                <w:rFonts w:ascii="宋体" w:hAnsi="宋体"/>
                <w:color w:val="auto"/>
                <w:sz w:val="18"/>
                <w:szCs w:val="18"/>
                <w:highlight w:val="none"/>
              </w:rPr>
            </w:pPr>
          </w:p>
        </w:tc>
        <w:tc>
          <w:tcPr>
            <w:tcW w:w="708"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417" w:type="dxa"/>
            <w:noWrap w:val="0"/>
            <w:vAlign w:val="center"/>
          </w:tcPr>
          <w:p>
            <w:pPr>
              <w:jc w:val="center"/>
              <w:rPr>
                <w:rFonts w:ascii="宋体" w:hAnsi="宋体"/>
                <w:color w:val="auto"/>
                <w:sz w:val="18"/>
                <w:szCs w:val="18"/>
                <w:highlight w:val="none"/>
              </w:rPr>
            </w:pPr>
          </w:p>
        </w:tc>
        <w:tc>
          <w:tcPr>
            <w:tcW w:w="1560" w:type="dxa"/>
            <w:noWrap w:val="0"/>
            <w:vAlign w:val="center"/>
          </w:tcPr>
          <w:p>
            <w:pPr>
              <w:jc w:val="center"/>
              <w:rPr>
                <w:rFonts w:ascii="宋体" w:hAnsi="宋体"/>
                <w:color w:val="auto"/>
                <w:sz w:val="18"/>
                <w:szCs w:val="18"/>
                <w:highlight w:val="none"/>
              </w:rPr>
            </w:pPr>
          </w:p>
        </w:tc>
        <w:tc>
          <w:tcPr>
            <w:tcW w:w="992"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jc w:val="center"/>
              <w:rPr>
                <w:rFonts w:ascii="宋体" w:hAnsi="宋体"/>
                <w:color w:val="auto"/>
                <w:sz w:val="18"/>
                <w:szCs w:val="18"/>
                <w:highlight w:val="none"/>
              </w:rPr>
            </w:pPr>
            <w:r>
              <w:rPr>
                <w:rFonts w:ascii="宋体" w:hAnsi="宋体"/>
                <w:color w:val="auto"/>
                <w:sz w:val="18"/>
                <w:szCs w:val="18"/>
                <w:highlight w:val="none"/>
              </w:rPr>
              <w:t>…</w:t>
            </w:r>
            <w:r>
              <w:rPr>
                <w:rFonts w:hint="eastAsia" w:ascii="宋体" w:hAnsi="宋体"/>
                <w:color w:val="auto"/>
                <w:sz w:val="18"/>
                <w:szCs w:val="18"/>
                <w:highlight w:val="none"/>
              </w:rPr>
              <w:t xml:space="preserve"> </w:t>
            </w:r>
            <w:r>
              <w:rPr>
                <w:rFonts w:ascii="宋体" w:hAnsi="宋体"/>
                <w:color w:val="auto"/>
                <w:sz w:val="18"/>
                <w:szCs w:val="18"/>
                <w:highlight w:val="none"/>
              </w:rPr>
              <w:t>…</w:t>
            </w:r>
          </w:p>
        </w:tc>
        <w:tc>
          <w:tcPr>
            <w:tcW w:w="1559" w:type="dxa"/>
            <w:noWrap w:val="0"/>
            <w:vAlign w:val="center"/>
          </w:tcPr>
          <w:p>
            <w:pPr>
              <w:jc w:val="center"/>
              <w:rPr>
                <w:rFonts w:ascii="宋体" w:hAnsi="宋体"/>
                <w:color w:val="auto"/>
                <w:sz w:val="18"/>
                <w:szCs w:val="18"/>
                <w:highlight w:val="none"/>
              </w:rPr>
            </w:pPr>
          </w:p>
        </w:tc>
        <w:tc>
          <w:tcPr>
            <w:tcW w:w="851" w:type="dxa"/>
            <w:noWrap w:val="0"/>
            <w:vAlign w:val="center"/>
          </w:tcPr>
          <w:p>
            <w:pPr>
              <w:jc w:val="center"/>
              <w:rPr>
                <w:rFonts w:ascii="宋体" w:hAnsi="宋体"/>
                <w:color w:val="auto"/>
                <w:sz w:val="18"/>
                <w:szCs w:val="18"/>
                <w:highlight w:val="none"/>
              </w:rPr>
            </w:pPr>
          </w:p>
        </w:tc>
        <w:tc>
          <w:tcPr>
            <w:tcW w:w="709" w:type="dxa"/>
            <w:noWrap w:val="0"/>
            <w:vAlign w:val="center"/>
          </w:tcPr>
          <w:p>
            <w:pPr>
              <w:jc w:val="center"/>
              <w:rPr>
                <w:rFonts w:ascii="宋体" w:hAnsi="宋体"/>
                <w:color w:val="auto"/>
                <w:sz w:val="18"/>
                <w:szCs w:val="18"/>
                <w:highlight w:val="none"/>
              </w:rPr>
            </w:pPr>
          </w:p>
        </w:tc>
        <w:tc>
          <w:tcPr>
            <w:tcW w:w="708"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417" w:type="dxa"/>
            <w:noWrap w:val="0"/>
            <w:vAlign w:val="center"/>
          </w:tcPr>
          <w:p>
            <w:pPr>
              <w:jc w:val="center"/>
              <w:rPr>
                <w:rFonts w:ascii="宋体" w:hAnsi="宋体"/>
                <w:color w:val="auto"/>
                <w:sz w:val="18"/>
                <w:szCs w:val="18"/>
                <w:highlight w:val="none"/>
              </w:rPr>
            </w:pPr>
          </w:p>
        </w:tc>
        <w:tc>
          <w:tcPr>
            <w:tcW w:w="1560" w:type="dxa"/>
            <w:noWrap w:val="0"/>
            <w:vAlign w:val="center"/>
          </w:tcPr>
          <w:p>
            <w:pPr>
              <w:jc w:val="center"/>
              <w:rPr>
                <w:rFonts w:ascii="宋体" w:hAnsi="宋体"/>
                <w:color w:val="auto"/>
                <w:sz w:val="18"/>
                <w:szCs w:val="18"/>
                <w:highlight w:val="none"/>
              </w:rPr>
            </w:pPr>
          </w:p>
        </w:tc>
        <w:tc>
          <w:tcPr>
            <w:tcW w:w="992"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gridSpan w:val="6"/>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417" w:type="dxa"/>
            <w:noWrap w:val="0"/>
            <w:vAlign w:val="center"/>
          </w:tcPr>
          <w:p>
            <w:pPr>
              <w:jc w:val="center"/>
              <w:rPr>
                <w:rFonts w:ascii="宋体" w:hAnsi="宋体"/>
                <w:color w:val="auto"/>
                <w:sz w:val="18"/>
                <w:szCs w:val="18"/>
                <w:highlight w:val="none"/>
              </w:rPr>
            </w:pPr>
          </w:p>
        </w:tc>
        <w:tc>
          <w:tcPr>
            <w:tcW w:w="1560" w:type="dxa"/>
            <w:noWrap w:val="0"/>
            <w:vAlign w:val="center"/>
          </w:tcPr>
          <w:p>
            <w:pPr>
              <w:jc w:val="center"/>
              <w:rPr>
                <w:rFonts w:ascii="宋体" w:hAnsi="宋体"/>
                <w:color w:val="auto"/>
                <w:sz w:val="18"/>
                <w:szCs w:val="18"/>
                <w:highlight w:val="none"/>
              </w:rPr>
            </w:pPr>
          </w:p>
        </w:tc>
        <w:tc>
          <w:tcPr>
            <w:tcW w:w="992" w:type="dxa"/>
            <w:noWrap w:val="0"/>
            <w:vAlign w:val="center"/>
          </w:tcPr>
          <w:p>
            <w:pPr>
              <w:jc w:val="center"/>
              <w:rPr>
                <w:rFonts w:ascii="宋体" w:hAnsi="宋体"/>
                <w:color w:val="auto"/>
                <w:sz w:val="18"/>
                <w:szCs w:val="18"/>
                <w:highlight w:val="none"/>
              </w:rPr>
            </w:pPr>
          </w:p>
        </w:tc>
      </w:tr>
    </w:tbl>
    <w:p>
      <w:pPr>
        <w:rPr>
          <w:rFonts w:ascii="宋体" w:hAnsi="宋体"/>
          <w:bCs/>
          <w:color w:val="auto"/>
          <w:szCs w:val="21"/>
          <w:highlight w:val="none"/>
        </w:rPr>
      </w:pPr>
      <w:r>
        <w:rPr>
          <w:rFonts w:hint="eastAsia" w:ascii="宋体" w:hAnsi="宋体"/>
          <w:bCs/>
          <w:color w:val="auto"/>
          <w:szCs w:val="21"/>
          <w:highlight w:val="none"/>
        </w:rPr>
        <w:t>注：1、由投标人根据采购需求自行测算含在投标报价中。</w:t>
      </w:r>
    </w:p>
    <w:p>
      <w:pPr>
        <w:ind w:firstLine="405"/>
        <w:outlineLvl w:val="9"/>
        <w:rPr>
          <w:rFonts w:ascii="宋体" w:hAnsi="宋体" w:cs="宋体"/>
          <w:color w:val="auto"/>
          <w:kern w:val="0"/>
          <w:szCs w:val="21"/>
          <w:highlight w:val="none"/>
          <w:lang w:val="zh-CN"/>
        </w:rPr>
      </w:pPr>
      <w:r>
        <w:rPr>
          <w:rFonts w:hint="eastAsia" w:ascii="宋体" w:hAnsi="宋体"/>
          <w:bCs/>
          <w:color w:val="auto"/>
          <w:szCs w:val="21"/>
          <w:highlight w:val="none"/>
        </w:rPr>
        <w:t>2、</w:t>
      </w:r>
      <w:r>
        <w:rPr>
          <w:rFonts w:hint="eastAsia" w:ascii="宋体" w:hAnsi="宋体" w:cs="宋体"/>
          <w:color w:val="auto"/>
          <w:kern w:val="0"/>
          <w:szCs w:val="21"/>
          <w:highlight w:val="none"/>
          <w:lang w:val="zh-CN"/>
        </w:rPr>
        <w:t>上表可自行延长。</w:t>
      </w:r>
    </w:p>
    <w:p>
      <w:pPr>
        <w:pStyle w:val="41"/>
        <w:rPr>
          <w:rFonts w:hint="eastAsia" w:ascii="宋体" w:hAnsi="宋体" w:cs="宋体"/>
          <w:b/>
          <w:bCs/>
          <w:color w:val="000000"/>
          <w:szCs w:val="21"/>
          <w:highlight w:val="none"/>
        </w:rPr>
      </w:pPr>
    </w:p>
    <w:p>
      <w:pPr>
        <w:spacing w:line="400" w:lineRule="exact"/>
        <w:jc w:val="center"/>
        <w:outlineLvl w:val="3"/>
        <w:rPr>
          <w:rFonts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395"/>
        <w:gridCol w:w="1015"/>
        <w:gridCol w:w="992"/>
        <w:gridCol w:w="992"/>
        <w:gridCol w:w="851"/>
        <w:gridCol w:w="1417"/>
        <w:gridCol w:w="1560"/>
        <w:gridCol w:w="1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序号</w:t>
            </w:r>
          </w:p>
        </w:tc>
        <w:tc>
          <w:tcPr>
            <w:tcW w:w="1395"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名称</w:t>
            </w:r>
          </w:p>
        </w:tc>
        <w:tc>
          <w:tcPr>
            <w:tcW w:w="1015"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品牌</w:t>
            </w:r>
          </w:p>
        </w:tc>
        <w:tc>
          <w:tcPr>
            <w:tcW w:w="992"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单价（元）</w:t>
            </w:r>
          </w:p>
        </w:tc>
        <w:tc>
          <w:tcPr>
            <w:tcW w:w="992"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每年用量</w:t>
            </w:r>
          </w:p>
        </w:tc>
        <w:tc>
          <w:tcPr>
            <w:tcW w:w="851"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1417"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金额（元/月）</w:t>
            </w:r>
          </w:p>
        </w:tc>
        <w:tc>
          <w:tcPr>
            <w:tcW w:w="1560"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金额（元/年）</w:t>
            </w:r>
          </w:p>
        </w:tc>
        <w:tc>
          <w:tcPr>
            <w:tcW w:w="1098"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产地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1395" w:type="dxa"/>
            <w:noWrap w:val="0"/>
            <w:vAlign w:val="center"/>
          </w:tcPr>
          <w:p>
            <w:pPr>
              <w:jc w:val="center"/>
              <w:rPr>
                <w:rFonts w:ascii="宋体" w:hAnsi="宋体"/>
                <w:color w:val="auto"/>
                <w:sz w:val="18"/>
                <w:szCs w:val="18"/>
                <w:highlight w:val="none"/>
              </w:rPr>
            </w:pPr>
          </w:p>
        </w:tc>
        <w:tc>
          <w:tcPr>
            <w:tcW w:w="1015" w:type="dxa"/>
            <w:noWrap w:val="0"/>
            <w:vAlign w:val="center"/>
          </w:tcPr>
          <w:p>
            <w:pPr>
              <w:jc w:val="center"/>
              <w:rPr>
                <w:rFonts w:ascii="宋体" w:hAnsi="宋体"/>
                <w:color w:val="auto"/>
                <w:sz w:val="18"/>
                <w:szCs w:val="18"/>
                <w:highlight w:val="none"/>
              </w:rPr>
            </w:pPr>
          </w:p>
        </w:tc>
        <w:tc>
          <w:tcPr>
            <w:tcW w:w="992" w:type="dxa"/>
            <w:noWrap w:val="0"/>
            <w:vAlign w:val="center"/>
          </w:tcPr>
          <w:p>
            <w:pPr>
              <w:jc w:val="center"/>
              <w:rPr>
                <w:rFonts w:ascii="宋体" w:hAnsi="宋体"/>
                <w:color w:val="auto"/>
                <w:sz w:val="18"/>
                <w:szCs w:val="18"/>
                <w:highlight w:val="none"/>
              </w:rPr>
            </w:pPr>
          </w:p>
        </w:tc>
        <w:tc>
          <w:tcPr>
            <w:tcW w:w="992" w:type="dxa"/>
            <w:noWrap w:val="0"/>
            <w:vAlign w:val="center"/>
          </w:tcPr>
          <w:p>
            <w:pPr>
              <w:jc w:val="center"/>
              <w:rPr>
                <w:rFonts w:ascii="宋体" w:hAnsi="宋体"/>
                <w:color w:val="auto"/>
                <w:sz w:val="18"/>
                <w:szCs w:val="18"/>
                <w:highlight w:val="none"/>
              </w:rPr>
            </w:pPr>
          </w:p>
        </w:tc>
        <w:tc>
          <w:tcPr>
            <w:tcW w:w="851" w:type="dxa"/>
            <w:noWrap w:val="0"/>
            <w:vAlign w:val="center"/>
          </w:tcPr>
          <w:p>
            <w:pPr>
              <w:jc w:val="center"/>
              <w:rPr>
                <w:rFonts w:ascii="宋体" w:hAnsi="宋体"/>
                <w:color w:val="auto"/>
                <w:sz w:val="18"/>
                <w:szCs w:val="18"/>
                <w:highlight w:val="none"/>
              </w:rPr>
            </w:pPr>
          </w:p>
        </w:tc>
        <w:tc>
          <w:tcPr>
            <w:tcW w:w="1417" w:type="dxa"/>
            <w:noWrap w:val="0"/>
            <w:vAlign w:val="center"/>
          </w:tcPr>
          <w:p>
            <w:pPr>
              <w:jc w:val="center"/>
              <w:rPr>
                <w:rFonts w:ascii="宋体" w:hAnsi="宋体"/>
                <w:color w:val="auto"/>
                <w:sz w:val="18"/>
                <w:szCs w:val="18"/>
                <w:highlight w:val="none"/>
              </w:rPr>
            </w:pPr>
          </w:p>
        </w:tc>
        <w:tc>
          <w:tcPr>
            <w:tcW w:w="1560" w:type="dxa"/>
            <w:noWrap w:val="0"/>
            <w:vAlign w:val="center"/>
          </w:tcPr>
          <w:p>
            <w:pPr>
              <w:jc w:val="center"/>
              <w:rPr>
                <w:rFonts w:ascii="宋体" w:hAnsi="宋体"/>
                <w:color w:val="auto"/>
                <w:sz w:val="18"/>
                <w:szCs w:val="18"/>
                <w:highlight w:val="none"/>
              </w:rPr>
            </w:pPr>
          </w:p>
        </w:tc>
        <w:tc>
          <w:tcPr>
            <w:tcW w:w="1098"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1395" w:type="dxa"/>
            <w:noWrap w:val="0"/>
            <w:vAlign w:val="center"/>
          </w:tcPr>
          <w:p>
            <w:pPr>
              <w:jc w:val="center"/>
              <w:rPr>
                <w:rFonts w:ascii="宋体" w:hAnsi="宋体"/>
                <w:color w:val="auto"/>
                <w:sz w:val="18"/>
                <w:szCs w:val="18"/>
                <w:highlight w:val="none"/>
              </w:rPr>
            </w:pPr>
          </w:p>
        </w:tc>
        <w:tc>
          <w:tcPr>
            <w:tcW w:w="1015" w:type="dxa"/>
            <w:noWrap w:val="0"/>
            <w:vAlign w:val="center"/>
          </w:tcPr>
          <w:p>
            <w:pPr>
              <w:jc w:val="center"/>
              <w:rPr>
                <w:rFonts w:ascii="宋体" w:hAnsi="宋体"/>
                <w:color w:val="auto"/>
                <w:sz w:val="18"/>
                <w:szCs w:val="18"/>
                <w:highlight w:val="none"/>
              </w:rPr>
            </w:pPr>
          </w:p>
        </w:tc>
        <w:tc>
          <w:tcPr>
            <w:tcW w:w="992" w:type="dxa"/>
            <w:noWrap w:val="0"/>
            <w:vAlign w:val="center"/>
          </w:tcPr>
          <w:p>
            <w:pPr>
              <w:jc w:val="center"/>
              <w:rPr>
                <w:rFonts w:ascii="宋体" w:hAnsi="宋体"/>
                <w:color w:val="auto"/>
                <w:sz w:val="18"/>
                <w:szCs w:val="18"/>
                <w:highlight w:val="none"/>
              </w:rPr>
            </w:pPr>
          </w:p>
        </w:tc>
        <w:tc>
          <w:tcPr>
            <w:tcW w:w="992" w:type="dxa"/>
            <w:noWrap w:val="0"/>
            <w:vAlign w:val="center"/>
          </w:tcPr>
          <w:p>
            <w:pPr>
              <w:jc w:val="center"/>
              <w:rPr>
                <w:rFonts w:ascii="宋体" w:hAnsi="宋体"/>
                <w:color w:val="auto"/>
                <w:sz w:val="18"/>
                <w:szCs w:val="18"/>
                <w:highlight w:val="none"/>
              </w:rPr>
            </w:pPr>
          </w:p>
        </w:tc>
        <w:tc>
          <w:tcPr>
            <w:tcW w:w="851" w:type="dxa"/>
            <w:noWrap w:val="0"/>
            <w:vAlign w:val="center"/>
          </w:tcPr>
          <w:p>
            <w:pPr>
              <w:jc w:val="center"/>
              <w:rPr>
                <w:rFonts w:ascii="宋体" w:hAnsi="宋体"/>
                <w:color w:val="auto"/>
                <w:sz w:val="18"/>
                <w:szCs w:val="18"/>
                <w:highlight w:val="none"/>
              </w:rPr>
            </w:pPr>
          </w:p>
        </w:tc>
        <w:tc>
          <w:tcPr>
            <w:tcW w:w="1417" w:type="dxa"/>
            <w:noWrap w:val="0"/>
            <w:vAlign w:val="center"/>
          </w:tcPr>
          <w:p>
            <w:pPr>
              <w:jc w:val="center"/>
              <w:rPr>
                <w:rFonts w:ascii="宋体" w:hAnsi="宋体"/>
                <w:color w:val="auto"/>
                <w:sz w:val="18"/>
                <w:szCs w:val="18"/>
                <w:highlight w:val="none"/>
              </w:rPr>
            </w:pPr>
          </w:p>
        </w:tc>
        <w:tc>
          <w:tcPr>
            <w:tcW w:w="1560" w:type="dxa"/>
            <w:noWrap w:val="0"/>
            <w:vAlign w:val="center"/>
          </w:tcPr>
          <w:p>
            <w:pPr>
              <w:jc w:val="center"/>
              <w:rPr>
                <w:rFonts w:ascii="宋体" w:hAnsi="宋体"/>
                <w:color w:val="auto"/>
                <w:sz w:val="18"/>
                <w:szCs w:val="18"/>
                <w:highlight w:val="none"/>
              </w:rPr>
            </w:pPr>
          </w:p>
        </w:tc>
        <w:tc>
          <w:tcPr>
            <w:tcW w:w="1098"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1395" w:type="dxa"/>
            <w:noWrap w:val="0"/>
            <w:vAlign w:val="center"/>
          </w:tcPr>
          <w:p>
            <w:pPr>
              <w:jc w:val="center"/>
              <w:rPr>
                <w:rFonts w:ascii="宋体" w:hAnsi="宋体"/>
                <w:color w:val="auto"/>
                <w:sz w:val="18"/>
                <w:szCs w:val="18"/>
                <w:highlight w:val="none"/>
              </w:rPr>
            </w:pPr>
          </w:p>
        </w:tc>
        <w:tc>
          <w:tcPr>
            <w:tcW w:w="1015" w:type="dxa"/>
            <w:noWrap w:val="0"/>
            <w:vAlign w:val="center"/>
          </w:tcPr>
          <w:p>
            <w:pPr>
              <w:jc w:val="center"/>
              <w:rPr>
                <w:rFonts w:ascii="宋体" w:hAnsi="宋体"/>
                <w:color w:val="auto"/>
                <w:sz w:val="18"/>
                <w:szCs w:val="18"/>
                <w:highlight w:val="none"/>
              </w:rPr>
            </w:pPr>
          </w:p>
        </w:tc>
        <w:tc>
          <w:tcPr>
            <w:tcW w:w="992" w:type="dxa"/>
            <w:noWrap w:val="0"/>
            <w:vAlign w:val="center"/>
          </w:tcPr>
          <w:p>
            <w:pPr>
              <w:jc w:val="center"/>
              <w:rPr>
                <w:rFonts w:ascii="宋体" w:hAnsi="宋体"/>
                <w:color w:val="auto"/>
                <w:sz w:val="18"/>
                <w:szCs w:val="18"/>
                <w:highlight w:val="none"/>
              </w:rPr>
            </w:pPr>
          </w:p>
        </w:tc>
        <w:tc>
          <w:tcPr>
            <w:tcW w:w="992" w:type="dxa"/>
            <w:noWrap w:val="0"/>
            <w:vAlign w:val="center"/>
          </w:tcPr>
          <w:p>
            <w:pPr>
              <w:jc w:val="center"/>
              <w:rPr>
                <w:rFonts w:ascii="宋体" w:hAnsi="宋体"/>
                <w:color w:val="auto"/>
                <w:sz w:val="18"/>
                <w:szCs w:val="18"/>
                <w:highlight w:val="none"/>
              </w:rPr>
            </w:pPr>
          </w:p>
        </w:tc>
        <w:tc>
          <w:tcPr>
            <w:tcW w:w="851" w:type="dxa"/>
            <w:noWrap w:val="0"/>
            <w:vAlign w:val="center"/>
          </w:tcPr>
          <w:p>
            <w:pPr>
              <w:jc w:val="center"/>
              <w:rPr>
                <w:rFonts w:ascii="宋体" w:hAnsi="宋体"/>
                <w:color w:val="auto"/>
                <w:sz w:val="18"/>
                <w:szCs w:val="18"/>
                <w:highlight w:val="none"/>
              </w:rPr>
            </w:pPr>
          </w:p>
        </w:tc>
        <w:tc>
          <w:tcPr>
            <w:tcW w:w="1417" w:type="dxa"/>
            <w:noWrap w:val="0"/>
            <w:vAlign w:val="center"/>
          </w:tcPr>
          <w:p>
            <w:pPr>
              <w:jc w:val="center"/>
              <w:rPr>
                <w:rFonts w:ascii="宋体" w:hAnsi="宋体"/>
                <w:color w:val="auto"/>
                <w:sz w:val="18"/>
                <w:szCs w:val="18"/>
                <w:highlight w:val="none"/>
              </w:rPr>
            </w:pPr>
          </w:p>
        </w:tc>
        <w:tc>
          <w:tcPr>
            <w:tcW w:w="1560" w:type="dxa"/>
            <w:noWrap w:val="0"/>
            <w:vAlign w:val="center"/>
          </w:tcPr>
          <w:p>
            <w:pPr>
              <w:jc w:val="center"/>
              <w:rPr>
                <w:rFonts w:ascii="宋体" w:hAnsi="宋体"/>
                <w:color w:val="auto"/>
                <w:sz w:val="18"/>
                <w:szCs w:val="18"/>
                <w:highlight w:val="none"/>
              </w:rPr>
            </w:pPr>
          </w:p>
        </w:tc>
        <w:tc>
          <w:tcPr>
            <w:tcW w:w="1098"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pPr>
              <w:jc w:val="center"/>
              <w:rPr>
                <w:rFonts w:ascii="宋体" w:hAnsi="宋体"/>
                <w:color w:val="auto"/>
                <w:sz w:val="18"/>
                <w:szCs w:val="18"/>
                <w:highlight w:val="none"/>
              </w:rPr>
            </w:pPr>
            <w:r>
              <w:rPr>
                <w:rFonts w:ascii="宋体" w:hAnsi="宋体"/>
                <w:color w:val="auto"/>
                <w:sz w:val="18"/>
                <w:szCs w:val="18"/>
                <w:highlight w:val="none"/>
              </w:rPr>
              <w:t>…</w:t>
            </w:r>
            <w:r>
              <w:rPr>
                <w:rFonts w:hint="eastAsia" w:ascii="宋体" w:hAnsi="宋体"/>
                <w:color w:val="auto"/>
                <w:sz w:val="18"/>
                <w:szCs w:val="18"/>
                <w:highlight w:val="none"/>
              </w:rPr>
              <w:t xml:space="preserve"> </w:t>
            </w:r>
            <w:r>
              <w:rPr>
                <w:rFonts w:ascii="宋体" w:hAnsi="宋体"/>
                <w:color w:val="auto"/>
                <w:sz w:val="18"/>
                <w:szCs w:val="18"/>
                <w:highlight w:val="none"/>
              </w:rPr>
              <w:t>…</w:t>
            </w:r>
          </w:p>
        </w:tc>
        <w:tc>
          <w:tcPr>
            <w:tcW w:w="1395" w:type="dxa"/>
            <w:noWrap w:val="0"/>
            <w:vAlign w:val="center"/>
          </w:tcPr>
          <w:p>
            <w:pPr>
              <w:jc w:val="center"/>
              <w:rPr>
                <w:rFonts w:ascii="宋体" w:hAnsi="宋体"/>
                <w:color w:val="auto"/>
                <w:sz w:val="18"/>
                <w:szCs w:val="18"/>
                <w:highlight w:val="none"/>
              </w:rPr>
            </w:pPr>
          </w:p>
        </w:tc>
        <w:tc>
          <w:tcPr>
            <w:tcW w:w="1015" w:type="dxa"/>
            <w:noWrap w:val="0"/>
            <w:vAlign w:val="center"/>
          </w:tcPr>
          <w:p>
            <w:pPr>
              <w:jc w:val="center"/>
              <w:rPr>
                <w:rFonts w:ascii="宋体" w:hAnsi="宋体"/>
                <w:color w:val="auto"/>
                <w:sz w:val="18"/>
                <w:szCs w:val="18"/>
                <w:highlight w:val="none"/>
              </w:rPr>
            </w:pPr>
          </w:p>
        </w:tc>
        <w:tc>
          <w:tcPr>
            <w:tcW w:w="992" w:type="dxa"/>
            <w:noWrap w:val="0"/>
            <w:vAlign w:val="center"/>
          </w:tcPr>
          <w:p>
            <w:pPr>
              <w:jc w:val="center"/>
              <w:rPr>
                <w:rFonts w:ascii="宋体" w:hAnsi="宋体"/>
                <w:color w:val="auto"/>
                <w:sz w:val="18"/>
                <w:szCs w:val="18"/>
                <w:highlight w:val="none"/>
              </w:rPr>
            </w:pPr>
          </w:p>
        </w:tc>
        <w:tc>
          <w:tcPr>
            <w:tcW w:w="992" w:type="dxa"/>
            <w:noWrap w:val="0"/>
            <w:vAlign w:val="center"/>
          </w:tcPr>
          <w:p>
            <w:pPr>
              <w:jc w:val="center"/>
              <w:rPr>
                <w:rFonts w:ascii="宋体" w:hAnsi="宋体"/>
                <w:color w:val="auto"/>
                <w:sz w:val="18"/>
                <w:szCs w:val="18"/>
                <w:highlight w:val="none"/>
              </w:rPr>
            </w:pPr>
          </w:p>
        </w:tc>
        <w:tc>
          <w:tcPr>
            <w:tcW w:w="851" w:type="dxa"/>
            <w:noWrap w:val="0"/>
            <w:vAlign w:val="center"/>
          </w:tcPr>
          <w:p>
            <w:pPr>
              <w:jc w:val="center"/>
              <w:rPr>
                <w:rFonts w:ascii="宋体" w:hAnsi="宋体"/>
                <w:color w:val="auto"/>
                <w:sz w:val="18"/>
                <w:szCs w:val="18"/>
                <w:highlight w:val="none"/>
              </w:rPr>
            </w:pPr>
          </w:p>
        </w:tc>
        <w:tc>
          <w:tcPr>
            <w:tcW w:w="1417" w:type="dxa"/>
            <w:noWrap w:val="0"/>
            <w:vAlign w:val="center"/>
          </w:tcPr>
          <w:p>
            <w:pPr>
              <w:jc w:val="center"/>
              <w:rPr>
                <w:rFonts w:ascii="宋体" w:hAnsi="宋体"/>
                <w:color w:val="auto"/>
                <w:sz w:val="18"/>
                <w:szCs w:val="18"/>
                <w:highlight w:val="none"/>
              </w:rPr>
            </w:pPr>
          </w:p>
        </w:tc>
        <w:tc>
          <w:tcPr>
            <w:tcW w:w="1560" w:type="dxa"/>
            <w:noWrap w:val="0"/>
            <w:vAlign w:val="center"/>
          </w:tcPr>
          <w:p>
            <w:pPr>
              <w:jc w:val="center"/>
              <w:rPr>
                <w:rFonts w:ascii="宋体" w:hAnsi="宋体"/>
                <w:color w:val="auto"/>
                <w:sz w:val="18"/>
                <w:szCs w:val="18"/>
                <w:highlight w:val="none"/>
              </w:rPr>
            </w:pPr>
          </w:p>
        </w:tc>
        <w:tc>
          <w:tcPr>
            <w:tcW w:w="1098"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2" w:type="dxa"/>
            <w:gridSpan w:val="6"/>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417" w:type="dxa"/>
            <w:noWrap w:val="0"/>
            <w:vAlign w:val="center"/>
          </w:tcPr>
          <w:p>
            <w:pPr>
              <w:jc w:val="center"/>
              <w:rPr>
                <w:rFonts w:ascii="宋体" w:hAnsi="宋体"/>
                <w:color w:val="auto"/>
                <w:sz w:val="18"/>
                <w:szCs w:val="18"/>
                <w:highlight w:val="none"/>
              </w:rPr>
            </w:pPr>
          </w:p>
        </w:tc>
        <w:tc>
          <w:tcPr>
            <w:tcW w:w="1560" w:type="dxa"/>
            <w:noWrap w:val="0"/>
            <w:vAlign w:val="center"/>
          </w:tcPr>
          <w:p>
            <w:pPr>
              <w:jc w:val="center"/>
              <w:rPr>
                <w:rFonts w:ascii="宋体" w:hAnsi="宋体"/>
                <w:color w:val="auto"/>
                <w:sz w:val="18"/>
                <w:szCs w:val="18"/>
                <w:highlight w:val="none"/>
              </w:rPr>
            </w:pPr>
          </w:p>
        </w:tc>
        <w:tc>
          <w:tcPr>
            <w:tcW w:w="1098" w:type="dxa"/>
            <w:noWrap w:val="0"/>
            <w:vAlign w:val="center"/>
          </w:tcPr>
          <w:p>
            <w:pPr>
              <w:jc w:val="center"/>
              <w:rPr>
                <w:rFonts w:ascii="宋体" w:hAnsi="宋体"/>
                <w:color w:val="auto"/>
                <w:sz w:val="18"/>
                <w:szCs w:val="18"/>
                <w:highlight w:val="none"/>
              </w:rPr>
            </w:pPr>
          </w:p>
        </w:tc>
      </w:tr>
    </w:tbl>
    <w:p>
      <w:pPr>
        <w:rPr>
          <w:rFonts w:ascii="宋体" w:hAnsi="宋体"/>
          <w:bCs/>
          <w:color w:val="auto"/>
          <w:szCs w:val="21"/>
          <w:highlight w:val="none"/>
        </w:rPr>
      </w:pPr>
      <w:r>
        <w:rPr>
          <w:rFonts w:hint="eastAsia" w:ascii="宋体" w:hAnsi="宋体"/>
          <w:bCs/>
          <w:color w:val="auto"/>
          <w:szCs w:val="21"/>
          <w:highlight w:val="none"/>
        </w:rPr>
        <w:t>注：1、由投标人根据采购需求自行测算含在投标报价中。</w:t>
      </w:r>
    </w:p>
    <w:p>
      <w:pPr>
        <w:ind w:firstLine="405"/>
        <w:outlineLvl w:val="9"/>
        <w:rPr>
          <w:rFonts w:ascii="宋体" w:hAnsi="宋体" w:cs="宋体"/>
          <w:color w:val="auto"/>
          <w:kern w:val="0"/>
          <w:szCs w:val="21"/>
          <w:highlight w:val="none"/>
          <w:lang w:val="zh-CN"/>
        </w:rPr>
      </w:pPr>
      <w:r>
        <w:rPr>
          <w:rFonts w:hint="eastAsia" w:ascii="宋体" w:hAnsi="宋体"/>
          <w:bCs/>
          <w:color w:val="auto"/>
          <w:szCs w:val="21"/>
          <w:highlight w:val="none"/>
        </w:rPr>
        <w:t>2、</w:t>
      </w:r>
      <w:r>
        <w:rPr>
          <w:rFonts w:hint="eastAsia" w:ascii="宋体" w:hAnsi="宋体" w:cs="宋体"/>
          <w:color w:val="auto"/>
          <w:kern w:val="0"/>
          <w:szCs w:val="21"/>
          <w:highlight w:val="none"/>
          <w:lang w:val="zh-CN"/>
        </w:rPr>
        <w:t>上表可自行延长。</w:t>
      </w:r>
    </w:p>
    <w:p>
      <w:pPr>
        <w:ind w:firstLine="420" w:firstLineChars="175"/>
        <w:rPr>
          <w:rFonts w:ascii="黑体" w:hAnsi="宋体" w:eastAsia="黑体"/>
          <w:bCs/>
          <w:color w:val="auto"/>
          <w:sz w:val="24"/>
          <w:szCs w:val="24"/>
          <w:highlight w:val="none"/>
        </w:rPr>
      </w:pPr>
    </w:p>
    <w:p>
      <w:pPr>
        <w:ind w:firstLine="420" w:firstLineChars="175"/>
        <w:rPr>
          <w:rFonts w:ascii="黑体" w:hAnsi="宋体" w:eastAsia="黑体"/>
          <w:bCs/>
          <w:color w:val="auto"/>
          <w:sz w:val="24"/>
          <w:szCs w:val="24"/>
          <w:highlight w:val="none"/>
        </w:rPr>
      </w:pPr>
    </w:p>
    <w:p>
      <w:pPr>
        <w:ind w:firstLine="420" w:firstLineChars="175"/>
        <w:rPr>
          <w:rFonts w:ascii="黑体" w:hAnsi="宋体" w:eastAsia="黑体"/>
          <w:bCs/>
          <w:color w:val="auto"/>
          <w:sz w:val="24"/>
          <w:szCs w:val="24"/>
          <w:highlight w:val="none"/>
        </w:rPr>
      </w:pPr>
    </w:p>
    <w:p>
      <w:pPr>
        <w:spacing w:line="400" w:lineRule="exact"/>
        <w:jc w:val="center"/>
        <w:outlineLvl w:val="3"/>
        <w:rPr>
          <w:rFonts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5"/>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3494"/>
        <w:gridCol w:w="1559"/>
        <w:gridCol w:w="1418"/>
        <w:gridCol w:w="155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序号</w:t>
            </w:r>
          </w:p>
        </w:tc>
        <w:tc>
          <w:tcPr>
            <w:tcW w:w="3494"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维保内容</w:t>
            </w:r>
          </w:p>
        </w:tc>
        <w:tc>
          <w:tcPr>
            <w:tcW w:w="1559"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单价（元）</w:t>
            </w:r>
          </w:p>
        </w:tc>
        <w:tc>
          <w:tcPr>
            <w:tcW w:w="1418"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合计费用</w:t>
            </w:r>
          </w:p>
          <w:p>
            <w:pPr>
              <w:jc w:val="center"/>
              <w:rPr>
                <w:rFonts w:ascii="宋体" w:hAnsi="宋体"/>
                <w:b/>
                <w:color w:val="auto"/>
                <w:sz w:val="18"/>
                <w:szCs w:val="18"/>
                <w:highlight w:val="none"/>
              </w:rPr>
            </w:pPr>
            <w:r>
              <w:rPr>
                <w:rFonts w:hint="eastAsia" w:ascii="宋体" w:hAnsi="宋体"/>
                <w:b/>
                <w:color w:val="auto"/>
                <w:sz w:val="18"/>
                <w:szCs w:val="18"/>
                <w:highlight w:val="none"/>
              </w:rPr>
              <w:t>（元/月）</w:t>
            </w:r>
          </w:p>
        </w:tc>
        <w:tc>
          <w:tcPr>
            <w:tcW w:w="1559"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合计费用</w:t>
            </w:r>
          </w:p>
          <w:p>
            <w:pPr>
              <w:jc w:val="center"/>
              <w:rPr>
                <w:rFonts w:ascii="宋体" w:hAnsi="宋体"/>
                <w:b/>
                <w:color w:val="auto"/>
                <w:sz w:val="18"/>
                <w:szCs w:val="18"/>
                <w:highlight w:val="none"/>
              </w:rPr>
            </w:pPr>
            <w:r>
              <w:rPr>
                <w:rFonts w:hint="eastAsia" w:ascii="宋体" w:hAnsi="宋体"/>
                <w:b/>
                <w:color w:val="auto"/>
                <w:sz w:val="18"/>
                <w:szCs w:val="18"/>
                <w:highlight w:val="none"/>
              </w:rPr>
              <w:t>（元/年）</w:t>
            </w:r>
          </w:p>
        </w:tc>
        <w:tc>
          <w:tcPr>
            <w:tcW w:w="1134" w:type="dxa"/>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494" w:type="dxa"/>
            <w:noWrap w:val="0"/>
            <w:vAlign w:val="center"/>
          </w:tcPr>
          <w:p>
            <w:pPr>
              <w:jc w:val="center"/>
              <w:rPr>
                <w:rFonts w:ascii="宋体" w:hAnsi="宋体"/>
                <w:b/>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494" w:type="dxa"/>
            <w:noWrap w:val="0"/>
            <w:vAlign w:val="center"/>
          </w:tcPr>
          <w:p>
            <w:pPr>
              <w:jc w:val="center"/>
              <w:rPr>
                <w:rFonts w:ascii="宋体" w:hAnsi="宋体"/>
                <w:b/>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3494"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4</w:t>
            </w:r>
          </w:p>
        </w:tc>
        <w:tc>
          <w:tcPr>
            <w:tcW w:w="3494"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5</w:t>
            </w:r>
          </w:p>
        </w:tc>
        <w:tc>
          <w:tcPr>
            <w:tcW w:w="3494"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6</w:t>
            </w:r>
          </w:p>
        </w:tc>
        <w:tc>
          <w:tcPr>
            <w:tcW w:w="3494"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7</w:t>
            </w:r>
          </w:p>
        </w:tc>
        <w:tc>
          <w:tcPr>
            <w:tcW w:w="3494"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8</w:t>
            </w:r>
          </w:p>
        </w:tc>
        <w:tc>
          <w:tcPr>
            <w:tcW w:w="3494" w:type="dxa"/>
            <w:noWrap w:val="0"/>
            <w:vAlign w:val="center"/>
          </w:tcPr>
          <w:p>
            <w:pPr>
              <w:jc w:val="center"/>
              <w:rPr>
                <w:rFonts w:ascii="宋体" w:hAnsi="宋体" w:cs="宋体"/>
                <w:bCs/>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9</w:t>
            </w:r>
          </w:p>
        </w:tc>
        <w:tc>
          <w:tcPr>
            <w:tcW w:w="3494" w:type="dxa"/>
            <w:noWrap w:val="0"/>
            <w:vAlign w:val="center"/>
          </w:tcPr>
          <w:p>
            <w:pPr>
              <w:jc w:val="center"/>
              <w:rPr>
                <w:rFonts w:ascii="宋体" w:hAnsi="宋体" w:cs="宋体"/>
                <w:bCs/>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10</w:t>
            </w:r>
          </w:p>
        </w:tc>
        <w:tc>
          <w:tcPr>
            <w:tcW w:w="3494" w:type="dxa"/>
            <w:noWrap w:val="0"/>
            <w:vAlign w:val="center"/>
          </w:tcPr>
          <w:p>
            <w:pPr>
              <w:jc w:val="center"/>
              <w:rPr>
                <w:rFonts w:ascii="宋体" w:hAnsi="宋体" w:cs="宋体"/>
                <w:bCs/>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11</w:t>
            </w:r>
          </w:p>
        </w:tc>
        <w:tc>
          <w:tcPr>
            <w:tcW w:w="3494" w:type="dxa"/>
            <w:noWrap w:val="0"/>
            <w:vAlign w:val="center"/>
          </w:tcPr>
          <w:p>
            <w:pPr>
              <w:jc w:val="center"/>
              <w:rPr>
                <w:rFonts w:ascii="宋体" w:hAnsi="宋体" w:cs="宋体"/>
                <w:bCs/>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12</w:t>
            </w:r>
          </w:p>
        </w:tc>
        <w:tc>
          <w:tcPr>
            <w:tcW w:w="3494" w:type="dxa"/>
            <w:noWrap w:val="0"/>
            <w:vAlign w:val="center"/>
          </w:tcPr>
          <w:p>
            <w:pPr>
              <w:jc w:val="center"/>
              <w:rPr>
                <w:rFonts w:ascii="宋体" w:hAnsi="宋体" w:cs="宋体"/>
                <w:bCs/>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hint="eastAsia" w:ascii="宋体" w:hAnsi="宋体"/>
                <w:color w:val="auto"/>
                <w:sz w:val="18"/>
                <w:szCs w:val="18"/>
                <w:highlight w:val="none"/>
              </w:rPr>
            </w:pPr>
            <w:r>
              <w:rPr>
                <w:rFonts w:hint="eastAsia" w:ascii="宋体" w:hAnsi="宋体"/>
                <w:color w:val="auto"/>
                <w:sz w:val="18"/>
                <w:szCs w:val="18"/>
                <w:highlight w:val="none"/>
              </w:rPr>
              <w:t>13</w:t>
            </w:r>
          </w:p>
        </w:tc>
        <w:tc>
          <w:tcPr>
            <w:tcW w:w="3494" w:type="dxa"/>
            <w:noWrap w:val="0"/>
            <w:vAlign w:val="center"/>
          </w:tcPr>
          <w:p>
            <w:pPr>
              <w:jc w:val="center"/>
              <w:rPr>
                <w:rFonts w:ascii="宋体" w:hAnsi="宋体" w:cs="宋体"/>
                <w:bCs/>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3494" w:type="dxa"/>
            <w:noWrap w:val="0"/>
            <w:vAlign w:val="center"/>
          </w:tcPr>
          <w:p>
            <w:pPr>
              <w:jc w:val="center"/>
              <w:rPr>
                <w:rFonts w:ascii="宋体" w:hAnsi="宋体" w:cs="宋体"/>
                <w:bCs/>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0" w:type="dxa"/>
            <w:gridSpan w:val="3"/>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418" w:type="dxa"/>
            <w:noWrap w:val="0"/>
            <w:vAlign w:val="center"/>
          </w:tcPr>
          <w:p>
            <w:pPr>
              <w:jc w:val="center"/>
              <w:rPr>
                <w:rFonts w:ascii="宋体" w:hAnsi="宋体"/>
                <w:color w:val="auto"/>
                <w:sz w:val="18"/>
                <w:szCs w:val="18"/>
                <w:highlight w:val="none"/>
              </w:rPr>
            </w:pPr>
          </w:p>
        </w:tc>
        <w:tc>
          <w:tcPr>
            <w:tcW w:w="1559" w:type="dxa"/>
            <w:noWrap w:val="0"/>
            <w:vAlign w:val="center"/>
          </w:tcPr>
          <w:p>
            <w:pPr>
              <w:jc w:val="center"/>
              <w:rPr>
                <w:rFonts w:ascii="宋体" w:hAnsi="宋体"/>
                <w:color w:val="auto"/>
                <w:sz w:val="18"/>
                <w:szCs w:val="18"/>
                <w:highlight w:val="none"/>
              </w:rPr>
            </w:pPr>
          </w:p>
        </w:tc>
        <w:tc>
          <w:tcPr>
            <w:tcW w:w="1134" w:type="dxa"/>
            <w:noWrap w:val="0"/>
            <w:vAlign w:val="center"/>
          </w:tcPr>
          <w:p>
            <w:pPr>
              <w:jc w:val="center"/>
              <w:rPr>
                <w:rFonts w:ascii="宋体" w:hAnsi="宋体"/>
                <w:color w:val="auto"/>
                <w:sz w:val="18"/>
                <w:szCs w:val="18"/>
                <w:highlight w:val="none"/>
              </w:rPr>
            </w:pPr>
          </w:p>
        </w:tc>
      </w:tr>
    </w:tbl>
    <w:p>
      <w:pPr>
        <w:rPr>
          <w:rFonts w:ascii="宋体" w:hAnsi="宋体"/>
          <w:bCs/>
          <w:color w:val="auto"/>
          <w:szCs w:val="21"/>
          <w:highlight w:val="none"/>
        </w:rPr>
      </w:pPr>
      <w:r>
        <w:rPr>
          <w:rFonts w:hint="eastAsia" w:ascii="宋体" w:hAnsi="宋体"/>
          <w:bCs/>
          <w:color w:val="auto"/>
          <w:szCs w:val="21"/>
          <w:highlight w:val="none"/>
        </w:rPr>
        <w:t>注：1、由投标人根据采购需求自行测算含在投标报价中。</w:t>
      </w:r>
    </w:p>
    <w:p>
      <w:pPr>
        <w:ind w:firstLine="405"/>
        <w:outlineLvl w:val="9"/>
        <w:rPr>
          <w:rFonts w:ascii="宋体" w:hAnsi="宋体" w:cs="宋体"/>
          <w:color w:val="auto"/>
          <w:kern w:val="0"/>
          <w:szCs w:val="21"/>
          <w:highlight w:val="none"/>
          <w:lang w:val="zh-CN"/>
        </w:rPr>
      </w:pPr>
      <w:r>
        <w:rPr>
          <w:rFonts w:hint="eastAsia" w:ascii="宋体" w:hAnsi="宋体"/>
          <w:bCs/>
          <w:color w:val="auto"/>
          <w:szCs w:val="21"/>
          <w:highlight w:val="none"/>
        </w:rPr>
        <w:t>2、</w:t>
      </w:r>
      <w:r>
        <w:rPr>
          <w:rFonts w:hint="eastAsia" w:ascii="宋体" w:hAnsi="宋体" w:cs="宋体"/>
          <w:color w:val="auto"/>
          <w:kern w:val="0"/>
          <w:szCs w:val="21"/>
          <w:highlight w:val="none"/>
          <w:lang w:val="zh-CN"/>
        </w:rPr>
        <w:t>上表可自行延长。</w:t>
      </w:r>
    </w:p>
    <w:p>
      <w:pPr>
        <w:pStyle w:val="41"/>
        <w:rPr>
          <w:rFonts w:hint="eastAsia" w:ascii="宋体" w:hAnsi="宋体" w:cs="宋体"/>
          <w:b/>
          <w:bCs/>
          <w:color w:val="000000"/>
          <w:szCs w:val="21"/>
          <w:highlight w:val="none"/>
        </w:rPr>
      </w:pPr>
    </w:p>
    <w:p>
      <w:pPr>
        <w:ind w:firstLine="420"/>
        <w:rPr>
          <w:rFonts w:ascii="黑体" w:hAnsi="宋体" w:eastAsia="黑体"/>
          <w:bCs/>
          <w:color w:val="000000"/>
          <w:sz w:val="24"/>
          <w:szCs w:val="24"/>
          <w:highlight w:val="none"/>
        </w:rPr>
      </w:pPr>
    </w:p>
    <w:p>
      <w:pPr>
        <w:pStyle w:val="60"/>
        <w:widowControl/>
        <w:ind w:left="420" w:firstLine="0"/>
        <w:jc w:val="left"/>
        <w:rPr>
          <w:rFonts w:ascii="宋体" w:hAnsi="宋体"/>
          <w:bCs/>
          <w:color w:val="000000"/>
          <w:highlight w:val="none"/>
        </w:rPr>
      </w:pPr>
      <w:r>
        <w:rPr>
          <w:rFonts w:hint="eastAsia" w:ascii="宋体" w:hAnsi="宋体"/>
          <w:b/>
          <w:bCs/>
          <w:color w:val="000000"/>
          <w:sz w:val="24"/>
          <w:szCs w:val="24"/>
          <w:highlight w:val="none"/>
        </w:rPr>
        <w:br w:type="page" w:clear="all"/>
      </w:r>
    </w:p>
    <w:p>
      <w:pPr>
        <w:spacing w:line="400" w:lineRule="exact"/>
        <w:jc w:val="left"/>
        <w:outlineLvl w:val="2"/>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（六）供应商简介和经营情况说明（格式）</w:t>
      </w:r>
    </w:p>
    <w:p>
      <w:pPr>
        <w:pStyle w:val="220"/>
        <w:ind w:firstLine="480"/>
        <w:jc w:val="center"/>
        <w:rPr>
          <w:rFonts w:ascii="宋体" w:hAnsi="宋体" w:cs="宋体"/>
          <w:bCs/>
          <w:color w:val="000000"/>
          <w:sz w:val="28"/>
          <w:szCs w:val="28"/>
          <w:highlight w:val="none"/>
        </w:rPr>
      </w:pPr>
      <w:r>
        <w:rPr>
          <w:rFonts w:hint="eastAsia" w:ascii="宋体" w:hAnsi="宋体" w:cs="宋体"/>
          <w:bCs/>
          <w:color w:val="000000"/>
          <w:sz w:val="28"/>
          <w:szCs w:val="28"/>
          <w:highlight w:val="none"/>
        </w:rPr>
        <w:t>供应商情况表</w:t>
      </w:r>
    </w:p>
    <w:tbl>
      <w:tblPr>
        <w:tblStyle w:val="35"/>
        <w:tblW w:w="98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6"/>
        <w:gridCol w:w="1615"/>
        <w:gridCol w:w="551"/>
        <w:gridCol w:w="1647"/>
        <w:gridCol w:w="1441"/>
        <w:gridCol w:w="791"/>
        <w:gridCol w:w="33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3" w:hRule="atLeast"/>
        </w:trPr>
        <w:tc>
          <w:tcPr>
            <w:tcW w:w="2071" w:type="dxa"/>
            <w:gridSpan w:val="2"/>
            <w:noWrap/>
          </w:tcPr>
          <w:p>
            <w:pPr>
              <w:rPr>
                <w:color w:val="000000"/>
                <w:sz w:val="24"/>
                <w:szCs w:val="22"/>
                <w:highlight w:val="none"/>
              </w:rPr>
            </w:pPr>
            <w:r>
              <w:rPr>
                <w:rFonts w:hint="eastAsia"/>
                <w:color w:val="000000"/>
                <w:sz w:val="24"/>
                <w:szCs w:val="22"/>
                <w:highlight w:val="none"/>
              </w:rPr>
              <w:t>投标供应商名称</w:t>
            </w:r>
          </w:p>
        </w:tc>
        <w:tc>
          <w:tcPr>
            <w:tcW w:w="3639" w:type="dxa"/>
            <w:gridSpan w:val="3"/>
            <w:noWrap/>
          </w:tcPr>
          <w:p>
            <w:pPr>
              <w:rPr>
                <w:color w:val="000000"/>
                <w:sz w:val="24"/>
                <w:szCs w:val="22"/>
                <w:highlight w:val="none"/>
              </w:rPr>
            </w:pPr>
            <w:r>
              <w:rPr>
                <w:rFonts w:hint="eastAsia"/>
                <w:color w:val="000000"/>
                <w:sz w:val="24"/>
                <w:szCs w:val="22"/>
                <w:highlight w:val="none"/>
              </w:rPr>
              <w:t xml:space="preserve"> （盖章）</w:t>
            </w:r>
          </w:p>
        </w:tc>
        <w:tc>
          <w:tcPr>
            <w:tcW w:w="791" w:type="dxa"/>
            <w:noWrap/>
          </w:tcPr>
          <w:p>
            <w:pPr>
              <w:rPr>
                <w:color w:val="000000"/>
                <w:sz w:val="24"/>
                <w:szCs w:val="22"/>
                <w:highlight w:val="none"/>
              </w:rPr>
            </w:pPr>
            <w:r>
              <w:rPr>
                <w:rFonts w:hint="eastAsia"/>
                <w:color w:val="000000"/>
                <w:sz w:val="24"/>
                <w:szCs w:val="22"/>
                <w:highlight w:val="none"/>
              </w:rPr>
              <w:t>邮编</w:t>
            </w:r>
          </w:p>
        </w:tc>
        <w:tc>
          <w:tcPr>
            <w:tcW w:w="3347" w:type="dxa"/>
            <w:noWrap/>
          </w:tcPr>
          <w:p>
            <w:pPr>
              <w:rPr>
                <w:color w:val="000000"/>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3" w:hRule="atLeast"/>
        </w:trPr>
        <w:tc>
          <w:tcPr>
            <w:tcW w:w="2071" w:type="dxa"/>
            <w:gridSpan w:val="2"/>
            <w:noWrap/>
          </w:tcPr>
          <w:p>
            <w:pPr>
              <w:rPr>
                <w:color w:val="000000"/>
                <w:sz w:val="24"/>
                <w:szCs w:val="22"/>
                <w:highlight w:val="none"/>
              </w:rPr>
            </w:pPr>
            <w:r>
              <w:rPr>
                <w:rFonts w:hint="eastAsia"/>
                <w:color w:val="000000"/>
                <w:sz w:val="24"/>
                <w:szCs w:val="22"/>
                <w:highlight w:val="none"/>
              </w:rPr>
              <w:t>投标供应商地址</w:t>
            </w:r>
          </w:p>
        </w:tc>
        <w:tc>
          <w:tcPr>
            <w:tcW w:w="3639" w:type="dxa"/>
            <w:gridSpan w:val="3"/>
            <w:noWrap/>
          </w:tcPr>
          <w:p>
            <w:pPr>
              <w:rPr>
                <w:color w:val="000000"/>
                <w:sz w:val="24"/>
                <w:szCs w:val="22"/>
                <w:highlight w:val="none"/>
              </w:rPr>
            </w:pPr>
          </w:p>
        </w:tc>
        <w:tc>
          <w:tcPr>
            <w:tcW w:w="791" w:type="dxa"/>
            <w:noWrap/>
          </w:tcPr>
          <w:p>
            <w:pPr>
              <w:rPr>
                <w:color w:val="000000"/>
                <w:sz w:val="24"/>
                <w:szCs w:val="22"/>
                <w:highlight w:val="none"/>
              </w:rPr>
            </w:pPr>
            <w:r>
              <w:rPr>
                <w:rFonts w:hint="eastAsia"/>
                <w:color w:val="000000"/>
                <w:sz w:val="24"/>
                <w:szCs w:val="22"/>
                <w:highlight w:val="none"/>
              </w:rPr>
              <w:t>地址</w:t>
            </w:r>
          </w:p>
        </w:tc>
        <w:tc>
          <w:tcPr>
            <w:tcW w:w="3347" w:type="dxa"/>
            <w:noWrap/>
          </w:tcPr>
          <w:p>
            <w:pPr>
              <w:rPr>
                <w:color w:val="000000"/>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4" w:hRule="atLeast"/>
        </w:trPr>
        <w:tc>
          <w:tcPr>
            <w:tcW w:w="2071" w:type="dxa"/>
            <w:gridSpan w:val="2"/>
            <w:noWrap/>
          </w:tcPr>
          <w:p>
            <w:pPr>
              <w:rPr>
                <w:color w:val="000000"/>
                <w:sz w:val="24"/>
                <w:szCs w:val="22"/>
                <w:highlight w:val="none"/>
              </w:rPr>
            </w:pPr>
            <w:r>
              <w:rPr>
                <w:rFonts w:hint="eastAsia"/>
                <w:color w:val="000000"/>
                <w:sz w:val="24"/>
                <w:szCs w:val="22"/>
                <w:highlight w:val="none"/>
              </w:rPr>
              <w:t>法定代表人</w:t>
            </w:r>
          </w:p>
        </w:tc>
        <w:tc>
          <w:tcPr>
            <w:tcW w:w="551" w:type="dxa"/>
            <w:noWrap/>
          </w:tcPr>
          <w:p>
            <w:pPr>
              <w:rPr>
                <w:color w:val="000000"/>
                <w:sz w:val="24"/>
                <w:szCs w:val="22"/>
                <w:highlight w:val="none"/>
              </w:rPr>
            </w:pPr>
          </w:p>
        </w:tc>
        <w:tc>
          <w:tcPr>
            <w:tcW w:w="1647" w:type="dxa"/>
            <w:noWrap/>
          </w:tcPr>
          <w:p>
            <w:pPr>
              <w:rPr>
                <w:color w:val="000000"/>
                <w:sz w:val="24"/>
                <w:szCs w:val="22"/>
                <w:highlight w:val="none"/>
              </w:rPr>
            </w:pPr>
            <w:r>
              <w:rPr>
                <w:rFonts w:hint="eastAsia"/>
                <w:color w:val="000000"/>
                <w:sz w:val="24"/>
                <w:szCs w:val="22"/>
                <w:highlight w:val="none"/>
              </w:rPr>
              <w:t>联系人</w:t>
            </w:r>
          </w:p>
        </w:tc>
        <w:tc>
          <w:tcPr>
            <w:tcW w:w="1441" w:type="dxa"/>
            <w:noWrap/>
          </w:tcPr>
          <w:p>
            <w:pPr>
              <w:rPr>
                <w:color w:val="000000"/>
                <w:sz w:val="24"/>
                <w:szCs w:val="22"/>
                <w:highlight w:val="none"/>
              </w:rPr>
            </w:pPr>
          </w:p>
        </w:tc>
        <w:tc>
          <w:tcPr>
            <w:tcW w:w="791" w:type="dxa"/>
            <w:noWrap/>
          </w:tcPr>
          <w:p>
            <w:pPr>
              <w:rPr>
                <w:color w:val="000000"/>
                <w:sz w:val="24"/>
                <w:szCs w:val="22"/>
                <w:highlight w:val="none"/>
              </w:rPr>
            </w:pPr>
            <w:r>
              <w:rPr>
                <w:rFonts w:hint="eastAsia"/>
                <w:color w:val="000000"/>
                <w:sz w:val="24"/>
                <w:szCs w:val="22"/>
                <w:highlight w:val="none"/>
              </w:rPr>
              <w:t>投标单位性质</w:t>
            </w:r>
          </w:p>
        </w:tc>
        <w:tc>
          <w:tcPr>
            <w:tcW w:w="3347" w:type="dxa"/>
            <w:noWrap/>
          </w:tcPr>
          <w:p>
            <w:pPr>
              <w:rPr>
                <w:color w:val="000000"/>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071" w:type="dxa"/>
            <w:gridSpan w:val="2"/>
            <w:vMerge w:val="restart"/>
            <w:noWrap/>
            <w:vAlign w:val="center"/>
          </w:tcPr>
          <w:p>
            <w:pPr>
              <w:jc w:val="center"/>
              <w:rPr>
                <w:color w:val="000000"/>
                <w:sz w:val="24"/>
                <w:szCs w:val="22"/>
                <w:highlight w:val="none"/>
              </w:rPr>
            </w:pPr>
            <w:r>
              <w:rPr>
                <w:rFonts w:hint="eastAsia"/>
                <w:color w:val="000000"/>
                <w:sz w:val="24"/>
                <w:szCs w:val="22"/>
                <w:highlight w:val="none"/>
              </w:rPr>
              <w:t>注册资金</w:t>
            </w:r>
          </w:p>
        </w:tc>
        <w:tc>
          <w:tcPr>
            <w:tcW w:w="2198" w:type="dxa"/>
            <w:gridSpan w:val="2"/>
            <w:vMerge w:val="restart"/>
            <w:noWrap/>
            <w:vAlign w:val="center"/>
          </w:tcPr>
          <w:p>
            <w:pPr>
              <w:jc w:val="center"/>
              <w:rPr>
                <w:color w:val="000000"/>
                <w:sz w:val="24"/>
                <w:szCs w:val="22"/>
                <w:highlight w:val="none"/>
              </w:rPr>
            </w:pPr>
            <w:r>
              <w:rPr>
                <w:rFonts w:hint="eastAsia"/>
                <w:color w:val="000000"/>
                <w:sz w:val="24"/>
                <w:szCs w:val="22"/>
                <w:highlight w:val="none"/>
              </w:rPr>
              <w:t xml:space="preserve">    万元</w:t>
            </w:r>
          </w:p>
        </w:tc>
        <w:tc>
          <w:tcPr>
            <w:tcW w:w="1441" w:type="dxa"/>
            <w:vMerge w:val="restart"/>
            <w:noWrap/>
            <w:vAlign w:val="center"/>
          </w:tcPr>
          <w:p>
            <w:pPr>
              <w:jc w:val="center"/>
              <w:rPr>
                <w:color w:val="000000"/>
                <w:sz w:val="24"/>
                <w:szCs w:val="22"/>
                <w:highlight w:val="none"/>
              </w:rPr>
            </w:pPr>
            <w:r>
              <w:rPr>
                <w:rFonts w:hint="eastAsia"/>
                <w:color w:val="000000"/>
                <w:sz w:val="24"/>
                <w:szCs w:val="22"/>
                <w:highlight w:val="none"/>
              </w:rPr>
              <w:t>固定资产</w:t>
            </w:r>
          </w:p>
        </w:tc>
        <w:tc>
          <w:tcPr>
            <w:tcW w:w="4138" w:type="dxa"/>
            <w:gridSpan w:val="2"/>
            <w:noWrap/>
          </w:tcPr>
          <w:p>
            <w:pPr>
              <w:rPr>
                <w:color w:val="000000"/>
                <w:sz w:val="24"/>
                <w:szCs w:val="22"/>
                <w:highlight w:val="none"/>
              </w:rPr>
            </w:pPr>
            <w:r>
              <w:rPr>
                <w:rFonts w:hint="eastAsia"/>
                <w:color w:val="000000"/>
                <w:sz w:val="24"/>
                <w:szCs w:val="22"/>
                <w:highlight w:val="none"/>
              </w:rPr>
              <w:t xml:space="preserve">                    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071" w:type="dxa"/>
            <w:gridSpan w:val="2"/>
            <w:vMerge w:val="continue"/>
            <w:noWrap/>
          </w:tcPr>
          <w:p>
            <w:pPr>
              <w:rPr>
                <w:color w:val="000000"/>
                <w:sz w:val="24"/>
                <w:szCs w:val="22"/>
                <w:highlight w:val="none"/>
              </w:rPr>
            </w:pPr>
          </w:p>
        </w:tc>
        <w:tc>
          <w:tcPr>
            <w:tcW w:w="2198" w:type="dxa"/>
            <w:gridSpan w:val="2"/>
            <w:vMerge w:val="continue"/>
            <w:noWrap/>
          </w:tcPr>
          <w:p>
            <w:pPr>
              <w:rPr>
                <w:color w:val="000000"/>
                <w:sz w:val="24"/>
                <w:szCs w:val="22"/>
                <w:highlight w:val="none"/>
              </w:rPr>
            </w:pPr>
          </w:p>
        </w:tc>
        <w:tc>
          <w:tcPr>
            <w:tcW w:w="1441" w:type="dxa"/>
            <w:vMerge w:val="continue"/>
            <w:noWrap/>
          </w:tcPr>
          <w:p>
            <w:pPr>
              <w:rPr>
                <w:color w:val="000000"/>
                <w:sz w:val="24"/>
                <w:szCs w:val="22"/>
                <w:highlight w:val="none"/>
              </w:rPr>
            </w:pPr>
          </w:p>
        </w:tc>
        <w:tc>
          <w:tcPr>
            <w:tcW w:w="4138" w:type="dxa"/>
            <w:gridSpan w:val="2"/>
            <w:noWrap/>
          </w:tcPr>
          <w:p>
            <w:pPr>
              <w:rPr>
                <w:color w:val="000000"/>
                <w:sz w:val="24"/>
                <w:szCs w:val="22"/>
                <w:highlight w:val="none"/>
              </w:rPr>
            </w:pPr>
            <w:r>
              <w:rPr>
                <w:rFonts w:hint="eastAsia"/>
                <w:color w:val="000000"/>
                <w:sz w:val="24"/>
                <w:szCs w:val="22"/>
                <w:highlight w:val="none"/>
              </w:rPr>
              <w:t>其中设备：          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trPr>
        <w:tc>
          <w:tcPr>
            <w:tcW w:w="2071" w:type="dxa"/>
            <w:gridSpan w:val="2"/>
            <w:noWrap/>
            <w:vAlign w:val="center"/>
          </w:tcPr>
          <w:p>
            <w:pPr>
              <w:jc w:val="center"/>
              <w:rPr>
                <w:color w:val="000000"/>
                <w:sz w:val="24"/>
                <w:szCs w:val="22"/>
                <w:highlight w:val="none"/>
              </w:rPr>
            </w:pPr>
            <w:r>
              <w:rPr>
                <w:rFonts w:hint="eastAsia"/>
                <w:color w:val="000000"/>
                <w:sz w:val="24"/>
                <w:szCs w:val="22"/>
                <w:highlight w:val="none"/>
              </w:rPr>
              <w:t>现有职工总数</w:t>
            </w:r>
          </w:p>
        </w:tc>
        <w:tc>
          <w:tcPr>
            <w:tcW w:w="551" w:type="dxa"/>
            <w:noWrap/>
            <w:vAlign w:val="center"/>
          </w:tcPr>
          <w:p>
            <w:pPr>
              <w:jc w:val="center"/>
              <w:rPr>
                <w:color w:val="000000"/>
                <w:sz w:val="24"/>
                <w:szCs w:val="22"/>
                <w:highlight w:val="none"/>
              </w:rPr>
            </w:pPr>
            <w:r>
              <w:rPr>
                <w:rFonts w:hint="eastAsia"/>
                <w:color w:val="000000"/>
                <w:sz w:val="24"/>
                <w:szCs w:val="22"/>
                <w:highlight w:val="none"/>
              </w:rPr>
              <w:t>人</w:t>
            </w:r>
          </w:p>
        </w:tc>
        <w:tc>
          <w:tcPr>
            <w:tcW w:w="1647" w:type="dxa"/>
            <w:noWrap/>
            <w:vAlign w:val="center"/>
          </w:tcPr>
          <w:p>
            <w:pPr>
              <w:jc w:val="center"/>
              <w:rPr>
                <w:color w:val="000000"/>
                <w:sz w:val="24"/>
                <w:szCs w:val="22"/>
                <w:highlight w:val="none"/>
              </w:rPr>
            </w:pPr>
            <w:r>
              <w:rPr>
                <w:rFonts w:hint="eastAsia"/>
                <w:color w:val="000000"/>
                <w:sz w:val="24"/>
                <w:szCs w:val="22"/>
                <w:highlight w:val="none"/>
              </w:rPr>
              <w:t>现有管理人员</w:t>
            </w:r>
          </w:p>
        </w:tc>
        <w:tc>
          <w:tcPr>
            <w:tcW w:w="1441" w:type="dxa"/>
            <w:noWrap/>
            <w:vAlign w:val="center"/>
          </w:tcPr>
          <w:p>
            <w:pPr>
              <w:jc w:val="center"/>
              <w:rPr>
                <w:color w:val="000000"/>
                <w:sz w:val="24"/>
                <w:szCs w:val="22"/>
                <w:highlight w:val="none"/>
              </w:rPr>
            </w:pPr>
            <w:r>
              <w:rPr>
                <w:rFonts w:hint="eastAsia"/>
                <w:color w:val="000000"/>
                <w:sz w:val="24"/>
                <w:szCs w:val="22"/>
                <w:highlight w:val="none"/>
              </w:rPr>
              <w:t>人</w:t>
            </w:r>
          </w:p>
        </w:tc>
        <w:tc>
          <w:tcPr>
            <w:tcW w:w="791" w:type="dxa"/>
            <w:noWrap/>
            <w:vAlign w:val="center"/>
          </w:tcPr>
          <w:p>
            <w:pPr>
              <w:jc w:val="center"/>
              <w:rPr>
                <w:color w:val="000000"/>
                <w:sz w:val="24"/>
                <w:szCs w:val="22"/>
                <w:highlight w:val="none"/>
              </w:rPr>
            </w:pPr>
            <w:r>
              <w:rPr>
                <w:rFonts w:hint="eastAsia"/>
                <w:color w:val="000000"/>
                <w:sz w:val="24"/>
                <w:szCs w:val="22"/>
                <w:highlight w:val="none"/>
              </w:rPr>
              <w:t>现有工人</w:t>
            </w:r>
          </w:p>
        </w:tc>
        <w:tc>
          <w:tcPr>
            <w:tcW w:w="3347" w:type="dxa"/>
            <w:noWrap/>
            <w:vAlign w:val="center"/>
          </w:tcPr>
          <w:p>
            <w:pPr>
              <w:jc w:val="center"/>
              <w:rPr>
                <w:color w:val="000000"/>
                <w:sz w:val="24"/>
                <w:szCs w:val="22"/>
                <w:highlight w:val="none"/>
              </w:rPr>
            </w:pPr>
            <w:r>
              <w:rPr>
                <w:rFonts w:hint="eastAsia"/>
                <w:color w:val="000000"/>
                <w:sz w:val="24"/>
                <w:szCs w:val="22"/>
                <w:highlight w:val="non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456" w:type="dxa"/>
            <w:vMerge w:val="restart"/>
            <w:noWrap/>
            <w:vAlign w:val="center"/>
          </w:tcPr>
          <w:p>
            <w:pPr>
              <w:jc w:val="center"/>
              <w:rPr>
                <w:color w:val="000000"/>
                <w:sz w:val="24"/>
                <w:szCs w:val="22"/>
                <w:highlight w:val="none"/>
              </w:rPr>
            </w:pPr>
            <w:r>
              <w:rPr>
                <w:rFonts w:hint="eastAsia"/>
                <w:color w:val="000000"/>
                <w:sz w:val="24"/>
                <w:szCs w:val="22"/>
                <w:highlight w:val="none"/>
              </w:rPr>
              <w:t>经</w:t>
            </w:r>
          </w:p>
          <w:p>
            <w:pPr>
              <w:jc w:val="center"/>
              <w:rPr>
                <w:color w:val="000000"/>
                <w:sz w:val="24"/>
                <w:szCs w:val="22"/>
                <w:highlight w:val="none"/>
              </w:rPr>
            </w:pPr>
            <w:r>
              <w:rPr>
                <w:rFonts w:hint="eastAsia"/>
                <w:color w:val="000000"/>
                <w:sz w:val="24"/>
                <w:szCs w:val="22"/>
                <w:highlight w:val="none"/>
              </w:rPr>
              <w:t>营</w:t>
            </w:r>
          </w:p>
          <w:p>
            <w:pPr>
              <w:jc w:val="center"/>
              <w:rPr>
                <w:color w:val="000000"/>
                <w:sz w:val="24"/>
                <w:szCs w:val="22"/>
                <w:highlight w:val="none"/>
              </w:rPr>
            </w:pPr>
            <w:r>
              <w:rPr>
                <w:rFonts w:hint="eastAsia"/>
                <w:color w:val="000000"/>
                <w:sz w:val="24"/>
                <w:szCs w:val="22"/>
                <w:highlight w:val="none"/>
              </w:rPr>
              <w:t>业</w:t>
            </w:r>
          </w:p>
          <w:p>
            <w:pPr>
              <w:jc w:val="center"/>
              <w:rPr>
                <w:color w:val="000000"/>
                <w:sz w:val="24"/>
                <w:szCs w:val="22"/>
                <w:highlight w:val="none"/>
              </w:rPr>
            </w:pPr>
            <w:r>
              <w:rPr>
                <w:rFonts w:hint="eastAsia"/>
                <w:color w:val="000000"/>
                <w:sz w:val="24"/>
                <w:szCs w:val="22"/>
                <w:highlight w:val="none"/>
              </w:rPr>
              <w:t>绩</w:t>
            </w:r>
          </w:p>
        </w:tc>
        <w:tc>
          <w:tcPr>
            <w:tcW w:w="1615" w:type="dxa"/>
            <w:noWrap/>
            <w:vAlign w:val="center"/>
          </w:tcPr>
          <w:p>
            <w:pPr>
              <w:jc w:val="center"/>
              <w:rPr>
                <w:color w:val="000000"/>
                <w:sz w:val="24"/>
                <w:szCs w:val="22"/>
                <w:highlight w:val="none"/>
              </w:rPr>
            </w:pPr>
            <w:r>
              <w:rPr>
                <w:rFonts w:hint="eastAsia"/>
                <w:color w:val="000000"/>
                <w:sz w:val="24"/>
                <w:szCs w:val="22"/>
                <w:highlight w:val="none"/>
              </w:rPr>
              <w:t>年份</w:t>
            </w:r>
          </w:p>
        </w:tc>
        <w:tc>
          <w:tcPr>
            <w:tcW w:w="3639" w:type="dxa"/>
            <w:gridSpan w:val="3"/>
            <w:noWrap/>
            <w:vAlign w:val="center"/>
          </w:tcPr>
          <w:p>
            <w:pPr>
              <w:ind w:firstLine="720"/>
              <w:rPr>
                <w:color w:val="000000"/>
                <w:sz w:val="24"/>
                <w:szCs w:val="22"/>
                <w:highlight w:val="none"/>
              </w:rPr>
            </w:pPr>
            <w:r>
              <w:rPr>
                <w:rFonts w:hint="eastAsia"/>
                <w:color w:val="000000"/>
                <w:sz w:val="24"/>
                <w:szCs w:val="22"/>
                <w:highlight w:val="none"/>
              </w:rPr>
              <w:t>总产值（万元）</w:t>
            </w:r>
          </w:p>
        </w:tc>
        <w:tc>
          <w:tcPr>
            <w:tcW w:w="4138" w:type="dxa"/>
            <w:gridSpan w:val="2"/>
            <w:noWrap/>
            <w:vAlign w:val="center"/>
          </w:tcPr>
          <w:p>
            <w:pPr>
              <w:jc w:val="center"/>
              <w:rPr>
                <w:color w:val="000000"/>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9" w:hRule="atLeast"/>
        </w:trPr>
        <w:tc>
          <w:tcPr>
            <w:tcW w:w="456" w:type="dxa"/>
            <w:vMerge w:val="continue"/>
            <w:noWrap/>
          </w:tcPr>
          <w:p>
            <w:pPr>
              <w:rPr>
                <w:color w:val="000000"/>
                <w:sz w:val="24"/>
                <w:szCs w:val="22"/>
                <w:highlight w:val="none"/>
              </w:rPr>
            </w:pPr>
          </w:p>
        </w:tc>
        <w:tc>
          <w:tcPr>
            <w:tcW w:w="1615" w:type="dxa"/>
            <w:noWrap/>
            <w:vAlign w:val="center"/>
          </w:tcPr>
          <w:p>
            <w:pPr>
              <w:jc w:val="center"/>
              <w:rPr>
                <w:rFonts w:hint="eastAsia" w:eastAsia="宋体"/>
                <w:color w:val="000000"/>
                <w:sz w:val="24"/>
                <w:szCs w:val="22"/>
                <w:highlight w:val="none"/>
                <w:lang w:eastAsia="zh-CN"/>
              </w:rPr>
            </w:pPr>
            <w:r>
              <w:rPr>
                <w:rFonts w:hint="eastAsia"/>
                <w:color w:val="000000"/>
                <w:sz w:val="24"/>
                <w:szCs w:val="22"/>
                <w:highlight w:val="none"/>
              </w:rPr>
              <w:t>202</w:t>
            </w:r>
            <w:r>
              <w:rPr>
                <w:rFonts w:hint="eastAsia"/>
                <w:color w:val="000000"/>
                <w:sz w:val="24"/>
                <w:szCs w:val="22"/>
                <w:highlight w:val="none"/>
                <w:lang w:val="en-US" w:eastAsia="zh-CN"/>
              </w:rPr>
              <w:t>3</w:t>
            </w:r>
          </w:p>
        </w:tc>
        <w:tc>
          <w:tcPr>
            <w:tcW w:w="3639" w:type="dxa"/>
            <w:gridSpan w:val="3"/>
            <w:noWrap/>
            <w:vAlign w:val="center"/>
          </w:tcPr>
          <w:p>
            <w:pPr>
              <w:jc w:val="center"/>
              <w:rPr>
                <w:color w:val="000000"/>
                <w:sz w:val="24"/>
                <w:szCs w:val="22"/>
                <w:highlight w:val="none"/>
              </w:rPr>
            </w:pPr>
          </w:p>
        </w:tc>
        <w:tc>
          <w:tcPr>
            <w:tcW w:w="4138" w:type="dxa"/>
            <w:gridSpan w:val="2"/>
            <w:noWrap/>
            <w:vAlign w:val="center"/>
          </w:tcPr>
          <w:p>
            <w:pPr>
              <w:jc w:val="center"/>
              <w:rPr>
                <w:color w:val="000000"/>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1" w:hRule="atLeast"/>
        </w:trPr>
        <w:tc>
          <w:tcPr>
            <w:tcW w:w="456" w:type="dxa"/>
            <w:vMerge w:val="continue"/>
            <w:noWrap/>
          </w:tcPr>
          <w:p>
            <w:pPr>
              <w:rPr>
                <w:color w:val="000000"/>
                <w:sz w:val="24"/>
                <w:szCs w:val="22"/>
                <w:highlight w:val="none"/>
              </w:rPr>
            </w:pPr>
          </w:p>
        </w:tc>
        <w:tc>
          <w:tcPr>
            <w:tcW w:w="1615" w:type="dxa"/>
            <w:noWrap/>
            <w:vAlign w:val="center"/>
          </w:tcPr>
          <w:p>
            <w:pPr>
              <w:jc w:val="center"/>
              <w:rPr>
                <w:rFonts w:hint="eastAsia" w:eastAsia="宋体"/>
                <w:color w:val="000000"/>
                <w:sz w:val="24"/>
                <w:szCs w:val="22"/>
                <w:highlight w:val="none"/>
                <w:lang w:eastAsia="zh-CN"/>
              </w:rPr>
            </w:pPr>
            <w:r>
              <w:rPr>
                <w:rFonts w:hint="eastAsia"/>
                <w:color w:val="000000"/>
                <w:sz w:val="24"/>
                <w:szCs w:val="22"/>
                <w:highlight w:val="none"/>
              </w:rPr>
              <w:t>202</w:t>
            </w:r>
            <w:r>
              <w:rPr>
                <w:rFonts w:hint="eastAsia"/>
                <w:color w:val="000000"/>
                <w:sz w:val="24"/>
                <w:szCs w:val="22"/>
                <w:highlight w:val="none"/>
                <w:lang w:val="en-US" w:eastAsia="zh-CN"/>
              </w:rPr>
              <w:t>4</w:t>
            </w:r>
          </w:p>
        </w:tc>
        <w:tc>
          <w:tcPr>
            <w:tcW w:w="3639" w:type="dxa"/>
            <w:gridSpan w:val="3"/>
            <w:noWrap/>
            <w:vAlign w:val="center"/>
          </w:tcPr>
          <w:p>
            <w:pPr>
              <w:jc w:val="center"/>
              <w:rPr>
                <w:color w:val="000000"/>
                <w:sz w:val="24"/>
                <w:szCs w:val="22"/>
                <w:highlight w:val="none"/>
              </w:rPr>
            </w:pPr>
          </w:p>
        </w:tc>
        <w:tc>
          <w:tcPr>
            <w:tcW w:w="4138" w:type="dxa"/>
            <w:gridSpan w:val="2"/>
            <w:noWrap/>
            <w:vAlign w:val="center"/>
          </w:tcPr>
          <w:p>
            <w:pPr>
              <w:jc w:val="center"/>
              <w:rPr>
                <w:color w:val="000000"/>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9" w:hRule="atLeast"/>
        </w:trPr>
        <w:tc>
          <w:tcPr>
            <w:tcW w:w="456" w:type="dxa"/>
            <w:vMerge w:val="continue"/>
            <w:noWrap/>
          </w:tcPr>
          <w:p>
            <w:pPr>
              <w:rPr>
                <w:color w:val="000000"/>
                <w:sz w:val="24"/>
                <w:szCs w:val="22"/>
                <w:highlight w:val="none"/>
              </w:rPr>
            </w:pPr>
          </w:p>
        </w:tc>
        <w:tc>
          <w:tcPr>
            <w:tcW w:w="1615" w:type="dxa"/>
            <w:noWrap/>
            <w:vAlign w:val="center"/>
          </w:tcPr>
          <w:p>
            <w:pPr>
              <w:jc w:val="center"/>
              <w:rPr>
                <w:rFonts w:hint="eastAsia" w:eastAsia="宋体"/>
                <w:color w:val="000000"/>
                <w:sz w:val="24"/>
                <w:szCs w:val="22"/>
                <w:highlight w:val="none"/>
                <w:lang w:eastAsia="zh-CN"/>
              </w:rPr>
            </w:pPr>
            <w:r>
              <w:rPr>
                <w:rFonts w:hint="eastAsia"/>
                <w:color w:val="000000"/>
                <w:sz w:val="24"/>
                <w:szCs w:val="22"/>
                <w:highlight w:val="none"/>
              </w:rPr>
              <w:t>202</w:t>
            </w:r>
            <w:r>
              <w:rPr>
                <w:rFonts w:hint="eastAsia"/>
                <w:color w:val="000000"/>
                <w:sz w:val="24"/>
                <w:szCs w:val="22"/>
                <w:highlight w:val="none"/>
                <w:lang w:val="en-US" w:eastAsia="zh-CN"/>
              </w:rPr>
              <w:t>5</w:t>
            </w:r>
          </w:p>
        </w:tc>
        <w:tc>
          <w:tcPr>
            <w:tcW w:w="3639" w:type="dxa"/>
            <w:gridSpan w:val="3"/>
            <w:noWrap/>
          </w:tcPr>
          <w:p>
            <w:pPr>
              <w:rPr>
                <w:color w:val="000000"/>
                <w:sz w:val="24"/>
                <w:szCs w:val="22"/>
                <w:highlight w:val="none"/>
              </w:rPr>
            </w:pPr>
          </w:p>
        </w:tc>
        <w:tc>
          <w:tcPr>
            <w:tcW w:w="4138" w:type="dxa"/>
            <w:gridSpan w:val="2"/>
            <w:noWrap/>
          </w:tcPr>
          <w:p>
            <w:pPr>
              <w:rPr>
                <w:color w:val="000000"/>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9" w:hRule="atLeast"/>
        </w:trPr>
        <w:tc>
          <w:tcPr>
            <w:tcW w:w="9848" w:type="dxa"/>
            <w:gridSpan w:val="7"/>
            <w:noWrap/>
          </w:tcPr>
          <w:p>
            <w:pPr>
              <w:rPr>
                <w:color w:val="000000"/>
                <w:sz w:val="24"/>
                <w:szCs w:val="22"/>
                <w:highlight w:val="none"/>
              </w:rPr>
            </w:pPr>
            <w:r>
              <w:rPr>
                <w:rFonts w:hint="eastAsia"/>
                <w:color w:val="000000"/>
                <w:sz w:val="24"/>
                <w:szCs w:val="22"/>
                <w:highlight w:val="none"/>
              </w:rPr>
              <w:t>业绩：</w:t>
            </w:r>
          </w:p>
          <w:p>
            <w:pPr>
              <w:rPr>
                <w:color w:val="000000"/>
                <w:sz w:val="24"/>
                <w:szCs w:val="22"/>
                <w:highlight w:val="none"/>
              </w:rPr>
            </w:pPr>
          </w:p>
          <w:p>
            <w:pPr>
              <w:rPr>
                <w:color w:val="000000"/>
                <w:sz w:val="24"/>
                <w:szCs w:val="22"/>
                <w:highlight w:val="none"/>
              </w:rPr>
            </w:pPr>
          </w:p>
          <w:p>
            <w:pPr>
              <w:rPr>
                <w:color w:val="000000"/>
                <w:sz w:val="24"/>
                <w:szCs w:val="22"/>
                <w:highlight w:val="none"/>
              </w:rPr>
            </w:pPr>
          </w:p>
          <w:p>
            <w:pPr>
              <w:rPr>
                <w:color w:val="000000"/>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12" w:hRule="atLeast"/>
        </w:trPr>
        <w:tc>
          <w:tcPr>
            <w:tcW w:w="9848" w:type="dxa"/>
            <w:gridSpan w:val="7"/>
            <w:noWrap/>
          </w:tcPr>
          <w:p>
            <w:pPr>
              <w:rPr>
                <w:color w:val="000000"/>
                <w:sz w:val="24"/>
                <w:szCs w:val="22"/>
                <w:highlight w:val="none"/>
              </w:rPr>
            </w:pPr>
            <w:r>
              <w:rPr>
                <w:rFonts w:hint="eastAsia"/>
                <w:color w:val="000000"/>
                <w:sz w:val="24"/>
                <w:szCs w:val="22"/>
                <w:highlight w:val="none"/>
              </w:rPr>
              <w:t>荣誉：</w:t>
            </w:r>
          </w:p>
        </w:tc>
      </w:tr>
    </w:tbl>
    <w:p>
      <w:pPr>
        <w:rPr>
          <w:rFonts w:ascii="宋体" w:hAnsi="宋体" w:cs="宋体"/>
          <w:bCs/>
          <w:color w:val="000000"/>
          <w:highlight w:val="none"/>
        </w:rPr>
      </w:pPr>
    </w:p>
    <w:p>
      <w:pPr>
        <w:rPr>
          <w:rFonts w:ascii="宋体" w:hAnsi="宋体" w:cs="宋体"/>
          <w:bCs/>
          <w:color w:val="000000"/>
          <w:highlight w:val="none"/>
        </w:rPr>
      </w:pPr>
      <w:r>
        <w:rPr>
          <w:rFonts w:hint="eastAsia" w:ascii="宋体" w:hAnsi="宋体" w:cs="宋体"/>
          <w:bCs/>
          <w:color w:val="000000"/>
          <w:highlight w:val="none"/>
        </w:rPr>
        <w:t>法定代表人或授权代表签字或盖章：</w:t>
      </w:r>
    </w:p>
    <w:p>
      <w:pPr>
        <w:ind w:firstLine="480"/>
        <w:rPr>
          <w:rFonts w:ascii="宋体" w:hAnsi="宋体"/>
          <w:color w:val="000000"/>
          <w:sz w:val="24"/>
          <w:szCs w:val="24"/>
          <w:highlight w:val="none"/>
        </w:rPr>
      </w:pPr>
    </w:p>
    <w:p>
      <w:pPr>
        <w:ind w:firstLine="480"/>
        <w:rPr>
          <w:rFonts w:ascii="宋体" w:hAnsi="宋体"/>
          <w:color w:val="000000"/>
          <w:sz w:val="24"/>
          <w:szCs w:val="24"/>
          <w:highlight w:val="none"/>
        </w:rPr>
      </w:pPr>
    </w:p>
    <w:p>
      <w:pPr>
        <w:spacing w:line="400" w:lineRule="exact"/>
        <w:jc w:val="left"/>
        <w:outlineLvl w:val="2"/>
        <w:rPr>
          <w:rFonts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（七）人员配置表（格式）</w:t>
      </w:r>
    </w:p>
    <w:p>
      <w:pPr>
        <w:spacing w:line="400" w:lineRule="exact"/>
        <w:jc w:val="center"/>
        <w:rPr>
          <w:rFonts w:ascii="宋体" w:hAnsi="宋体"/>
          <w:b/>
          <w:bCs/>
          <w:color w:val="000000"/>
          <w:sz w:val="24"/>
          <w:szCs w:val="24"/>
          <w:highlight w:val="none"/>
        </w:rPr>
      </w:pPr>
    </w:p>
    <w:p>
      <w:pPr>
        <w:spacing w:line="400" w:lineRule="exact"/>
        <w:jc w:val="center"/>
        <w:rPr>
          <w:rFonts w:ascii="宋体" w:hAnsi="宋体"/>
          <w:b/>
          <w:bCs/>
          <w:color w:val="000000"/>
          <w:sz w:val="24"/>
          <w:szCs w:val="24"/>
          <w:highlight w:val="none"/>
        </w:rPr>
      </w:pPr>
      <w:r>
        <w:rPr>
          <w:rFonts w:hint="eastAsia" w:ascii="宋体" w:hAnsi="宋体"/>
          <w:b/>
          <w:bCs/>
          <w:color w:val="000000"/>
          <w:sz w:val="24"/>
          <w:szCs w:val="24"/>
          <w:highlight w:val="none"/>
        </w:rPr>
        <w:t>人员配置表</w:t>
      </w:r>
    </w:p>
    <w:p>
      <w:pPr>
        <w:spacing w:line="400" w:lineRule="exact"/>
        <w:rPr>
          <w:rFonts w:ascii="宋体" w:hAnsi="宋体" w:eastAsia="黑体"/>
          <w:bCs/>
          <w:color w:val="000000"/>
          <w:szCs w:val="21"/>
          <w:highlight w:val="none"/>
        </w:rPr>
      </w:pPr>
      <w:r>
        <w:rPr>
          <w:rFonts w:hint="eastAsia" w:ascii="黑体" w:eastAsia="黑体"/>
          <w:bCs/>
          <w:color w:val="000000"/>
          <w:sz w:val="24"/>
          <w:szCs w:val="24"/>
          <w:highlight w:val="none"/>
        </w:rPr>
        <w:t>投标人名称（盖章）                                采购项目编号：</w:t>
      </w:r>
    </w:p>
    <w:tbl>
      <w:tblPr>
        <w:tblStyle w:val="35"/>
        <w:tblW w:w="101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047"/>
        <w:gridCol w:w="730"/>
        <w:gridCol w:w="709"/>
        <w:gridCol w:w="1477"/>
        <w:gridCol w:w="1236"/>
        <w:gridCol w:w="1236"/>
        <w:gridCol w:w="2265"/>
        <w:gridCol w:w="7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noWrap/>
            <w:vAlign w:val="center"/>
          </w:tcPr>
          <w:p>
            <w:pPr>
              <w:jc w:val="center"/>
              <w:rPr>
                <w:rFonts w:ascii="宋体" w:hAnsi="宋体"/>
                <w:b/>
                <w:color w:val="000000"/>
                <w:sz w:val="18"/>
                <w:szCs w:val="18"/>
                <w:highlight w:val="none"/>
              </w:rPr>
            </w:pPr>
            <w:r>
              <w:rPr>
                <w:rFonts w:hint="eastAsia" w:ascii="宋体" w:hAnsi="宋体"/>
                <w:b/>
                <w:color w:val="000000"/>
                <w:sz w:val="18"/>
                <w:szCs w:val="18"/>
                <w:highlight w:val="none"/>
              </w:rPr>
              <w:t>序号</w:t>
            </w:r>
          </w:p>
        </w:tc>
        <w:tc>
          <w:tcPr>
            <w:tcW w:w="1047" w:type="dxa"/>
            <w:noWrap/>
            <w:vAlign w:val="center"/>
          </w:tcPr>
          <w:p>
            <w:pPr>
              <w:jc w:val="center"/>
              <w:rPr>
                <w:rFonts w:ascii="宋体" w:hAnsi="宋体"/>
                <w:b/>
                <w:color w:val="000000"/>
                <w:sz w:val="18"/>
                <w:szCs w:val="18"/>
                <w:highlight w:val="none"/>
              </w:rPr>
            </w:pPr>
            <w:r>
              <w:rPr>
                <w:rFonts w:hint="eastAsia" w:ascii="宋体" w:hAnsi="宋体"/>
                <w:b/>
                <w:color w:val="000000"/>
                <w:sz w:val="18"/>
                <w:szCs w:val="18"/>
                <w:highlight w:val="none"/>
              </w:rPr>
              <w:t>姓名</w:t>
            </w:r>
          </w:p>
        </w:tc>
        <w:tc>
          <w:tcPr>
            <w:tcW w:w="730" w:type="dxa"/>
            <w:noWrap/>
            <w:vAlign w:val="center"/>
          </w:tcPr>
          <w:p>
            <w:pPr>
              <w:rPr>
                <w:rFonts w:ascii="宋体" w:hAnsi="宋体"/>
                <w:b/>
                <w:color w:val="000000"/>
                <w:sz w:val="18"/>
                <w:szCs w:val="18"/>
                <w:highlight w:val="none"/>
              </w:rPr>
            </w:pPr>
            <w:r>
              <w:rPr>
                <w:rFonts w:hint="eastAsia" w:ascii="宋体" w:hAnsi="宋体"/>
                <w:b/>
                <w:color w:val="000000"/>
                <w:sz w:val="18"/>
                <w:szCs w:val="18"/>
                <w:highlight w:val="none"/>
              </w:rPr>
              <w:t>性别</w:t>
            </w:r>
          </w:p>
        </w:tc>
        <w:tc>
          <w:tcPr>
            <w:tcW w:w="709" w:type="dxa"/>
            <w:noWrap/>
            <w:vAlign w:val="center"/>
          </w:tcPr>
          <w:p>
            <w:pPr>
              <w:rPr>
                <w:rFonts w:ascii="宋体" w:hAnsi="宋体"/>
                <w:b/>
                <w:color w:val="000000"/>
                <w:sz w:val="18"/>
                <w:szCs w:val="18"/>
                <w:highlight w:val="none"/>
              </w:rPr>
            </w:pPr>
            <w:r>
              <w:rPr>
                <w:rFonts w:hint="eastAsia" w:ascii="宋体" w:hAnsi="宋体"/>
                <w:b/>
                <w:color w:val="000000"/>
                <w:sz w:val="18"/>
                <w:szCs w:val="18"/>
                <w:highlight w:val="none"/>
              </w:rPr>
              <w:t>年龄</w:t>
            </w:r>
          </w:p>
        </w:tc>
        <w:tc>
          <w:tcPr>
            <w:tcW w:w="1477" w:type="dxa"/>
            <w:noWrap/>
            <w:vAlign w:val="center"/>
          </w:tcPr>
          <w:p>
            <w:pPr>
              <w:jc w:val="center"/>
              <w:rPr>
                <w:rFonts w:ascii="宋体" w:hAnsi="宋体"/>
                <w:b/>
                <w:color w:val="000000"/>
                <w:sz w:val="18"/>
                <w:szCs w:val="18"/>
                <w:highlight w:val="none"/>
              </w:rPr>
            </w:pPr>
            <w:r>
              <w:rPr>
                <w:rFonts w:hint="eastAsia" w:ascii="宋体" w:hAnsi="宋体"/>
                <w:b/>
                <w:color w:val="000000"/>
                <w:sz w:val="18"/>
                <w:szCs w:val="18"/>
                <w:highlight w:val="none"/>
              </w:rPr>
              <w:t>岗位名称</w:t>
            </w:r>
          </w:p>
        </w:tc>
        <w:tc>
          <w:tcPr>
            <w:tcW w:w="1236" w:type="dxa"/>
            <w:noWrap/>
            <w:vAlign w:val="center"/>
          </w:tcPr>
          <w:p>
            <w:pPr>
              <w:jc w:val="center"/>
              <w:rPr>
                <w:rFonts w:ascii="宋体" w:hAnsi="宋体"/>
                <w:b/>
                <w:color w:val="000000"/>
                <w:sz w:val="18"/>
                <w:szCs w:val="18"/>
                <w:highlight w:val="none"/>
              </w:rPr>
            </w:pPr>
            <w:r>
              <w:rPr>
                <w:rFonts w:hint="eastAsia" w:ascii="宋体" w:hAnsi="宋体"/>
                <w:b/>
                <w:color w:val="000000"/>
                <w:sz w:val="18"/>
                <w:szCs w:val="18"/>
                <w:highlight w:val="none"/>
              </w:rPr>
              <w:t>学历</w:t>
            </w:r>
          </w:p>
        </w:tc>
        <w:tc>
          <w:tcPr>
            <w:tcW w:w="1236" w:type="dxa"/>
            <w:noWrap/>
            <w:vAlign w:val="center"/>
          </w:tcPr>
          <w:p>
            <w:pPr>
              <w:jc w:val="center"/>
              <w:rPr>
                <w:rFonts w:ascii="宋体" w:hAnsi="宋体"/>
                <w:b/>
                <w:color w:val="000000"/>
                <w:sz w:val="18"/>
                <w:szCs w:val="18"/>
                <w:highlight w:val="none"/>
              </w:rPr>
            </w:pPr>
            <w:r>
              <w:rPr>
                <w:rFonts w:hint="eastAsia" w:ascii="宋体" w:hAnsi="宋体"/>
                <w:b/>
                <w:color w:val="000000"/>
                <w:sz w:val="18"/>
                <w:szCs w:val="18"/>
                <w:highlight w:val="none"/>
              </w:rPr>
              <w:t>职称</w:t>
            </w:r>
          </w:p>
        </w:tc>
        <w:tc>
          <w:tcPr>
            <w:tcW w:w="2265" w:type="dxa"/>
            <w:noWrap/>
            <w:vAlign w:val="center"/>
          </w:tcPr>
          <w:p>
            <w:pPr>
              <w:rPr>
                <w:rFonts w:ascii="宋体" w:hAnsi="宋体"/>
                <w:b/>
                <w:color w:val="000000"/>
                <w:sz w:val="18"/>
                <w:szCs w:val="18"/>
                <w:highlight w:val="none"/>
              </w:rPr>
            </w:pPr>
            <w:r>
              <w:rPr>
                <w:rFonts w:hint="eastAsia" w:ascii="宋体" w:hAnsi="宋体"/>
                <w:b/>
                <w:color w:val="000000"/>
                <w:sz w:val="18"/>
                <w:szCs w:val="18"/>
                <w:highlight w:val="none"/>
              </w:rPr>
              <w:t>主要资历、经验及承担过的项目</w:t>
            </w:r>
          </w:p>
        </w:tc>
        <w:tc>
          <w:tcPr>
            <w:tcW w:w="732" w:type="dxa"/>
            <w:noWrap/>
            <w:vAlign w:val="center"/>
          </w:tcPr>
          <w:p>
            <w:pPr>
              <w:rPr>
                <w:rFonts w:ascii="宋体" w:hAnsi="宋体"/>
                <w:b/>
                <w:color w:val="000000"/>
                <w:sz w:val="18"/>
                <w:szCs w:val="18"/>
                <w:highlight w:val="none"/>
              </w:rPr>
            </w:pPr>
            <w:r>
              <w:rPr>
                <w:rFonts w:hint="eastAsia" w:ascii="宋体" w:hAnsi="宋体"/>
                <w:b/>
                <w:color w:val="000000"/>
                <w:sz w:val="18"/>
                <w:szCs w:val="18"/>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1</w:t>
            </w:r>
          </w:p>
        </w:tc>
        <w:tc>
          <w:tcPr>
            <w:tcW w:w="1047" w:type="dxa"/>
            <w:noWrap/>
            <w:vAlign w:val="center"/>
          </w:tcPr>
          <w:p>
            <w:pPr>
              <w:jc w:val="center"/>
              <w:rPr>
                <w:rFonts w:ascii="宋体" w:hAnsi="宋体"/>
                <w:color w:val="000000"/>
                <w:sz w:val="18"/>
                <w:szCs w:val="18"/>
                <w:highlight w:val="none"/>
              </w:rPr>
            </w:pPr>
          </w:p>
        </w:tc>
        <w:tc>
          <w:tcPr>
            <w:tcW w:w="730" w:type="dxa"/>
            <w:noWrap/>
            <w:vAlign w:val="center"/>
          </w:tcPr>
          <w:p>
            <w:pPr>
              <w:jc w:val="center"/>
              <w:rPr>
                <w:rFonts w:ascii="宋体" w:hAnsi="宋体"/>
                <w:color w:val="000000"/>
                <w:sz w:val="18"/>
                <w:szCs w:val="18"/>
                <w:highlight w:val="none"/>
              </w:rPr>
            </w:pPr>
          </w:p>
        </w:tc>
        <w:tc>
          <w:tcPr>
            <w:tcW w:w="709" w:type="dxa"/>
            <w:noWrap/>
            <w:vAlign w:val="center"/>
          </w:tcPr>
          <w:p>
            <w:pPr>
              <w:jc w:val="center"/>
              <w:rPr>
                <w:rFonts w:ascii="宋体" w:hAnsi="宋体"/>
                <w:color w:val="000000"/>
                <w:sz w:val="18"/>
                <w:szCs w:val="18"/>
                <w:highlight w:val="none"/>
              </w:rPr>
            </w:pPr>
          </w:p>
        </w:tc>
        <w:tc>
          <w:tcPr>
            <w:tcW w:w="1477"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2265" w:type="dxa"/>
            <w:noWrap/>
            <w:vAlign w:val="center"/>
          </w:tcPr>
          <w:p>
            <w:pPr>
              <w:jc w:val="center"/>
              <w:rPr>
                <w:rFonts w:ascii="宋体" w:hAnsi="宋体"/>
                <w:color w:val="000000"/>
                <w:sz w:val="18"/>
                <w:szCs w:val="18"/>
                <w:highlight w:val="none"/>
              </w:rPr>
            </w:pPr>
          </w:p>
        </w:tc>
        <w:tc>
          <w:tcPr>
            <w:tcW w:w="732"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2</w:t>
            </w:r>
          </w:p>
        </w:tc>
        <w:tc>
          <w:tcPr>
            <w:tcW w:w="1047" w:type="dxa"/>
            <w:noWrap/>
            <w:vAlign w:val="center"/>
          </w:tcPr>
          <w:p>
            <w:pPr>
              <w:jc w:val="center"/>
              <w:rPr>
                <w:rFonts w:ascii="宋体" w:hAnsi="宋体"/>
                <w:color w:val="000000"/>
                <w:sz w:val="18"/>
                <w:szCs w:val="18"/>
                <w:highlight w:val="none"/>
              </w:rPr>
            </w:pPr>
          </w:p>
        </w:tc>
        <w:tc>
          <w:tcPr>
            <w:tcW w:w="730" w:type="dxa"/>
            <w:noWrap/>
            <w:vAlign w:val="center"/>
          </w:tcPr>
          <w:p>
            <w:pPr>
              <w:jc w:val="center"/>
              <w:rPr>
                <w:rFonts w:ascii="宋体" w:hAnsi="宋体"/>
                <w:color w:val="000000"/>
                <w:sz w:val="18"/>
                <w:szCs w:val="18"/>
                <w:highlight w:val="none"/>
              </w:rPr>
            </w:pPr>
          </w:p>
        </w:tc>
        <w:tc>
          <w:tcPr>
            <w:tcW w:w="709" w:type="dxa"/>
            <w:noWrap/>
            <w:vAlign w:val="center"/>
          </w:tcPr>
          <w:p>
            <w:pPr>
              <w:jc w:val="center"/>
              <w:rPr>
                <w:rFonts w:ascii="宋体" w:hAnsi="宋体"/>
                <w:color w:val="000000"/>
                <w:sz w:val="18"/>
                <w:szCs w:val="18"/>
                <w:highlight w:val="none"/>
              </w:rPr>
            </w:pPr>
          </w:p>
        </w:tc>
        <w:tc>
          <w:tcPr>
            <w:tcW w:w="1477"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2265" w:type="dxa"/>
            <w:noWrap/>
            <w:vAlign w:val="center"/>
          </w:tcPr>
          <w:p>
            <w:pPr>
              <w:jc w:val="center"/>
              <w:rPr>
                <w:rFonts w:ascii="宋体" w:hAnsi="宋体"/>
                <w:color w:val="000000"/>
                <w:sz w:val="18"/>
                <w:szCs w:val="18"/>
                <w:highlight w:val="none"/>
              </w:rPr>
            </w:pPr>
          </w:p>
        </w:tc>
        <w:tc>
          <w:tcPr>
            <w:tcW w:w="732"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3</w:t>
            </w:r>
          </w:p>
        </w:tc>
        <w:tc>
          <w:tcPr>
            <w:tcW w:w="1047" w:type="dxa"/>
            <w:noWrap/>
            <w:vAlign w:val="center"/>
          </w:tcPr>
          <w:p>
            <w:pPr>
              <w:jc w:val="center"/>
              <w:rPr>
                <w:rFonts w:ascii="宋体" w:hAnsi="宋体"/>
                <w:color w:val="000000"/>
                <w:sz w:val="18"/>
                <w:szCs w:val="18"/>
                <w:highlight w:val="none"/>
              </w:rPr>
            </w:pPr>
          </w:p>
        </w:tc>
        <w:tc>
          <w:tcPr>
            <w:tcW w:w="730" w:type="dxa"/>
            <w:noWrap/>
            <w:vAlign w:val="center"/>
          </w:tcPr>
          <w:p>
            <w:pPr>
              <w:jc w:val="center"/>
              <w:rPr>
                <w:rFonts w:ascii="宋体" w:hAnsi="宋体"/>
                <w:color w:val="000000"/>
                <w:sz w:val="18"/>
                <w:szCs w:val="18"/>
                <w:highlight w:val="none"/>
              </w:rPr>
            </w:pPr>
          </w:p>
        </w:tc>
        <w:tc>
          <w:tcPr>
            <w:tcW w:w="709" w:type="dxa"/>
            <w:noWrap/>
            <w:vAlign w:val="center"/>
          </w:tcPr>
          <w:p>
            <w:pPr>
              <w:jc w:val="center"/>
              <w:rPr>
                <w:rFonts w:ascii="宋体" w:hAnsi="宋体"/>
                <w:color w:val="000000"/>
                <w:sz w:val="18"/>
                <w:szCs w:val="18"/>
                <w:highlight w:val="none"/>
              </w:rPr>
            </w:pPr>
          </w:p>
        </w:tc>
        <w:tc>
          <w:tcPr>
            <w:tcW w:w="1477"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2265" w:type="dxa"/>
            <w:noWrap/>
            <w:vAlign w:val="center"/>
          </w:tcPr>
          <w:p>
            <w:pPr>
              <w:jc w:val="center"/>
              <w:rPr>
                <w:rFonts w:ascii="宋体" w:hAnsi="宋体"/>
                <w:color w:val="000000"/>
                <w:sz w:val="18"/>
                <w:szCs w:val="18"/>
                <w:highlight w:val="none"/>
              </w:rPr>
            </w:pPr>
          </w:p>
        </w:tc>
        <w:tc>
          <w:tcPr>
            <w:tcW w:w="732"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4</w:t>
            </w:r>
          </w:p>
        </w:tc>
        <w:tc>
          <w:tcPr>
            <w:tcW w:w="1047" w:type="dxa"/>
            <w:noWrap/>
            <w:vAlign w:val="center"/>
          </w:tcPr>
          <w:p>
            <w:pPr>
              <w:jc w:val="center"/>
              <w:rPr>
                <w:rFonts w:ascii="宋体" w:hAnsi="宋体"/>
                <w:color w:val="000000"/>
                <w:sz w:val="18"/>
                <w:szCs w:val="18"/>
                <w:highlight w:val="none"/>
              </w:rPr>
            </w:pPr>
          </w:p>
        </w:tc>
        <w:tc>
          <w:tcPr>
            <w:tcW w:w="730" w:type="dxa"/>
            <w:noWrap/>
            <w:vAlign w:val="center"/>
          </w:tcPr>
          <w:p>
            <w:pPr>
              <w:jc w:val="center"/>
              <w:rPr>
                <w:rFonts w:ascii="宋体" w:hAnsi="宋体"/>
                <w:color w:val="000000"/>
                <w:sz w:val="18"/>
                <w:szCs w:val="18"/>
                <w:highlight w:val="none"/>
              </w:rPr>
            </w:pPr>
          </w:p>
        </w:tc>
        <w:tc>
          <w:tcPr>
            <w:tcW w:w="709" w:type="dxa"/>
            <w:noWrap/>
            <w:vAlign w:val="center"/>
          </w:tcPr>
          <w:p>
            <w:pPr>
              <w:jc w:val="center"/>
              <w:rPr>
                <w:rFonts w:ascii="宋体" w:hAnsi="宋体"/>
                <w:color w:val="000000"/>
                <w:sz w:val="18"/>
                <w:szCs w:val="18"/>
                <w:highlight w:val="none"/>
              </w:rPr>
            </w:pPr>
          </w:p>
        </w:tc>
        <w:tc>
          <w:tcPr>
            <w:tcW w:w="1477"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2265" w:type="dxa"/>
            <w:noWrap/>
            <w:vAlign w:val="center"/>
          </w:tcPr>
          <w:p>
            <w:pPr>
              <w:jc w:val="center"/>
              <w:rPr>
                <w:rFonts w:ascii="宋体" w:hAnsi="宋体"/>
                <w:color w:val="000000"/>
                <w:sz w:val="18"/>
                <w:szCs w:val="18"/>
                <w:highlight w:val="none"/>
              </w:rPr>
            </w:pPr>
          </w:p>
        </w:tc>
        <w:tc>
          <w:tcPr>
            <w:tcW w:w="732"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5</w:t>
            </w:r>
          </w:p>
        </w:tc>
        <w:tc>
          <w:tcPr>
            <w:tcW w:w="1047" w:type="dxa"/>
            <w:noWrap/>
            <w:vAlign w:val="center"/>
          </w:tcPr>
          <w:p>
            <w:pPr>
              <w:jc w:val="center"/>
              <w:rPr>
                <w:rFonts w:ascii="宋体" w:hAnsi="宋体"/>
                <w:color w:val="000000"/>
                <w:sz w:val="18"/>
                <w:szCs w:val="18"/>
                <w:highlight w:val="none"/>
              </w:rPr>
            </w:pPr>
          </w:p>
        </w:tc>
        <w:tc>
          <w:tcPr>
            <w:tcW w:w="730" w:type="dxa"/>
            <w:noWrap/>
            <w:vAlign w:val="center"/>
          </w:tcPr>
          <w:p>
            <w:pPr>
              <w:jc w:val="center"/>
              <w:rPr>
                <w:rFonts w:ascii="宋体" w:hAnsi="宋体"/>
                <w:color w:val="000000"/>
                <w:sz w:val="18"/>
                <w:szCs w:val="18"/>
                <w:highlight w:val="none"/>
              </w:rPr>
            </w:pPr>
          </w:p>
        </w:tc>
        <w:tc>
          <w:tcPr>
            <w:tcW w:w="709" w:type="dxa"/>
            <w:noWrap/>
            <w:vAlign w:val="center"/>
          </w:tcPr>
          <w:p>
            <w:pPr>
              <w:jc w:val="center"/>
              <w:rPr>
                <w:rFonts w:ascii="宋体" w:hAnsi="宋体"/>
                <w:color w:val="000000"/>
                <w:sz w:val="18"/>
                <w:szCs w:val="18"/>
                <w:highlight w:val="none"/>
              </w:rPr>
            </w:pPr>
          </w:p>
        </w:tc>
        <w:tc>
          <w:tcPr>
            <w:tcW w:w="1477"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2265" w:type="dxa"/>
            <w:noWrap/>
            <w:vAlign w:val="center"/>
          </w:tcPr>
          <w:p>
            <w:pPr>
              <w:jc w:val="center"/>
              <w:rPr>
                <w:rFonts w:ascii="宋体" w:hAnsi="宋体"/>
                <w:color w:val="000000"/>
                <w:sz w:val="18"/>
                <w:szCs w:val="18"/>
                <w:highlight w:val="none"/>
              </w:rPr>
            </w:pPr>
          </w:p>
        </w:tc>
        <w:tc>
          <w:tcPr>
            <w:tcW w:w="732"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6</w:t>
            </w:r>
          </w:p>
        </w:tc>
        <w:tc>
          <w:tcPr>
            <w:tcW w:w="1047" w:type="dxa"/>
            <w:noWrap/>
            <w:vAlign w:val="center"/>
          </w:tcPr>
          <w:p>
            <w:pPr>
              <w:jc w:val="center"/>
              <w:rPr>
                <w:rFonts w:ascii="宋体" w:hAnsi="宋体"/>
                <w:color w:val="000000"/>
                <w:sz w:val="18"/>
                <w:szCs w:val="18"/>
                <w:highlight w:val="none"/>
              </w:rPr>
            </w:pPr>
          </w:p>
        </w:tc>
        <w:tc>
          <w:tcPr>
            <w:tcW w:w="730" w:type="dxa"/>
            <w:noWrap/>
            <w:vAlign w:val="center"/>
          </w:tcPr>
          <w:p>
            <w:pPr>
              <w:jc w:val="center"/>
              <w:rPr>
                <w:rFonts w:ascii="宋体" w:hAnsi="宋体"/>
                <w:color w:val="000000"/>
                <w:sz w:val="18"/>
                <w:szCs w:val="18"/>
                <w:highlight w:val="none"/>
              </w:rPr>
            </w:pPr>
          </w:p>
        </w:tc>
        <w:tc>
          <w:tcPr>
            <w:tcW w:w="709" w:type="dxa"/>
            <w:noWrap/>
            <w:vAlign w:val="center"/>
          </w:tcPr>
          <w:p>
            <w:pPr>
              <w:jc w:val="center"/>
              <w:rPr>
                <w:rFonts w:ascii="宋体" w:hAnsi="宋体"/>
                <w:color w:val="000000"/>
                <w:sz w:val="18"/>
                <w:szCs w:val="18"/>
                <w:highlight w:val="none"/>
              </w:rPr>
            </w:pPr>
          </w:p>
        </w:tc>
        <w:tc>
          <w:tcPr>
            <w:tcW w:w="1477"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2265" w:type="dxa"/>
            <w:noWrap/>
            <w:vAlign w:val="center"/>
          </w:tcPr>
          <w:p>
            <w:pPr>
              <w:jc w:val="center"/>
              <w:rPr>
                <w:rFonts w:ascii="宋体" w:hAnsi="宋体"/>
                <w:color w:val="000000"/>
                <w:sz w:val="18"/>
                <w:szCs w:val="18"/>
                <w:highlight w:val="none"/>
              </w:rPr>
            </w:pPr>
          </w:p>
        </w:tc>
        <w:tc>
          <w:tcPr>
            <w:tcW w:w="732"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7</w:t>
            </w:r>
          </w:p>
        </w:tc>
        <w:tc>
          <w:tcPr>
            <w:tcW w:w="1047" w:type="dxa"/>
            <w:noWrap/>
            <w:vAlign w:val="center"/>
          </w:tcPr>
          <w:p>
            <w:pPr>
              <w:jc w:val="center"/>
              <w:rPr>
                <w:rFonts w:ascii="宋体" w:hAnsi="宋体"/>
                <w:color w:val="000000"/>
                <w:sz w:val="18"/>
                <w:szCs w:val="18"/>
                <w:highlight w:val="none"/>
              </w:rPr>
            </w:pPr>
          </w:p>
        </w:tc>
        <w:tc>
          <w:tcPr>
            <w:tcW w:w="730" w:type="dxa"/>
            <w:noWrap/>
            <w:vAlign w:val="center"/>
          </w:tcPr>
          <w:p>
            <w:pPr>
              <w:jc w:val="center"/>
              <w:rPr>
                <w:rFonts w:ascii="宋体" w:hAnsi="宋体"/>
                <w:color w:val="000000"/>
                <w:sz w:val="18"/>
                <w:szCs w:val="18"/>
                <w:highlight w:val="none"/>
              </w:rPr>
            </w:pPr>
          </w:p>
        </w:tc>
        <w:tc>
          <w:tcPr>
            <w:tcW w:w="709" w:type="dxa"/>
            <w:noWrap/>
            <w:vAlign w:val="center"/>
          </w:tcPr>
          <w:p>
            <w:pPr>
              <w:jc w:val="center"/>
              <w:rPr>
                <w:rFonts w:ascii="宋体" w:hAnsi="宋体"/>
                <w:color w:val="000000"/>
                <w:sz w:val="18"/>
                <w:szCs w:val="18"/>
                <w:highlight w:val="none"/>
              </w:rPr>
            </w:pPr>
          </w:p>
        </w:tc>
        <w:tc>
          <w:tcPr>
            <w:tcW w:w="1477"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2265" w:type="dxa"/>
            <w:noWrap/>
            <w:vAlign w:val="center"/>
          </w:tcPr>
          <w:p>
            <w:pPr>
              <w:jc w:val="center"/>
              <w:rPr>
                <w:rFonts w:ascii="宋体" w:hAnsi="宋体"/>
                <w:color w:val="000000"/>
                <w:sz w:val="18"/>
                <w:szCs w:val="18"/>
                <w:highlight w:val="none"/>
              </w:rPr>
            </w:pPr>
          </w:p>
        </w:tc>
        <w:tc>
          <w:tcPr>
            <w:tcW w:w="732"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8</w:t>
            </w:r>
          </w:p>
        </w:tc>
        <w:tc>
          <w:tcPr>
            <w:tcW w:w="1047" w:type="dxa"/>
            <w:noWrap/>
            <w:vAlign w:val="center"/>
          </w:tcPr>
          <w:p>
            <w:pPr>
              <w:jc w:val="center"/>
              <w:rPr>
                <w:rFonts w:ascii="宋体" w:hAnsi="宋体"/>
                <w:color w:val="000000"/>
                <w:sz w:val="18"/>
                <w:szCs w:val="18"/>
                <w:highlight w:val="none"/>
              </w:rPr>
            </w:pPr>
          </w:p>
        </w:tc>
        <w:tc>
          <w:tcPr>
            <w:tcW w:w="730" w:type="dxa"/>
            <w:noWrap/>
            <w:vAlign w:val="center"/>
          </w:tcPr>
          <w:p>
            <w:pPr>
              <w:jc w:val="center"/>
              <w:rPr>
                <w:rFonts w:ascii="宋体" w:hAnsi="宋体"/>
                <w:color w:val="000000"/>
                <w:sz w:val="18"/>
                <w:szCs w:val="18"/>
                <w:highlight w:val="none"/>
              </w:rPr>
            </w:pPr>
          </w:p>
        </w:tc>
        <w:tc>
          <w:tcPr>
            <w:tcW w:w="709" w:type="dxa"/>
            <w:noWrap/>
            <w:vAlign w:val="center"/>
          </w:tcPr>
          <w:p>
            <w:pPr>
              <w:jc w:val="center"/>
              <w:rPr>
                <w:rFonts w:ascii="宋体" w:hAnsi="宋体"/>
                <w:color w:val="000000"/>
                <w:sz w:val="18"/>
                <w:szCs w:val="18"/>
                <w:highlight w:val="none"/>
              </w:rPr>
            </w:pPr>
          </w:p>
        </w:tc>
        <w:tc>
          <w:tcPr>
            <w:tcW w:w="1477"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2265" w:type="dxa"/>
            <w:noWrap/>
            <w:vAlign w:val="center"/>
          </w:tcPr>
          <w:p>
            <w:pPr>
              <w:jc w:val="center"/>
              <w:rPr>
                <w:rFonts w:ascii="宋体" w:hAnsi="宋体"/>
                <w:color w:val="000000"/>
                <w:sz w:val="18"/>
                <w:szCs w:val="18"/>
                <w:highlight w:val="none"/>
              </w:rPr>
            </w:pPr>
          </w:p>
        </w:tc>
        <w:tc>
          <w:tcPr>
            <w:tcW w:w="732"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9</w:t>
            </w:r>
          </w:p>
        </w:tc>
        <w:tc>
          <w:tcPr>
            <w:tcW w:w="1047" w:type="dxa"/>
            <w:noWrap/>
            <w:vAlign w:val="center"/>
          </w:tcPr>
          <w:p>
            <w:pPr>
              <w:jc w:val="center"/>
              <w:rPr>
                <w:rFonts w:ascii="宋体" w:hAnsi="宋体"/>
                <w:color w:val="000000"/>
                <w:sz w:val="18"/>
                <w:szCs w:val="18"/>
                <w:highlight w:val="none"/>
              </w:rPr>
            </w:pPr>
          </w:p>
        </w:tc>
        <w:tc>
          <w:tcPr>
            <w:tcW w:w="730" w:type="dxa"/>
            <w:noWrap/>
            <w:vAlign w:val="center"/>
          </w:tcPr>
          <w:p>
            <w:pPr>
              <w:jc w:val="center"/>
              <w:rPr>
                <w:rFonts w:ascii="宋体" w:hAnsi="宋体"/>
                <w:color w:val="000000"/>
                <w:sz w:val="18"/>
                <w:szCs w:val="18"/>
                <w:highlight w:val="none"/>
              </w:rPr>
            </w:pPr>
          </w:p>
        </w:tc>
        <w:tc>
          <w:tcPr>
            <w:tcW w:w="709" w:type="dxa"/>
            <w:noWrap/>
            <w:vAlign w:val="center"/>
          </w:tcPr>
          <w:p>
            <w:pPr>
              <w:jc w:val="center"/>
              <w:rPr>
                <w:rFonts w:ascii="宋体" w:hAnsi="宋体"/>
                <w:color w:val="000000"/>
                <w:sz w:val="18"/>
                <w:szCs w:val="18"/>
                <w:highlight w:val="none"/>
              </w:rPr>
            </w:pPr>
          </w:p>
        </w:tc>
        <w:tc>
          <w:tcPr>
            <w:tcW w:w="1477"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2265" w:type="dxa"/>
            <w:noWrap/>
            <w:vAlign w:val="center"/>
          </w:tcPr>
          <w:p>
            <w:pPr>
              <w:jc w:val="center"/>
              <w:rPr>
                <w:rFonts w:ascii="宋体" w:hAnsi="宋体"/>
                <w:color w:val="000000"/>
                <w:sz w:val="18"/>
                <w:szCs w:val="18"/>
                <w:highlight w:val="none"/>
              </w:rPr>
            </w:pPr>
          </w:p>
        </w:tc>
        <w:tc>
          <w:tcPr>
            <w:tcW w:w="732"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10</w:t>
            </w:r>
          </w:p>
        </w:tc>
        <w:tc>
          <w:tcPr>
            <w:tcW w:w="1047" w:type="dxa"/>
            <w:noWrap/>
            <w:vAlign w:val="center"/>
          </w:tcPr>
          <w:p>
            <w:pPr>
              <w:jc w:val="center"/>
              <w:rPr>
                <w:rFonts w:ascii="宋体" w:hAnsi="宋体"/>
                <w:color w:val="000000"/>
                <w:sz w:val="18"/>
                <w:szCs w:val="18"/>
                <w:highlight w:val="none"/>
              </w:rPr>
            </w:pPr>
          </w:p>
        </w:tc>
        <w:tc>
          <w:tcPr>
            <w:tcW w:w="730" w:type="dxa"/>
            <w:noWrap/>
            <w:vAlign w:val="center"/>
          </w:tcPr>
          <w:p>
            <w:pPr>
              <w:jc w:val="center"/>
              <w:rPr>
                <w:rFonts w:ascii="宋体" w:hAnsi="宋体"/>
                <w:color w:val="000000"/>
                <w:sz w:val="18"/>
                <w:szCs w:val="18"/>
                <w:highlight w:val="none"/>
              </w:rPr>
            </w:pPr>
          </w:p>
        </w:tc>
        <w:tc>
          <w:tcPr>
            <w:tcW w:w="709" w:type="dxa"/>
            <w:noWrap/>
            <w:vAlign w:val="center"/>
          </w:tcPr>
          <w:p>
            <w:pPr>
              <w:jc w:val="center"/>
              <w:rPr>
                <w:rFonts w:ascii="宋体" w:hAnsi="宋体"/>
                <w:color w:val="000000"/>
                <w:sz w:val="18"/>
                <w:szCs w:val="18"/>
                <w:highlight w:val="none"/>
              </w:rPr>
            </w:pPr>
          </w:p>
        </w:tc>
        <w:tc>
          <w:tcPr>
            <w:tcW w:w="1477"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2265" w:type="dxa"/>
            <w:noWrap/>
            <w:vAlign w:val="center"/>
          </w:tcPr>
          <w:p>
            <w:pPr>
              <w:jc w:val="center"/>
              <w:rPr>
                <w:rFonts w:ascii="宋体" w:hAnsi="宋体"/>
                <w:color w:val="000000"/>
                <w:sz w:val="18"/>
                <w:szCs w:val="18"/>
                <w:highlight w:val="none"/>
              </w:rPr>
            </w:pPr>
          </w:p>
        </w:tc>
        <w:tc>
          <w:tcPr>
            <w:tcW w:w="732"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noWrap/>
            <w:vAlign w:val="center"/>
          </w:tcPr>
          <w:p>
            <w:pPr>
              <w:jc w:val="center"/>
              <w:rPr>
                <w:rFonts w:ascii="宋体" w:hAnsi="宋体"/>
                <w:color w:val="000000"/>
                <w:sz w:val="18"/>
                <w:szCs w:val="18"/>
                <w:highlight w:val="none"/>
              </w:rPr>
            </w:pPr>
            <w:r>
              <w:rPr>
                <w:rFonts w:ascii="宋体" w:hAnsi="宋体"/>
                <w:color w:val="000000"/>
                <w:sz w:val="18"/>
                <w:szCs w:val="18"/>
                <w:highlight w:val="none"/>
              </w:rPr>
              <w:t>……</w:t>
            </w:r>
          </w:p>
        </w:tc>
        <w:tc>
          <w:tcPr>
            <w:tcW w:w="1047" w:type="dxa"/>
            <w:noWrap/>
            <w:vAlign w:val="center"/>
          </w:tcPr>
          <w:p>
            <w:pPr>
              <w:jc w:val="center"/>
              <w:rPr>
                <w:rFonts w:ascii="宋体" w:hAnsi="宋体"/>
                <w:color w:val="000000"/>
                <w:sz w:val="18"/>
                <w:szCs w:val="18"/>
                <w:highlight w:val="none"/>
              </w:rPr>
            </w:pPr>
          </w:p>
        </w:tc>
        <w:tc>
          <w:tcPr>
            <w:tcW w:w="730" w:type="dxa"/>
            <w:noWrap/>
            <w:vAlign w:val="center"/>
          </w:tcPr>
          <w:p>
            <w:pPr>
              <w:jc w:val="center"/>
              <w:rPr>
                <w:rFonts w:ascii="宋体" w:hAnsi="宋体"/>
                <w:color w:val="000000"/>
                <w:sz w:val="18"/>
                <w:szCs w:val="18"/>
                <w:highlight w:val="none"/>
              </w:rPr>
            </w:pPr>
          </w:p>
        </w:tc>
        <w:tc>
          <w:tcPr>
            <w:tcW w:w="709" w:type="dxa"/>
            <w:noWrap/>
            <w:vAlign w:val="center"/>
          </w:tcPr>
          <w:p>
            <w:pPr>
              <w:jc w:val="center"/>
              <w:rPr>
                <w:rFonts w:ascii="宋体" w:hAnsi="宋体"/>
                <w:color w:val="000000"/>
                <w:sz w:val="18"/>
                <w:szCs w:val="18"/>
                <w:highlight w:val="none"/>
              </w:rPr>
            </w:pPr>
          </w:p>
        </w:tc>
        <w:tc>
          <w:tcPr>
            <w:tcW w:w="1477"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1236" w:type="dxa"/>
            <w:noWrap/>
            <w:vAlign w:val="center"/>
          </w:tcPr>
          <w:p>
            <w:pPr>
              <w:jc w:val="center"/>
              <w:rPr>
                <w:rFonts w:ascii="宋体" w:hAnsi="宋体"/>
                <w:color w:val="000000"/>
                <w:sz w:val="18"/>
                <w:szCs w:val="18"/>
                <w:highlight w:val="none"/>
              </w:rPr>
            </w:pPr>
          </w:p>
        </w:tc>
        <w:tc>
          <w:tcPr>
            <w:tcW w:w="2265" w:type="dxa"/>
            <w:noWrap/>
            <w:vAlign w:val="center"/>
          </w:tcPr>
          <w:p>
            <w:pPr>
              <w:jc w:val="center"/>
              <w:rPr>
                <w:rFonts w:ascii="宋体" w:hAnsi="宋体"/>
                <w:color w:val="000000"/>
                <w:sz w:val="18"/>
                <w:szCs w:val="18"/>
                <w:highlight w:val="none"/>
              </w:rPr>
            </w:pPr>
          </w:p>
        </w:tc>
        <w:tc>
          <w:tcPr>
            <w:tcW w:w="732" w:type="dxa"/>
            <w:noWrap/>
            <w:vAlign w:val="center"/>
          </w:tcPr>
          <w:p>
            <w:pPr>
              <w:jc w:val="center"/>
              <w:rPr>
                <w:rFonts w:ascii="宋体" w:hAnsi="宋体"/>
                <w:color w:val="000000"/>
                <w:sz w:val="18"/>
                <w:szCs w:val="18"/>
                <w:highlight w:val="none"/>
              </w:rPr>
            </w:pPr>
          </w:p>
        </w:tc>
      </w:tr>
    </w:tbl>
    <w:p>
      <w:pPr>
        <w:spacing w:line="400" w:lineRule="exact"/>
        <w:rPr>
          <w:rFonts w:hint="eastAsia"/>
          <w:b/>
          <w:bCs/>
          <w:color w:val="000000"/>
          <w:sz w:val="24"/>
          <w:szCs w:val="24"/>
          <w:highlight w:val="none"/>
        </w:rPr>
      </w:pPr>
    </w:p>
    <w:p>
      <w:pPr>
        <w:spacing w:line="400" w:lineRule="exact"/>
        <w:rPr>
          <w:b/>
          <w:bCs/>
          <w:color w:val="000000"/>
          <w:sz w:val="24"/>
          <w:szCs w:val="24"/>
          <w:highlight w:val="none"/>
        </w:rPr>
      </w:pPr>
      <w:r>
        <w:rPr>
          <w:rFonts w:hint="eastAsia"/>
          <w:b/>
          <w:bCs/>
          <w:color w:val="000000"/>
          <w:sz w:val="24"/>
          <w:szCs w:val="24"/>
          <w:highlight w:val="none"/>
        </w:rPr>
        <w:t>法定代表人或法定代表人授权代表签字或盖章：</w:t>
      </w:r>
    </w:p>
    <w:p>
      <w:pPr>
        <w:pStyle w:val="269"/>
        <w:spacing w:line="240" w:lineRule="auto"/>
        <w:jc w:val="left"/>
        <w:rPr>
          <w:rFonts w:hint="eastAsia"/>
          <w:color w:val="000000"/>
          <w:sz w:val="21"/>
          <w:szCs w:val="21"/>
          <w:highlight w:val="none"/>
        </w:rPr>
      </w:pPr>
    </w:p>
    <w:p>
      <w:pPr>
        <w:pStyle w:val="269"/>
        <w:spacing w:line="240" w:lineRule="auto"/>
        <w:jc w:val="left"/>
        <w:rPr>
          <w:rFonts w:hint="eastAsia"/>
          <w:color w:val="000000"/>
          <w:sz w:val="21"/>
          <w:szCs w:val="21"/>
          <w:highlight w:val="none"/>
        </w:rPr>
      </w:pPr>
    </w:p>
    <w:p>
      <w:pPr>
        <w:pStyle w:val="269"/>
        <w:spacing w:line="240" w:lineRule="auto"/>
        <w:jc w:val="left"/>
        <w:rPr>
          <w:color w:val="000000"/>
          <w:sz w:val="21"/>
          <w:szCs w:val="21"/>
          <w:highlight w:val="none"/>
        </w:rPr>
      </w:pPr>
      <w:r>
        <w:rPr>
          <w:rFonts w:hint="eastAsia"/>
          <w:color w:val="000000"/>
          <w:sz w:val="21"/>
          <w:szCs w:val="21"/>
          <w:highlight w:val="none"/>
        </w:rPr>
        <w:t>注：1.表格不够可自行延长。</w:t>
      </w:r>
    </w:p>
    <w:p>
      <w:pPr>
        <w:pStyle w:val="269"/>
        <w:spacing w:line="240" w:lineRule="auto"/>
        <w:jc w:val="left"/>
        <w:rPr>
          <w:color w:val="000000"/>
          <w:sz w:val="21"/>
          <w:szCs w:val="21"/>
          <w:highlight w:val="none"/>
        </w:rPr>
      </w:pPr>
      <w:r>
        <w:rPr>
          <w:rFonts w:hint="eastAsia"/>
          <w:color w:val="000000"/>
          <w:sz w:val="21"/>
          <w:szCs w:val="21"/>
          <w:highlight w:val="none"/>
        </w:rPr>
        <w:t xml:space="preserve">    2.</w:t>
      </w:r>
      <w:r>
        <w:rPr>
          <w:rFonts w:hint="eastAsia"/>
          <w:color w:val="auto"/>
          <w:sz w:val="21"/>
          <w:szCs w:val="21"/>
          <w:highlight w:val="none"/>
        </w:rPr>
        <w:t>人员相关证明材料应按招标文件要求提供，并附在本表之后</w:t>
      </w:r>
      <w:r>
        <w:rPr>
          <w:rFonts w:hint="eastAsia"/>
          <w:color w:val="000000"/>
          <w:sz w:val="21"/>
          <w:szCs w:val="21"/>
          <w:highlight w:val="none"/>
        </w:rPr>
        <w:t>。</w:t>
      </w:r>
    </w:p>
    <w:p>
      <w:pPr>
        <w:pStyle w:val="269"/>
        <w:ind w:firstLine="420"/>
        <w:jc w:val="left"/>
        <w:rPr>
          <w:color w:val="000000"/>
          <w:sz w:val="21"/>
          <w:szCs w:val="21"/>
          <w:highlight w:val="none"/>
        </w:rPr>
      </w:pPr>
    </w:p>
    <w:p>
      <w:pPr>
        <w:pStyle w:val="269"/>
        <w:ind w:firstLine="420"/>
        <w:jc w:val="left"/>
        <w:rPr>
          <w:color w:val="000000"/>
          <w:sz w:val="21"/>
          <w:szCs w:val="21"/>
          <w:highlight w:val="none"/>
        </w:rPr>
      </w:pPr>
    </w:p>
    <w:p>
      <w:pPr>
        <w:spacing w:line="400" w:lineRule="exact"/>
        <w:ind w:left="720" w:hanging="720"/>
        <w:rPr>
          <w:rFonts w:ascii="黑体" w:eastAsia="黑体"/>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bookmarkStart w:id="17" w:name="_Toc8449"/>
      <w:r>
        <w:rPr>
          <w:rFonts w:hint="eastAsia" w:ascii="宋体" w:hAnsi="宋体" w:cs="宋体"/>
          <w:b/>
          <w:bCs/>
          <w:color w:val="000000"/>
          <w:sz w:val="24"/>
          <w:szCs w:val="24"/>
          <w:highlight w:val="none"/>
        </w:rPr>
        <w:br w:type="page" w:clear="all"/>
      </w:r>
      <w:bookmarkEnd w:id="17"/>
      <w:bookmarkStart w:id="18" w:name="_Toc21126"/>
      <w:bookmarkStart w:id="19" w:name="_Toc18892"/>
    </w:p>
    <w:p>
      <w:pPr>
        <w:numPr>
          <w:ilvl w:val="0"/>
          <w:numId w:val="0"/>
        </w:numPr>
        <w:spacing w:line="560" w:lineRule="exac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eastAsia="zh-CN"/>
        </w:rPr>
        <w:t>（</w:t>
      </w:r>
      <w:r>
        <w:rPr>
          <w:rFonts w:hint="eastAsia" w:ascii="黑体" w:hAnsi="宋体" w:eastAsia="黑体"/>
          <w:bCs/>
          <w:color w:val="000000"/>
          <w:sz w:val="24"/>
          <w:szCs w:val="24"/>
          <w:highlight w:val="none"/>
          <w:lang w:val="en-US" w:eastAsia="zh-CN"/>
        </w:rPr>
        <w:t>八</w:t>
      </w:r>
      <w:r>
        <w:rPr>
          <w:rFonts w:hint="eastAsia" w:ascii="黑体" w:hAnsi="宋体" w:eastAsia="黑体"/>
          <w:bCs/>
          <w:color w:val="000000"/>
          <w:sz w:val="24"/>
          <w:szCs w:val="24"/>
          <w:highlight w:val="none"/>
          <w:lang w:eastAsia="zh-CN"/>
        </w:rPr>
        <w:t>）</w:t>
      </w:r>
      <w:r>
        <w:rPr>
          <w:rFonts w:hint="eastAsia" w:ascii="黑体" w:hAnsi="宋体" w:eastAsia="黑体"/>
          <w:bCs/>
          <w:color w:val="000000"/>
          <w:sz w:val="24"/>
          <w:szCs w:val="24"/>
          <w:highlight w:val="none"/>
        </w:rPr>
        <w:t>驾驶员清单（格式）</w:t>
      </w:r>
    </w:p>
    <w:p>
      <w:pPr>
        <w:spacing w:line="400" w:lineRule="exact"/>
        <w:jc w:val="center"/>
        <w:rPr>
          <w:rFonts w:hint="eastAsia" w:ascii="黑体" w:eastAsia="黑体"/>
          <w:bCs/>
          <w:color w:val="000000"/>
          <w:sz w:val="24"/>
          <w:szCs w:val="24"/>
          <w:highlight w:val="none"/>
        </w:rPr>
      </w:pPr>
      <w:r>
        <w:rPr>
          <w:rFonts w:hint="eastAsia" w:ascii="黑体" w:hAnsi="宋体" w:eastAsia="黑体"/>
          <w:bCs/>
          <w:color w:val="000000"/>
          <w:sz w:val="24"/>
          <w:szCs w:val="24"/>
          <w:highlight w:val="none"/>
        </w:rPr>
        <w:t>驾驶员清单</w:t>
      </w:r>
    </w:p>
    <w:p>
      <w:pPr>
        <w:spacing w:line="400" w:lineRule="exact"/>
        <w:ind w:firstLine="480" w:firstLineChars="200"/>
        <w:rPr>
          <w:rFonts w:ascii="宋体" w:hAnsi="宋体" w:eastAsia="黑体"/>
          <w:bCs/>
          <w:color w:val="000000"/>
          <w:szCs w:val="21"/>
          <w:highlight w:val="none"/>
        </w:rPr>
      </w:pPr>
      <w:r>
        <w:rPr>
          <w:rFonts w:hint="eastAsia" w:ascii="黑体" w:eastAsia="黑体"/>
          <w:bCs/>
          <w:color w:val="000000"/>
          <w:sz w:val="24"/>
          <w:szCs w:val="24"/>
          <w:highlight w:val="none"/>
        </w:rPr>
        <w:t>投标人名称（盖章）                                采购项目编号：</w:t>
      </w:r>
    </w:p>
    <w:tbl>
      <w:tblPr>
        <w:tblStyle w:val="35"/>
        <w:tblW w:w="8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4"/>
        <w:gridCol w:w="1047"/>
        <w:gridCol w:w="904"/>
        <w:gridCol w:w="825"/>
        <w:gridCol w:w="1962"/>
        <w:gridCol w:w="1100"/>
        <w:gridCol w:w="15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4" w:type="dxa"/>
            <w:noWrap/>
            <w:vAlign w:val="center"/>
          </w:tcPr>
          <w:p>
            <w:pPr>
              <w:jc w:val="center"/>
              <w:rPr>
                <w:rFonts w:ascii="宋体" w:hAnsi="宋体"/>
                <w:b/>
                <w:color w:val="000000"/>
                <w:sz w:val="18"/>
                <w:szCs w:val="18"/>
                <w:highlight w:val="none"/>
              </w:rPr>
            </w:pPr>
            <w:r>
              <w:rPr>
                <w:rFonts w:hint="eastAsia" w:ascii="宋体" w:hAnsi="宋体"/>
                <w:b/>
                <w:color w:val="000000"/>
                <w:sz w:val="18"/>
                <w:szCs w:val="18"/>
                <w:highlight w:val="none"/>
              </w:rPr>
              <w:t>序号</w:t>
            </w:r>
          </w:p>
        </w:tc>
        <w:tc>
          <w:tcPr>
            <w:tcW w:w="1047" w:type="dxa"/>
            <w:noWrap/>
            <w:vAlign w:val="center"/>
          </w:tcPr>
          <w:p>
            <w:pPr>
              <w:jc w:val="center"/>
              <w:rPr>
                <w:rFonts w:ascii="宋体" w:hAnsi="宋体"/>
                <w:b/>
                <w:color w:val="000000"/>
                <w:sz w:val="18"/>
                <w:szCs w:val="18"/>
                <w:highlight w:val="none"/>
              </w:rPr>
            </w:pPr>
            <w:r>
              <w:rPr>
                <w:rFonts w:hint="eastAsia" w:ascii="宋体" w:hAnsi="宋体"/>
                <w:b/>
                <w:color w:val="000000"/>
                <w:sz w:val="18"/>
                <w:szCs w:val="18"/>
                <w:highlight w:val="none"/>
              </w:rPr>
              <w:t>姓名</w:t>
            </w:r>
          </w:p>
        </w:tc>
        <w:tc>
          <w:tcPr>
            <w:tcW w:w="904" w:type="dxa"/>
            <w:noWrap/>
            <w:vAlign w:val="center"/>
          </w:tcPr>
          <w:p>
            <w:pPr>
              <w:rPr>
                <w:rFonts w:ascii="宋体" w:hAnsi="宋体"/>
                <w:b/>
                <w:color w:val="000000"/>
                <w:sz w:val="18"/>
                <w:szCs w:val="18"/>
                <w:highlight w:val="none"/>
              </w:rPr>
            </w:pPr>
            <w:r>
              <w:rPr>
                <w:rFonts w:hint="eastAsia" w:ascii="宋体" w:hAnsi="宋体"/>
                <w:b/>
                <w:color w:val="000000"/>
                <w:sz w:val="18"/>
                <w:szCs w:val="18"/>
                <w:highlight w:val="none"/>
              </w:rPr>
              <w:t>性别</w:t>
            </w:r>
          </w:p>
        </w:tc>
        <w:tc>
          <w:tcPr>
            <w:tcW w:w="825" w:type="dxa"/>
            <w:noWrap/>
            <w:vAlign w:val="center"/>
          </w:tcPr>
          <w:p>
            <w:pPr>
              <w:rPr>
                <w:rFonts w:ascii="宋体" w:hAnsi="宋体"/>
                <w:b/>
                <w:color w:val="000000"/>
                <w:sz w:val="18"/>
                <w:szCs w:val="18"/>
                <w:highlight w:val="none"/>
              </w:rPr>
            </w:pPr>
            <w:r>
              <w:rPr>
                <w:rFonts w:hint="eastAsia" w:ascii="宋体" w:hAnsi="宋体"/>
                <w:b/>
                <w:color w:val="000000"/>
                <w:sz w:val="18"/>
                <w:szCs w:val="18"/>
                <w:highlight w:val="none"/>
              </w:rPr>
              <w:t>年龄</w:t>
            </w:r>
          </w:p>
        </w:tc>
        <w:tc>
          <w:tcPr>
            <w:tcW w:w="1962" w:type="dxa"/>
            <w:noWrap/>
            <w:vAlign w:val="center"/>
          </w:tcPr>
          <w:p>
            <w:pPr>
              <w:jc w:val="center"/>
              <w:rPr>
                <w:rFonts w:ascii="宋体" w:hAnsi="宋体"/>
                <w:b/>
                <w:color w:val="000000"/>
                <w:sz w:val="18"/>
                <w:szCs w:val="18"/>
                <w:highlight w:val="none"/>
              </w:rPr>
            </w:pPr>
            <w:r>
              <w:rPr>
                <w:rFonts w:hint="eastAsia" w:ascii="宋体" w:hAnsi="宋体"/>
                <w:b/>
                <w:color w:val="000000"/>
                <w:sz w:val="18"/>
                <w:szCs w:val="18"/>
                <w:highlight w:val="none"/>
              </w:rPr>
              <w:t>岗位名称</w:t>
            </w:r>
          </w:p>
        </w:tc>
        <w:tc>
          <w:tcPr>
            <w:tcW w:w="1100" w:type="dxa"/>
            <w:noWrap/>
            <w:vAlign w:val="center"/>
          </w:tcPr>
          <w:p>
            <w:pPr>
              <w:jc w:val="center"/>
              <w:rPr>
                <w:rFonts w:hint="default"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驾龄</w:t>
            </w:r>
          </w:p>
        </w:tc>
        <w:tc>
          <w:tcPr>
            <w:tcW w:w="1500" w:type="dxa"/>
            <w:noWrap/>
            <w:vAlign w:val="center"/>
          </w:tcPr>
          <w:p>
            <w:pPr>
              <w:rPr>
                <w:rFonts w:ascii="宋体" w:hAnsi="宋体"/>
                <w:b/>
                <w:color w:val="000000"/>
                <w:sz w:val="18"/>
                <w:szCs w:val="18"/>
                <w:highlight w:val="none"/>
              </w:rPr>
            </w:pPr>
            <w:r>
              <w:rPr>
                <w:rFonts w:hint="eastAsia" w:ascii="宋体" w:hAnsi="宋体"/>
                <w:b/>
                <w:color w:val="000000"/>
                <w:sz w:val="18"/>
                <w:szCs w:val="18"/>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4"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1</w:t>
            </w:r>
          </w:p>
        </w:tc>
        <w:tc>
          <w:tcPr>
            <w:tcW w:w="1047" w:type="dxa"/>
            <w:noWrap/>
            <w:vAlign w:val="center"/>
          </w:tcPr>
          <w:p>
            <w:pPr>
              <w:jc w:val="center"/>
              <w:rPr>
                <w:rFonts w:ascii="宋体" w:hAnsi="宋体"/>
                <w:color w:val="000000"/>
                <w:sz w:val="18"/>
                <w:szCs w:val="18"/>
                <w:highlight w:val="none"/>
              </w:rPr>
            </w:pPr>
          </w:p>
        </w:tc>
        <w:tc>
          <w:tcPr>
            <w:tcW w:w="904" w:type="dxa"/>
            <w:noWrap/>
            <w:vAlign w:val="center"/>
          </w:tcPr>
          <w:p>
            <w:pPr>
              <w:jc w:val="center"/>
              <w:rPr>
                <w:rFonts w:ascii="宋体" w:hAnsi="宋体"/>
                <w:color w:val="000000"/>
                <w:sz w:val="18"/>
                <w:szCs w:val="18"/>
                <w:highlight w:val="none"/>
              </w:rPr>
            </w:pPr>
          </w:p>
        </w:tc>
        <w:tc>
          <w:tcPr>
            <w:tcW w:w="825" w:type="dxa"/>
            <w:noWrap/>
            <w:vAlign w:val="center"/>
          </w:tcPr>
          <w:p>
            <w:pPr>
              <w:jc w:val="center"/>
              <w:rPr>
                <w:rFonts w:ascii="宋体" w:hAnsi="宋体"/>
                <w:color w:val="000000"/>
                <w:sz w:val="18"/>
                <w:szCs w:val="18"/>
                <w:highlight w:val="none"/>
              </w:rPr>
            </w:pPr>
          </w:p>
        </w:tc>
        <w:tc>
          <w:tcPr>
            <w:tcW w:w="1962" w:type="dxa"/>
            <w:noWrap/>
            <w:vAlign w:val="center"/>
          </w:tcPr>
          <w:p>
            <w:pPr>
              <w:jc w:val="center"/>
              <w:rPr>
                <w:rFonts w:ascii="宋体" w:hAnsi="宋体"/>
                <w:color w:val="000000"/>
                <w:sz w:val="18"/>
                <w:szCs w:val="18"/>
                <w:highlight w:val="none"/>
              </w:rPr>
            </w:pPr>
          </w:p>
        </w:tc>
        <w:tc>
          <w:tcPr>
            <w:tcW w:w="1100" w:type="dxa"/>
            <w:noWrap/>
            <w:vAlign w:val="center"/>
          </w:tcPr>
          <w:p>
            <w:pPr>
              <w:jc w:val="center"/>
              <w:rPr>
                <w:rFonts w:ascii="宋体" w:hAnsi="宋体"/>
                <w:color w:val="000000"/>
                <w:sz w:val="18"/>
                <w:szCs w:val="18"/>
                <w:highlight w:val="none"/>
              </w:rPr>
            </w:pPr>
          </w:p>
        </w:tc>
        <w:tc>
          <w:tcPr>
            <w:tcW w:w="1500"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4"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2</w:t>
            </w:r>
          </w:p>
        </w:tc>
        <w:tc>
          <w:tcPr>
            <w:tcW w:w="1047" w:type="dxa"/>
            <w:noWrap/>
            <w:vAlign w:val="center"/>
          </w:tcPr>
          <w:p>
            <w:pPr>
              <w:jc w:val="center"/>
              <w:rPr>
                <w:rFonts w:ascii="宋体" w:hAnsi="宋体"/>
                <w:color w:val="000000"/>
                <w:sz w:val="18"/>
                <w:szCs w:val="18"/>
                <w:highlight w:val="none"/>
              </w:rPr>
            </w:pPr>
          </w:p>
        </w:tc>
        <w:tc>
          <w:tcPr>
            <w:tcW w:w="904" w:type="dxa"/>
            <w:noWrap/>
            <w:vAlign w:val="center"/>
          </w:tcPr>
          <w:p>
            <w:pPr>
              <w:jc w:val="center"/>
              <w:rPr>
                <w:rFonts w:ascii="宋体" w:hAnsi="宋体"/>
                <w:color w:val="000000"/>
                <w:sz w:val="18"/>
                <w:szCs w:val="18"/>
                <w:highlight w:val="none"/>
              </w:rPr>
            </w:pPr>
          </w:p>
        </w:tc>
        <w:tc>
          <w:tcPr>
            <w:tcW w:w="825" w:type="dxa"/>
            <w:noWrap/>
            <w:vAlign w:val="center"/>
          </w:tcPr>
          <w:p>
            <w:pPr>
              <w:jc w:val="center"/>
              <w:rPr>
                <w:rFonts w:ascii="宋体" w:hAnsi="宋体"/>
                <w:color w:val="000000"/>
                <w:sz w:val="18"/>
                <w:szCs w:val="18"/>
                <w:highlight w:val="none"/>
              </w:rPr>
            </w:pPr>
          </w:p>
        </w:tc>
        <w:tc>
          <w:tcPr>
            <w:tcW w:w="1962" w:type="dxa"/>
            <w:noWrap/>
            <w:vAlign w:val="center"/>
          </w:tcPr>
          <w:p>
            <w:pPr>
              <w:jc w:val="center"/>
              <w:rPr>
                <w:rFonts w:ascii="宋体" w:hAnsi="宋体"/>
                <w:color w:val="000000"/>
                <w:sz w:val="18"/>
                <w:szCs w:val="18"/>
                <w:highlight w:val="none"/>
              </w:rPr>
            </w:pPr>
          </w:p>
        </w:tc>
        <w:tc>
          <w:tcPr>
            <w:tcW w:w="1100" w:type="dxa"/>
            <w:noWrap/>
            <w:vAlign w:val="center"/>
          </w:tcPr>
          <w:p>
            <w:pPr>
              <w:jc w:val="center"/>
              <w:rPr>
                <w:rFonts w:ascii="宋体" w:hAnsi="宋体"/>
                <w:color w:val="000000"/>
                <w:sz w:val="18"/>
                <w:szCs w:val="18"/>
                <w:highlight w:val="none"/>
              </w:rPr>
            </w:pPr>
          </w:p>
        </w:tc>
        <w:tc>
          <w:tcPr>
            <w:tcW w:w="1500"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4"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3</w:t>
            </w:r>
          </w:p>
        </w:tc>
        <w:tc>
          <w:tcPr>
            <w:tcW w:w="1047" w:type="dxa"/>
            <w:noWrap/>
            <w:vAlign w:val="center"/>
          </w:tcPr>
          <w:p>
            <w:pPr>
              <w:jc w:val="center"/>
              <w:rPr>
                <w:rFonts w:ascii="宋体" w:hAnsi="宋体"/>
                <w:color w:val="000000"/>
                <w:sz w:val="18"/>
                <w:szCs w:val="18"/>
                <w:highlight w:val="none"/>
              </w:rPr>
            </w:pPr>
          </w:p>
        </w:tc>
        <w:tc>
          <w:tcPr>
            <w:tcW w:w="904" w:type="dxa"/>
            <w:noWrap/>
            <w:vAlign w:val="center"/>
          </w:tcPr>
          <w:p>
            <w:pPr>
              <w:jc w:val="center"/>
              <w:rPr>
                <w:rFonts w:ascii="宋体" w:hAnsi="宋体"/>
                <w:color w:val="000000"/>
                <w:sz w:val="18"/>
                <w:szCs w:val="18"/>
                <w:highlight w:val="none"/>
              </w:rPr>
            </w:pPr>
          </w:p>
        </w:tc>
        <w:tc>
          <w:tcPr>
            <w:tcW w:w="825" w:type="dxa"/>
            <w:noWrap/>
            <w:vAlign w:val="center"/>
          </w:tcPr>
          <w:p>
            <w:pPr>
              <w:jc w:val="center"/>
              <w:rPr>
                <w:rFonts w:ascii="宋体" w:hAnsi="宋体"/>
                <w:color w:val="000000"/>
                <w:sz w:val="18"/>
                <w:szCs w:val="18"/>
                <w:highlight w:val="none"/>
              </w:rPr>
            </w:pPr>
          </w:p>
        </w:tc>
        <w:tc>
          <w:tcPr>
            <w:tcW w:w="1962" w:type="dxa"/>
            <w:noWrap/>
            <w:vAlign w:val="center"/>
          </w:tcPr>
          <w:p>
            <w:pPr>
              <w:jc w:val="center"/>
              <w:rPr>
                <w:rFonts w:ascii="宋体" w:hAnsi="宋体"/>
                <w:color w:val="000000"/>
                <w:sz w:val="18"/>
                <w:szCs w:val="18"/>
                <w:highlight w:val="none"/>
              </w:rPr>
            </w:pPr>
          </w:p>
        </w:tc>
        <w:tc>
          <w:tcPr>
            <w:tcW w:w="1100" w:type="dxa"/>
            <w:noWrap/>
            <w:vAlign w:val="center"/>
          </w:tcPr>
          <w:p>
            <w:pPr>
              <w:jc w:val="center"/>
              <w:rPr>
                <w:rFonts w:ascii="宋体" w:hAnsi="宋体"/>
                <w:color w:val="000000"/>
                <w:sz w:val="18"/>
                <w:szCs w:val="18"/>
                <w:highlight w:val="none"/>
              </w:rPr>
            </w:pPr>
          </w:p>
        </w:tc>
        <w:tc>
          <w:tcPr>
            <w:tcW w:w="1500"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4"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4</w:t>
            </w:r>
          </w:p>
        </w:tc>
        <w:tc>
          <w:tcPr>
            <w:tcW w:w="1047" w:type="dxa"/>
            <w:noWrap/>
            <w:vAlign w:val="center"/>
          </w:tcPr>
          <w:p>
            <w:pPr>
              <w:jc w:val="center"/>
              <w:rPr>
                <w:rFonts w:ascii="宋体" w:hAnsi="宋体"/>
                <w:color w:val="000000"/>
                <w:sz w:val="18"/>
                <w:szCs w:val="18"/>
                <w:highlight w:val="none"/>
              </w:rPr>
            </w:pPr>
          </w:p>
        </w:tc>
        <w:tc>
          <w:tcPr>
            <w:tcW w:w="904" w:type="dxa"/>
            <w:noWrap/>
            <w:vAlign w:val="center"/>
          </w:tcPr>
          <w:p>
            <w:pPr>
              <w:jc w:val="center"/>
              <w:rPr>
                <w:rFonts w:ascii="宋体" w:hAnsi="宋体"/>
                <w:color w:val="000000"/>
                <w:sz w:val="18"/>
                <w:szCs w:val="18"/>
                <w:highlight w:val="none"/>
              </w:rPr>
            </w:pPr>
          </w:p>
        </w:tc>
        <w:tc>
          <w:tcPr>
            <w:tcW w:w="825" w:type="dxa"/>
            <w:noWrap/>
            <w:vAlign w:val="center"/>
          </w:tcPr>
          <w:p>
            <w:pPr>
              <w:jc w:val="center"/>
              <w:rPr>
                <w:rFonts w:ascii="宋体" w:hAnsi="宋体"/>
                <w:color w:val="000000"/>
                <w:sz w:val="18"/>
                <w:szCs w:val="18"/>
                <w:highlight w:val="none"/>
              </w:rPr>
            </w:pPr>
          </w:p>
        </w:tc>
        <w:tc>
          <w:tcPr>
            <w:tcW w:w="1962" w:type="dxa"/>
            <w:noWrap/>
            <w:vAlign w:val="center"/>
          </w:tcPr>
          <w:p>
            <w:pPr>
              <w:jc w:val="center"/>
              <w:rPr>
                <w:rFonts w:ascii="宋体" w:hAnsi="宋体"/>
                <w:color w:val="000000"/>
                <w:sz w:val="18"/>
                <w:szCs w:val="18"/>
                <w:highlight w:val="none"/>
              </w:rPr>
            </w:pPr>
          </w:p>
        </w:tc>
        <w:tc>
          <w:tcPr>
            <w:tcW w:w="1100" w:type="dxa"/>
            <w:noWrap/>
            <w:vAlign w:val="center"/>
          </w:tcPr>
          <w:p>
            <w:pPr>
              <w:jc w:val="center"/>
              <w:rPr>
                <w:rFonts w:ascii="宋体" w:hAnsi="宋体"/>
                <w:color w:val="000000"/>
                <w:sz w:val="18"/>
                <w:szCs w:val="18"/>
                <w:highlight w:val="none"/>
              </w:rPr>
            </w:pPr>
          </w:p>
        </w:tc>
        <w:tc>
          <w:tcPr>
            <w:tcW w:w="1500"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4"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5</w:t>
            </w:r>
          </w:p>
        </w:tc>
        <w:tc>
          <w:tcPr>
            <w:tcW w:w="1047" w:type="dxa"/>
            <w:noWrap/>
            <w:vAlign w:val="center"/>
          </w:tcPr>
          <w:p>
            <w:pPr>
              <w:jc w:val="center"/>
              <w:rPr>
                <w:rFonts w:ascii="宋体" w:hAnsi="宋体"/>
                <w:color w:val="000000"/>
                <w:sz w:val="18"/>
                <w:szCs w:val="18"/>
                <w:highlight w:val="none"/>
              </w:rPr>
            </w:pPr>
          </w:p>
        </w:tc>
        <w:tc>
          <w:tcPr>
            <w:tcW w:w="904" w:type="dxa"/>
            <w:noWrap/>
            <w:vAlign w:val="center"/>
          </w:tcPr>
          <w:p>
            <w:pPr>
              <w:jc w:val="center"/>
              <w:rPr>
                <w:rFonts w:ascii="宋体" w:hAnsi="宋体"/>
                <w:color w:val="000000"/>
                <w:sz w:val="18"/>
                <w:szCs w:val="18"/>
                <w:highlight w:val="none"/>
              </w:rPr>
            </w:pPr>
          </w:p>
        </w:tc>
        <w:tc>
          <w:tcPr>
            <w:tcW w:w="825" w:type="dxa"/>
            <w:noWrap/>
            <w:vAlign w:val="center"/>
          </w:tcPr>
          <w:p>
            <w:pPr>
              <w:jc w:val="center"/>
              <w:rPr>
                <w:rFonts w:ascii="宋体" w:hAnsi="宋体"/>
                <w:color w:val="000000"/>
                <w:sz w:val="18"/>
                <w:szCs w:val="18"/>
                <w:highlight w:val="none"/>
              </w:rPr>
            </w:pPr>
          </w:p>
        </w:tc>
        <w:tc>
          <w:tcPr>
            <w:tcW w:w="1962" w:type="dxa"/>
            <w:noWrap/>
            <w:vAlign w:val="center"/>
          </w:tcPr>
          <w:p>
            <w:pPr>
              <w:jc w:val="center"/>
              <w:rPr>
                <w:rFonts w:ascii="宋体" w:hAnsi="宋体"/>
                <w:color w:val="000000"/>
                <w:sz w:val="18"/>
                <w:szCs w:val="18"/>
                <w:highlight w:val="none"/>
              </w:rPr>
            </w:pPr>
          </w:p>
        </w:tc>
        <w:tc>
          <w:tcPr>
            <w:tcW w:w="1100" w:type="dxa"/>
            <w:noWrap/>
            <w:vAlign w:val="center"/>
          </w:tcPr>
          <w:p>
            <w:pPr>
              <w:jc w:val="center"/>
              <w:rPr>
                <w:rFonts w:ascii="宋体" w:hAnsi="宋体"/>
                <w:color w:val="000000"/>
                <w:sz w:val="18"/>
                <w:szCs w:val="18"/>
                <w:highlight w:val="none"/>
              </w:rPr>
            </w:pPr>
          </w:p>
        </w:tc>
        <w:tc>
          <w:tcPr>
            <w:tcW w:w="1500"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4"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6</w:t>
            </w:r>
          </w:p>
        </w:tc>
        <w:tc>
          <w:tcPr>
            <w:tcW w:w="1047" w:type="dxa"/>
            <w:noWrap/>
            <w:vAlign w:val="center"/>
          </w:tcPr>
          <w:p>
            <w:pPr>
              <w:jc w:val="center"/>
              <w:rPr>
                <w:rFonts w:ascii="宋体" w:hAnsi="宋体"/>
                <w:color w:val="000000"/>
                <w:sz w:val="18"/>
                <w:szCs w:val="18"/>
                <w:highlight w:val="none"/>
              </w:rPr>
            </w:pPr>
          </w:p>
        </w:tc>
        <w:tc>
          <w:tcPr>
            <w:tcW w:w="904" w:type="dxa"/>
            <w:noWrap/>
            <w:vAlign w:val="center"/>
          </w:tcPr>
          <w:p>
            <w:pPr>
              <w:jc w:val="center"/>
              <w:rPr>
                <w:rFonts w:ascii="宋体" w:hAnsi="宋体"/>
                <w:color w:val="000000"/>
                <w:sz w:val="18"/>
                <w:szCs w:val="18"/>
                <w:highlight w:val="none"/>
              </w:rPr>
            </w:pPr>
          </w:p>
        </w:tc>
        <w:tc>
          <w:tcPr>
            <w:tcW w:w="825" w:type="dxa"/>
            <w:noWrap/>
            <w:vAlign w:val="center"/>
          </w:tcPr>
          <w:p>
            <w:pPr>
              <w:jc w:val="center"/>
              <w:rPr>
                <w:rFonts w:ascii="宋体" w:hAnsi="宋体"/>
                <w:color w:val="000000"/>
                <w:sz w:val="18"/>
                <w:szCs w:val="18"/>
                <w:highlight w:val="none"/>
              </w:rPr>
            </w:pPr>
          </w:p>
        </w:tc>
        <w:tc>
          <w:tcPr>
            <w:tcW w:w="1962" w:type="dxa"/>
            <w:noWrap/>
            <w:vAlign w:val="center"/>
          </w:tcPr>
          <w:p>
            <w:pPr>
              <w:jc w:val="center"/>
              <w:rPr>
                <w:rFonts w:ascii="宋体" w:hAnsi="宋体"/>
                <w:color w:val="000000"/>
                <w:sz w:val="18"/>
                <w:szCs w:val="18"/>
                <w:highlight w:val="none"/>
              </w:rPr>
            </w:pPr>
          </w:p>
        </w:tc>
        <w:tc>
          <w:tcPr>
            <w:tcW w:w="1100" w:type="dxa"/>
            <w:noWrap/>
            <w:vAlign w:val="center"/>
          </w:tcPr>
          <w:p>
            <w:pPr>
              <w:jc w:val="center"/>
              <w:rPr>
                <w:rFonts w:ascii="宋体" w:hAnsi="宋体"/>
                <w:color w:val="000000"/>
                <w:sz w:val="18"/>
                <w:szCs w:val="18"/>
                <w:highlight w:val="none"/>
              </w:rPr>
            </w:pPr>
          </w:p>
        </w:tc>
        <w:tc>
          <w:tcPr>
            <w:tcW w:w="1500"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4"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7</w:t>
            </w:r>
          </w:p>
        </w:tc>
        <w:tc>
          <w:tcPr>
            <w:tcW w:w="1047" w:type="dxa"/>
            <w:noWrap/>
            <w:vAlign w:val="center"/>
          </w:tcPr>
          <w:p>
            <w:pPr>
              <w:jc w:val="center"/>
              <w:rPr>
                <w:rFonts w:ascii="宋体" w:hAnsi="宋体"/>
                <w:color w:val="000000"/>
                <w:sz w:val="18"/>
                <w:szCs w:val="18"/>
                <w:highlight w:val="none"/>
              </w:rPr>
            </w:pPr>
          </w:p>
        </w:tc>
        <w:tc>
          <w:tcPr>
            <w:tcW w:w="904" w:type="dxa"/>
            <w:noWrap/>
            <w:vAlign w:val="center"/>
          </w:tcPr>
          <w:p>
            <w:pPr>
              <w:jc w:val="center"/>
              <w:rPr>
                <w:rFonts w:ascii="宋体" w:hAnsi="宋体"/>
                <w:color w:val="000000"/>
                <w:sz w:val="18"/>
                <w:szCs w:val="18"/>
                <w:highlight w:val="none"/>
              </w:rPr>
            </w:pPr>
          </w:p>
        </w:tc>
        <w:tc>
          <w:tcPr>
            <w:tcW w:w="825" w:type="dxa"/>
            <w:noWrap/>
            <w:vAlign w:val="center"/>
          </w:tcPr>
          <w:p>
            <w:pPr>
              <w:jc w:val="center"/>
              <w:rPr>
                <w:rFonts w:ascii="宋体" w:hAnsi="宋体"/>
                <w:color w:val="000000"/>
                <w:sz w:val="18"/>
                <w:szCs w:val="18"/>
                <w:highlight w:val="none"/>
              </w:rPr>
            </w:pPr>
          </w:p>
        </w:tc>
        <w:tc>
          <w:tcPr>
            <w:tcW w:w="1962" w:type="dxa"/>
            <w:noWrap/>
            <w:vAlign w:val="center"/>
          </w:tcPr>
          <w:p>
            <w:pPr>
              <w:jc w:val="center"/>
              <w:rPr>
                <w:rFonts w:ascii="宋体" w:hAnsi="宋体"/>
                <w:color w:val="000000"/>
                <w:sz w:val="18"/>
                <w:szCs w:val="18"/>
                <w:highlight w:val="none"/>
              </w:rPr>
            </w:pPr>
          </w:p>
        </w:tc>
        <w:tc>
          <w:tcPr>
            <w:tcW w:w="1100" w:type="dxa"/>
            <w:noWrap/>
            <w:vAlign w:val="center"/>
          </w:tcPr>
          <w:p>
            <w:pPr>
              <w:jc w:val="center"/>
              <w:rPr>
                <w:rFonts w:ascii="宋体" w:hAnsi="宋体"/>
                <w:color w:val="000000"/>
                <w:sz w:val="18"/>
                <w:szCs w:val="18"/>
                <w:highlight w:val="none"/>
              </w:rPr>
            </w:pPr>
          </w:p>
        </w:tc>
        <w:tc>
          <w:tcPr>
            <w:tcW w:w="1500"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4"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8</w:t>
            </w:r>
          </w:p>
        </w:tc>
        <w:tc>
          <w:tcPr>
            <w:tcW w:w="1047" w:type="dxa"/>
            <w:noWrap/>
            <w:vAlign w:val="center"/>
          </w:tcPr>
          <w:p>
            <w:pPr>
              <w:jc w:val="center"/>
              <w:rPr>
                <w:rFonts w:ascii="宋体" w:hAnsi="宋体"/>
                <w:color w:val="000000"/>
                <w:sz w:val="18"/>
                <w:szCs w:val="18"/>
                <w:highlight w:val="none"/>
              </w:rPr>
            </w:pPr>
          </w:p>
        </w:tc>
        <w:tc>
          <w:tcPr>
            <w:tcW w:w="904" w:type="dxa"/>
            <w:noWrap/>
            <w:vAlign w:val="center"/>
          </w:tcPr>
          <w:p>
            <w:pPr>
              <w:jc w:val="center"/>
              <w:rPr>
                <w:rFonts w:ascii="宋体" w:hAnsi="宋体"/>
                <w:color w:val="000000"/>
                <w:sz w:val="18"/>
                <w:szCs w:val="18"/>
                <w:highlight w:val="none"/>
              </w:rPr>
            </w:pPr>
          </w:p>
        </w:tc>
        <w:tc>
          <w:tcPr>
            <w:tcW w:w="825" w:type="dxa"/>
            <w:noWrap/>
            <w:vAlign w:val="center"/>
          </w:tcPr>
          <w:p>
            <w:pPr>
              <w:jc w:val="center"/>
              <w:rPr>
                <w:rFonts w:ascii="宋体" w:hAnsi="宋体"/>
                <w:color w:val="000000"/>
                <w:sz w:val="18"/>
                <w:szCs w:val="18"/>
                <w:highlight w:val="none"/>
              </w:rPr>
            </w:pPr>
          </w:p>
        </w:tc>
        <w:tc>
          <w:tcPr>
            <w:tcW w:w="1962" w:type="dxa"/>
            <w:noWrap/>
            <w:vAlign w:val="center"/>
          </w:tcPr>
          <w:p>
            <w:pPr>
              <w:jc w:val="center"/>
              <w:rPr>
                <w:rFonts w:ascii="宋体" w:hAnsi="宋体"/>
                <w:color w:val="000000"/>
                <w:sz w:val="18"/>
                <w:szCs w:val="18"/>
                <w:highlight w:val="none"/>
              </w:rPr>
            </w:pPr>
          </w:p>
        </w:tc>
        <w:tc>
          <w:tcPr>
            <w:tcW w:w="1100" w:type="dxa"/>
            <w:noWrap/>
            <w:vAlign w:val="center"/>
          </w:tcPr>
          <w:p>
            <w:pPr>
              <w:jc w:val="center"/>
              <w:rPr>
                <w:rFonts w:ascii="宋体" w:hAnsi="宋体"/>
                <w:color w:val="000000"/>
                <w:sz w:val="18"/>
                <w:szCs w:val="18"/>
                <w:highlight w:val="none"/>
              </w:rPr>
            </w:pPr>
          </w:p>
        </w:tc>
        <w:tc>
          <w:tcPr>
            <w:tcW w:w="1500"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4"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9</w:t>
            </w:r>
          </w:p>
        </w:tc>
        <w:tc>
          <w:tcPr>
            <w:tcW w:w="1047" w:type="dxa"/>
            <w:noWrap/>
            <w:vAlign w:val="center"/>
          </w:tcPr>
          <w:p>
            <w:pPr>
              <w:jc w:val="center"/>
              <w:rPr>
                <w:rFonts w:ascii="宋体" w:hAnsi="宋体"/>
                <w:color w:val="000000"/>
                <w:sz w:val="18"/>
                <w:szCs w:val="18"/>
                <w:highlight w:val="none"/>
              </w:rPr>
            </w:pPr>
          </w:p>
        </w:tc>
        <w:tc>
          <w:tcPr>
            <w:tcW w:w="904" w:type="dxa"/>
            <w:noWrap/>
            <w:vAlign w:val="center"/>
          </w:tcPr>
          <w:p>
            <w:pPr>
              <w:jc w:val="center"/>
              <w:rPr>
                <w:rFonts w:ascii="宋体" w:hAnsi="宋体"/>
                <w:color w:val="000000"/>
                <w:sz w:val="18"/>
                <w:szCs w:val="18"/>
                <w:highlight w:val="none"/>
              </w:rPr>
            </w:pPr>
          </w:p>
        </w:tc>
        <w:tc>
          <w:tcPr>
            <w:tcW w:w="825" w:type="dxa"/>
            <w:noWrap/>
            <w:vAlign w:val="center"/>
          </w:tcPr>
          <w:p>
            <w:pPr>
              <w:jc w:val="center"/>
              <w:rPr>
                <w:rFonts w:ascii="宋体" w:hAnsi="宋体"/>
                <w:color w:val="000000"/>
                <w:sz w:val="18"/>
                <w:szCs w:val="18"/>
                <w:highlight w:val="none"/>
              </w:rPr>
            </w:pPr>
          </w:p>
        </w:tc>
        <w:tc>
          <w:tcPr>
            <w:tcW w:w="1962" w:type="dxa"/>
            <w:noWrap/>
            <w:vAlign w:val="center"/>
          </w:tcPr>
          <w:p>
            <w:pPr>
              <w:jc w:val="center"/>
              <w:rPr>
                <w:rFonts w:ascii="宋体" w:hAnsi="宋体"/>
                <w:color w:val="000000"/>
                <w:sz w:val="18"/>
                <w:szCs w:val="18"/>
                <w:highlight w:val="none"/>
              </w:rPr>
            </w:pPr>
          </w:p>
        </w:tc>
        <w:tc>
          <w:tcPr>
            <w:tcW w:w="1100" w:type="dxa"/>
            <w:noWrap/>
            <w:vAlign w:val="center"/>
          </w:tcPr>
          <w:p>
            <w:pPr>
              <w:jc w:val="center"/>
              <w:rPr>
                <w:rFonts w:ascii="宋体" w:hAnsi="宋体"/>
                <w:color w:val="000000"/>
                <w:sz w:val="18"/>
                <w:szCs w:val="18"/>
                <w:highlight w:val="none"/>
              </w:rPr>
            </w:pPr>
          </w:p>
        </w:tc>
        <w:tc>
          <w:tcPr>
            <w:tcW w:w="1500"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4" w:type="dxa"/>
            <w:noWrap/>
            <w:vAlign w:val="center"/>
          </w:tcPr>
          <w:p>
            <w:pPr>
              <w:jc w:val="center"/>
              <w:rPr>
                <w:rFonts w:ascii="宋体" w:hAnsi="宋体"/>
                <w:color w:val="000000"/>
                <w:sz w:val="18"/>
                <w:szCs w:val="18"/>
                <w:highlight w:val="none"/>
              </w:rPr>
            </w:pPr>
            <w:r>
              <w:rPr>
                <w:rFonts w:hint="eastAsia" w:ascii="宋体" w:hAnsi="宋体"/>
                <w:color w:val="000000"/>
                <w:sz w:val="18"/>
                <w:szCs w:val="18"/>
                <w:highlight w:val="none"/>
              </w:rPr>
              <w:t>10</w:t>
            </w:r>
          </w:p>
        </w:tc>
        <w:tc>
          <w:tcPr>
            <w:tcW w:w="1047" w:type="dxa"/>
            <w:noWrap/>
            <w:vAlign w:val="center"/>
          </w:tcPr>
          <w:p>
            <w:pPr>
              <w:jc w:val="center"/>
              <w:rPr>
                <w:rFonts w:ascii="宋体" w:hAnsi="宋体"/>
                <w:color w:val="000000"/>
                <w:sz w:val="18"/>
                <w:szCs w:val="18"/>
                <w:highlight w:val="none"/>
              </w:rPr>
            </w:pPr>
          </w:p>
        </w:tc>
        <w:tc>
          <w:tcPr>
            <w:tcW w:w="904" w:type="dxa"/>
            <w:noWrap/>
            <w:vAlign w:val="center"/>
          </w:tcPr>
          <w:p>
            <w:pPr>
              <w:jc w:val="center"/>
              <w:rPr>
                <w:rFonts w:ascii="宋体" w:hAnsi="宋体"/>
                <w:color w:val="000000"/>
                <w:sz w:val="18"/>
                <w:szCs w:val="18"/>
                <w:highlight w:val="none"/>
              </w:rPr>
            </w:pPr>
          </w:p>
        </w:tc>
        <w:tc>
          <w:tcPr>
            <w:tcW w:w="825" w:type="dxa"/>
            <w:noWrap/>
            <w:vAlign w:val="center"/>
          </w:tcPr>
          <w:p>
            <w:pPr>
              <w:jc w:val="center"/>
              <w:rPr>
                <w:rFonts w:ascii="宋体" w:hAnsi="宋体"/>
                <w:color w:val="000000"/>
                <w:sz w:val="18"/>
                <w:szCs w:val="18"/>
                <w:highlight w:val="none"/>
              </w:rPr>
            </w:pPr>
          </w:p>
        </w:tc>
        <w:tc>
          <w:tcPr>
            <w:tcW w:w="1962" w:type="dxa"/>
            <w:noWrap/>
            <w:vAlign w:val="center"/>
          </w:tcPr>
          <w:p>
            <w:pPr>
              <w:jc w:val="center"/>
              <w:rPr>
                <w:rFonts w:ascii="宋体" w:hAnsi="宋体"/>
                <w:color w:val="000000"/>
                <w:sz w:val="18"/>
                <w:szCs w:val="18"/>
                <w:highlight w:val="none"/>
              </w:rPr>
            </w:pPr>
          </w:p>
        </w:tc>
        <w:tc>
          <w:tcPr>
            <w:tcW w:w="1100" w:type="dxa"/>
            <w:noWrap/>
            <w:vAlign w:val="center"/>
          </w:tcPr>
          <w:p>
            <w:pPr>
              <w:jc w:val="center"/>
              <w:rPr>
                <w:rFonts w:ascii="宋体" w:hAnsi="宋体"/>
                <w:color w:val="000000"/>
                <w:sz w:val="18"/>
                <w:szCs w:val="18"/>
                <w:highlight w:val="none"/>
              </w:rPr>
            </w:pPr>
          </w:p>
        </w:tc>
        <w:tc>
          <w:tcPr>
            <w:tcW w:w="1500" w:type="dxa"/>
            <w:noWrap/>
            <w:vAlign w:val="center"/>
          </w:tcPr>
          <w:p>
            <w:pPr>
              <w:jc w:val="center"/>
              <w:rPr>
                <w:rFonts w:ascii="宋体" w:hAnsi="宋体"/>
                <w:color w:val="000000"/>
                <w:sz w:val="18"/>
                <w:szCs w:val="1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4" w:type="dxa"/>
            <w:noWrap/>
            <w:vAlign w:val="center"/>
          </w:tcPr>
          <w:p>
            <w:pPr>
              <w:jc w:val="center"/>
              <w:rPr>
                <w:rFonts w:ascii="宋体" w:hAnsi="宋体"/>
                <w:color w:val="000000"/>
                <w:sz w:val="18"/>
                <w:szCs w:val="18"/>
                <w:highlight w:val="none"/>
              </w:rPr>
            </w:pPr>
            <w:r>
              <w:rPr>
                <w:rFonts w:ascii="宋体" w:hAnsi="宋体"/>
                <w:color w:val="000000"/>
                <w:sz w:val="18"/>
                <w:szCs w:val="18"/>
                <w:highlight w:val="none"/>
              </w:rPr>
              <w:t>……</w:t>
            </w:r>
          </w:p>
        </w:tc>
        <w:tc>
          <w:tcPr>
            <w:tcW w:w="1047" w:type="dxa"/>
            <w:noWrap/>
            <w:vAlign w:val="center"/>
          </w:tcPr>
          <w:p>
            <w:pPr>
              <w:jc w:val="center"/>
              <w:rPr>
                <w:rFonts w:ascii="宋体" w:hAnsi="宋体"/>
                <w:color w:val="000000"/>
                <w:sz w:val="18"/>
                <w:szCs w:val="18"/>
                <w:highlight w:val="none"/>
              </w:rPr>
            </w:pPr>
          </w:p>
        </w:tc>
        <w:tc>
          <w:tcPr>
            <w:tcW w:w="904" w:type="dxa"/>
            <w:noWrap/>
            <w:vAlign w:val="center"/>
          </w:tcPr>
          <w:p>
            <w:pPr>
              <w:jc w:val="center"/>
              <w:rPr>
                <w:rFonts w:ascii="宋体" w:hAnsi="宋体"/>
                <w:color w:val="000000"/>
                <w:sz w:val="18"/>
                <w:szCs w:val="18"/>
                <w:highlight w:val="none"/>
              </w:rPr>
            </w:pPr>
          </w:p>
        </w:tc>
        <w:tc>
          <w:tcPr>
            <w:tcW w:w="825" w:type="dxa"/>
            <w:noWrap/>
            <w:vAlign w:val="center"/>
          </w:tcPr>
          <w:p>
            <w:pPr>
              <w:jc w:val="center"/>
              <w:rPr>
                <w:rFonts w:ascii="宋体" w:hAnsi="宋体"/>
                <w:color w:val="000000"/>
                <w:sz w:val="18"/>
                <w:szCs w:val="18"/>
                <w:highlight w:val="none"/>
              </w:rPr>
            </w:pPr>
          </w:p>
        </w:tc>
        <w:tc>
          <w:tcPr>
            <w:tcW w:w="1962" w:type="dxa"/>
            <w:noWrap/>
            <w:vAlign w:val="center"/>
          </w:tcPr>
          <w:p>
            <w:pPr>
              <w:jc w:val="center"/>
              <w:rPr>
                <w:rFonts w:ascii="宋体" w:hAnsi="宋体"/>
                <w:color w:val="000000"/>
                <w:sz w:val="18"/>
                <w:szCs w:val="18"/>
                <w:highlight w:val="none"/>
              </w:rPr>
            </w:pPr>
          </w:p>
        </w:tc>
        <w:tc>
          <w:tcPr>
            <w:tcW w:w="1100" w:type="dxa"/>
            <w:noWrap/>
            <w:vAlign w:val="center"/>
          </w:tcPr>
          <w:p>
            <w:pPr>
              <w:jc w:val="center"/>
              <w:rPr>
                <w:rFonts w:ascii="宋体" w:hAnsi="宋体"/>
                <w:color w:val="000000"/>
                <w:sz w:val="18"/>
                <w:szCs w:val="18"/>
                <w:highlight w:val="none"/>
              </w:rPr>
            </w:pPr>
          </w:p>
        </w:tc>
        <w:tc>
          <w:tcPr>
            <w:tcW w:w="1500" w:type="dxa"/>
            <w:noWrap/>
            <w:vAlign w:val="center"/>
          </w:tcPr>
          <w:p>
            <w:pPr>
              <w:jc w:val="center"/>
              <w:rPr>
                <w:rFonts w:ascii="宋体" w:hAnsi="宋体"/>
                <w:color w:val="000000"/>
                <w:sz w:val="18"/>
                <w:szCs w:val="18"/>
                <w:highlight w:val="none"/>
              </w:rPr>
            </w:pPr>
          </w:p>
        </w:tc>
      </w:tr>
    </w:tbl>
    <w:p>
      <w:pPr>
        <w:spacing w:line="400" w:lineRule="exact"/>
        <w:rPr>
          <w:rFonts w:hint="eastAsia"/>
          <w:b/>
          <w:bCs/>
          <w:color w:val="000000"/>
          <w:sz w:val="24"/>
          <w:szCs w:val="24"/>
          <w:highlight w:val="none"/>
        </w:rPr>
      </w:pPr>
    </w:p>
    <w:p>
      <w:pPr>
        <w:spacing w:line="400" w:lineRule="exact"/>
        <w:rPr>
          <w:b/>
          <w:bCs/>
          <w:color w:val="000000"/>
          <w:sz w:val="24"/>
          <w:szCs w:val="24"/>
          <w:highlight w:val="none"/>
        </w:rPr>
      </w:pPr>
      <w:r>
        <w:rPr>
          <w:rFonts w:hint="eastAsia"/>
          <w:b/>
          <w:bCs/>
          <w:color w:val="000000"/>
          <w:sz w:val="24"/>
          <w:szCs w:val="24"/>
          <w:highlight w:val="none"/>
        </w:rPr>
        <w:t>法定代表人或法定代表人授权代表签字或盖章：</w:t>
      </w:r>
    </w:p>
    <w:p>
      <w:pPr>
        <w:pStyle w:val="269"/>
        <w:spacing w:line="240" w:lineRule="auto"/>
        <w:jc w:val="left"/>
        <w:rPr>
          <w:rFonts w:hint="eastAsia"/>
          <w:color w:val="000000"/>
          <w:sz w:val="21"/>
          <w:szCs w:val="21"/>
          <w:highlight w:val="none"/>
        </w:rPr>
      </w:pPr>
    </w:p>
    <w:p>
      <w:pPr>
        <w:pStyle w:val="269"/>
        <w:spacing w:line="240" w:lineRule="auto"/>
        <w:jc w:val="left"/>
        <w:rPr>
          <w:rFonts w:hint="eastAsia"/>
          <w:color w:val="000000"/>
          <w:sz w:val="21"/>
          <w:szCs w:val="21"/>
          <w:highlight w:val="none"/>
        </w:rPr>
      </w:pPr>
    </w:p>
    <w:p>
      <w:pPr>
        <w:pStyle w:val="269"/>
        <w:spacing w:line="240" w:lineRule="auto"/>
        <w:jc w:val="left"/>
        <w:rPr>
          <w:color w:val="000000"/>
          <w:sz w:val="21"/>
          <w:szCs w:val="21"/>
          <w:highlight w:val="none"/>
        </w:rPr>
      </w:pPr>
      <w:r>
        <w:rPr>
          <w:rFonts w:hint="eastAsia"/>
          <w:color w:val="000000"/>
          <w:sz w:val="21"/>
          <w:szCs w:val="21"/>
          <w:highlight w:val="none"/>
        </w:rPr>
        <w:t>注：1.表格不够可自行延长。</w:t>
      </w:r>
    </w:p>
    <w:p>
      <w:pPr>
        <w:pStyle w:val="269"/>
        <w:spacing w:line="240" w:lineRule="auto"/>
        <w:jc w:val="left"/>
        <w:rPr>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t xml:space="preserve">  2.</w:t>
      </w:r>
      <w:r>
        <w:rPr>
          <w:rFonts w:hint="eastAsia"/>
          <w:color w:val="auto"/>
          <w:sz w:val="21"/>
          <w:szCs w:val="21"/>
          <w:highlight w:val="none"/>
        </w:rPr>
        <w:t>人员</w:t>
      </w:r>
      <w:r>
        <w:rPr>
          <w:rFonts w:hint="eastAsia"/>
          <w:color w:val="auto"/>
          <w:sz w:val="21"/>
          <w:szCs w:val="21"/>
          <w:highlight w:val="none"/>
          <w:lang w:val="en-US" w:eastAsia="zh-CN"/>
        </w:rPr>
        <w:t>按招标文件要求提供驾驶货车(即B2或以上)的驾驶证</w:t>
      </w:r>
      <w:r>
        <w:rPr>
          <w:rFonts w:hint="eastAsia"/>
          <w:color w:val="auto"/>
          <w:sz w:val="21"/>
          <w:szCs w:val="21"/>
          <w:highlight w:val="none"/>
        </w:rPr>
        <w:t>，</w:t>
      </w:r>
      <w:r>
        <w:rPr>
          <w:rFonts w:hint="eastAsia"/>
          <w:color w:val="auto"/>
          <w:sz w:val="21"/>
          <w:szCs w:val="21"/>
          <w:highlight w:val="none"/>
          <w:lang w:val="en-US" w:eastAsia="zh-CN"/>
        </w:rPr>
        <w:t>并提供</w:t>
      </w:r>
      <w:r>
        <w:rPr>
          <w:rFonts w:hint="eastAsia"/>
          <w:color w:val="auto"/>
          <w:sz w:val="21"/>
          <w:szCs w:val="21"/>
          <w:highlight w:val="none"/>
        </w:rPr>
        <w:t>劳动合同和由社保机构出具的近一年中任意一个月份(不含投标当月) 的缴费证明</w:t>
      </w:r>
      <w:r>
        <w:rPr>
          <w:rFonts w:hint="eastAsia"/>
          <w:color w:val="auto"/>
          <w:sz w:val="21"/>
          <w:szCs w:val="21"/>
          <w:highlight w:val="none"/>
          <w:lang w:eastAsia="zh-CN"/>
        </w:rPr>
        <w:t>，</w:t>
      </w:r>
      <w:r>
        <w:rPr>
          <w:rFonts w:hint="eastAsia"/>
          <w:color w:val="auto"/>
          <w:sz w:val="21"/>
          <w:szCs w:val="21"/>
          <w:highlight w:val="none"/>
        </w:rPr>
        <w:t>附在本表之后</w:t>
      </w:r>
      <w:r>
        <w:rPr>
          <w:rFonts w:hint="eastAsia"/>
          <w:color w:val="000000"/>
          <w:sz w:val="21"/>
          <w:szCs w:val="21"/>
          <w:highlight w:val="none"/>
        </w:rPr>
        <w:t>。</w:t>
      </w:r>
    </w:p>
    <w:p>
      <w:pPr>
        <w:numPr>
          <w:ilvl w:val="0"/>
          <w:numId w:val="0"/>
        </w:numPr>
        <w:spacing w:line="560" w:lineRule="exact"/>
        <w:rPr>
          <w:rFonts w:hint="eastAsia" w:ascii="黑体" w:hAnsi="宋体" w:eastAsia="黑体"/>
          <w:bCs/>
          <w:color w:val="000000"/>
          <w:sz w:val="24"/>
          <w:szCs w:val="24"/>
          <w:highlight w:val="none"/>
        </w:rPr>
      </w:pPr>
    </w:p>
    <w:p>
      <w:pPr>
        <w:spacing w:line="560" w:lineRule="exact"/>
        <w:ind w:firstLine="480"/>
        <w:rPr>
          <w:rFonts w:hint="eastAsia" w:ascii="宋体" w:hAnsi="宋体" w:eastAsia="宋体" w:cs="宋体"/>
          <w:sz w:val="24"/>
          <w:szCs w:val="24"/>
          <w:highlight w:val="none"/>
        </w:rPr>
      </w:pPr>
    </w:p>
    <w:p>
      <w:pPr>
        <w:spacing w:line="560" w:lineRule="exact"/>
        <w:ind w:firstLine="480"/>
        <w:rPr>
          <w:rFonts w:hint="eastAsia" w:ascii="宋体" w:hAnsi="宋体" w:eastAsia="宋体" w:cs="宋体"/>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ind w:firstLine="480"/>
        <w:outlineLvl w:val="2"/>
        <w:rPr>
          <w:rFonts w:hint="eastAsia" w:ascii="宋体" w:hAnsi="宋体" w:cs="宋体"/>
          <w:b/>
          <w:bCs/>
          <w:color w:val="000000"/>
          <w:sz w:val="24"/>
          <w:szCs w:val="24"/>
          <w:highlight w:val="none"/>
        </w:rPr>
      </w:pPr>
    </w:p>
    <w:p>
      <w:pPr>
        <w:spacing w:line="400" w:lineRule="exact"/>
        <w:outlineLvl w:val="2"/>
        <w:rPr>
          <w:rFonts w:ascii="黑体" w:hAnsi="宋体" w:eastAsia="黑体"/>
          <w:bCs/>
          <w:color w:val="000000"/>
          <w:sz w:val="24"/>
          <w:szCs w:val="24"/>
          <w:highlight w:val="none"/>
        </w:rPr>
      </w:pPr>
      <w:r>
        <w:rPr>
          <w:rFonts w:hint="eastAsia" w:ascii="黑体" w:hAnsi="宋体" w:eastAsia="黑体"/>
          <w:bCs/>
          <w:color w:val="000000"/>
          <w:sz w:val="24"/>
          <w:szCs w:val="24"/>
          <w:highlight w:val="none"/>
        </w:rPr>
        <w:t>（</w:t>
      </w:r>
      <w:r>
        <w:rPr>
          <w:rFonts w:hint="eastAsia" w:ascii="黑体" w:hAnsi="宋体" w:eastAsia="黑体"/>
          <w:bCs/>
          <w:color w:val="000000"/>
          <w:sz w:val="24"/>
          <w:szCs w:val="24"/>
          <w:highlight w:val="none"/>
          <w:lang w:val="en-US" w:eastAsia="zh-CN"/>
        </w:rPr>
        <w:t>九</w:t>
      </w:r>
      <w:r>
        <w:rPr>
          <w:rFonts w:hint="eastAsia" w:ascii="黑体" w:hAnsi="宋体" w:eastAsia="黑体"/>
          <w:bCs/>
          <w:color w:val="000000"/>
          <w:sz w:val="24"/>
          <w:szCs w:val="24"/>
          <w:highlight w:val="none"/>
        </w:rPr>
        <w:t>）</w:t>
      </w:r>
      <w:bookmarkEnd w:id="18"/>
      <w:bookmarkEnd w:id="19"/>
      <w:r>
        <w:rPr>
          <w:rFonts w:hint="eastAsia" w:ascii="黑体" w:hAnsi="宋体" w:eastAsia="黑体"/>
          <w:bCs/>
          <w:color w:val="000000"/>
          <w:sz w:val="24"/>
          <w:szCs w:val="24"/>
          <w:highlight w:val="none"/>
        </w:rPr>
        <w:t>投标偏离表（格式）：</w:t>
      </w:r>
    </w:p>
    <w:p>
      <w:pPr>
        <w:ind w:firstLine="490"/>
        <w:jc w:val="center"/>
        <w:rPr>
          <w:rFonts w:ascii="黑体" w:eastAsia="黑体"/>
          <w:bCs/>
          <w:color w:val="000000"/>
          <w:sz w:val="28"/>
          <w:szCs w:val="28"/>
          <w:highlight w:val="none"/>
        </w:rPr>
      </w:pPr>
    </w:p>
    <w:p>
      <w:pPr>
        <w:ind w:firstLine="490"/>
        <w:jc w:val="center"/>
        <w:rPr>
          <w:rFonts w:ascii="黑体" w:eastAsia="黑体"/>
          <w:bCs/>
          <w:color w:val="000000"/>
          <w:sz w:val="28"/>
          <w:szCs w:val="28"/>
          <w:highlight w:val="none"/>
        </w:rPr>
      </w:pPr>
    </w:p>
    <w:p>
      <w:pPr>
        <w:ind w:firstLine="490"/>
        <w:jc w:val="center"/>
        <w:rPr>
          <w:rFonts w:ascii="黑体" w:eastAsia="黑体"/>
          <w:bCs/>
          <w:color w:val="000000"/>
          <w:sz w:val="28"/>
          <w:szCs w:val="28"/>
          <w:highlight w:val="none"/>
        </w:rPr>
      </w:pPr>
      <w:r>
        <w:rPr>
          <w:rFonts w:hint="eastAsia" w:ascii="黑体" w:eastAsia="黑体"/>
          <w:bCs/>
          <w:color w:val="000000"/>
          <w:sz w:val="28"/>
          <w:szCs w:val="28"/>
          <w:highlight w:val="none"/>
        </w:rPr>
        <w:t>投标偏离表</w:t>
      </w:r>
    </w:p>
    <w:p>
      <w:pPr>
        <w:spacing w:line="400" w:lineRule="exact"/>
        <w:jc w:val="center"/>
        <w:rPr>
          <w:rFonts w:ascii="黑体" w:eastAsia="黑体"/>
          <w:bCs/>
          <w:color w:val="000000"/>
          <w:sz w:val="28"/>
          <w:szCs w:val="28"/>
          <w:highlight w:val="none"/>
        </w:rPr>
      </w:pPr>
    </w:p>
    <w:p>
      <w:pPr>
        <w:spacing w:line="400" w:lineRule="exact"/>
        <w:jc w:val="center"/>
        <w:rPr>
          <w:rFonts w:ascii="黑体" w:eastAsia="黑体"/>
          <w:bCs/>
          <w:color w:val="000000"/>
          <w:sz w:val="28"/>
          <w:szCs w:val="28"/>
          <w:highlight w:val="none"/>
        </w:rPr>
      </w:pP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投标人名称（盖章）  采购项目编号：</w:t>
      </w:r>
    </w:p>
    <w:tbl>
      <w:tblPr>
        <w:tblStyle w:val="35"/>
        <w:tblW w:w="9885" w:type="dxa"/>
        <w:tblInd w:w="-15" w:type="dxa"/>
        <w:tblLayout w:type="fixed"/>
        <w:tblCellMar>
          <w:top w:w="15" w:type="dxa"/>
          <w:left w:w="15" w:type="dxa"/>
          <w:bottom w:w="0" w:type="dxa"/>
          <w:right w:w="15" w:type="dxa"/>
        </w:tblCellMar>
      </w:tblPr>
      <w:tblGrid>
        <w:gridCol w:w="1905"/>
        <w:gridCol w:w="2835"/>
        <w:gridCol w:w="2835"/>
        <w:gridCol w:w="2310"/>
      </w:tblGrid>
      <w:tr>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
                <w:bCs/>
                <w:color w:val="000000"/>
                <w:sz w:val="24"/>
                <w:szCs w:val="24"/>
                <w:highlight w:val="none"/>
              </w:rPr>
            </w:pPr>
            <w:r>
              <w:rPr>
                <w:rFonts w:hint="eastAsia" w:ascii="宋体" w:hAnsi="宋体"/>
                <w:b/>
                <w:bCs/>
                <w:color w:val="000000"/>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b/>
                <w:bCs/>
                <w:color w:val="000000"/>
                <w:sz w:val="24"/>
                <w:szCs w:val="24"/>
                <w:highlight w:val="none"/>
              </w:rPr>
            </w:pPr>
            <w:r>
              <w:rPr>
                <w:rFonts w:hint="eastAsia" w:ascii="宋体" w:hAnsi="宋体"/>
                <w:b/>
                <w:bCs/>
                <w:color w:val="000000"/>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b/>
                <w:bCs/>
                <w:color w:val="000000"/>
                <w:sz w:val="24"/>
                <w:szCs w:val="24"/>
                <w:highlight w:val="none"/>
              </w:rPr>
            </w:pPr>
            <w:r>
              <w:rPr>
                <w:rFonts w:hint="eastAsia" w:ascii="宋体" w:hAnsi="宋体"/>
                <w:b/>
                <w:bCs/>
                <w:color w:val="000000"/>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b/>
                <w:bCs/>
                <w:color w:val="000000"/>
                <w:sz w:val="24"/>
                <w:szCs w:val="24"/>
                <w:highlight w:val="none"/>
              </w:rPr>
            </w:pPr>
            <w:r>
              <w:rPr>
                <w:rFonts w:hint="eastAsia" w:ascii="宋体" w:hAnsi="宋体"/>
                <w:b/>
                <w:bCs/>
                <w:color w:val="000000"/>
                <w:sz w:val="24"/>
                <w:szCs w:val="24"/>
                <w:highlight w:val="none"/>
              </w:rPr>
              <w:t>偏离说明</w:t>
            </w: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bCs/>
                <w:color w:val="000000"/>
                <w:highlight w:val="none"/>
              </w:rPr>
            </w:pPr>
          </w:p>
        </w:tc>
      </w:tr>
    </w:tbl>
    <w:p>
      <w:pPr>
        <w:rPr>
          <w:rFonts w:ascii="宋体"/>
          <w:b/>
          <w:color w:val="000000"/>
          <w:sz w:val="24"/>
          <w:szCs w:val="24"/>
          <w:highlight w:val="none"/>
        </w:rPr>
      </w:pPr>
    </w:p>
    <w:p>
      <w:pPr>
        <w:rPr>
          <w:b/>
          <w:bCs/>
          <w:color w:val="000000"/>
          <w:sz w:val="24"/>
          <w:szCs w:val="24"/>
          <w:highlight w:val="none"/>
        </w:rPr>
      </w:pPr>
      <w:r>
        <w:rPr>
          <w:rFonts w:hint="eastAsia"/>
          <w:b/>
          <w:bCs/>
          <w:color w:val="000000"/>
          <w:sz w:val="24"/>
          <w:szCs w:val="24"/>
          <w:highlight w:val="none"/>
        </w:rPr>
        <w:t>法定代表人或法定代表人授权代表签字或盖章：</w:t>
      </w:r>
    </w:p>
    <w:p>
      <w:pPr>
        <w:rPr>
          <w:rFonts w:ascii="宋体"/>
          <w:bCs/>
          <w:color w:val="000000"/>
          <w:sz w:val="30"/>
          <w:highlight w:val="none"/>
        </w:rPr>
      </w:pPr>
    </w:p>
    <w:p>
      <w:pPr>
        <w:rPr>
          <w:rFonts w:ascii="宋体" w:hAnsi="宋体"/>
          <w:bCs/>
          <w:color w:val="000000"/>
          <w:sz w:val="24"/>
          <w:szCs w:val="24"/>
          <w:highlight w:val="none"/>
        </w:rPr>
      </w:pPr>
      <w:r>
        <w:rPr>
          <w:rFonts w:hint="eastAsia" w:ascii="宋体" w:hAnsi="宋体"/>
          <w:bCs/>
          <w:color w:val="000000"/>
          <w:sz w:val="24"/>
          <w:szCs w:val="24"/>
          <w:highlight w:val="none"/>
        </w:rPr>
        <w:t>注：（</w:t>
      </w:r>
      <w:r>
        <w:rPr>
          <w:rFonts w:ascii="宋体" w:hAnsi="宋体"/>
          <w:bCs/>
          <w:color w:val="000000"/>
          <w:sz w:val="24"/>
          <w:szCs w:val="24"/>
          <w:highlight w:val="none"/>
        </w:rPr>
        <w:t>1</w:t>
      </w:r>
      <w:r>
        <w:rPr>
          <w:rFonts w:hint="eastAsia" w:ascii="宋体" w:hAnsi="宋体"/>
          <w:bCs/>
          <w:color w:val="000000"/>
          <w:sz w:val="24"/>
          <w:szCs w:val="24"/>
          <w:highlight w:val="none"/>
        </w:rPr>
        <w:t>）本表不得删除；</w:t>
      </w:r>
    </w:p>
    <w:p>
      <w:pPr>
        <w:ind w:firstLine="480"/>
        <w:rPr>
          <w:rFonts w:ascii="宋体" w:hAnsi="宋体"/>
          <w:bCs/>
          <w:color w:val="000000"/>
          <w:sz w:val="24"/>
          <w:szCs w:val="24"/>
          <w:highlight w:val="none"/>
        </w:rPr>
      </w:pPr>
      <w:r>
        <w:rPr>
          <w:rFonts w:hint="eastAsia" w:ascii="宋体" w:hAnsi="宋体"/>
          <w:bCs/>
          <w:color w:val="000000"/>
          <w:sz w:val="24"/>
          <w:szCs w:val="24"/>
          <w:highlight w:val="none"/>
        </w:rPr>
        <w:t>（</w:t>
      </w:r>
      <w:r>
        <w:rPr>
          <w:rFonts w:ascii="宋体" w:hAnsi="宋体"/>
          <w:bCs/>
          <w:color w:val="000000"/>
          <w:sz w:val="24"/>
          <w:szCs w:val="24"/>
          <w:highlight w:val="none"/>
        </w:rPr>
        <w:t>2</w:t>
      </w:r>
      <w:r>
        <w:rPr>
          <w:rFonts w:hint="eastAsia" w:ascii="宋体" w:hAnsi="宋体"/>
          <w:bCs/>
          <w:color w:val="000000"/>
          <w:sz w:val="24"/>
          <w:szCs w:val="24"/>
          <w:highlight w:val="none"/>
        </w:rPr>
        <w:t>）如无任何服务偏离，请于本表 “偏离说明”中注明“无偏离”；</w:t>
      </w:r>
    </w:p>
    <w:p>
      <w:pPr>
        <w:ind w:firstLine="480" w:firstLineChars="200"/>
        <w:rPr>
          <w:rFonts w:ascii="宋体"/>
          <w:bCs/>
          <w:color w:val="000000"/>
          <w:sz w:val="24"/>
          <w:szCs w:val="24"/>
          <w:highlight w:val="none"/>
        </w:rPr>
      </w:pPr>
      <w:r>
        <w:rPr>
          <w:rFonts w:hint="eastAsia" w:ascii="宋体" w:hAnsi="宋体"/>
          <w:bCs/>
          <w:color w:val="000000"/>
          <w:sz w:val="24"/>
          <w:szCs w:val="24"/>
          <w:highlight w:val="none"/>
        </w:rPr>
        <w:t>（3）如有服务偏离项，请于本表中列明偏离内容，如需要可自行延长，其余无偏离内容不须赘述。</w:t>
      </w:r>
    </w:p>
    <w:p>
      <w:pPr>
        <w:ind w:firstLine="420"/>
        <w:rPr>
          <w:rFonts w:ascii="黑体" w:hAnsi="宋体" w:eastAsia="黑体"/>
          <w:bCs/>
          <w:color w:val="000000"/>
          <w:sz w:val="24"/>
          <w:szCs w:val="24"/>
          <w:highlight w:val="none"/>
        </w:rPr>
      </w:pPr>
    </w:p>
    <w:p>
      <w:pPr>
        <w:spacing w:line="360" w:lineRule="exact"/>
        <w:rPr>
          <w:rFonts w:ascii="宋体" w:hAnsi="宋体"/>
          <w:color w:val="000000"/>
          <w:sz w:val="24"/>
          <w:szCs w:val="24"/>
          <w:highlight w:val="none"/>
        </w:rPr>
      </w:pPr>
    </w:p>
    <w:p>
      <w:pPr>
        <w:rPr>
          <w:rFonts w:ascii="黑体" w:hAnsi="宋体" w:eastAsia="黑体"/>
          <w:bCs/>
          <w:color w:val="000000"/>
          <w:sz w:val="24"/>
          <w:szCs w:val="24"/>
          <w:highlight w:val="none"/>
        </w:rPr>
      </w:pPr>
      <w:r>
        <w:rPr>
          <w:rFonts w:ascii="宋体" w:hAnsi="宋体" w:eastAsia="宋体"/>
          <w:color w:val="000000"/>
          <w:sz w:val="24"/>
          <w:szCs w:val="24"/>
          <w:highlight w:val="none"/>
        </w:rPr>
        <w:br w:type="page" w:clear="all"/>
      </w:r>
    </w:p>
    <w:p>
      <w:pPr>
        <w:pStyle w:val="227"/>
        <w:outlineLvl w:val="2"/>
        <w:rPr>
          <w:rFonts w:ascii="黑体" w:hAnsi="宋体" w:eastAsia="黑体"/>
          <w:color w:val="000000"/>
          <w:sz w:val="24"/>
          <w:szCs w:val="24"/>
          <w:highlight w:val="none"/>
        </w:rPr>
      </w:pPr>
      <w:r>
        <w:rPr>
          <w:rFonts w:hint="eastAsia" w:ascii="黑体" w:hAnsi="宋体" w:eastAsia="黑体"/>
          <w:color w:val="000000"/>
          <w:sz w:val="24"/>
          <w:szCs w:val="24"/>
          <w:highlight w:val="none"/>
        </w:rPr>
        <w:t>（</w:t>
      </w:r>
      <w:r>
        <w:rPr>
          <w:rFonts w:hint="eastAsia" w:ascii="黑体" w:hAnsi="宋体" w:eastAsia="黑体"/>
          <w:color w:val="000000"/>
          <w:sz w:val="24"/>
          <w:szCs w:val="24"/>
          <w:highlight w:val="none"/>
          <w:lang w:val="en-US" w:eastAsia="zh-CN"/>
        </w:rPr>
        <w:t>十</w:t>
      </w:r>
      <w:r>
        <w:rPr>
          <w:rFonts w:hint="eastAsia" w:ascii="黑体" w:hAnsi="宋体" w:eastAsia="黑体"/>
          <w:color w:val="000000"/>
          <w:sz w:val="24"/>
          <w:szCs w:val="24"/>
          <w:highlight w:val="none"/>
        </w:rPr>
        <w:t>）承诺书（格式）：</w:t>
      </w:r>
    </w:p>
    <w:p>
      <w:pPr>
        <w:jc w:val="center"/>
        <w:rPr>
          <w:rFonts w:ascii="宋体" w:hAnsi="宋体" w:cs="宋体"/>
          <w:b/>
          <w:color w:val="000000"/>
          <w:sz w:val="24"/>
          <w:szCs w:val="24"/>
          <w:highlight w:val="none"/>
        </w:rPr>
      </w:pPr>
    </w:p>
    <w:p>
      <w:pPr>
        <w:jc w:val="center"/>
        <w:rPr>
          <w:rFonts w:ascii="宋体" w:hAnsi="宋体" w:cs="宋体"/>
          <w:b/>
          <w:color w:val="000000"/>
          <w:sz w:val="24"/>
          <w:szCs w:val="24"/>
          <w:highlight w:val="none"/>
        </w:rPr>
      </w:pP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承诺书一(格式)</w:t>
      </w:r>
    </w:p>
    <w:p>
      <w:pPr>
        <w:rPr>
          <w:rFonts w:ascii="宋体" w:hAnsi="宋体"/>
          <w:color w:val="000000"/>
          <w:highlight w:val="none"/>
        </w:rPr>
      </w:pPr>
    </w:p>
    <w:p>
      <w:pPr>
        <w:spacing w:line="360" w:lineRule="auto"/>
        <w:rPr>
          <w:rFonts w:ascii="宋体" w:hAnsi="宋体"/>
          <w:color w:val="000000"/>
          <w:sz w:val="24"/>
          <w:highlight w:val="none"/>
        </w:rPr>
      </w:pPr>
      <w:r>
        <w:rPr>
          <w:rFonts w:hint="eastAsia" w:ascii="宋体" w:hAnsi="宋体"/>
          <w:color w:val="000000"/>
          <w:sz w:val="24"/>
          <w:highlight w:val="none"/>
        </w:rPr>
        <w:t>致：</w:t>
      </w:r>
      <w:r>
        <w:rPr>
          <w:rFonts w:hint="eastAsia" w:ascii="宋体" w:hAnsi="宋体"/>
          <w:color w:val="000000"/>
          <w:sz w:val="24"/>
          <w:highlight w:val="none"/>
          <w:u w:val="single"/>
        </w:rPr>
        <w:t xml:space="preserve">    （采购人名称）           </w:t>
      </w:r>
    </w:p>
    <w:p>
      <w:pPr>
        <w:spacing w:before="240" w:line="360" w:lineRule="auto"/>
        <w:ind w:firstLine="480"/>
        <w:rPr>
          <w:rFonts w:ascii="宋体" w:hAnsi="宋体"/>
          <w:color w:val="000000"/>
          <w:sz w:val="24"/>
          <w:highlight w:val="none"/>
        </w:rPr>
      </w:pPr>
      <w:r>
        <w:rPr>
          <w:rFonts w:hint="eastAsia" w:ascii="宋体" w:hAnsi="宋体"/>
          <w:color w:val="000000"/>
          <w:sz w:val="24"/>
          <w:highlight w:val="none"/>
        </w:rPr>
        <w:t>我公司自愿参加贵单位（公司）项目的招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响应文件中的内容没有隐瞒、虚假、伪造等弄虚作假行为。若发现该行为，贵公司可以拒绝我公司投标报价，如已中标，可取消我公司中标资格，并接受政府采购主管部门对我公司弄虚作假、违反公平和诚实信用原则做出的任何处理。</w:t>
      </w:r>
    </w:p>
    <w:p>
      <w:pPr>
        <w:spacing w:before="240" w:line="360" w:lineRule="auto"/>
        <w:ind w:firstLine="480"/>
        <w:rPr>
          <w:rFonts w:ascii="宋体" w:hAnsi="宋体"/>
          <w:color w:val="000000"/>
          <w:sz w:val="24"/>
          <w:highlight w:val="none"/>
        </w:rPr>
      </w:pPr>
    </w:p>
    <w:p>
      <w:pPr>
        <w:spacing w:before="240" w:line="360" w:lineRule="auto"/>
        <w:ind w:firstLine="480"/>
        <w:rPr>
          <w:rFonts w:ascii="宋体" w:hAnsi="宋体"/>
          <w:color w:val="000000"/>
          <w:sz w:val="24"/>
          <w:highlight w:val="none"/>
        </w:rPr>
      </w:pPr>
    </w:p>
    <w:p>
      <w:pPr>
        <w:spacing w:before="240" w:line="360" w:lineRule="auto"/>
        <w:ind w:firstLine="480"/>
        <w:rPr>
          <w:rFonts w:ascii="宋体" w:hAnsi="宋体"/>
          <w:color w:val="000000"/>
          <w:sz w:val="24"/>
          <w:highlight w:val="none"/>
        </w:rPr>
      </w:pPr>
    </w:p>
    <w:p>
      <w:pPr>
        <w:spacing w:before="240" w:line="360" w:lineRule="auto"/>
        <w:ind w:firstLine="480"/>
        <w:rPr>
          <w:rFonts w:ascii="宋体" w:hAnsi="宋体"/>
          <w:color w:val="000000"/>
          <w:sz w:val="24"/>
          <w:highlight w:val="none"/>
        </w:rPr>
      </w:pPr>
    </w:p>
    <w:p>
      <w:pPr>
        <w:spacing w:before="240" w:line="360" w:lineRule="auto"/>
        <w:ind w:right="480" w:firstLine="3240"/>
        <w:rPr>
          <w:rFonts w:ascii="宋体" w:hAnsi="宋体"/>
          <w:color w:val="000000"/>
          <w:sz w:val="24"/>
          <w:highlight w:val="none"/>
        </w:rPr>
      </w:pPr>
      <w:r>
        <w:rPr>
          <w:rFonts w:hint="eastAsia" w:ascii="宋体" w:hAnsi="宋体"/>
          <w:color w:val="000000"/>
          <w:sz w:val="24"/>
          <w:highlight w:val="none"/>
        </w:rPr>
        <w:t xml:space="preserve">          投标供应商：（公章）</w:t>
      </w:r>
    </w:p>
    <w:p>
      <w:pPr>
        <w:spacing w:before="240" w:line="360" w:lineRule="auto"/>
        <w:ind w:firstLine="480"/>
        <w:jc w:val="right"/>
        <w:rPr>
          <w:color w:val="000000"/>
          <w:sz w:val="24"/>
          <w:highlight w:val="none"/>
        </w:rPr>
      </w:pPr>
      <w:r>
        <w:rPr>
          <w:rFonts w:ascii="宋体" w:hAnsi="宋体"/>
          <w:color w:val="000000"/>
          <w:sz w:val="24"/>
          <w:highlight w:val="none"/>
        </w:rPr>
        <w:t>法定代表人</w:t>
      </w:r>
      <w:r>
        <w:rPr>
          <w:rFonts w:hint="eastAsia" w:ascii="宋体" w:hAnsi="宋体"/>
          <w:color w:val="000000"/>
          <w:sz w:val="24"/>
          <w:highlight w:val="none"/>
        </w:rPr>
        <w:t>或其授权代理人</w:t>
      </w:r>
      <w:r>
        <w:rPr>
          <w:rFonts w:ascii="宋体" w:hAnsi="宋体"/>
          <w:color w:val="000000"/>
          <w:sz w:val="24"/>
          <w:highlight w:val="none"/>
        </w:rPr>
        <w:t>：   （签字</w:t>
      </w:r>
      <w:r>
        <w:rPr>
          <w:rFonts w:hint="eastAsia" w:ascii="宋体" w:hAnsi="宋体"/>
          <w:color w:val="000000"/>
          <w:sz w:val="24"/>
          <w:highlight w:val="none"/>
        </w:rPr>
        <w:t>或盖章</w:t>
      </w:r>
      <w:r>
        <w:rPr>
          <w:rFonts w:ascii="宋体" w:hAnsi="宋体"/>
          <w:color w:val="000000"/>
          <w:sz w:val="24"/>
          <w:highlight w:val="none"/>
        </w:rPr>
        <w:t>）</w:t>
      </w:r>
    </w:p>
    <w:p>
      <w:pPr>
        <w:spacing w:before="240" w:line="360" w:lineRule="auto"/>
        <w:ind w:right="480" w:firstLine="480"/>
        <w:jc w:val="center"/>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t xml:space="preserve">   </w:t>
      </w:r>
    </w:p>
    <w:p>
      <w:pPr>
        <w:spacing w:before="240" w:line="360" w:lineRule="auto"/>
        <w:ind w:right="480" w:firstLine="480"/>
        <w:jc w:val="center"/>
        <w:rPr>
          <w:rFonts w:ascii="宋体" w:hAnsi="宋体"/>
          <w:color w:val="000000"/>
          <w:sz w:val="24"/>
          <w:highlight w:val="none"/>
        </w:rPr>
      </w:pP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承诺书二（廉洁承诺书格式）</w:t>
      </w:r>
    </w:p>
    <w:p>
      <w:pPr>
        <w:spacing w:line="520" w:lineRule="exact"/>
        <w:ind w:firstLine="480"/>
        <w:rPr>
          <w:rFonts w:ascii="宋体" w:hAnsi="宋体"/>
          <w:color w:val="000000"/>
          <w:sz w:val="24"/>
          <w:highlight w:val="none"/>
        </w:rPr>
      </w:pPr>
      <w:r>
        <w:rPr>
          <w:rFonts w:hint="eastAsia" w:ascii="宋体" w:hAnsi="宋体"/>
          <w:color w:val="000000"/>
          <w:sz w:val="24"/>
          <w:highlight w:val="none"/>
        </w:rPr>
        <w:t>为了积极配合贵单位为平台的招标工作，有效遏制不公平竞争和违规违纪问题的发生，确保招标工作的公平、公正、公开，我们保证认真贯彻《招投标法》等相关规定以及相关廉洁要求，特向贵单位承诺如下事项：</w:t>
      </w:r>
    </w:p>
    <w:p>
      <w:pPr>
        <w:spacing w:line="520" w:lineRule="exact"/>
        <w:ind w:firstLine="480"/>
        <w:rPr>
          <w:rFonts w:ascii="宋体" w:hAnsi="宋体"/>
          <w:color w:val="000000"/>
          <w:sz w:val="24"/>
          <w:highlight w:val="none"/>
        </w:rPr>
      </w:pPr>
      <w:r>
        <w:rPr>
          <w:rFonts w:hint="eastAsia" w:ascii="宋体" w:hAnsi="宋体"/>
          <w:color w:val="000000"/>
          <w:sz w:val="24"/>
          <w:highlight w:val="none"/>
        </w:rPr>
        <w:t>1、自觉遵守国家法律法规及有关廉政建设制度。</w:t>
      </w:r>
    </w:p>
    <w:p>
      <w:pPr>
        <w:spacing w:line="520" w:lineRule="exact"/>
        <w:ind w:firstLine="480"/>
        <w:rPr>
          <w:rFonts w:ascii="宋体" w:hAnsi="宋体"/>
          <w:color w:val="000000"/>
          <w:sz w:val="24"/>
          <w:highlight w:val="none"/>
        </w:rPr>
      </w:pPr>
      <w:r>
        <w:rPr>
          <w:rFonts w:hint="eastAsia" w:ascii="宋体" w:hAnsi="宋体"/>
          <w:color w:val="000000"/>
          <w:sz w:val="24"/>
          <w:highlight w:val="none"/>
        </w:rPr>
        <w:t>2、主动了解贵单位招投标纪律，积极配合贵单位执行招投标廉政建设的有关规定。</w:t>
      </w:r>
    </w:p>
    <w:p>
      <w:pPr>
        <w:spacing w:line="520" w:lineRule="exact"/>
        <w:ind w:firstLine="480"/>
        <w:rPr>
          <w:rFonts w:ascii="宋体" w:hAnsi="宋体"/>
          <w:color w:val="000000"/>
          <w:sz w:val="24"/>
          <w:highlight w:val="none"/>
        </w:rPr>
      </w:pPr>
      <w:r>
        <w:rPr>
          <w:rFonts w:hint="eastAsia" w:ascii="宋体" w:hAnsi="宋体"/>
          <w:color w:val="000000"/>
          <w:sz w:val="24"/>
          <w:highlight w:val="none"/>
        </w:rPr>
        <w:t>3、不使用不正当手段妨碍、排挤其他投标单位或串通投标。</w:t>
      </w:r>
    </w:p>
    <w:p>
      <w:pPr>
        <w:spacing w:line="520" w:lineRule="exact"/>
        <w:ind w:firstLine="480"/>
        <w:rPr>
          <w:rFonts w:ascii="宋体" w:hAnsi="宋体"/>
          <w:color w:val="000000"/>
          <w:sz w:val="24"/>
          <w:highlight w:val="none"/>
        </w:rPr>
      </w:pPr>
      <w:r>
        <w:rPr>
          <w:rFonts w:hint="eastAsia" w:ascii="宋体" w:hAnsi="宋体"/>
          <w:color w:val="000000"/>
          <w:sz w:val="24"/>
          <w:highlight w:val="none"/>
        </w:rPr>
        <w:t>4、按照招标文件规定的方式进行投标，不隐瞒本单位投标资质的真实情况，投标资质符合规定。</w:t>
      </w:r>
    </w:p>
    <w:p>
      <w:pPr>
        <w:spacing w:line="520" w:lineRule="exact"/>
        <w:ind w:firstLine="480"/>
        <w:rPr>
          <w:rFonts w:ascii="宋体" w:hAnsi="宋体"/>
          <w:color w:val="000000"/>
          <w:sz w:val="24"/>
          <w:highlight w:val="none"/>
        </w:rPr>
      </w:pPr>
      <w:r>
        <w:rPr>
          <w:rFonts w:hint="eastAsia" w:ascii="宋体" w:hAnsi="宋体"/>
          <w:color w:val="000000"/>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pPr>
        <w:spacing w:line="520" w:lineRule="exact"/>
        <w:ind w:firstLine="480"/>
        <w:rPr>
          <w:rFonts w:ascii="宋体" w:hAnsi="宋体"/>
          <w:color w:val="000000"/>
          <w:sz w:val="24"/>
          <w:highlight w:val="none"/>
        </w:rPr>
      </w:pPr>
      <w:r>
        <w:rPr>
          <w:rFonts w:hint="eastAsia" w:ascii="宋体" w:hAnsi="宋体"/>
          <w:color w:val="000000"/>
          <w:sz w:val="24"/>
          <w:highlight w:val="none"/>
        </w:rPr>
        <w:t>6、不向设计招标的单位及个人购置或提供通讯工具、交通工具和高档办公用品等。</w:t>
      </w:r>
    </w:p>
    <w:p>
      <w:pPr>
        <w:spacing w:line="520" w:lineRule="exact"/>
        <w:ind w:firstLine="480"/>
        <w:rPr>
          <w:rFonts w:ascii="宋体" w:hAnsi="宋体"/>
          <w:color w:val="000000"/>
          <w:sz w:val="24"/>
          <w:highlight w:val="none"/>
        </w:rPr>
      </w:pPr>
      <w:r>
        <w:rPr>
          <w:rFonts w:hint="eastAsia" w:ascii="宋体" w:hAnsi="宋体"/>
          <w:color w:val="000000"/>
          <w:sz w:val="24"/>
          <w:highlight w:val="none"/>
        </w:rPr>
        <w:t>7、不向涉及投标的单位及个人的配偶、子女、亲属分包此次招标项目。</w:t>
      </w:r>
    </w:p>
    <w:p>
      <w:pPr>
        <w:spacing w:line="520" w:lineRule="exact"/>
        <w:ind w:firstLine="480"/>
        <w:rPr>
          <w:rFonts w:ascii="宋体" w:hAnsi="宋体"/>
          <w:color w:val="000000"/>
          <w:sz w:val="24"/>
          <w:highlight w:val="none"/>
        </w:rPr>
      </w:pPr>
      <w:r>
        <w:rPr>
          <w:rFonts w:hint="eastAsia" w:ascii="宋体" w:hAnsi="宋体"/>
          <w:color w:val="000000"/>
          <w:sz w:val="24"/>
          <w:highlight w:val="none"/>
        </w:rPr>
        <w:t>8、不向涉及采购的单位及个人支付好处费、介绍费。</w:t>
      </w:r>
    </w:p>
    <w:p>
      <w:pPr>
        <w:spacing w:line="520" w:lineRule="exact"/>
        <w:ind w:firstLine="480"/>
        <w:rPr>
          <w:rFonts w:ascii="宋体" w:hAnsi="宋体"/>
          <w:color w:val="000000"/>
          <w:sz w:val="24"/>
          <w:highlight w:val="none"/>
        </w:rPr>
      </w:pPr>
      <w:r>
        <w:rPr>
          <w:rFonts w:hint="eastAsia" w:ascii="宋体" w:hAnsi="宋体"/>
          <w:color w:val="000000"/>
          <w:sz w:val="24"/>
          <w:highlight w:val="none"/>
        </w:rPr>
        <w:t>9、一旦发现相关人员在招标过程中有索要财物等不廉洁行为，坚决予以抵制，并及时向贵单位纪检监察室举报。</w:t>
      </w:r>
    </w:p>
    <w:p>
      <w:pPr>
        <w:spacing w:line="520" w:lineRule="exact"/>
        <w:ind w:firstLine="480"/>
        <w:rPr>
          <w:rFonts w:ascii="宋体" w:hAnsi="宋体"/>
          <w:color w:val="000000"/>
          <w:sz w:val="24"/>
          <w:highlight w:val="none"/>
        </w:rPr>
      </w:pPr>
      <w:r>
        <w:rPr>
          <w:rFonts w:hint="eastAsia" w:ascii="宋体" w:hAnsi="宋体"/>
          <w:color w:val="000000"/>
          <w:sz w:val="24"/>
          <w:highlight w:val="none"/>
        </w:rPr>
        <w:t>我们若违反上述承诺，愿接收取消投标资格及其他任何形式的处理。</w:t>
      </w:r>
    </w:p>
    <w:p>
      <w:pPr>
        <w:spacing w:before="240" w:line="360" w:lineRule="auto"/>
        <w:ind w:right="480" w:firstLine="3000"/>
        <w:rPr>
          <w:rFonts w:ascii="宋体" w:hAnsi="宋体"/>
          <w:color w:val="000000"/>
          <w:sz w:val="24"/>
          <w:highlight w:val="none"/>
        </w:rPr>
      </w:pPr>
      <w:r>
        <w:rPr>
          <w:rFonts w:hint="eastAsia" w:ascii="宋体" w:hAnsi="宋体"/>
          <w:color w:val="000000"/>
          <w:sz w:val="24"/>
          <w:highlight w:val="none"/>
        </w:rPr>
        <w:t>投标供应商：（公章）</w:t>
      </w:r>
    </w:p>
    <w:p>
      <w:pPr>
        <w:spacing w:before="240" w:line="360" w:lineRule="auto"/>
        <w:ind w:firstLine="480"/>
        <w:jc w:val="right"/>
        <w:rPr>
          <w:color w:val="000000"/>
          <w:sz w:val="24"/>
          <w:highlight w:val="none"/>
        </w:rPr>
      </w:pPr>
      <w:r>
        <w:rPr>
          <w:rFonts w:ascii="宋体" w:hAnsi="宋体"/>
          <w:color w:val="000000"/>
          <w:sz w:val="24"/>
          <w:highlight w:val="none"/>
        </w:rPr>
        <w:t>法定代表人</w:t>
      </w:r>
      <w:r>
        <w:rPr>
          <w:rFonts w:hint="eastAsia" w:ascii="宋体" w:hAnsi="宋体"/>
          <w:color w:val="000000"/>
          <w:sz w:val="24"/>
          <w:highlight w:val="none"/>
        </w:rPr>
        <w:t>或其授权代理人</w:t>
      </w:r>
      <w:r>
        <w:rPr>
          <w:rFonts w:ascii="宋体" w:hAnsi="宋体"/>
          <w:color w:val="000000"/>
          <w:sz w:val="24"/>
          <w:highlight w:val="none"/>
        </w:rPr>
        <w:t>：   （签字</w:t>
      </w:r>
      <w:r>
        <w:rPr>
          <w:rFonts w:hint="eastAsia" w:ascii="宋体" w:hAnsi="宋体"/>
          <w:color w:val="000000"/>
          <w:sz w:val="24"/>
          <w:highlight w:val="none"/>
        </w:rPr>
        <w:t>或盖章</w:t>
      </w:r>
      <w:r>
        <w:rPr>
          <w:rFonts w:ascii="宋体" w:hAnsi="宋体"/>
          <w:color w:val="000000"/>
          <w:sz w:val="24"/>
          <w:highlight w:val="none"/>
        </w:rPr>
        <w:t>）</w:t>
      </w:r>
    </w:p>
    <w:p>
      <w:pPr>
        <w:ind w:right="960"/>
        <w:jc w:val="center"/>
        <w:rPr>
          <w:rFonts w:ascii="黑体" w:hAnsi="宋体" w:eastAsia="黑体"/>
          <w:bCs/>
          <w:color w:val="000000"/>
          <w:sz w:val="24"/>
          <w:highlight w:val="none"/>
        </w:rPr>
      </w:pPr>
      <w:r>
        <w:rPr>
          <w:rFonts w:hint="eastAsia" w:ascii="宋体" w:hAnsi="宋体"/>
          <w:color w:val="000000"/>
          <w:sz w:val="24"/>
          <w:highlight w:val="none"/>
        </w:rPr>
        <w:t xml:space="preserve">                                              年    月    日</w:t>
      </w:r>
    </w:p>
    <w:p>
      <w:pPr>
        <w:pStyle w:val="227"/>
        <w:outlineLvl w:val="2"/>
        <w:rPr>
          <w:rFonts w:ascii="黑体" w:hAnsi="宋体" w:eastAsia="黑体"/>
          <w:color w:val="000000"/>
          <w:sz w:val="24"/>
          <w:szCs w:val="24"/>
          <w:highlight w:val="none"/>
        </w:rPr>
      </w:pPr>
      <w:r>
        <w:rPr>
          <w:rFonts w:hint="eastAsia" w:ascii="黑体" w:hAnsi="宋体" w:eastAsia="黑体"/>
          <w:color w:val="000000"/>
          <w:sz w:val="24"/>
          <w:szCs w:val="24"/>
          <w:highlight w:val="none"/>
        </w:rPr>
        <w:br w:type="page" w:clear="all"/>
      </w:r>
      <w:r>
        <w:rPr>
          <w:rFonts w:hint="eastAsia" w:ascii="黑体" w:hAnsi="宋体" w:eastAsia="黑体"/>
          <w:color w:val="000000"/>
          <w:sz w:val="24"/>
          <w:szCs w:val="24"/>
          <w:highlight w:val="none"/>
        </w:rPr>
        <w:t>（十</w:t>
      </w:r>
      <w:r>
        <w:rPr>
          <w:rFonts w:hint="eastAsia" w:ascii="黑体" w:hAnsi="宋体" w:eastAsia="黑体"/>
          <w:color w:val="000000"/>
          <w:sz w:val="24"/>
          <w:szCs w:val="24"/>
          <w:highlight w:val="none"/>
          <w:lang w:val="en-US" w:eastAsia="zh-CN"/>
        </w:rPr>
        <w:t>一</w:t>
      </w:r>
      <w:r>
        <w:rPr>
          <w:rFonts w:hint="eastAsia" w:ascii="黑体" w:hAnsi="宋体" w:eastAsia="黑体"/>
          <w:color w:val="000000"/>
          <w:sz w:val="24"/>
          <w:szCs w:val="24"/>
          <w:highlight w:val="none"/>
        </w:rPr>
        <w:t>）其他及补充性文件</w:t>
      </w:r>
    </w:p>
    <w:p>
      <w:pPr>
        <w:pStyle w:val="247"/>
        <w:rPr>
          <w:rFonts w:ascii="宋体" w:hAnsi="宋体" w:cs="宋体"/>
          <w:b/>
          <w:sz w:val="24"/>
          <w:szCs w:val="24"/>
          <w:highlight w:val="none"/>
        </w:rPr>
      </w:pPr>
    </w:p>
    <w:p>
      <w:pPr>
        <w:jc w:val="center"/>
        <w:rPr>
          <w:rFonts w:ascii="黑体" w:eastAsia="黑体"/>
          <w:bCs/>
          <w:color w:val="000000"/>
          <w:sz w:val="28"/>
          <w:szCs w:val="28"/>
          <w:highlight w:val="none"/>
        </w:rPr>
      </w:pPr>
      <w:r>
        <w:rPr>
          <w:rFonts w:ascii="黑体" w:eastAsia="黑体"/>
          <w:bCs/>
          <w:color w:val="000000"/>
          <w:sz w:val="28"/>
          <w:szCs w:val="28"/>
          <w:highlight w:val="none"/>
        </w:rPr>
        <w:t>中小企业声明函（服务）</w:t>
      </w:r>
    </w:p>
    <w:p>
      <w:pPr>
        <w:spacing w:line="580" w:lineRule="exact"/>
        <w:ind w:firstLine="480"/>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（联合体）</w:t>
      </w:r>
      <w:r>
        <w:rPr>
          <w:rFonts w:ascii="宋体" w:hAnsi="宋体"/>
          <w:bCs/>
          <w:color w:val="000000"/>
          <w:sz w:val="24"/>
          <w:szCs w:val="24"/>
          <w:highlight w:val="none"/>
        </w:rPr>
        <w:t>参加</w:t>
      </w:r>
      <w:r>
        <w:rPr>
          <w:rFonts w:ascii="宋体" w:hAnsi="宋体"/>
          <w:bCs/>
          <w:color w:val="000000"/>
          <w:sz w:val="24"/>
          <w:szCs w:val="24"/>
          <w:highlight w:val="none"/>
          <w:u w:val="single"/>
        </w:rPr>
        <w:t>（单位名称）</w:t>
      </w:r>
      <w:r>
        <w:rPr>
          <w:rFonts w:ascii="宋体" w:hAnsi="宋体"/>
          <w:bCs/>
          <w:color w:val="000000"/>
          <w:sz w:val="24"/>
          <w:szCs w:val="24"/>
          <w:highlight w:val="none"/>
        </w:rPr>
        <w:t>的</w:t>
      </w:r>
      <w:r>
        <w:rPr>
          <w:rFonts w:ascii="宋体" w:hAnsi="宋体"/>
          <w:bCs/>
          <w:color w:val="000000"/>
          <w:sz w:val="24"/>
          <w:szCs w:val="24"/>
          <w:highlight w:val="none"/>
          <w:u w:val="single"/>
        </w:rPr>
        <w:t>（项目名称）</w:t>
      </w:r>
      <w:r>
        <w:rPr>
          <w:rFonts w:ascii="宋体" w:hAnsi="宋体"/>
          <w:bCs/>
          <w:color w:val="000000"/>
          <w:sz w:val="24"/>
          <w:szCs w:val="24"/>
          <w:highlight w:val="none"/>
        </w:rPr>
        <w:t>采购活动，服务全部由符合政策要求的中小企业承接。相关企业（含联合体中的中小企业、签订分包意向协议的中小企业）的具体情况如下：</w:t>
      </w:r>
    </w:p>
    <w:p>
      <w:pPr>
        <w:spacing w:line="580" w:lineRule="exact"/>
        <w:ind w:firstLine="480"/>
        <w:rPr>
          <w:rFonts w:ascii="宋体" w:hAnsi="宋体"/>
          <w:bCs/>
          <w:color w:val="000000"/>
          <w:sz w:val="24"/>
          <w:szCs w:val="24"/>
          <w:highlight w:val="none"/>
        </w:rPr>
      </w:pPr>
      <w:r>
        <w:rPr>
          <w:rFonts w:ascii="宋体" w:hAnsi="宋体"/>
          <w:bCs/>
          <w:color w:val="000000"/>
          <w:sz w:val="24"/>
          <w:szCs w:val="24"/>
          <w:highlight w:val="none"/>
        </w:rPr>
        <w:t>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，属于</w:t>
      </w:r>
      <w:r>
        <w:rPr>
          <w:rFonts w:ascii="宋体" w:hAnsi="宋体"/>
          <w:bCs/>
          <w:color w:val="000000"/>
          <w:sz w:val="24"/>
          <w:szCs w:val="24"/>
          <w:highlight w:val="none"/>
          <w:u w:val="single"/>
        </w:rPr>
        <w:t>（采购文件中明确的所属行业）</w:t>
      </w:r>
      <w:r>
        <w:rPr>
          <w:rFonts w:ascii="宋体" w:hAnsi="宋体"/>
          <w:bCs/>
          <w:color w:val="000000"/>
          <w:sz w:val="24"/>
          <w:szCs w:val="24"/>
          <w:highlight w:val="none"/>
        </w:rPr>
        <w:t>； 承建（承接）企业为</w:t>
      </w:r>
      <w:r>
        <w:rPr>
          <w:rFonts w:ascii="宋体" w:hAnsi="宋体"/>
          <w:bCs/>
          <w:color w:val="000000"/>
          <w:sz w:val="24"/>
          <w:szCs w:val="24"/>
          <w:highlight w:val="none"/>
          <w:u w:val="single"/>
        </w:rPr>
        <w:t>（企业名称）</w:t>
      </w:r>
      <w:r>
        <w:rPr>
          <w:rFonts w:ascii="宋体" w:hAnsi="宋体"/>
          <w:bCs/>
          <w:color w:val="000000"/>
          <w:sz w:val="24"/>
          <w:szCs w:val="24"/>
          <w:highlight w:val="none"/>
        </w:rPr>
        <w:t>，从业人员</w:t>
      </w:r>
      <w:r>
        <w:rPr>
          <w:rFonts w:hint="eastAsia" w:ascii="宋体" w:hAnsi="宋体"/>
          <w:bCs/>
          <w:color w:val="000000"/>
          <w:sz w:val="24"/>
          <w:szCs w:val="24"/>
          <w:highlight w:val="none"/>
        </w:rPr>
        <w:t xml:space="preserve">   人</w:t>
      </w:r>
      <w:r>
        <w:rPr>
          <w:rFonts w:ascii="宋体" w:hAnsi="宋体"/>
          <w:bCs/>
          <w:color w:val="000000"/>
          <w:sz w:val="24"/>
          <w:szCs w:val="24"/>
          <w:highlight w:val="none"/>
        </w:rPr>
        <w:t>，营业收入为万元，资产总额为万元，属于</w:t>
      </w:r>
      <w:r>
        <w:rPr>
          <w:rFonts w:ascii="宋体" w:hAnsi="宋体"/>
          <w:bCs/>
          <w:color w:val="000000"/>
          <w:sz w:val="24"/>
          <w:szCs w:val="24"/>
          <w:highlight w:val="none"/>
          <w:u w:val="single"/>
        </w:rPr>
        <w:t>（中型企业、 小型企业、微型企业）</w:t>
      </w:r>
      <w:r>
        <w:rPr>
          <w:rFonts w:ascii="宋体" w:hAnsi="宋体"/>
          <w:bCs/>
          <w:color w:val="000000"/>
          <w:sz w:val="24"/>
          <w:szCs w:val="24"/>
          <w:highlight w:val="none"/>
        </w:rPr>
        <w:t>；</w:t>
      </w:r>
    </w:p>
    <w:p>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，属于</w:t>
      </w:r>
      <w:r>
        <w:rPr>
          <w:rFonts w:ascii="宋体" w:hAnsi="宋体"/>
          <w:bCs/>
          <w:color w:val="000000"/>
          <w:sz w:val="24"/>
          <w:szCs w:val="24"/>
          <w:highlight w:val="none"/>
          <w:u w:val="single"/>
        </w:rPr>
        <w:t>（采购文件中明确的所属行业）</w:t>
      </w:r>
      <w:r>
        <w:rPr>
          <w:rFonts w:ascii="宋体" w:hAnsi="宋体"/>
          <w:bCs/>
          <w:color w:val="000000"/>
          <w:sz w:val="24"/>
          <w:szCs w:val="24"/>
          <w:highlight w:val="none"/>
        </w:rPr>
        <w:t>； 承建（承接）企业为</w:t>
      </w:r>
      <w:r>
        <w:rPr>
          <w:rFonts w:ascii="宋体" w:hAnsi="宋体"/>
          <w:bCs/>
          <w:color w:val="000000"/>
          <w:sz w:val="24"/>
          <w:szCs w:val="24"/>
          <w:highlight w:val="none"/>
          <w:u w:val="single"/>
        </w:rPr>
        <w:t>（企业名称）</w:t>
      </w:r>
      <w:r>
        <w:rPr>
          <w:rFonts w:ascii="宋体" w:hAnsi="宋体"/>
          <w:bCs/>
          <w:color w:val="000000"/>
          <w:sz w:val="24"/>
          <w:szCs w:val="24"/>
          <w:highlight w:val="none"/>
        </w:rPr>
        <w:t>，从业人员人，营业收入为万元，资产总额为万元，属于</w:t>
      </w:r>
      <w:r>
        <w:rPr>
          <w:rFonts w:ascii="宋体" w:hAnsi="宋体"/>
          <w:bCs/>
          <w:color w:val="000000"/>
          <w:sz w:val="24"/>
          <w:szCs w:val="24"/>
          <w:highlight w:val="none"/>
          <w:u w:val="single"/>
        </w:rPr>
        <w:t>（中型企业、 小型企业、微型企业）</w:t>
      </w:r>
      <w:r>
        <w:rPr>
          <w:rFonts w:ascii="宋体" w:hAnsi="宋体"/>
          <w:bCs/>
          <w:color w:val="000000"/>
          <w:sz w:val="24"/>
          <w:szCs w:val="24"/>
          <w:highlight w:val="none"/>
        </w:rPr>
        <w:t>；</w:t>
      </w:r>
    </w:p>
    <w:p>
      <w:pPr>
        <w:spacing w:line="580" w:lineRule="exact"/>
        <w:ind w:firstLine="480"/>
        <w:rPr>
          <w:rFonts w:ascii="宋体" w:hAnsi="宋体"/>
          <w:bCs/>
          <w:color w:val="000000"/>
          <w:sz w:val="24"/>
          <w:szCs w:val="24"/>
          <w:highlight w:val="none"/>
        </w:rPr>
      </w:pPr>
      <w:r>
        <w:rPr>
          <w:rFonts w:ascii="宋体" w:hAnsi="宋体"/>
          <w:bCs/>
          <w:color w:val="000000"/>
          <w:sz w:val="24"/>
          <w:szCs w:val="24"/>
          <w:highlight w:val="none"/>
        </w:rPr>
        <w:t>……</w:t>
      </w:r>
    </w:p>
    <w:p>
      <w:pPr>
        <w:spacing w:line="580" w:lineRule="exact"/>
        <w:ind w:firstLine="480"/>
        <w:rPr>
          <w:rFonts w:ascii="宋体" w:hAnsi="宋体"/>
          <w:bCs/>
          <w:color w:val="000000"/>
          <w:sz w:val="24"/>
          <w:szCs w:val="24"/>
          <w:highlight w:val="none"/>
        </w:rPr>
      </w:pPr>
      <w:r>
        <w:rPr>
          <w:rFonts w:ascii="宋体" w:hAnsi="宋体"/>
          <w:bCs/>
          <w:color w:val="000000"/>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pPr>
        <w:rPr>
          <w:rFonts w:ascii="黑体" w:hAnsi="宋体" w:eastAsia="黑体"/>
          <w:bCs/>
          <w:color w:val="000000"/>
          <w:sz w:val="24"/>
          <w:szCs w:val="24"/>
          <w:highlight w:val="none"/>
        </w:rPr>
      </w:pPr>
    </w:p>
    <w:p>
      <w:pPr>
        <w:rPr>
          <w:rFonts w:ascii="黑体" w:hAnsi="宋体" w:eastAsia="黑体"/>
          <w:bCs/>
          <w:color w:val="000000"/>
          <w:sz w:val="24"/>
          <w:szCs w:val="24"/>
          <w:highlight w:val="none"/>
        </w:rPr>
      </w:pPr>
    </w:p>
    <w:p>
      <w:pPr>
        <w:rPr>
          <w:rFonts w:ascii="黑体" w:hAnsi="宋体" w:eastAsia="黑体"/>
          <w:bCs/>
          <w:color w:val="000000"/>
          <w:sz w:val="24"/>
          <w:szCs w:val="24"/>
          <w:highlight w:val="none"/>
        </w:rPr>
      </w:pPr>
    </w:p>
    <w:p>
      <w:pPr>
        <w:spacing w:line="360" w:lineRule="auto"/>
        <w:ind w:firstLine="4800"/>
        <w:rPr>
          <w:rFonts w:ascii="宋体" w:hAnsi="宋体"/>
          <w:bCs/>
          <w:color w:val="000000"/>
          <w:sz w:val="24"/>
          <w:szCs w:val="24"/>
          <w:highlight w:val="none"/>
        </w:rPr>
      </w:pPr>
      <w:r>
        <w:rPr>
          <w:rFonts w:hint="eastAsia" w:ascii="宋体" w:hAnsi="宋体"/>
          <w:bCs/>
          <w:color w:val="000000"/>
          <w:sz w:val="24"/>
          <w:szCs w:val="24"/>
          <w:highlight w:val="none"/>
        </w:rPr>
        <w:t>企业名称（盖章）：</w:t>
      </w:r>
    </w:p>
    <w:p>
      <w:pPr>
        <w:spacing w:line="360" w:lineRule="auto"/>
        <w:ind w:firstLine="4800"/>
        <w:rPr>
          <w:rFonts w:ascii="宋体" w:hAnsi="宋体"/>
          <w:bCs/>
          <w:color w:val="000000"/>
          <w:sz w:val="24"/>
          <w:szCs w:val="24"/>
          <w:highlight w:val="none"/>
        </w:rPr>
      </w:pPr>
    </w:p>
    <w:p>
      <w:pPr>
        <w:spacing w:line="360" w:lineRule="auto"/>
        <w:ind w:firstLine="4800"/>
        <w:rPr>
          <w:rFonts w:ascii="宋体" w:hAnsi="宋体"/>
          <w:bCs/>
          <w:color w:val="000000"/>
          <w:sz w:val="24"/>
          <w:szCs w:val="24"/>
          <w:highlight w:val="none"/>
        </w:rPr>
      </w:pPr>
      <w:r>
        <w:rPr>
          <w:rFonts w:hint="eastAsia" w:ascii="宋体" w:hAnsi="宋体"/>
          <w:bCs/>
          <w:color w:val="000000"/>
          <w:sz w:val="24"/>
          <w:szCs w:val="24"/>
          <w:highlight w:val="none"/>
        </w:rPr>
        <w:t>日　　　　　　期：</w:t>
      </w:r>
    </w:p>
    <w:p>
      <w:pPr>
        <w:spacing w:line="360" w:lineRule="auto"/>
        <w:rPr>
          <w:rFonts w:ascii="宋体" w:hAnsi="宋体"/>
          <w:bCs/>
          <w:color w:val="000000"/>
          <w:sz w:val="24"/>
          <w:szCs w:val="24"/>
          <w:highlight w:val="none"/>
        </w:rPr>
      </w:pPr>
    </w:p>
    <w:p>
      <w:pPr>
        <w:ind w:firstLine="420"/>
        <w:rPr>
          <w:color w:val="000000"/>
          <w:highlight w:val="none"/>
        </w:rPr>
      </w:pPr>
      <w:r>
        <w:rPr>
          <w:rFonts w:hint="eastAsia"/>
          <w:color w:val="000000"/>
          <w:highlight w:val="none"/>
        </w:rPr>
        <w:t>注：1.</w:t>
      </w:r>
      <w:r>
        <w:rPr>
          <w:color w:val="000000"/>
          <w:highlight w:val="none"/>
        </w:rPr>
        <w:t>从业人员、营业收入、资产总额填报上一年度数据，无上一年度数据的新成立企业可不填报。</w:t>
      </w:r>
    </w:p>
    <w:p>
      <w:pPr>
        <w:ind w:firstLine="840"/>
        <w:rPr>
          <w:color w:val="000000"/>
          <w:highlight w:val="none"/>
        </w:rPr>
      </w:pPr>
      <w:r>
        <w:rPr>
          <w:rFonts w:hint="eastAsia"/>
          <w:color w:val="000000"/>
          <w:highlight w:val="none"/>
        </w:rPr>
        <w:t>2.中标供应商的《</w:t>
      </w:r>
      <w:r>
        <w:rPr>
          <w:color w:val="000000"/>
          <w:highlight w:val="none"/>
        </w:rPr>
        <w:t>中小企业声明函</w:t>
      </w:r>
      <w:r>
        <w:rPr>
          <w:rFonts w:hint="eastAsia"/>
          <w:color w:val="000000"/>
          <w:highlight w:val="none"/>
        </w:rPr>
        <w:t>》将随中标公告进行公示。供应商按照本办法规定提供声明函内容不实的，属于提供虚假材料谋取中标、成交，依照《中华人民共和国政府采购法》等国家有关规定追究相应责任。</w:t>
      </w:r>
    </w:p>
    <w:p>
      <w:pPr>
        <w:ind w:firstLine="840"/>
        <w:rPr>
          <w:color w:val="000000"/>
          <w:highlight w:val="none"/>
        </w:rPr>
      </w:pPr>
      <w:r>
        <w:rPr>
          <w:rFonts w:hint="eastAsia"/>
          <w:color w:val="000000"/>
          <w:highlight w:val="none"/>
        </w:rPr>
        <w:t>3.投标时本表附在《开标一览表》之后（如有）</w:t>
      </w:r>
    </w:p>
    <w:p>
      <w:pPr>
        <w:jc w:val="center"/>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p>
    <w:p>
      <w:pPr>
        <w:jc w:val="center"/>
        <w:rPr>
          <w:rFonts w:ascii="黑体" w:hAnsi="宋体" w:eastAsia="黑体"/>
          <w:bCs/>
          <w:color w:val="000000"/>
          <w:sz w:val="24"/>
          <w:szCs w:val="24"/>
          <w:highlight w:val="none"/>
        </w:rPr>
      </w:pP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pPr>
        <w:jc w:val="center"/>
        <w:rPr>
          <w:rFonts w:ascii="黑体" w:eastAsia="黑体"/>
          <w:bCs/>
          <w:color w:val="000000"/>
          <w:sz w:val="28"/>
          <w:szCs w:val="28"/>
          <w:highlight w:val="none"/>
        </w:rPr>
      </w:pPr>
    </w:p>
    <w:p>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〔2017〕141号</w:t>
      </w:r>
      <w:r>
        <w:rPr>
          <w:rFonts w:hint="eastAsia" w:ascii="宋体" w:hAnsi="宋体"/>
          <w:bCs/>
          <w:color w:val="000000"/>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本单位对上述声明的真实性负责。如有虚假，将依法承担相应责任。</w:t>
      </w:r>
    </w:p>
    <w:p>
      <w:pPr>
        <w:spacing w:line="580" w:lineRule="exact"/>
        <w:ind w:firstLine="480"/>
        <w:rPr>
          <w:rFonts w:ascii="宋体" w:hAnsi="宋体"/>
          <w:bCs/>
          <w:color w:val="000000"/>
          <w:sz w:val="24"/>
          <w:szCs w:val="24"/>
          <w:highlight w:val="none"/>
        </w:rPr>
      </w:pPr>
    </w:p>
    <w:p>
      <w:pPr>
        <w:spacing w:line="580" w:lineRule="exact"/>
        <w:ind w:firstLine="480"/>
        <w:rPr>
          <w:rFonts w:ascii="宋体" w:hAnsi="宋体"/>
          <w:bCs/>
          <w:color w:val="000000"/>
          <w:sz w:val="24"/>
          <w:szCs w:val="24"/>
          <w:highlight w:val="none"/>
        </w:rPr>
      </w:pPr>
    </w:p>
    <w:p>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单位名称（盖章）：</w:t>
      </w:r>
    </w:p>
    <w:p>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日  期：</w:t>
      </w:r>
    </w:p>
    <w:p>
      <w:pPr>
        <w:spacing w:line="580" w:lineRule="exact"/>
        <w:ind w:firstLine="480"/>
        <w:rPr>
          <w:rFonts w:hint="eastAsia" w:ascii="宋体" w:hAnsi="宋体"/>
          <w:bCs/>
          <w:color w:val="000000"/>
          <w:sz w:val="24"/>
          <w:szCs w:val="24"/>
          <w:highlight w:val="none"/>
        </w:rPr>
      </w:pPr>
    </w:p>
    <w:p>
      <w:pPr>
        <w:spacing w:line="580" w:lineRule="exact"/>
        <w:ind w:firstLine="480"/>
        <w:rPr>
          <w:rFonts w:hint="eastAsia" w:ascii="宋体" w:hAnsi="宋体"/>
          <w:bCs/>
          <w:color w:val="000000"/>
          <w:sz w:val="24"/>
          <w:szCs w:val="24"/>
          <w:highlight w:val="none"/>
        </w:rPr>
      </w:pPr>
    </w:p>
    <w:p>
      <w:pPr>
        <w:spacing w:line="580" w:lineRule="exact"/>
        <w:ind w:firstLine="480"/>
        <w:rPr>
          <w:rFonts w:hint="eastAsia" w:ascii="宋体" w:hAnsi="宋体"/>
          <w:bCs/>
          <w:color w:val="000000"/>
          <w:sz w:val="24"/>
          <w:szCs w:val="24"/>
          <w:highlight w:val="none"/>
        </w:rPr>
      </w:pPr>
    </w:p>
    <w:p>
      <w:pPr>
        <w:spacing w:line="580" w:lineRule="exact"/>
        <w:ind w:firstLine="480"/>
        <w:rPr>
          <w:rFonts w:hint="eastAsia" w:ascii="宋体" w:hAnsi="宋体"/>
          <w:bCs/>
          <w:color w:val="000000"/>
          <w:sz w:val="24"/>
          <w:szCs w:val="24"/>
          <w:highlight w:val="none"/>
        </w:rPr>
      </w:pPr>
    </w:p>
    <w:p>
      <w:pPr>
        <w:spacing w:line="580" w:lineRule="exact"/>
        <w:ind w:firstLine="480"/>
        <w:rPr>
          <w:rFonts w:hint="eastAsia" w:ascii="宋体" w:hAnsi="宋体"/>
          <w:bCs/>
          <w:color w:val="000000"/>
          <w:sz w:val="24"/>
          <w:szCs w:val="24"/>
          <w:highlight w:val="none"/>
        </w:rPr>
      </w:pPr>
    </w:p>
    <w:p>
      <w:pPr>
        <w:spacing w:line="580" w:lineRule="exact"/>
        <w:ind w:firstLine="480"/>
        <w:rPr>
          <w:rFonts w:hint="eastAsia" w:ascii="宋体" w:hAnsi="宋体"/>
          <w:bCs/>
          <w:color w:val="000000"/>
          <w:sz w:val="24"/>
          <w:szCs w:val="24"/>
          <w:highlight w:val="none"/>
        </w:rPr>
      </w:pPr>
    </w:p>
    <w:p>
      <w:pPr>
        <w:spacing w:line="580" w:lineRule="exact"/>
        <w:ind w:firstLine="480"/>
        <w:rPr>
          <w:rFonts w:hint="eastAsia" w:ascii="宋体" w:hAnsi="宋体"/>
          <w:bCs/>
          <w:color w:val="000000"/>
          <w:sz w:val="24"/>
          <w:szCs w:val="24"/>
          <w:highlight w:val="none"/>
        </w:rPr>
      </w:pPr>
    </w:p>
    <w:p>
      <w:pPr>
        <w:spacing w:line="580" w:lineRule="exact"/>
        <w:ind w:firstLine="480"/>
        <w:rPr>
          <w:rFonts w:hint="eastAsia" w:ascii="宋体" w:hAnsi="宋体"/>
          <w:bCs/>
          <w:color w:val="000000"/>
          <w:sz w:val="24"/>
          <w:szCs w:val="24"/>
          <w:highlight w:val="none"/>
        </w:rPr>
      </w:pPr>
    </w:p>
    <w:p>
      <w:pPr>
        <w:spacing w:line="580" w:lineRule="exact"/>
        <w:ind w:firstLine="480"/>
        <w:rPr>
          <w:rFonts w:hint="eastAsia" w:ascii="宋体" w:hAnsi="宋体"/>
          <w:bCs/>
          <w:color w:val="000000"/>
          <w:sz w:val="24"/>
          <w:szCs w:val="24"/>
          <w:highlight w:val="none"/>
        </w:rPr>
      </w:pPr>
    </w:p>
    <w:p>
      <w:pPr>
        <w:spacing w:line="580" w:lineRule="exact"/>
        <w:ind w:firstLine="480"/>
        <w:rPr>
          <w:rFonts w:hint="eastAsia" w:ascii="宋体" w:hAnsi="宋体"/>
          <w:bCs/>
          <w:color w:val="000000"/>
          <w:sz w:val="24"/>
          <w:szCs w:val="24"/>
          <w:highlight w:val="none"/>
        </w:rPr>
      </w:pPr>
    </w:p>
    <w:p>
      <w:pPr>
        <w:spacing w:line="580" w:lineRule="exact"/>
        <w:ind w:firstLine="480"/>
        <w:rPr>
          <w:rFonts w:hint="eastAsia" w:ascii="宋体" w:hAnsi="宋体"/>
          <w:bCs/>
          <w:color w:val="000000"/>
          <w:sz w:val="24"/>
          <w:szCs w:val="24"/>
          <w:highlight w:val="none"/>
        </w:rPr>
      </w:pPr>
    </w:p>
    <w:p>
      <w:pPr>
        <w:spacing w:line="580" w:lineRule="exact"/>
        <w:ind w:firstLine="480"/>
        <w:rPr>
          <w:rFonts w:hint="eastAsia" w:ascii="宋体" w:hAnsi="宋体"/>
          <w:bCs/>
          <w:color w:val="000000"/>
          <w:sz w:val="24"/>
          <w:szCs w:val="24"/>
          <w:highlight w:val="none"/>
        </w:rPr>
      </w:pPr>
    </w:p>
    <w:p>
      <w:pPr>
        <w:spacing w:line="580" w:lineRule="exact"/>
        <w:ind w:firstLine="480"/>
        <w:rPr>
          <w:rFonts w:hint="eastAsia" w:ascii="宋体" w:hAnsi="宋体"/>
          <w:bCs/>
          <w:color w:val="000000"/>
          <w:sz w:val="24"/>
          <w:szCs w:val="24"/>
          <w:highlight w:val="none"/>
        </w:rPr>
      </w:pPr>
    </w:p>
    <w:p>
      <w:pPr>
        <w:spacing w:line="360" w:lineRule="auto"/>
        <w:jc w:val="both"/>
        <w:rPr>
          <w:rFonts w:hint="eastAsia" w:ascii="宋体" w:hAnsi="宋体"/>
          <w:b/>
          <w:bCs/>
          <w:sz w:val="24"/>
          <w:szCs w:val="24"/>
          <w:highlight w:val="none"/>
        </w:rPr>
      </w:pPr>
      <w:r>
        <w:rPr>
          <w:rFonts w:hint="eastAsia" w:ascii="黑体" w:hAnsi="宋体" w:eastAsia="黑体"/>
          <w:bCs/>
          <w:sz w:val="24"/>
          <w:szCs w:val="24"/>
          <w:highlight w:val="none"/>
        </w:rPr>
        <w:t>（十</w:t>
      </w:r>
      <w:r>
        <w:rPr>
          <w:rFonts w:hint="eastAsia" w:ascii="黑体" w:hAnsi="宋体" w:eastAsia="黑体"/>
          <w:bCs/>
          <w:sz w:val="24"/>
          <w:szCs w:val="24"/>
          <w:highlight w:val="none"/>
          <w:lang w:val="en-US" w:eastAsia="zh-CN"/>
        </w:rPr>
        <w:t>二</w:t>
      </w:r>
      <w:r>
        <w:rPr>
          <w:rFonts w:hint="eastAsia" w:ascii="黑体" w:hAnsi="宋体" w:eastAsia="黑体"/>
          <w:bCs/>
          <w:sz w:val="24"/>
          <w:szCs w:val="24"/>
          <w:highlight w:val="none"/>
        </w:rPr>
        <w:t>）技术方案（格式自拟）</w:t>
      </w:r>
    </w:p>
    <w:p>
      <w:pPr>
        <w:spacing w:line="360" w:lineRule="auto"/>
        <w:ind w:firstLine="480"/>
        <w:jc w:val="center"/>
        <w:rPr>
          <w:rFonts w:ascii="宋体" w:hAnsi="宋体"/>
          <w:b/>
          <w:bCs/>
          <w:sz w:val="24"/>
          <w:szCs w:val="24"/>
          <w:highlight w:val="none"/>
        </w:rPr>
      </w:pPr>
      <w:r>
        <w:rPr>
          <w:rFonts w:hint="eastAsia" w:ascii="宋体" w:hAnsi="宋体"/>
          <w:b/>
          <w:bCs/>
          <w:sz w:val="24"/>
          <w:szCs w:val="24"/>
          <w:highlight w:val="none"/>
        </w:rPr>
        <w:t>技术方案</w:t>
      </w:r>
    </w:p>
    <w:p>
      <w:pPr>
        <w:pStyle w:val="41"/>
        <w:ind w:firstLine="0"/>
        <w:rPr>
          <w:sz w:val="24"/>
          <w:highlight w:val="none"/>
        </w:rPr>
      </w:pPr>
      <w:r>
        <w:rPr>
          <w:rFonts w:hint="eastAsia"/>
          <w:sz w:val="24"/>
          <w:highlight w:val="none"/>
        </w:rPr>
        <w:t>投标供应商应按评分点编制完整的服务方案，</w:t>
      </w:r>
      <w:r>
        <w:rPr>
          <w:sz w:val="24"/>
          <w:highlight w:val="none"/>
        </w:rPr>
        <w:t>以便评审。</w:t>
      </w:r>
    </w:p>
    <w:p>
      <w:pPr>
        <w:pStyle w:val="41"/>
        <w:ind w:firstLine="0"/>
        <w:rPr>
          <w:sz w:val="24"/>
          <w:highlight w:val="none"/>
        </w:rPr>
      </w:pPr>
    </w:p>
    <w:p>
      <w:pPr>
        <w:spacing w:line="360" w:lineRule="auto"/>
        <w:ind w:firstLine="482"/>
        <w:rPr>
          <w:rFonts w:ascii="宋体" w:hAnsi="宋体"/>
          <w:b/>
          <w:sz w:val="24"/>
          <w:szCs w:val="21"/>
          <w:highlight w:val="none"/>
          <w:u w:val="single"/>
        </w:rPr>
      </w:pPr>
      <w:r>
        <w:rPr>
          <w:rFonts w:hint="eastAsia" w:ascii="宋体" w:hAnsi="宋体"/>
          <w:b/>
          <w:sz w:val="24"/>
          <w:szCs w:val="21"/>
          <w:highlight w:val="none"/>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pPr>
        <w:spacing w:line="360" w:lineRule="auto"/>
        <w:ind w:firstLine="482"/>
        <w:rPr>
          <w:rFonts w:ascii="宋体" w:hAnsi="宋体"/>
          <w:b/>
          <w:sz w:val="24"/>
          <w:szCs w:val="21"/>
          <w:highlight w:val="none"/>
          <w:u w:val="single"/>
        </w:rPr>
      </w:pPr>
      <w:r>
        <w:rPr>
          <w:rFonts w:hint="eastAsia" w:ascii="宋体" w:hAnsi="宋体"/>
          <w:b/>
          <w:sz w:val="24"/>
          <w:szCs w:val="21"/>
          <w:highlight w:val="none"/>
        </w:rPr>
        <w:t>不得有体现投标人身份的内容是指：</w:t>
      </w:r>
    </w:p>
    <w:p>
      <w:pPr>
        <w:spacing w:line="360" w:lineRule="auto"/>
        <w:ind w:firstLine="482"/>
        <w:rPr>
          <w:rFonts w:ascii="宋体" w:hAnsi="宋体"/>
          <w:b/>
          <w:sz w:val="24"/>
          <w:szCs w:val="21"/>
          <w:highlight w:val="none"/>
        </w:rPr>
      </w:pPr>
      <w:r>
        <w:rPr>
          <w:rFonts w:hint="eastAsia" w:ascii="宋体" w:hAnsi="宋体"/>
          <w:b/>
          <w:sz w:val="24"/>
          <w:szCs w:val="21"/>
          <w:highlight w:val="none"/>
        </w:rPr>
        <w:t>①技术部分不得出现能够体现投标人身份、名称的相关描述、材料、文件等内容；</w:t>
      </w:r>
    </w:p>
    <w:p>
      <w:pPr>
        <w:spacing w:line="360" w:lineRule="auto"/>
        <w:ind w:firstLine="482"/>
        <w:rPr>
          <w:rFonts w:ascii="宋体" w:hAnsi="宋体"/>
          <w:b/>
          <w:sz w:val="24"/>
          <w:szCs w:val="21"/>
          <w:highlight w:val="none"/>
        </w:rPr>
      </w:pPr>
      <w:r>
        <w:rPr>
          <w:rFonts w:hint="eastAsia" w:ascii="宋体" w:hAnsi="宋体"/>
          <w:b/>
          <w:sz w:val="24"/>
          <w:szCs w:val="21"/>
          <w:highlight w:val="none"/>
        </w:rPr>
        <w:t>②技术部分不得更改，不得在其中涂改、标注或做任何可以辨认投标人及所属人员身份的名称、印章、商标等标记；</w:t>
      </w:r>
    </w:p>
    <w:p>
      <w:pPr>
        <w:spacing w:line="360" w:lineRule="auto"/>
        <w:ind w:firstLine="482"/>
        <w:rPr>
          <w:rFonts w:ascii="宋体" w:hAnsi="宋体"/>
          <w:b/>
          <w:sz w:val="24"/>
          <w:szCs w:val="21"/>
          <w:highlight w:val="none"/>
        </w:rPr>
      </w:pPr>
      <w:r>
        <w:rPr>
          <w:rFonts w:hint="eastAsia" w:ascii="宋体" w:hAnsi="宋体"/>
          <w:b/>
          <w:sz w:val="24"/>
          <w:szCs w:val="21"/>
          <w:highlight w:val="none"/>
        </w:rPr>
        <w:t>③技术部分应当版面整洁、字迹清楚、不许批注或进行底纹、阴影、水印等特殊设置，不得采用任何不符合常规、有别于其他投标人的特殊做法；</w:t>
      </w:r>
    </w:p>
    <w:p>
      <w:pPr>
        <w:spacing w:line="360" w:lineRule="auto"/>
        <w:ind w:firstLine="482"/>
        <w:rPr>
          <w:rFonts w:ascii="宋体" w:hAnsi="宋体"/>
          <w:bCs/>
          <w:sz w:val="24"/>
          <w:szCs w:val="24"/>
          <w:highlight w:val="none"/>
        </w:rPr>
      </w:pPr>
      <w:r>
        <w:rPr>
          <w:rFonts w:hint="eastAsia" w:ascii="宋体" w:hAnsi="宋体"/>
          <w:b/>
          <w:sz w:val="24"/>
          <w:szCs w:val="21"/>
          <w:highlight w:val="none"/>
        </w:rPr>
        <w:t>④不得有其他体现投标人身份的内容。</w:t>
      </w:r>
    </w:p>
    <w:p>
      <w:pPr>
        <w:spacing w:line="580" w:lineRule="exact"/>
        <w:rPr>
          <w:rFonts w:hint="eastAsia" w:ascii="宋体" w:hAnsi="宋体"/>
          <w:bCs/>
          <w:color w:val="000000"/>
          <w:sz w:val="24"/>
          <w:szCs w:val="24"/>
          <w:highlight w:val="none"/>
        </w:rPr>
      </w:pPr>
    </w:p>
    <w:sectPr>
      <w:footerReference r:id="rId7" w:type="first"/>
      <w:footerReference r:id="rId6" w:type="default"/>
      <w:pgSz w:w="11906" w:h="16838"/>
      <w:pgMar w:top="1134" w:right="1134" w:bottom="1134" w:left="1134" w:header="624"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0028CFF-072C-4CE5-A41F-C64AB1A737E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embedRegular r:id="rId2" w:fontKey="{C3F45318-1EC3-4E85-AD98-233AB1D0C2A4}"/>
  </w:font>
  <w:font w:name="仿宋_GB2312">
    <w:altName w:val="仿宋"/>
    <w:panose1 w:val="02010609030101010101"/>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embedRegular r:id="rId3" w:fontKey="{8C8DF84F-7088-493C-BE48-27AD39FFBA9B}"/>
  </w:font>
  <w:font w:name="ヒラギノ角ゴ Pro W3">
    <w:altName w:val="Segoe Print"/>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华文新魏">
    <w:altName w:val="宋体"/>
    <w:panose1 w:val="02010800040101010101"/>
    <w:charset w:val="86"/>
    <w:family w:val="auto"/>
    <w:pitch w:val="default"/>
    <w:sig w:usb0="00000000" w:usb1="00000000" w:usb2="00000000" w:usb3="00000000" w:csb0="00040000" w:csb1="00000000"/>
    <w:embedRegular r:id="rId4" w:fontKey="{A0CA25A9-EFEA-464A-BF73-5BF1D3F6197A}"/>
  </w:font>
  <w:font w:name="等线">
    <w:panose1 w:val="02010600030101010101"/>
    <w:charset w:val="86"/>
    <w:family w:val="auto"/>
    <w:pitch w:val="default"/>
    <w:sig w:usb0="A00002BF" w:usb1="38CF7CFA" w:usb2="00000016" w:usb3="00000000" w:csb0="0004000F" w:csb1="00000000"/>
    <w:embedRegular r:id="rId5" w:fontKey="{0E47FBDF-2980-46AE-ABBB-6DA52DF35FEA}"/>
  </w:font>
  <w:font w:name="方正仿宋_GBK">
    <w:altName w:val="微软雅黑"/>
    <w:panose1 w:val="03000509000000000000"/>
    <w:charset w:val="86"/>
    <w:family w:val="auto"/>
    <w:pitch w:val="default"/>
    <w:sig w:usb0="00000000" w:usb1="00000000" w:usb2="00000000" w:usb3="00000000" w:csb0="00040000" w:csb1="00000000"/>
    <w:embedRegular r:id="rId6" w:fontKey="{1276AD2B-4F42-4DFF-8BE0-78A33597EBA8}"/>
  </w:font>
  <w:font w:name="方正小标宋_GBK">
    <w:altName w:val="微软雅黑"/>
    <w:panose1 w:val="03000509000000000000"/>
    <w:charset w:val="86"/>
    <w:family w:val="auto"/>
    <w:pitch w:val="default"/>
    <w:sig w:usb0="00000000" w:usb1="00000000" w:usb2="00000000" w:usb3="00000000" w:csb0="00040000" w:csb1="00000000"/>
    <w:embedRegular r:id="rId7" w:fontKey="{F7B2FACC-A17F-48E8-ABC2-D7074D6EE3B4}"/>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9"/>
      <w:framePr w:wrap="around" w:vAnchor="text" w:hAnchor="margin" w:xAlign="center" w:y="1"/>
      <w:rPr>
        <w:rStyle w:val="256"/>
      </w:rPr>
    </w:pPr>
    <w:r>
      <w:rPr>
        <w:rStyle w:val="256"/>
      </w:rPr>
      <w:fldChar w:fldCharType="begin"/>
    </w:r>
    <w:r>
      <w:rPr>
        <w:rStyle w:val="256"/>
      </w:rPr>
      <w:instrText xml:space="preserve">PAGE  </w:instrText>
    </w:r>
    <w:r>
      <w:rPr>
        <w:rStyle w:val="256"/>
      </w:rPr>
      <w:fldChar w:fldCharType="separate"/>
    </w:r>
    <w:r>
      <w:rPr>
        <w:rStyle w:val="256"/>
      </w:rPr>
      <w:t>1</w:t>
    </w:r>
    <w:r>
      <w:rPr>
        <w:rStyle w:val="256"/>
      </w:rPr>
      <w:fldChar w:fldCharType="end"/>
    </w:r>
  </w:p>
  <w:p>
    <w:pPr>
      <w:pStyle w:val="23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a:effectLst/>
                    </wps:spPr>
                    <wps:txbx>
                      <w:txbxContent>
                        <w:p>
                          <w:pPr>
                            <w:pStyle w:val="23"/>
                          </w:pPr>
                          <w:r>
                            <w:fldChar w:fldCharType="begin"/>
                          </w:r>
                          <w:r>
                            <w:instrText xml:space="preserve"> PAGE  \* MERGEFORMAT </w:instrText>
                          </w:r>
                          <w:r>
                            <w:fldChar w:fldCharType="separate"/>
                          </w:r>
                          <w:r>
                            <w:t>0</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ql5uc8AAAAFAQAADwAAAAAAAAABACAAAAAi&#10;AAAAZHJzL2Rvd25yZXYueG1sUEsBAhQAFAAAAAgAh07iQEKMGDHaAQAAvwMAAA4AAAAAAAAAAQAg&#10;AAAAHgEAAGRycy9lMm9Eb2MueG1sUEsFBgAAAAAGAAYAWQEAAGoFAAAAAA==&#10;">
              <v:fill on="f" focussize="0,0"/>
              <v:stroke on="f" joinstyle="miter"/>
              <v:imagedata o:title=""/>
              <o:lock v:ext="edit" aspectratio="f"/>
              <v:textbox inset="0mm,0mm,0mm,0mm" style="mso-fit-shape-to-text:t;">
                <w:txbxContent>
                  <w:p>
                    <w:pPr>
                      <w:pStyle w:val="23"/>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1"/>
      <w:jc w:val="both"/>
      <w:rPr>
        <w:rFonts w:hint="eastAsia" w:ascii="等线" w:hAnsi="等线" w:eastAsia="等线"/>
        <w:lang w:eastAsia="zh-CN"/>
      </w:rPr>
    </w:pPr>
    <w:r>
      <w:rPr>
        <w:rFonts w:hint="eastAsia" w:ascii="等线" w:hAnsi="等线" w:eastAsia="等线"/>
        <w:sz w:val="21"/>
        <w:lang w:val="en-US" w:eastAsia="zh-CN"/>
      </w:rPr>
      <w:t xml:space="preserve">JSZC-320200-BZDL-G2026-0018                 </w:t>
    </w:r>
    <w:bookmarkStart w:id="20" w:name="OLE_LINK2"/>
    <w:r>
      <w:rPr>
        <w:rFonts w:hint="eastAsia" w:ascii="等线" w:hAnsi="等线" w:eastAsia="等线"/>
        <w:sz w:val="21"/>
        <w:lang w:val="en-US" w:eastAsia="zh-CN"/>
      </w:rPr>
      <w:t xml:space="preserve"> </w:t>
    </w:r>
    <w:bookmarkEnd w:id="20"/>
    <w:r>
      <w:rPr>
        <w:rFonts w:hint="eastAsia" w:ascii="等线" w:hAnsi="等线" w:eastAsia="等线"/>
        <w:bCs/>
        <w:sz w:val="21"/>
        <w:szCs w:val="21"/>
        <w:lang w:eastAsia="zh-CN"/>
      </w:rPr>
      <w:t>2026年生活垃圾转运站渗滤液外运处置项目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12"/>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25B654F3"/>
    <w:multiLevelType w:val="multilevel"/>
    <w:tmpl w:val="25B654F3"/>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AD71EA4"/>
    <w:multiLevelType w:val="singleLevel"/>
    <w:tmpl w:val="2AD71EA4"/>
    <w:lvl w:ilvl="0" w:tentative="0">
      <w:start w:val="4"/>
      <w:numFmt w:val="chineseCounting"/>
      <w:suff w:val="nothing"/>
      <w:lvlText w:val="%1．"/>
      <w:lvlJc w:val="left"/>
      <w:rPr>
        <w:rFonts w:hint="eastAsia"/>
      </w:rPr>
    </w:lvl>
  </w:abstractNum>
  <w:abstractNum w:abstractNumId="3">
    <w:nsid w:val="59ADCABA"/>
    <w:multiLevelType w:val="multilevel"/>
    <w:tmpl w:val="59ADCABA"/>
    <w:lvl w:ilvl="0" w:tentative="0">
      <w:start w:val="1"/>
      <w:numFmt w:val="decimal"/>
      <w:lvlText w:val="%1．"/>
      <w:lvlJc w:val="left"/>
      <w:pPr>
        <w:tabs>
          <w:tab w:val="left" w:pos="898"/>
        </w:tabs>
        <w:ind w:left="898" w:hanging="720"/>
      </w:pPr>
      <w:rPr>
        <w:rFonts w:hint="eastAsia" w:cs="Times New Roman"/>
        <w:color w:val="000000"/>
      </w:rPr>
    </w:lvl>
    <w:lvl w:ilvl="1" w:tentative="0">
      <w:start w:val="3"/>
      <w:numFmt w:val="decimal"/>
      <w:lvlText w:val="%2."/>
      <w:lvlJc w:val="left"/>
      <w:pPr>
        <w:tabs>
          <w:tab w:val="left" w:pos="958"/>
        </w:tabs>
        <w:ind w:left="958" w:hanging="360"/>
      </w:pPr>
      <w:rPr>
        <w:rFonts w:cs="Times New Roman"/>
      </w:rPr>
    </w:lvl>
    <w:lvl w:ilvl="2" w:tentative="0">
      <w:start w:val="1"/>
      <w:numFmt w:val="decimalEnclosedCircle"/>
      <w:lvlText w:val="%3"/>
      <w:lvlJc w:val="left"/>
      <w:pPr>
        <w:tabs>
          <w:tab w:val="left" w:pos="1378"/>
        </w:tabs>
        <w:ind w:left="1378" w:hanging="360"/>
      </w:pPr>
      <w:rPr>
        <w:rFonts w:cs="Times New Roman"/>
        <w:color w:val="000000"/>
      </w:rPr>
    </w:lvl>
    <w:lvl w:ilvl="3" w:tentative="0">
      <w:start w:val="1"/>
      <w:numFmt w:val="decimal"/>
      <w:lvlText w:val="%4."/>
      <w:lvlJc w:val="left"/>
      <w:pPr>
        <w:tabs>
          <w:tab w:val="left" w:pos="1858"/>
        </w:tabs>
        <w:ind w:left="1858" w:hanging="420"/>
      </w:pPr>
      <w:rPr>
        <w:rFonts w:cs="Times New Roman"/>
      </w:rPr>
    </w:lvl>
    <w:lvl w:ilvl="4" w:tentative="0">
      <w:start w:val="1"/>
      <w:numFmt w:val="lowerLetter"/>
      <w:lvlText w:val="%5)"/>
      <w:lvlJc w:val="left"/>
      <w:pPr>
        <w:tabs>
          <w:tab w:val="left" w:pos="2278"/>
        </w:tabs>
        <w:ind w:left="2278" w:hanging="420"/>
      </w:pPr>
      <w:rPr>
        <w:rFonts w:cs="Times New Roman"/>
      </w:rPr>
    </w:lvl>
    <w:lvl w:ilvl="5" w:tentative="0">
      <w:start w:val="1"/>
      <w:numFmt w:val="lowerRoman"/>
      <w:lvlText w:val="%6."/>
      <w:lvlJc w:val="right"/>
      <w:pPr>
        <w:tabs>
          <w:tab w:val="left" w:pos="2698"/>
        </w:tabs>
        <w:ind w:left="2698" w:hanging="420"/>
      </w:pPr>
      <w:rPr>
        <w:rFonts w:cs="Times New Roman"/>
      </w:rPr>
    </w:lvl>
    <w:lvl w:ilvl="6" w:tentative="0">
      <w:start w:val="1"/>
      <w:numFmt w:val="decimal"/>
      <w:lvlText w:val="%7."/>
      <w:lvlJc w:val="left"/>
      <w:pPr>
        <w:tabs>
          <w:tab w:val="left" w:pos="3118"/>
        </w:tabs>
        <w:ind w:left="3118" w:hanging="420"/>
      </w:pPr>
      <w:rPr>
        <w:rFonts w:cs="Times New Roman"/>
      </w:rPr>
    </w:lvl>
    <w:lvl w:ilvl="7" w:tentative="0">
      <w:start w:val="1"/>
      <w:numFmt w:val="lowerLetter"/>
      <w:lvlText w:val="%8)"/>
      <w:lvlJc w:val="left"/>
      <w:pPr>
        <w:tabs>
          <w:tab w:val="left" w:pos="3538"/>
        </w:tabs>
        <w:ind w:left="3538" w:hanging="420"/>
      </w:pPr>
      <w:rPr>
        <w:rFonts w:cs="Times New Roman"/>
      </w:rPr>
    </w:lvl>
    <w:lvl w:ilvl="8" w:tentative="0">
      <w:start w:val="1"/>
      <w:numFmt w:val="lowerRoman"/>
      <w:lvlText w:val="%9."/>
      <w:lvlJc w:val="right"/>
      <w:pPr>
        <w:tabs>
          <w:tab w:val="left" w:pos="3958"/>
        </w:tabs>
        <w:ind w:left="3958" w:hanging="420"/>
      </w:pPr>
      <w:rPr>
        <w:rFonts w:cs="Times New Roman"/>
      </w:rPr>
    </w:lvl>
  </w:abstractNum>
  <w:abstractNum w:abstractNumId="4">
    <w:nsid w:val="5A241D34"/>
    <w:multiLevelType w:val="multilevel"/>
    <w:tmpl w:val="5A241D34"/>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7F400DF4"/>
    <w:multiLevelType w:val="singleLevel"/>
    <w:tmpl w:val="7F400DF4"/>
    <w:lvl w:ilvl="0" w:tentative="0">
      <w:start w:val="5"/>
      <w:numFmt w:val="chineseCounting"/>
      <w:suff w:val="space"/>
      <w:lvlText w:val="第%1条"/>
      <w:lvlJc w:val="left"/>
      <w:rPr>
        <w:rFonts w:hint="eastAsia"/>
      </w:r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4ZTdjYmI1YWUyYjFiMDAzZjRjZjk2MGY3OTMzMDQifQ=="/>
  </w:docVars>
  <w:rsids>
    <w:rsidRoot w:val="00414014"/>
    <w:rsid w:val="00135135"/>
    <w:rsid w:val="001708F7"/>
    <w:rsid w:val="001F78C7"/>
    <w:rsid w:val="002E6413"/>
    <w:rsid w:val="003E2BEA"/>
    <w:rsid w:val="00414014"/>
    <w:rsid w:val="00540308"/>
    <w:rsid w:val="00726300"/>
    <w:rsid w:val="007958E0"/>
    <w:rsid w:val="00A34FD6"/>
    <w:rsid w:val="00FE4037"/>
    <w:rsid w:val="00FE5DE6"/>
    <w:rsid w:val="01101675"/>
    <w:rsid w:val="012013A7"/>
    <w:rsid w:val="014337F8"/>
    <w:rsid w:val="01464F9F"/>
    <w:rsid w:val="017240DE"/>
    <w:rsid w:val="01BB17A1"/>
    <w:rsid w:val="01C070EF"/>
    <w:rsid w:val="01CA2191"/>
    <w:rsid w:val="01D134FA"/>
    <w:rsid w:val="01EA636A"/>
    <w:rsid w:val="01EC2B7C"/>
    <w:rsid w:val="01FA65AD"/>
    <w:rsid w:val="0216715F"/>
    <w:rsid w:val="022C24DE"/>
    <w:rsid w:val="02B471C5"/>
    <w:rsid w:val="02C170CB"/>
    <w:rsid w:val="02CE17E8"/>
    <w:rsid w:val="031A722A"/>
    <w:rsid w:val="03261624"/>
    <w:rsid w:val="033052AB"/>
    <w:rsid w:val="03D8291E"/>
    <w:rsid w:val="03F62DA4"/>
    <w:rsid w:val="042913CB"/>
    <w:rsid w:val="04762EB4"/>
    <w:rsid w:val="04763EE5"/>
    <w:rsid w:val="04AE7B23"/>
    <w:rsid w:val="04BE5FB8"/>
    <w:rsid w:val="04F27A0F"/>
    <w:rsid w:val="05300538"/>
    <w:rsid w:val="05461B09"/>
    <w:rsid w:val="05776166"/>
    <w:rsid w:val="059B1E55"/>
    <w:rsid w:val="05B253F0"/>
    <w:rsid w:val="05BE5B43"/>
    <w:rsid w:val="05EA182F"/>
    <w:rsid w:val="06620BC5"/>
    <w:rsid w:val="06644CC1"/>
    <w:rsid w:val="069A65B0"/>
    <w:rsid w:val="06D51397"/>
    <w:rsid w:val="06FC6923"/>
    <w:rsid w:val="06FF6413"/>
    <w:rsid w:val="07950B26"/>
    <w:rsid w:val="07B45450"/>
    <w:rsid w:val="07F25F78"/>
    <w:rsid w:val="082F4AD6"/>
    <w:rsid w:val="084D1B36"/>
    <w:rsid w:val="087D5842"/>
    <w:rsid w:val="087E1F86"/>
    <w:rsid w:val="088F37C7"/>
    <w:rsid w:val="08A74FB5"/>
    <w:rsid w:val="08CC4A1B"/>
    <w:rsid w:val="093E76C7"/>
    <w:rsid w:val="09582094"/>
    <w:rsid w:val="09AE3894"/>
    <w:rsid w:val="09D73678"/>
    <w:rsid w:val="0A0A1357"/>
    <w:rsid w:val="0A570314"/>
    <w:rsid w:val="0A585F04"/>
    <w:rsid w:val="0A595E3B"/>
    <w:rsid w:val="0A886720"/>
    <w:rsid w:val="0A913826"/>
    <w:rsid w:val="0AE95411"/>
    <w:rsid w:val="0AEC3153"/>
    <w:rsid w:val="0B1306DF"/>
    <w:rsid w:val="0B3D575C"/>
    <w:rsid w:val="0B5D7BAD"/>
    <w:rsid w:val="0B7373D0"/>
    <w:rsid w:val="0B89625E"/>
    <w:rsid w:val="0B9679B3"/>
    <w:rsid w:val="0BA61553"/>
    <w:rsid w:val="0BBF43C3"/>
    <w:rsid w:val="0BC33EB3"/>
    <w:rsid w:val="0C152235"/>
    <w:rsid w:val="0C2A3F33"/>
    <w:rsid w:val="0C3D1EB8"/>
    <w:rsid w:val="0CAA5073"/>
    <w:rsid w:val="0CBD4DA7"/>
    <w:rsid w:val="0D0F2768"/>
    <w:rsid w:val="0D887EFA"/>
    <w:rsid w:val="0D991370"/>
    <w:rsid w:val="0D9A0C44"/>
    <w:rsid w:val="0DA16476"/>
    <w:rsid w:val="0DAC19D9"/>
    <w:rsid w:val="0DDA1988"/>
    <w:rsid w:val="0E0B1B42"/>
    <w:rsid w:val="0E1C3D4F"/>
    <w:rsid w:val="0E2844A2"/>
    <w:rsid w:val="0E2F3A82"/>
    <w:rsid w:val="0E5C16DD"/>
    <w:rsid w:val="0E8A515C"/>
    <w:rsid w:val="0E9D6C3E"/>
    <w:rsid w:val="0EB67D00"/>
    <w:rsid w:val="0EE26D46"/>
    <w:rsid w:val="0EF56A7A"/>
    <w:rsid w:val="0F1B5DB5"/>
    <w:rsid w:val="0F22254C"/>
    <w:rsid w:val="0F543075"/>
    <w:rsid w:val="0FC96AE4"/>
    <w:rsid w:val="0FE10DAC"/>
    <w:rsid w:val="10045913"/>
    <w:rsid w:val="10102AFC"/>
    <w:rsid w:val="1010343F"/>
    <w:rsid w:val="101A42BE"/>
    <w:rsid w:val="102A6199"/>
    <w:rsid w:val="10831E63"/>
    <w:rsid w:val="10AB3168"/>
    <w:rsid w:val="10B22749"/>
    <w:rsid w:val="10D40911"/>
    <w:rsid w:val="10D80401"/>
    <w:rsid w:val="11034D52"/>
    <w:rsid w:val="11366ED6"/>
    <w:rsid w:val="114E421F"/>
    <w:rsid w:val="11554A30"/>
    <w:rsid w:val="11567578"/>
    <w:rsid w:val="122D178D"/>
    <w:rsid w:val="124B69B1"/>
    <w:rsid w:val="125F420A"/>
    <w:rsid w:val="126B2BAF"/>
    <w:rsid w:val="12AD1419"/>
    <w:rsid w:val="12B213D0"/>
    <w:rsid w:val="12C0114D"/>
    <w:rsid w:val="12CA1FCB"/>
    <w:rsid w:val="132536A6"/>
    <w:rsid w:val="133438E9"/>
    <w:rsid w:val="134A6C68"/>
    <w:rsid w:val="134F24D1"/>
    <w:rsid w:val="137D703E"/>
    <w:rsid w:val="137F3AAC"/>
    <w:rsid w:val="138403CC"/>
    <w:rsid w:val="13B011C1"/>
    <w:rsid w:val="13B3480E"/>
    <w:rsid w:val="13CF716E"/>
    <w:rsid w:val="14832432"/>
    <w:rsid w:val="149C1746"/>
    <w:rsid w:val="14B0379E"/>
    <w:rsid w:val="14D25167"/>
    <w:rsid w:val="15007F26"/>
    <w:rsid w:val="15347BD0"/>
    <w:rsid w:val="154F0566"/>
    <w:rsid w:val="156F29B6"/>
    <w:rsid w:val="159D5775"/>
    <w:rsid w:val="15E6711C"/>
    <w:rsid w:val="15E94079"/>
    <w:rsid w:val="16096967"/>
    <w:rsid w:val="161D0664"/>
    <w:rsid w:val="162419F3"/>
    <w:rsid w:val="16677B31"/>
    <w:rsid w:val="16775018"/>
    <w:rsid w:val="167C538B"/>
    <w:rsid w:val="16AF430F"/>
    <w:rsid w:val="16E710E1"/>
    <w:rsid w:val="17232389"/>
    <w:rsid w:val="17375EAB"/>
    <w:rsid w:val="176127D3"/>
    <w:rsid w:val="17875FF8"/>
    <w:rsid w:val="17EA27C8"/>
    <w:rsid w:val="182457B6"/>
    <w:rsid w:val="185D743E"/>
    <w:rsid w:val="18811059"/>
    <w:rsid w:val="18891FE1"/>
    <w:rsid w:val="18C80D5B"/>
    <w:rsid w:val="192B3DED"/>
    <w:rsid w:val="193E101D"/>
    <w:rsid w:val="194F425A"/>
    <w:rsid w:val="19502AFF"/>
    <w:rsid w:val="19616ABA"/>
    <w:rsid w:val="197B7B7C"/>
    <w:rsid w:val="199C7AF2"/>
    <w:rsid w:val="19B04509"/>
    <w:rsid w:val="1A222683"/>
    <w:rsid w:val="1A512FD2"/>
    <w:rsid w:val="1A6C1BBA"/>
    <w:rsid w:val="1A7D7923"/>
    <w:rsid w:val="1AAB4490"/>
    <w:rsid w:val="1AB1581F"/>
    <w:rsid w:val="1ABD4860"/>
    <w:rsid w:val="1B285AE1"/>
    <w:rsid w:val="1B8B16C6"/>
    <w:rsid w:val="1B9413C8"/>
    <w:rsid w:val="1BA84E74"/>
    <w:rsid w:val="1BB83309"/>
    <w:rsid w:val="1BD6378F"/>
    <w:rsid w:val="1C273D58"/>
    <w:rsid w:val="1CC47A8B"/>
    <w:rsid w:val="1CC70158"/>
    <w:rsid w:val="1D1327C1"/>
    <w:rsid w:val="1D596426"/>
    <w:rsid w:val="1DC615E1"/>
    <w:rsid w:val="1DF223D6"/>
    <w:rsid w:val="1DF63C75"/>
    <w:rsid w:val="1E002D45"/>
    <w:rsid w:val="1E200CF1"/>
    <w:rsid w:val="1E320A25"/>
    <w:rsid w:val="1E875215"/>
    <w:rsid w:val="1EB31B66"/>
    <w:rsid w:val="1EB63404"/>
    <w:rsid w:val="1EBB25E9"/>
    <w:rsid w:val="1ED33FB6"/>
    <w:rsid w:val="1EEB2065"/>
    <w:rsid w:val="1F2E5690"/>
    <w:rsid w:val="1F49071C"/>
    <w:rsid w:val="1F4C4A3C"/>
    <w:rsid w:val="1FA96FEC"/>
    <w:rsid w:val="1FDB5818"/>
    <w:rsid w:val="20032679"/>
    <w:rsid w:val="200F75DF"/>
    <w:rsid w:val="20210D51"/>
    <w:rsid w:val="20C53DD2"/>
    <w:rsid w:val="20D04EC4"/>
    <w:rsid w:val="20FF72E4"/>
    <w:rsid w:val="21AD4F92"/>
    <w:rsid w:val="21B300CF"/>
    <w:rsid w:val="21C978F2"/>
    <w:rsid w:val="21DC4D38"/>
    <w:rsid w:val="21F11323"/>
    <w:rsid w:val="22222DA3"/>
    <w:rsid w:val="222D7E81"/>
    <w:rsid w:val="224F429B"/>
    <w:rsid w:val="22715FC0"/>
    <w:rsid w:val="22743D02"/>
    <w:rsid w:val="22812984"/>
    <w:rsid w:val="22C00CF5"/>
    <w:rsid w:val="22DC6667"/>
    <w:rsid w:val="22DD18A7"/>
    <w:rsid w:val="22F83FEB"/>
    <w:rsid w:val="22FD7853"/>
    <w:rsid w:val="23337719"/>
    <w:rsid w:val="23CD36CA"/>
    <w:rsid w:val="23EB7FF4"/>
    <w:rsid w:val="23F23130"/>
    <w:rsid w:val="24207C9D"/>
    <w:rsid w:val="24455956"/>
    <w:rsid w:val="24507E57"/>
    <w:rsid w:val="24977834"/>
    <w:rsid w:val="24BE34B4"/>
    <w:rsid w:val="24C710D2"/>
    <w:rsid w:val="24D10DCC"/>
    <w:rsid w:val="251D242F"/>
    <w:rsid w:val="251F7F55"/>
    <w:rsid w:val="253B6081"/>
    <w:rsid w:val="25457290"/>
    <w:rsid w:val="25553977"/>
    <w:rsid w:val="258F35BA"/>
    <w:rsid w:val="25A22934"/>
    <w:rsid w:val="25E61EAE"/>
    <w:rsid w:val="26190E48"/>
    <w:rsid w:val="26217CFD"/>
    <w:rsid w:val="262E5023"/>
    <w:rsid w:val="263268BE"/>
    <w:rsid w:val="263A2B6C"/>
    <w:rsid w:val="26526108"/>
    <w:rsid w:val="266B71CA"/>
    <w:rsid w:val="26C54B2C"/>
    <w:rsid w:val="27035654"/>
    <w:rsid w:val="271D04C4"/>
    <w:rsid w:val="278542BB"/>
    <w:rsid w:val="278D24A1"/>
    <w:rsid w:val="279F35CF"/>
    <w:rsid w:val="27CB7F20"/>
    <w:rsid w:val="27EB7686"/>
    <w:rsid w:val="27FC62EF"/>
    <w:rsid w:val="284C40E7"/>
    <w:rsid w:val="2897196C"/>
    <w:rsid w:val="28BE1833"/>
    <w:rsid w:val="28EA2628"/>
    <w:rsid w:val="28FC05AD"/>
    <w:rsid w:val="2916341D"/>
    <w:rsid w:val="294011D2"/>
    <w:rsid w:val="294066EC"/>
    <w:rsid w:val="295403E9"/>
    <w:rsid w:val="298366F3"/>
    <w:rsid w:val="2987256D"/>
    <w:rsid w:val="29A245D5"/>
    <w:rsid w:val="29AA1DB7"/>
    <w:rsid w:val="29EB5E27"/>
    <w:rsid w:val="29F51213"/>
    <w:rsid w:val="2A1A518F"/>
    <w:rsid w:val="2A1F27A5"/>
    <w:rsid w:val="2A4651B7"/>
    <w:rsid w:val="2B083239"/>
    <w:rsid w:val="2B1C0A93"/>
    <w:rsid w:val="2B2160A9"/>
    <w:rsid w:val="2B2D4A4E"/>
    <w:rsid w:val="2B560448"/>
    <w:rsid w:val="2B8C79C6"/>
    <w:rsid w:val="2BA2368E"/>
    <w:rsid w:val="2BB533C1"/>
    <w:rsid w:val="2BF67536"/>
    <w:rsid w:val="2C05145A"/>
    <w:rsid w:val="2C245E51"/>
    <w:rsid w:val="2C412EA7"/>
    <w:rsid w:val="2C471B3F"/>
    <w:rsid w:val="2C98683F"/>
    <w:rsid w:val="2CAC5D87"/>
    <w:rsid w:val="2CDE24A4"/>
    <w:rsid w:val="2D1D4C6D"/>
    <w:rsid w:val="2D564730"/>
    <w:rsid w:val="2D6A7DF1"/>
    <w:rsid w:val="2D990AC0"/>
    <w:rsid w:val="2DF35057"/>
    <w:rsid w:val="2DFE26D1"/>
    <w:rsid w:val="2E083AC3"/>
    <w:rsid w:val="2E106174"/>
    <w:rsid w:val="2E1D6FFC"/>
    <w:rsid w:val="2E3D417A"/>
    <w:rsid w:val="2E734E6D"/>
    <w:rsid w:val="2E7B1F74"/>
    <w:rsid w:val="2E9F2106"/>
    <w:rsid w:val="2EFC1307"/>
    <w:rsid w:val="2F012479"/>
    <w:rsid w:val="2F204FF5"/>
    <w:rsid w:val="2F3F2FA2"/>
    <w:rsid w:val="2F77273B"/>
    <w:rsid w:val="2F7D2448"/>
    <w:rsid w:val="2F94153F"/>
    <w:rsid w:val="2FA53C7A"/>
    <w:rsid w:val="2FFE3680"/>
    <w:rsid w:val="304B42F4"/>
    <w:rsid w:val="30582198"/>
    <w:rsid w:val="306E7FE2"/>
    <w:rsid w:val="30703D5A"/>
    <w:rsid w:val="30872E52"/>
    <w:rsid w:val="30907E00"/>
    <w:rsid w:val="30AF4414"/>
    <w:rsid w:val="30F5600E"/>
    <w:rsid w:val="3139239E"/>
    <w:rsid w:val="31752861"/>
    <w:rsid w:val="317F1D7B"/>
    <w:rsid w:val="31AA504A"/>
    <w:rsid w:val="31C37EBA"/>
    <w:rsid w:val="31C679AA"/>
    <w:rsid w:val="31EA7FF6"/>
    <w:rsid w:val="31FB3AF8"/>
    <w:rsid w:val="3220692E"/>
    <w:rsid w:val="32290665"/>
    <w:rsid w:val="32715B68"/>
    <w:rsid w:val="327D62BB"/>
    <w:rsid w:val="32BD6FFF"/>
    <w:rsid w:val="32E62B90"/>
    <w:rsid w:val="32F26CA9"/>
    <w:rsid w:val="331A7FAD"/>
    <w:rsid w:val="331C1F78"/>
    <w:rsid w:val="33574D5E"/>
    <w:rsid w:val="33F94067"/>
    <w:rsid w:val="34050C5E"/>
    <w:rsid w:val="340A6656"/>
    <w:rsid w:val="3415347D"/>
    <w:rsid w:val="34383BC8"/>
    <w:rsid w:val="34515C51"/>
    <w:rsid w:val="345B681E"/>
    <w:rsid w:val="348A4CBF"/>
    <w:rsid w:val="34A71D15"/>
    <w:rsid w:val="34AD173C"/>
    <w:rsid w:val="34C24459"/>
    <w:rsid w:val="34E73EBF"/>
    <w:rsid w:val="34F52A80"/>
    <w:rsid w:val="35170C48"/>
    <w:rsid w:val="354B444E"/>
    <w:rsid w:val="357D4824"/>
    <w:rsid w:val="35B04BF9"/>
    <w:rsid w:val="35D86C1A"/>
    <w:rsid w:val="35EF74CF"/>
    <w:rsid w:val="35FC399A"/>
    <w:rsid w:val="36070CBD"/>
    <w:rsid w:val="362C0724"/>
    <w:rsid w:val="363C0689"/>
    <w:rsid w:val="36884891"/>
    <w:rsid w:val="36A1760F"/>
    <w:rsid w:val="36B424C7"/>
    <w:rsid w:val="36BB6F44"/>
    <w:rsid w:val="36C24BE4"/>
    <w:rsid w:val="36DB3EF8"/>
    <w:rsid w:val="37114410"/>
    <w:rsid w:val="37154FB5"/>
    <w:rsid w:val="374101FF"/>
    <w:rsid w:val="376161AB"/>
    <w:rsid w:val="377A54BF"/>
    <w:rsid w:val="37BA3B0D"/>
    <w:rsid w:val="37F76B0F"/>
    <w:rsid w:val="37FD070E"/>
    <w:rsid w:val="383C09C6"/>
    <w:rsid w:val="385555E4"/>
    <w:rsid w:val="3862667F"/>
    <w:rsid w:val="38706B58"/>
    <w:rsid w:val="38821AF2"/>
    <w:rsid w:val="3885411B"/>
    <w:rsid w:val="38A547BD"/>
    <w:rsid w:val="38B60726"/>
    <w:rsid w:val="38C033A5"/>
    <w:rsid w:val="38D97FC3"/>
    <w:rsid w:val="39180AEB"/>
    <w:rsid w:val="394C69E7"/>
    <w:rsid w:val="395C1320"/>
    <w:rsid w:val="399121E2"/>
    <w:rsid w:val="399860D0"/>
    <w:rsid w:val="399A1E48"/>
    <w:rsid w:val="3A7C3613"/>
    <w:rsid w:val="3AB111F7"/>
    <w:rsid w:val="3AF45588"/>
    <w:rsid w:val="3B5F6EA5"/>
    <w:rsid w:val="3B787F67"/>
    <w:rsid w:val="3B934DA1"/>
    <w:rsid w:val="3B9D352A"/>
    <w:rsid w:val="3BD11425"/>
    <w:rsid w:val="3C2A7F49"/>
    <w:rsid w:val="3C2D0D52"/>
    <w:rsid w:val="3C4716E0"/>
    <w:rsid w:val="3C722C08"/>
    <w:rsid w:val="3CA31014"/>
    <w:rsid w:val="3CCF3BB7"/>
    <w:rsid w:val="3CDE029E"/>
    <w:rsid w:val="3D161CEF"/>
    <w:rsid w:val="3D3A049F"/>
    <w:rsid w:val="3D4C16AB"/>
    <w:rsid w:val="3D804EB1"/>
    <w:rsid w:val="3DCB25D0"/>
    <w:rsid w:val="3DF338D5"/>
    <w:rsid w:val="3E0847CC"/>
    <w:rsid w:val="3E285C74"/>
    <w:rsid w:val="3E32264F"/>
    <w:rsid w:val="3E860BED"/>
    <w:rsid w:val="3EB76FF8"/>
    <w:rsid w:val="3ECA6D2C"/>
    <w:rsid w:val="3ECF4342"/>
    <w:rsid w:val="3EEB27FE"/>
    <w:rsid w:val="3F033FEC"/>
    <w:rsid w:val="3F1B53D0"/>
    <w:rsid w:val="3F3B40FE"/>
    <w:rsid w:val="3F7764A1"/>
    <w:rsid w:val="3FA7706D"/>
    <w:rsid w:val="3FF676AC"/>
    <w:rsid w:val="404623E2"/>
    <w:rsid w:val="4081599D"/>
    <w:rsid w:val="40833636"/>
    <w:rsid w:val="408E3D89"/>
    <w:rsid w:val="40C64348"/>
    <w:rsid w:val="410127AD"/>
    <w:rsid w:val="422C1AAB"/>
    <w:rsid w:val="42554B5E"/>
    <w:rsid w:val="42B23D5F"/>
    <w:rsid w:val="42DE4984"/>
    <w:rsid w:val="43195B8C"/>
    <w:rsid w:val="433C5D1E"/>
    <w:rsid w:val="4346094B"/>
    <w:rsid w:val="43713C1A"/>
    <w:rsid w:val="438576C5"/>
    <w:rsid w:val="43D67F21"/>
    <w:rsid w:val="43D9356D"/>
    <w:rsid w:val="43DB5537"/>
    <w:rsid w:val="43DC0A4F"/>
    <w:rsid w:val="441822E7"/>
    <w:rsid w:val="44185E43"/>
    <w:rsid w:val="445826E4"/>
    <w:rsid w:val="4497145E"/>
    <w:rsid w:val="44BF6C07"/>
    <w:rsid w:val="44C77869"/>
    <w:rsid w:val="44C820E0"/>
    <w:rsid w:val="45085EB8"/>
    <w:rsid w:val="454F7F8B"/>
    <w:rsid w:val="4568104C"/>
    <w:rsid w:val="45760D1E"/>
    <w:rsid w:val="459C0CF6"/>
    <w:rsid w:val="46715CDF"/>
    <w:rsid w:val="4676337D"/>
    <w:rsid w:val="46853538"/>
    <w:rsid w:val="46C2653A"/>
    <w:rsid w:val="46D1677D"/>
    <w:rsid w:val="470B6133"/>
    <w:rsid w:val="47264B58"/>
    <w:rsid w:val="476A2E5A"/>
    <w:rsid w:val="476F66C2"/>
    <w:rsid w:val="47DE73A4"/>
    <w:rsid w:val="48223734"/>
    <w:rsid w:val="48233009"/>
    <w:rsid w:val="482C45B3"/>
    <w:rsid w:val="48376AB4"/>
    <w:rsid w:val="48425B85"/>
    <w:rsid w:val="484740A8"/>
    <w:rsid w:val="48677399"/>
    <w:rsid w:val="486D6068"/>
    <w:rsid w:val="487F0B87"/>
    <w:rsid w:val="48B3438D"/>
    <w:rsid w:val="48B56357"/>
    <w:rsid w:val="48C91E02"/>
    <w:rsid w:val="48D04F3E"/>
    <w:rsid w:val="48F3496E"/>
    <w:rsid w:val="495C4A24"/>
    <w:rsid w:val="49650FE7"/>
    <w:rsid w:val="499C12C5"/>
    <w:rsid w:val="49A308A5"/>
    <w:rsid w:val="49C56A6D"/>
    <w:rsid w:val="4A275032"/>
    <w:rsid w:val="4A534079"/>
    <w:rsid w:val="4A631DE2"/>
    <w:rsid w:val="4A7A7858"/>
    <w:rsid w:val="4AB2387D"/>
    <w:rsid w:val="4ADF590D"/>
    <w:rsid w:val="4AE747C1"/>
    <w:rsid w:val="4AEC627C"/>
    <w:rsid w:val="4AF84C20"/>
    <w:rsid w:val="4B4F0514"/>
    <w:rsid w:val="4B4F5D43"/>
    <w:rsid w:val="4B6127C6"/>
    <w:rsid w:val="4B6505BA"/>
    <w:rsid w:val="4B7C77E0"/>
    <w:rsid w:val="4BB51CA1"/>
    <w:rsid w:val="4C0513A3"/>
    <w:rsid w:val="4C251A45"/>
    <w:rsid w:val="4C26756B"/>
    <w:rsid w:val="4C547C35"/>
    <w:rsid w:val="4C6562E6"/>
    <w:rsid w:val="4C79769B"/>
    <w:rsid w:val="4C8F6EBF"/>
    <w:rsid w:val="4C955268"/>
    <w:rsid w:val="4CA706AC"/>
    <w:rsid w:val="4CBB5F06"/>
    <w:rsid w:val="4CC73D9F"/>
    <w:rsid w:val="4CD46FC7"/>
    <w:rsid w:val="4CE74F4D"/>
    <w:rsid w:val="4CF65190"/>
    <w:rsid w:val="4D023B34"/>
    <w:rsid w:val="4D106251"/>
    <w:rsid w:val="4D2515D1"/>
    <w:rsid w:val="4D381304"/>
    <w:rsid w:val="4D471547"/>
    <w:rsid w:val="4D7733DE"/>
    <w:rsid w:val="4D875DE8"/>
    <w:rsid w:val="4D987FF5"/>
    <w:rsid w:val="4DA90454"/>
    <w:rsid w:val="4DE44FE8"/>
    <w:rsid w:val="4E10402F"/>
    <w:rsid w:val="4E1C4782"/>
    <w:rsid w:val="4E2B70BB"/>
    <w:rsid w:val="4E555EE6"/>
    <w:rsid w:val="4EA368D7"/>
    <w:rsid w:val="4EA824BA"/>
    <w:rsid w:val="4F0B04A7"/>
    <w:rsid w:val="4F2953A8"/>
    <w:rsid w:val="4F4731B4"/>
    <w:rsid w:val="4F4E3061"/>
    <w:rsid w:val="4F4F27E5"/>
    <w:rsid w:val="4F50502B"/>
    <w:rsid w:val="4F5D32A4"/>
    <w:rsid w:val="4F7242E4"/>
    <w:rsid w:val="4F7F05B6"/>
    <w:rsid w:val="4F865C4B"/>
    <w:rsid w:val="4FD23C92"/>
    <w:rsid w:val="502344EE"/>
    <w:rsid w:val="5032028D"/>
    <w:rsid w:val="504862C3"/>
    <w:rsid w:val="50487AB0"/>
    <w:rsid w:val="504C5FD7"/>
    <w:rsid w:val="50597F0F"/>
    <w:rsid w:val="50852AB2"/>
    <w:rsid w:val="50855E9A"/>
    <w:rsid w:val="509B4084"/>
    <w:rsid w:val="50B27620"/>
    <w:rsid w:val="50DE6667"/>
    <w:rsid w:val="50F639B0"/>
    <w:rsid w:val="5107796B"/>
    <w:rsid w:val="516A7EFA"/>
    <w:rsid w:val="51894824"/>
    <w:rsid w:val="518B234A"/>
    <w:rsid w:val="519D207E"/>
    <w:rsid w:val="51C2552D"/>
    <w:rsid w:val="51F54F3F"/>
    <w:rsid w:val="521E31BF"/>
    <w:rsid w:val="52552958"/>
    <w:rsid w:val="52714715"/>
    <w:rsid w:val="52884ADC"/>
    <w:rsid w:val="52BC29D7"/>
    <w:rsid w:val="52CB6777"/>
    <w:rsid w:val="531C6E17"/>
    <w:rsid w:val="5345477B"/>
    <w:rsid w:val="53650979"/>
    <w:rsid w:val="536F17F8"/>
    <w:rsid w:val="539B41E2"/>
    <w:rsid w:val="53A476F3"/>
    <w:rsid w:val="53A5346C"/>
    <w:rsid w:val="54444A33"/>
    <w:rsid w:val="54815C87"/>
    <w:rsid w:val="54817A35"/>
    <w:rsid w:val="549A28A4"/>
    <w:rsid w:val="54D933CD"/>
    <w:rsid w:val="54F63F7F"/>
    <w:rsid w:val="550D12C8"/>
    <w:rsid w:val="55124B31"/>
    <w:rsid w:val="55363F72"/>
    <w:rsid w:val="5543118E"/>
    <w:rsid w:val="558C043F"/>
    <w:rsid w:val="55A41C2D"/>
    <w:rsid w:val="55AF2377"/>
    <w:rsid w:val="55DA73FC"/>
    <w:rsid w:val="55DF2C65"/>
    <w:rsid w:val="561F368A"/>
    <w:rsid w:val="56B440F1"/>
    <w:rsid w:val="56D04063"/>
    <w:rsid w:val="56DE4CCA"/>
    <w:rsid w:val="57077695"/>
    <w:rsid w:val="57236B81"/>
    <w:rsid w:val="572D5C52"/>
    <w:rsid w:val="5742311B"/>
    <w:rsid w:val="574F7976"/>
    <w:rsid w:val="57743D55"/>
    <w:rsid w:val="57833AC4"/>
    <w:rsid w:val="57DF519E"/>
    <w:rsid w:val="57EE3633"/>
    <w:rsid w:val="581F1A3E"/>
    <w:rsid w:val="584B45E2"/>
    <w:rsid w:val="587D49B7"/>
    <w:rsid w:val="5889510A"/>
    <w:rsid w:val="58BE1257"/>
    <w:rsid w:val="5919394F"/>
    <w:rsid w:val="5919648E"/>
    <w:rsid w:val="592117E6"/>
    <w:rsid w:val="594A2AEB"/>
    <w:rsid w:val="59611BE3"/>
    <w:rsid w:val="59611F42"/>
    <w:rsid w:val="596A4F3B"/>
    <w:rsid w:val="59861649"/>
    <w:rsid w:val="59905953"/>
    <w:rsid w:val="59C77C98"/>
    <w:rsid w:val="59D949F9"/>
    <w:rsid w:val="59E52814"/>
    <w:rsid w:val="5A164737"/>
    <w:rsid w:val="5A186250"/>
    <w:rsid w:val="5A3B582D"/>
    <w:rsid w:val="5A47527D"/>
    <w:rsid w:val="5A6000EC"/>
    <w:rsid w:val="5A7F0572"/>
    <w:rsid w:val="5AA854AA"/>
    <w:rsid w:val="5AD20FEA"/>
    <w:rsid w:val="5B1353BC"/>
    <w:rsid w:val="5BB73D3C"/>
    <w:rsid w:val="5BBA1B63"/>
    <w:rsid w:val="5BCD355F"/>
    <w:rsid w:val="5C221AFD"/>
    <w:rsid w:val="5C423F4D"/>
    <w:rsid w:val="5C4A4BB0"/>
    <w:rsid w:val="5C550A67"/>
    <w:rsid w:val="5C58551F"/>
    <w:rsid w:val="5C8974C8"/>
    <w:rsid w:val="5C98591B"/>
    <w:rsid w:val="5CE46DB3"/>
    <w:rsid w:val="5D027239"/>
    <w:rsid w:val="5D107BA8"/>
    <w:rsid w:val="5D177188"/>
    <w:rsid w:val="5D247BC3"/>
    <w:rsid w:val="5D2B771D"/>
    <w:rsid w:val="5D327B1E"/>
    <w:rsid w:val="5D706898"/>
    <w:rsid w:val="5DCD3CEB"/>
    <w:rsid w:val="5DD5494D"/>
    <w:rsid w:val="5DFC07DD"/>
    <w:rsid w:val="5E596800"/>
    <w:rsid w:val="5E7B72A3"/>
    <w:rsid w:val="5E7F3584"/>
    <w:rsid w:val="5ED510A9"/>
    <w:rsid w:val="5F1F2324"/>
    <w:rsid w:val="5F230066"/>
    <w:rsid w:val="5F2E07B9"/>
    <w:rsid w:val="5F304531"/>
    <w:rsid w:val="5F441D8B"/>
    <w:rsid w:val="5F530220"/>
    <w:rsid w:val="5FB44474"/>
    <w:rsid w:val="5FDE3F8D"/>
    <w:rsid w:val="5FE1582B"/>
    <w:rsid w:val="5FE33352"/>
    <w:rsid w:val="5FE62E42"/>
    <w:rsid w:val="601E082E"/>
    <w:rsid w:val="6042451C"/>
    <w:rsid w:val="605B3830"/>
    <w:rsid w:val="606326E4"/>
    <w:rsid w:val="60795A64"/>
    <w:rsid w:val="60854409"/>
    <w:rsid w:val="60DE7750"/>
    <w:rsid w:val="61012ABF"/>
    <w:rsid w:val="61130F7B"/>
    <w:rsid w:val="61686204"/>
    <w:rsid w:val="617A5D6B"/>
    <w:rsid w:val="617C580C"/>
    <w:rsid w:val="61AE5BE1"/>
    <w:rsid w:val="61BC20AC"/>
    <w:rsid w:val="61D977DD"/>
    <w:rsid w:val="61DC44FC"/>
    <w:rsid w:val="621A5025"/>
    <w:rsid w:val="621A6DD3"/>
    <w:rsid w:val="622142A5"/>
    <w:rsid w:val="62326812"/>
    <w:rsid w:val="62421C90"/>
    <w:rsid w:val="62740BD9"/>
    <w:rsid w:val="62CB77A9"/>
    <w:rsid w:val="62F835B8"/>
    <w:rsid w:val="638C5AAE"/>
    <w:rsid w:val="63F41FD1"/>
    <w:rsid w:val="64030466"/>
    <w:rsid w:val="64063AB3"/>
    <w:rsid w:val="641F6922"/>
    <w:rsid w:val="64234664"/>
    <w:rsid w:val="64405216"/>
    <w:rsid w:val="644A4A48"/>
    <w:rsid w:val="64520AA6"/>
    <w:rsid w:val="647542FA"/>
    <w:rsid w:val="64942E6C"/>
    <w:rsid w:val="64B10789"/>
    <w:rsid w:val="64BD6867"/>
    <w:rsid w:val="6510316D"/>
    <w:rsid w:val="65175067"/>
    <w:rsid w:val="65334880"/>
    <w:rsid w:val="653A473D"/>
    <w:rsid w:val="656B62C3"/>
    <w:rsid w:val="656C203B"/>
    <w:rsid w:val="65956E9C"/>
    <w:rsid w:val="664F1741"/>
    <w:rsid w:val="66655263"/>
    <w:rsid w:val="6692162D"/>
    <w:rsid w:val="66925AD1"/>
    <w:rsid w:val="669E6224"/>
    <w:rsid w:val="66A852F5"/>
    <w:rsid w:val="66FE3167"/>
    <w:rsid w:val="677F7E04"/>
    <w:rsid w:val="67D57A24"/>
    <w:rsid w:val="67F81964"/>
    <w:rsid w:val="68394457"/>
    <w:rsid w:val="685968A7"/>
    <w:rsid w:val="686F27FC"/>
    <w:rsid w:val="687A681D"/>
    <w:rsid w:val="68B0223F"/>
    <w:rsid w:val="69252C2D"/>
    <w:rsid w:val="693966D8"/>
    <w:rsid w:val="697E40EB"/>
    <w:rsid w:val="69847953"/>
    <w:rsid w:val="69BD10B7"/>
    <w:rsid w:val="69F50851"/>
    <w:rsid w:val="6A06480C"/>
    <w:rsid w:val="6A0C16F7"/>
    <w:rsid w:val="6A2353BE"/>
    <w:rsid w:val="6A31115D"/>
    <w:rsid w:val="6A3D7B02"/>
    <w:rsid w:val="6A42336B"/>
    <w:rsid w:val="6A6652AB"/>
    <w:rsid w:val="6AC32A7F"/>
    <w:rsid w:val="6ACD70D8"/>
    <w:rsid w:val="6AFC79BD"/>
    <w:rsid w:val="6B113469"/>
    <w:rsid w:val="6B8A6D77"/>
    <w:rsid w:val="6BBA4F19"/>
    <w:rsid w:val="6C0C3C30"/>
    <w:rsid w:val="6C1F5711"/>
    <w:rsid w:val="6C5F4375"/>
    <w:rsid w:val="6C757A27"/>
    <w:rsid w:val="6C8251EB"/>
    <w:rsid w:val="6C9A56E0"/>
    <w:rsid w:val="6D6C2BD8"/>
    <w:rsid w:val="6DBB590E"/>
    <w:rsid w:val="6DCF4F15"/>
    <w:rsid w:val="6DE842C9"/>
    <w:rsid w:val="6E192634"/>
    <w:rsid w:val="6E443B55"/>
    <w:rsid w:val="6E4753F3"/>
    <w:rsid w:val="6E4C47B8"/>
    <w:rsid w:val="6E71178C"/>
    <w:rsid w:val="6E900B48"/>
    <w:rsid w:val="6EB74327"/>
    <w:rsid w:val="6ED0363B"/>
    <w:rsid w:val="6F0B4673"/>
    <w:rsid w:val="6F2319BD"/>
    <w:rsid w:val="6F305E87"/>
    <w:rsid w:val="6FB83BE3"/>
    <w:rsid w:val="6FBE7937"/>
    <w:rsid w:val="6FE32EFA"/>
    <w:rsid w:val="70381498"/>
    <w:rsid w:val="704C4F43"/>
    <w:rsid w:val="705B6F34"/>
    <w:rsid w:val="7060279C"/>
    <w:rsid w:val="70622071"/>
    <w:rsid w:val="70672249"/>
    <w:rsid w:val="70952446"/>
    <w:rsid w:val="709D579F"/>
    <w:rsid w:val="70C61839"/>
    <w:rsid w:val="70CC398E"/>
    <w:rsid w:val="70E76A1A"/>
    <w:rsid w:val="70FE448F"/>
    <w:rsid w:val="711315BD"/>
    <w:rsid w:val="711812D8"/>
    <w:rsid w:val="711C66C3"/>
    <w:rsid w:val="71526251"/>
    <w:rsid w:val="715916C6"/>
    <w:rsid w:val="71A212BE"/>
    <w:rsid w:val="71A3433A"/>
    <w:rsid w:val="71AC3EEB"/>
    <w:rsid w:val="71C9509A"/>
    <w:rsid w:val="71ED69CC"/>
    <w:rsid w:val="720553A9"/>
    <w:rsid w:val="720A7E1E"/>
    <w:rsid w:val="72273572"/>
    <w:rsid w:val="72312642"/>
    <w:rsid w:val="723F4C6C"/>
    <w:rsid w:val="72442376"/>
    <w:rsid w:val="724E6D50"/>
    <w:rsid w:val="72895FDA"/>
    <w:rsid w:val="72F316A6"/>
    <w:rsid w:val="73375A36"/>
    <w:rsid w:val="73614861"/>
    <w:rsid w:val="736425A4"/>
    <w:rsid w:val="73C3376E"/>
    <w:rsid w:val="73D752AD"/>
    <w:rsid w:val="741E6BF6"/>
    <w:rsid w:val="74503B27"/>
    <w:rsid w:val="7488020E"/>
    <w:rsid w:val="749649DF"/>
    <w:rsid w:val="749E3DBE"/>
    <w:rsid w:val="74B15375"/>
    <w:rsid w:val="74B530B7"/>
    <w:rsid w:val="74D05C17"/>
    <w:rsid w:val="753164B5"/>
    <w:rsid w:val="75436915"/>
    <w:rsid w:val="75491A51"/>
    <w:rsid w:val="75660855"/>
    <w:rsid w:val="758D193E"/>
    <w:rsid w:val="76312C11"/>
    <w:rsid w:val="763C3364"/>
    <w:rsid w:val="769413F2"/>
    <w:rsid w:val="76946CFC"/>
    <w:rsid w:val="76A07A2B"/>
    <w:rsid w:val="76B455F0"/>
    <w:rsid w:val="76DB1B0A"/>
    <w:rsid w:val="775E5C88"/>
    <w:rsid w:val="777032C5"/>
    <w:rsid w:val="77996CC0"/>
    <w:rsid w:val="77A5665C"/>
    <w:rsid w:val="77AD4519"/>
    <w:rsid w:val="77CE623E"/>
    <w:rsid w:val="77F04406"/>
    <w:rsid w:val="781626AC"/>
    <w:rsid w:val="78210A63"/>
    <w:rsid w:val="783C589D"/>
    <w:rsid w:val="78412EB3"/>
    <w:rsid w:val="785C1A9B"/>
    <w:rsid w:val="785D5F3F"/>
    <w:rsid w:val="78650950"/>
    <w:rsid w:val="78AF42C1"/>
    <w:rsid w:val="78B6564F"/>
    <w:rsid w:val="78BE1364"/>
    <w:rsid w:val="78E71CAD"/>
    <w:rsid w:val="78F37B88"/>
    <w:rsid w:val="78F910A8"/>
    <w:rsid w:val="79002D6F"/>
    <w:rsid w:val="79336CA0"/>
    <w:rsid w:val="793F629B"/>
    <w:rsid w:val="79434F8B"/>
    <w:rsid w:val="79532E9E"/>
    <w:rsid w:val="796926C2"/>
    <w:rsid w:val="796C206B"/>
    <w:rsid w:val="797A7744"/>
    <w:rsid w:val="79D00F9B"/>
    <w:rsid w:val="7A2D1941"/>
    <w:rsid w:val="7A637111"/>
    <w:rsid w:val="7A6A04A0"/>
    <w:rsid w:val="7AA00365"/>
    <w:rsid w:val="7AB94F83"/>
    <w:rsid w:val="7ADD5115"/>
    <w:rsid w:val="7AE87E01"/>
    <w:rsid w:val="7B1A0118"/>
    <w:rsid w:val="7B220D7A"/>
    <w:rsid w:val="7B29035B"/>
    <w:rsid w:val="7B2F16E9"/>
    <w:rsid w:val="7B4038F6"/>
    <w:rsid w:val="7B796D31"/>
    <w:rsid w:val="7B823FE2"/>
    <w:rsid w:val="7B851309"/>
    <w:rsid w:val="7C5530AA"/>
    <w:rsid w:val="7C613B24"/>
    <w:rsid w:val="7C887303"/>
    <w:rsid w:val="7C947A56"/>
    <w:rsid w:val="7CA80A36"/>
    <w:rsid w:val="7CDE6F23"/>
    <w:rsid w:val="7CDF1D4B"/>
    <w:rsid w:val="7CEA58C8"/>
    <w:rsid w:val="7D690EE2"/>
    <w:rsid w:val="7DCD10D3"/>
    <w:rsid w:val="7DE762AB"/>
    <w:rsid w:val="7DE93DD1"/>
    <w:rsid w:val="7E3D5ECB"/>
    <w:rsid w:val="7E4454AB"/>
    <w:rsid w:val="7E44676F"/>
    <w:rsid w:val="7E66726E"/>
    <w:rsid w:val="7E6B6EDC"/>
    <w:rsid w:val="7E6C17AC"/>
    <w:rsid w:val="7E896C4E"/>
    <w:rsid w:val="7E8D29AE"/>
    <w:rsid w:val="7EB22415"/>
    <w:rsid w:val="7ECB2BAC"/>
    <w:rsid w:val="7EE527EB"/>
    <w:rsid w:val="7EE60311"/>
    <w:rsid w:val="7EEF71C5"/>
    <w:rsid w:val="7F08472B"/>
    <w:rsid w:val="7FFE357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61"/>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216"/>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63"/>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64"/>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65"/>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66"/>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67"/>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68"/>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69"/>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line="360" w:lineRule="auto"/>
      <w:ind w:firstLine="420"/>
    </w:pPr>
    <w:rPr>
      <w:rFonts w:ascii="宋体" w:hAnsi="宋体" w:eastAsia="宋体"/>
      <w:szCs w:val="20"/>
    </w:rPr>
  </w:style>
  <w:style w:type="paragraph" w:styleId="3">
    <w:name w:val="Body Text Indent"/>
    <w:basedOn w:val="1"/>
    <w:qFormat/>
    <w:uiPriority w:val="0"/>
    <w:pPr>
      <w:ind w:firstLine="645"/>
    </w:pPr>
    <w:rPr>
      <w:rFonts w:ascii="楷体_GB2312" w:eastAsia="楷体_GB2312"/>
      <w:sz w:val="32"/>
      <w:szCs w:val="32"/>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index 5"/>
    <w:basedOn w:val="1"/>
    <w:next w:val="1"/>
    <w:qFormat/>
    <w:uiPriority w:val="0"/>
    <w:pPr>
      <w:ind w:left="800" w:leftChars="800"/>
    </w:pPr>
  </w:style>
  <w:style w:type="paragraph" w:styleId="16">
    <w:name w:val="Body Text"/>
    <w:basedOn w:val="1"/>
    <w:next w:val="1"/>
    <w:qFormat/>
    <w:uiPriority w:val="0"/>
    <w:rPr>
      <w:rFonts w:ascii="仿宋_GB2312" w:eastAsia="仿宋_GB2312"/>
      <w:sz w:val="28"/>
    </w:rPr>
  </w:style>
  <w:style w:type="paragraph" w:styleId="17">
    <w:name w:val="Block Text"/>
    <w:basedOn w:val="1"/>
    <w:unhideWhenUsed/>
    <w:qFormat/>
    <w:uiPriority w:val="99"/>
    <w:pPr>
      <w:spacing w:before="100" w:beforeAutospacing="1" w:after="100" w:afterAutospacing="1"/>
      <w:ind w:left="420" w:right="33"/>
      <w:jc w:val="left"/>
    </w:pPr>
    <w:rPr>
      <w:rFonts w:ascii="宋体" w:hAnsi="宋体" w:cs="宋体"/>
      <w:sz w:val="24"/>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next w:val="1"/>
    <w:qFormat/>
    <w:uiPriority w:val="0"/>
    <w:rPr>
      <w:rFonts w:ascii="宋体" w:hAnsi="Courier New"/>
      <w:szCs w:val="21"/>
    </w:rPr>
  </w:style>
  <w:style w:type="paragraph" w:styleId="21">
    <w:name w:val="toc 8"/>
    <w:basedOn w:val="1"/>
    <w:next w:val="1"/>
    <w:unhideWhenUsed/>
    <w:qFormat/>
    <w:uiPriority w:val="39"/>
    <w:pPr>
      <w:spacing w:after="57"/>
      <w:ind w:left="1984"/>
    </w:pPr>
  </w:style>
  <w:style w:type="paragraph" w:styleId="22">
    <w:name w:val="endnote text"/>
    <w:basedOn w:val="1"/>
    <w:link w:val="206"/>
    <w:semiHidden/>
    <w:unhideWhenUsed/>
    <w:qFormat/>
    <w:uiPriority w:val="99"/>
    <w:rPr>
      <w:sz w:val="20"/>
    </w:rPr>
  </w:style>
  <w:style w:type="paragraph" w:styleId="23">
    <w:name w:val="footer"/>
    <w:basedOn w:val="1"/>
    <w:link w:val="79"/>
    <w:unhideWhenUsed/>
    <w:qFormat/>
    <w:uiPriority w:val="99"/>
    <w:pPr>
      <w:tabs>
        <w:tab w:val="center" w:pos="7143"/>
        <w:tab w:val="right" w:pos="14287"/>
      </w:tabs>
    </w:pPr>
  </w:style>
  <w:style w:type="paragraph" w:styleId="24">
    <w:name w:val="header"/>
    <w:basedOn w:val="1"/>
    <w:link w:val="77"/>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72"/>
    <w:qFormat/>
    <w:uiPriority w:val="11"/>
    <w:pPr>
      <w:spacing w:before="200" w:after="200"/>
    </w:pPr>
    <w:rPr>
      <w:sz w:val="24"/>
      <w:szCs w:val="24"/>
    </w:rPr>
  </w:style>
  <w:style w:type="paragraph" w:styleId="28">
    <w:name w:val="footnote text"/>
    <w:basedOn w:val="1"/>
    <w:link w:val="205"/>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4">
    <w:name w:val="Title"/>
    <w:basedOn w:val="1"/>
    <w:next w:val="1"/>
    <w:link w:val="71"/>
    <w:qFormat/>
    <w:uiPriority w:val="10"/>
    <w:pPr>
      <w:spacing w:before="300" w:after="200"/>
      <w:contextualSpacing/>
    </w:pPr>
    <w:rPr>
      <w:sz w:val="48"/>
      <w:szCs w:val="48"/>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styleId="41">
    <w:name w:val="List Paragraph"/>
    <w:basedOn w:val="1"/>
    <w:qFormat/>
    <w:uiPriority w:val="0"/>
    <w:pPr>
      <w:ind w:firstLine="420"/>
    </w:pPr>
    <w:rPr>
      <w:rFonts w:ascii="Calibri" w:hAnsi="Calibri"/>
      <w:szCs w:val="22"/>
    </w:rPr>
  </w:style>
  <w:style w:type="character" w:customStyle="1" w:styleId="42">
    <w:name w:val="Heading 1 Char"/>
    <w:basedOn w:val="37"/>
    <w:qFormat/>
    <w:uiPriority w:val="9"/>
    <w:rPr>
      <w:rFonts w:ascii="Arial" w:hAnsi="Arial" w:eastAsia="Arial" w:cs="Arial"/>
      <w:sz w:val="40"/>
      <w:szCs w:val="40"/>
    </w:rPr>
  </w:style>
  <w:style w:type="character" w:customStyle="1" w:styleId="43">
    <w:name w:val="Heading 2 Char"/>
    <w:basedOn w:val="37"/>
    <w:qFormat/>
    <w:uiPriority w:val="9"/>
    <w:rPr>
      <w:rFonts w:ascii="Arial" w:hAnsi="Arial" w:eastAsia="Arial" w:cs="Arial"/>
      <w:sz w:val="34"/>
    </w:rPr>
  </w:style>
  <w:style w:type="character" w:customStyle="1" w:styleId="44">
    <w:name w:val="Heading 3 Char"/>
    <w:basedOn w:val="37"/>
    <w:qFormat/>
    <w:uiPriority w:val="9"/>
    <w:rPr>
      <w:rFonts w:ascii="Arial" w:hAnsi="Arial" w:eastAsia="Arial" w:cs="Arial"/>
      <w:sz w:val="30"/>
      <w:szCs w:val="30"/>
    </w:rPr>
  </w:style>
  <w:style w:type="character" w:customStyle="1" w:styleId="45">
    <w:name w:val="Heading 4 Char"/>
    <w:basedOn w:val="37"/>
    <w:qFormat/>
    <w:uiPriority w:val="9"/>
    <w:rPr>
      <w:rFonts w:ascii="Arial" w:hAnsi="Arial" w:eastAsia="Arial" w:cs="Arial"/>
      <w:b/>
      <w:bCs/>
      <w:sz w:val="26"/>
      <w:szCs w:val="26"/>
    </w:rPr>
  </w:style>
  <w:style w:type="character" w:customStyle="1" w:styleId="46">
    <w:name w:val="Heading 5 Char"/>
    <w:basedOn w:val="37"/>
    <w:qFormat/>
    <w:uiPriority w:val="9"/>
    <w:rPr>
      <w:rFonts w:ascii="Arial" w:hAnsi="Arial" w:eastAsia="Arial" w:cs="Arial"/>
      <w:b/>
      <w:bCs/>
      <w:sz w:val="24"/>
      <w:szCs w:val="24"/>
    </w:rPr>
  </w:style>
  <w:style w:type="character" w:customStyle="1" w:styleId="47">
    <w:name w:val="Heading 6 Char"/>
    <w:basedOn w:val="37"/>
    <w:qFormat/>
    <w:uiPriority w:val="9"/>
    <w:rPr>
      <w:rFonts w:ascii="Arial" w:hAnsi="Arial" w:eastAsia="Arial" w:cs="Arial"/>
      <w:b/>
      <w:bCs/>
      <w:sz w:val="22"/>
      <w:szCs w:val="22"/>
    </w:rPr>
  </w:style>
  <w:style w:type="character" w:customStyle="1" w:styleId="48">
    <w:name w:val="Heading 7 Char"/>
    <w:basedOn w:val="37"/>
    <w:qFormat/>
    <w:uiPriority w:val="9"/>
    <w:rPr>
      <w:rFonts w:ascii="Arial" w:hAnsi="Arial" w:eastAsia="Arial" w:cs="Arial"/>
      <w:b/>
      <w:bCs/>
      <w:i/>
      <w:iCs/>
      <w:sz w:val="22"/>
      <w:szCs w:val="22"/>
    </w:rPr>
  </w:style>
  <w:style w:type="character" w:customStyle="1" w:styleId="49">
    <w:name w:val="Heading 8 Char"/>
    <w:basedOn w:val="37"/>
    <w:qFormat/>
    <w:uiPriority w:val="9"/>
    <w:rPr>
      <w:rFonts w:ascii="Arial" w:hAnsi="Arial" w:eastAsia="Arial" w:cs="Arial"/>
      <w:i/>
      <w:iCs/>
      <w:sz w:val="22"/>
      <w:szCs w:val="22"/>
    </w:rPr>
  </w:style>
  <w:style w:type="character" w:customStyle="1" w:styleId="50">
    <w:name w:val="Heading 9 Char"/>
    <w:basedOn w:val="37"/>
    <w:qFormat/>
    <w:uiPriority w:val="9"/>
    <w:rPr>
      <w:rFonts w:ascii="Arial" w:hAnsi="Arial" w:eastAsia="Arial" w:cs="Arial"/>
      <w:i/>
      <w:iCs/>
      <w:sz w:val="21"/>
      <w:szCs w:val="21"/>
    </w:rPr>
  </w:style>
  <w:style w:type="character" w:customStyle="1" w:styleId="51">
    <w:name w:val="Title Char"/>
    <w:basedOn w:val="37"/>
    <w:qFormat/>
    <w:uiPriority w:val="10"/>
    <w:rPr>
      <w:sz w:val="48"/>
      <w:szCs w:val="48"/>
    </w:rPr>
  </w:style>
  <w:style w:type="character" w:customStyle="1" w:styleId="52">
    <w:name w:val="Subtitle Char"/>
    <w:basedOn w:val="37"/>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Header Char"/>
    <w:basedOn w:val="37"/>
    <w:qFormat/>
    <w:uiPriority w:val="99"/>
  </w:style>
  <w:style w:type="character" w:customStyle="1" w:styleId="56">
    <w:name w:val="Caption Char"/>
    <w:qFormat/>
    <w:uiPriority w:val="99"/>
  </w:style>
  <w:style w:type="character" w:customStyle="1" w:styleId="57">
    <w:name w:val="Footnote Text Char"/>
    <w:qFormat/>
    <w:uiPriority w:val="99"/>
    <w:rPr>
      <w:sz w:val="18"/>
    </w:rPr>
  </w:style>
  <w:style w:type="character" w:customStyle="1" w:styleId="58">
    <w:name w:val="Endnote Text Char"/>
    <w:qFormat/>
    <w:uiPriority w:val="99"/>
    <w:rPr>
      <w:sz w:val="20"/>
    </w:rPr>
  </w:style>
  <w:style w:type="paragraph" w:customStyle="1" w:styleId="59">
    <w:name w:val="TOC 标题1"/>
    <w:unhideWhenUsed/>
    <w:qFormat/>
    <w:uiPriority w:val="39"/>
    <w:rPr>
      <w:rFonts w:ascii="Times New Roman" w:hAnsi="Times New Roman" w:eastAsia="宋体" w:cs="Times New Roman"/>
      <w:lang w:val="en-US" w:eastAsia="zh-CN" w:bidi="ar-SA"/>
    </w:rPr>
  </w:style>
  <w:style w:type="paragraph" w:customStyle="1" w:styleId="60">
    <w:name w:val="列出段落1"/>
    <w:basedOn w:val="1"/>
    <w:qFormat/>
    <w:uiPriority w:val="34"/>
    <w:pPr>
      <w:ind w:firstLine="420"/>
    </w:pPr>
  </w:style>
  <w:style w:type="character" w:customStyle="1" w:styleId="61">
    <w:name w:val="标题 1 Char1"/>
    <w:link w:val="4"/>
    <w:qFormat/>
    <w:uiPriority w:val="9"/>
    <w:rPr>
      <w:rFonts w:ascii="Arial" w:hAnsi="Arial" w:eastAsia="Arial" w:cs="Arial"/>
      <w:sz w:val="40"/>
      <w:szCs w:val="40"/>
    </w:rPr>
  </w:style>
  <w:style w:type="character" w:customStyle="1" w:styleId="62">
    <w:name w:val="标题 2 Char1"/>
    <w:link w:val="5"/>
    <w:qFormat/>
    <w:uiPriority w:val="9"/>
    <w:rPr>
      <w:rFonts w:ascii="Arial" w:hAnsi="Arial" w:eastAsia="Arial" w:cs="Arial"/>
      <w:sz w:val="34"/>
    </w:rPr>
  </w:style>
  <w:style w:type="character" w:customStyle="1" w:styleId="63">
    <w:name w:val="标题 3 Char1"/>
    <w:link w:val="6"/>
    <w:qFormat/>
    <w:uiPriority w:val="9"/>
    <w:rPr>
      <w:rFonts w:ascii="Arial" w:hAnsi="Arial" w:eastAsia="Arial" w:cs="Arial"/>
      <w:sz w:val="30"/>
      <w:szCs w:val="30"/>
    </w:rPr>
  </w:style>
  <w:style w:type="character" w:customStyle="1" w:styleId="64">
    <w:name w:val="标题 4 Char1"/>
    <w:link w:val="7"/>
    <w:qFormat/>
    <w:uiPriority w:val="9"/>
    <w:rPr>
      <w:rFonts w:ascii="Arial" w:hAnsi="Arial" w:eastAsia="Arial" w:cs="Arial"/>
      <w:b/>
      <w:bCs/>
      <w:sz w:val="26"/>
      <w:szCs w:val="26"/>
    </w:rPr>
  </w:style>
  <w:style w:type="character" w:customStyle="1" w:styleId="65">
    <w:name w:val="标题 5 Char1"/>
    <w:link w:val="8"/>
    <w:qFormat/>
    <w:uiPriority w:val="9"/>
    <w:rPr>
      <w:rFonts w:ascii="Arial" w:hAnsi="Arial" w:eastAsia="Arial" w:cs="Arial"/>
      <w:b/>
      <w:bCs/>
      <w:sz w:val="24"/>
      <w:szCs w:val="24"/>
    </w:rPr>
  </w:style>
  <w:style w:type="character" w:customStyle="1" w:styleId="66">
    <w:name w:val="标题 6 Char"/>
    <w:link w:val="9"/>
    <w:qFormat/>
    <w:uiPriority w:val="9"/>
    <w:rPr>
      <w:rFonts w:ascii="Arial" w:hAnsi="Arial" w:eastAsia="Arial" w:cs="Arial"/>
      <w:b/>
      <w:bCs/>
      <w:sz w:val="22"/>
      <w:szCs w:val="22"/>
    </w:rPr>
  </w:style>
  <w:style w:type="character" w:customStyle="1" w:styleId="67">
    <w:name w:val="标题 7 Char"/>
    <w:link w:val="10"/>
    <w:qFormat/>
    <w:uiPriority w:val="9"/>
    <w:rPr>
      <w:rFonts w:ascii="Arial" w:hAnsi="Arial" w:eastAsia="Arial" w:cs="Arial"/>
      <w:b/>
      <w:bCs/>
      <w:i/>
      <w:iCs/>
      <w:sz w:val="22"/>
      <w:szCs w:val="22"/>
    </w:rPr>
  </w:style>
  <w:style w:type="character" w:customStyle="1" w:styleId="68">
    <w:name w:val="标题 8 Char"/>
    <w:link w:val="11"/>
    <w:qFormat/>
    <w:uiPriority w:val="9"/>
    <w:rPr>
      <w:rFonts w:ascii="Arial" w:hAnsi="Arial" w:eastAsia="Arial" w:cs="Arial"/>
      <w:i/>
      <w:iCs/>
      <w:sz w:val="22"/>
      <w:szCs w:val="22"/>
    </w:rPr>
  </w:style>
  <w:style w:type="character" w:customStyle="1" w:styleId="69">
    <w:name w:val="标题 9 Char"/>
    <w:link w:val="12"/>
    <w:qFormat/>
    <w:uiPriority w:val="9"/>
    <w:rPr>
      <w:rFonts w:ascii="Arial" w:hAnsi="Arial" w:eastAsia="Arial" w:cs="Arial"/>
      <w:i/>
      <w:iCs/>
      <w:sz w:val="21"/>
      <w:szCs w:val="21"/>
    </w:rPr>
  </w:style>
  <w:style w:type="paragraph" w:styleId="70">
    <w:name w:val="No Spacing"/>
    <w:qFormat/>
    <w:uiPriority w:val="1"/>
    <w:rPr>
      <w:rFonts w:ascii="Times New Roman" w:hAnsi="Times New Roman" w:eastAsia="宋体" w:cs="Times New Roman"/>
      <w:lang w:val="en-US" w:eastAsia="zh-CN" w:bidi="ar-SA"/>
    </w:rPr>
  </w:style>
  <w:style w:type="character" w:customStyle="1" w:styleId="71">
    <w:name w:val="标题 Char"/>
    <w:link w:val="34"/>
    <w:qFormat/>
    <w:uiPriority w:val="10"/>
    <w:rPr>
      <w:sz w:val="48"/>
      <w:szCs w:val="48"/>
    </w:rPr>
  </w:style>
  <w:style w:type="character" w:customStyle="1" w:styleId="72">
    <w:name w:val="副标题 Char"/>
    <w:link w:val="27"/>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引用 Char"/>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6">
    <w:name w:val="明显引用 Char"/>
    <w:link w:val="75"/>
    <w:qFormat/>
    <w:uiPriority w:val="30"/>
    <w:rPr>
      <w:i/>
    </w:rPr>
  </w:style>
  <w:style w:type="character" w:customStyle="1" w:styleId="77">
    <w:name w:val="页眉 Char1"/>
    <w:link w:val="24"/>
    <w:qFormat/>
    <w:uiPriority w:val="99"/>
  </w:style>
  <w:style w:type="character" w:customStyle="1" w:styleId="78">
    <w:name w:val="Footer Char"/>
    <w:link w:val="23"/>
    <w:qFormat/>
    <w:uiPriority w:val="99"/>
  </w:style>
  <w:style w:type="character" w:customStyle="1" w:styleId="79">
    <w:name w:val="页脚 Char1"/>
    <w:link w:val="23"/>
    <w:qFormat/>
    <w:uiPriority w:val="99"/>
  </w:style>
  <w:style w:type="table" w:customStyle="1" w:styleId="8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1">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3">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1">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8">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5">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2">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6">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0">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脚注文本 Char"/>
    <w:link w:val="28"/>
    <w:qFormat/>
    <w:uiPriority w:val="99"/>
    <w:rPr>
      <w:sz w:val="18"/>
    </w:rPr>
  </w:style>
  <w:style w:type="character" w:customStyle="1" w:styleId="206">
    <w:name w:val="尾注文本 Char"/>
    <w:link w:val="22"/>
    <w:qFormat/>
    <w:uiPriority w:val="99"/>
    <w:rPr>
      <w:sz w:val="20"/>
    </w:rPr>
  </w:style>
  <w:style w:type="paragraph" w:customStyle="1" w:styleId="207">
    <w:name w:val="TOC 标题11"/>
    <w:unhideWhenUsed/>
    <w:qFormat/>
    <w:uiPriority w:val="39"/>
    <w:rPr>
      <w:rFonts w:ascii="Times New Roman" w:hAnsi="Times New Roman" w:eastAsia="宋体" w:cs="Times New Roman"/>
      <w:lang w:val="en-US" w:eastAsia="zh-CN" w:bidi="ar-SA"/>
    </w:rPr>
  </w:style>
  <w:style w:type="paragraph" w:customStyle="1" w:styleId="208">
    <w:name w:val="标题 11"/>
    <w:basedOn w:val="1"/>
    <w:next w:val="1"/>
    <w:link w:val="215"/>
    <w:qFormat/>
    <w:uiPriority w:val="0"/>
    <w:pPr>
      <w:keepNext/>
      <w:jc w:val="center"/>
      <w:outlineLvl w:val="0"/>
    </w:pPr>
    <w:rPr>
      <w:rFonts w:ascii="楷体_GB2312" w:eastAsia="楷体_GB2312"/>
      <w:b/>
      <w:sz w:val="28"/>
    </w:rPr>
  </w:style>
  <w:style w:type="paragraph" w:customStyle="1" w:styleId="209">
    <w:name w:val="标题 21"/>
    <w:basedOn w:val="1"/>
    <w:next w:val="1"/>
    <w:qFormat/>
    <w:uiPriority w:val="0"/>
    <w:pPr>
      <w:keepNext/>
      <w:jc w:val="center"/>
      <w:outlineLvl w:val="1"/>
    </w:pPr>
    <w:rPr>
      <w:rFonts w:ascii="楷体_GB2312" w:eastAsia="楷体_GB2312"/>
      <w:b/>
      <w:bCs/>
      <w:sz w:val="18"/>
    </w:rPr>
  </w:style>
  <w:style w:type="paragraph" w:customStyle="1" w:styleId="210">
    <w:name w:val="标题 31"/>
    <w:basedOn w:val="1"/>
    <w:next w:val="1"/>
    <w:link w:val="217"/>
    <w:qFormat/>
    <w:uiPriority w:val="0"/>
    <w:pPr>
      <w:keepNext/>
      <w:jc w:val="center"/>
      <w:outlineLvl w:val="2"/>
    </w:pPr>
    <w:rPr>
      <w:rFonts w:eastAsia="楷体_GB2312"/>
      <w:b/>
      <w:bCs/>
      <w:sz w:val="15"/>
    </w:rPr>
  </w:style>
  <w:style w:type="paragraph" w:customStyle="1" w:styleId="211">
    <w:name w:val="标题 41"/>
    <w:basedOn w:val="1"/>
    <w:next w:val="1"/>
    <w:link w:val="218"/>
    <w:qFormat/>
    <w:uiPriority w:val="0"/>
    <w:pPr>
      <w:keepNext/>
      <w:jc w:val="center"/>
      <w:outlineLvl w:val="3"/>
    </w:pPr>
    <w:rPr>
      <w:rFonts w:eastAsia="楷体_GB2312"/>
      <w:b/>
      <w:bCs/>
      <w:sz w:val="13"/>
    </w:rPr>
  </w:style>
  <w:style w:type="paragraph" w:customStyle="1" w:styleId="212">
    <w:name w:val="标题 51"/>
    <w:basedOn w:val="1"/>
    <w:next w:val="1"/>
    <w:link w:val="219"/>
    <w:qFormat/>
    <w:uiPriority w:val="0"/>
    <w:pPr>
      <w:keepNext/>
      <w:numPr>
        <w:ilvl w:val="0"/>
        <w:numId w:val="1"/>
      </w:numPr>
      <w:outlineLvl w:val="4"/>
    </w:pPr>
    <w:rPr>
      <w:rFonts w:ascii="楷体_GB2312" w:eastAsia="楷体_GB2312"/>
      <w:bCs/>
      <w:sz w:val="28"/>
    </w:rPr>
  </w:style>
  <w:style w:type="character" w:customStyle="1" w:styleId="213">
    <w:name w:val="默认段落字体1"/>
    <w:unhideWhenUsed/>
    <w:qFormat/>
    <w:uiPriority w:val="1"/>
  </w:style>
  <w:style w:type="table" w:customStyle="1" w:styleId="214">
    <w:name w:val="普通表格1"/>
    <w:unhideWhenUsed/>
    <w:qFormat/>
    <w:uiPriority w:val="99"/>
    <w:tblPr>
      <w:tblCellMar>
        <w:top w:w="0" w:type="dxa"/>
        <w:left w:w="0" w:type="dxa"/>
        <w:bottom w:w="0" w:type="dxa"/>
        <w:right w:w="0" w:type="dxa"/>
      </w:tblCellMar>
    </w:tblPr>
  </w:style>
  <w:style w:type="character" w:customStyle="1" w:styleId="215">
    <w:name w:val="标题 1 Char"/>
    <w:link w:val="208"/>
    <w:qFormat/>
    <w:uiPriority w:val="0"/>
    <w:rPr>
      <w:rFonts w:ascii="楷体_GB2312" w:hAnsi="Times New Roman" w:eastAsia="楷体_GB2312" w:cs="Times New Roman"/>
      <w:b/>
      <w:sz w:val="28"/>
      <w:szCs w:val="20"/>
    </w:rPr>
  </w:style>
  <w:style w:type="character" w:customStyle="1" w:styleId="216">
    <w:name w:val="标题 2 Char"/>
    <w:link w:val="5"/>
    <w:qFormat/>
    <w:uiPriority w:val="0"/>
    <w:rPr>
      <w:rFonts w:ascii="楷体_GB2312" w:hAnsi="Times New Roman" w:eastAsia="楷体_GB2312" w:cs="Times New Roman"/>
      <w:b/>
      <w:bCs/>
      <w:sz w:val="18"/>
      <w:szCs w:val="20"/>
    </w:rPr>
  </w:style>
  <w:style w:type="character" w:customStyle="1" w:styleId="217">
    <w:name w:val="标题 3 Char"/>
    <w:link w:val="210"/>
    <w:qFormat/>
    <w:uiPriority w:val="0"/>
    <w:rPr>
      <w:rFonts w:ascii="Times New Roman" w:hAnsi="Times New Roman" w:eastAsia="楷体_GB2312" w:cs="Times New Roman"/>
      <w:b/>
      <w:bCs/>
      <w:sz w:val="15"/>
      <w:szCs w:val="20"/>
    </w:rPr>
  </w:style>
  <w:style w:type="character" w:customStyle="1" w:styleId="218">
    <w:name w:val="标题 4 Char"/>
    <w:link w:val="211"/>
    <w:qFormat/>
    <w:uiPriority w:val="0"/>
    <w:rPr>
      <w:rFonts w:ascii="Times New Roman" w:hAnsi="Times New Roman" w:eastAsia="楷体_GB2312" w:cs="Times New Roman"/>
      <w:b/>
      <w:bCs/>
      <w:sz w:val="13"/>
      <w:szCs w:val="20"/>
    </w:rPr>
  </w:style>
  <w:style w:type="character" w:customStyle="1" w:styleId="219">
    <w:name w:val="标题 5 Char"/>
    <w:link w:val="212"/>
    <w:qFormat/>
    <w:uiPriority w:val="0"/>
    <w:rPr>
      <w:rFonts w:ascii="楷体_GB2312" w:hAnsi="Times New Roman" w:eastAsia="楷体_GB2312" w:cs="Times New Roman"/>
      <w:bCs/>
      <w:sz w:val="28"/>
      <w:szCs w:val="20"/>
    </w:rPr>
  </w:style>
  <w:style w:type="paragraph" w:customStyle="1" w:styleId="220">
    <w:name w:val="正文缩进1"/>
    <w:basedOn w:val="1"/>
    <w:link w:val="221"/>
    <w:unhideWhenUsed/>
    <w:qFormat/>
    <w:uiPriority w:val="0"/>
    <w:pPr>
      <w:ind w:firstLine="420"/>
    </w:pPr>
  </w:style>
  <w:style w:type="character" w:customStyle="1" w:styleId="221">
    <w:name w:val="正文缩进 Char"/>
    <w:link w:val="220"/>
    <w:semiHidden/>
    <w:qFormat/>
    <w:uiPriority w:val="0"/>
    <w:rPr>
      <w:rFonts w:ascii="Times New Roman" w:hAnsi="Times New Roman"/>
      <w:sz w:val="21"/>
    </w:rPr>
  </w:style>
  <w:style w:type="paragraph" w:customStyle="1" w:styleId="222">
    <w:name w:val="索引 51"/>
    <w:basedOn w:val="1"/>
    <w:next w:val="1"/>
    <w:qFormat/>
    <w:uiPriority w:val="0"/>
    <w:pPr>
      <w:ind w:left="800"/>
    </w:pPr>
  </w:style>
  <w:style w:type="paragraph" w:customStyle="1" w:styleId="223">
    <w:name w:val="文档结构图1"/>
    <w:basedOn w:val="1"/>
    <w:link w:val="224"/>
    <w:semiHidden/>
    <w:qFormat/>
    <w:uiPriority w:val="0"/>
    <w:pPr>
      <w:shd w:val="clear" w:color="auto" w:fill="000080"/>
    </w:pPr>
    <w:rPr>
      <w:sz w:val="20"/>
    </w:rPr>
  </w:style>
  <w:style w:type="character" w:customStyle="1" w:styleId="224">
    <w:name w:val="文档结构图 Char"/>
    <w:link w:val="223"/>
    <w:semiHidden/>
    <w:qFormat/>
    <w:uiPriority w:val="0"/>
    <w:rPr>
      <w:rFonts w:ascii="Times New Roman" w:hAnsi="Times New Roman" w:eastAsia="宋体" w:cs="Times New Roman"/>
      <w:szCs w:val="20"/>
      <w:shd w:val="clear" w:color="auto" w:fill="000080"/>
    </w:rPr>
  </w:style>
  <w:style w:type="paragraph" w:customStyle="1" w:styleId="225">
    <w:name w:val="批注文字1"/>
    <w:basedOn w:val="1"/>
    <w:link w:val="226"/>
    <w:semiHidden/>
    <w:qFormat/>
    <w:uiPriority w:val="99"/>
    <w:pPr>
      <w:jc w:val="left"/>
    </w:pPr>
    <w:rPr>
      <w:sz w:val="20"/>
      <w:szCs w:val="24"/>
    </w:rPr>
  </w:style>
  <w:style w:type="character" w:customStyle="1" w:styleId="226">
    <w:name w:val="批注文字 Char"/>
    <w:link w:val="225"/>
    <w:semiHidden/>
    <w:qFormat/>
    <w:uiPriority w:val="99"/>
    <w:rPr>
      <w:rFonts w:ascii="Times New Roman" w:hAnsi="Times New Roman" w:eastAsia="宋体" w:cs="Times New Roman"/>
      <w:szCs w:val="24"/>
    </w:rPr>
  </w:style>
  <w:style w:type="paragraph" w:customStyle="1" w:styleId="227">
    <w:name w:val="正文文本1"/>
    <w:basedOn w:val="1"/>
    <w:link w:val="228"/>
    <w:qFormat/>
    <w:uiPriority w:val="99"/>
    <w:rPr>
      <w:rFonts w:ascii="华文中宋" w:eastAsia="华文中宋"/>
      <w:bCs/>
      <w:sz w:val="28"/>
    </w:rPr>
  </w:style>
  <w:style w:type="character" w:customStyle="1" w:styleId="228">
    <w:name w:val="正文文本 Char"/>
    <w:link w:val="227"/>
    <w:qFormat/>
    <w:uiPriority w:val="99"/>
    <w:rPr>
      <w:rFonts w:ascii="华文中宋" w:hAnsi="Times New Roman" w:eastAsia="华文中宋" w:cs="Times New Roman"/>
      <w:bCs/>
      <w:sz w:val="28"/>
      <w:szCs w:val="20"/>
    </w:rPr>
  </w:style>
  <w:style w:type="paragraph" w:customStyle="1" w:styleId="229">
    <w:name w:val="正文文本缩进1"/>
    <w:basedOn w:val="1"/>
    <w:link w:val="230"/>
    <w:qFormat/>
    <w:uiPriority w:val="0"/>
    <w:pPr>
      <w:ind w:firstLine="576"/>
    </w:pPr>
    <w:rPr>
      <w:b/>
      <w:sz w:val="30"/>
    </w:rPr>
  </w:style>
  <w:style w:type="character" w:customStyle="1" w:styleId="230">
    <w:name w:val="正文文本缩进 Char"/>
    <w:link w:val="229"/>
    <w:qFormat/>
    <w:uiPriority w:val="0"/>
    <w:rPr>
      <w:rFonts w:ascii="Times New Roman" w:hAnsi="Times New Roman" w:eastAsia="宋体" w:cs="Times New Roman"/>
      <w:b/>
      <w:sz w:val="30"/>
      <w:szCs w:val="20"/>
    </w:rPr>
  </w:style>
  <w:style w:type="paragraph" w:customStyle="1" w:styleId="231">
    <w:name w:val="索引 41"/>
    <w:basedOn w:val="1"/>
    <w:next w:val="1"/>
    <w:qFormat/>
    <w:uiPriority w:val="99"/>
    <w:pPr>
      <w:ind w:left="600"/>
    </w:pPr>
    <w:rPr>
      <w:szCs w:val="24"/>
    </w:rPr>
  </w:style>
  <w:style w:type="paragraph" w:customStyle="1" w:styleId="232">
    <w:name w:val="纯文本1"/>
    <w:basedOn w:val="1"/>
    <w:next w:val="1"/>
    <w:qFormat/>
    <w:uiPriority w:val="0"/>
    <w:rPr>
      <w:rFonts w:ascii="宋体" w:hAnsi="Courier New"/>
      <w:szCs w:val="21"/>
    </w:rPr>
  </w:style>
  <w:style w:type="paragraph" w:customStyle="1" w:styleId="233">
    <w:name w:val="日期1"/>
    <w:basedOn w:val="1"/>
    <w:next w:val="1"/>
    <w:link w:val="234"/>
    <w:qFormat/>
    <w:uiPriority w:val="0"/>
    <w:rPr>
      <w:rFonts w:eastAsia="黑体"/>
      <w:b/>
      <w:sz w:val="36"/>
    </w:rPr>
  </w:style>
  <w:style w:type="character" w:customStyle="1" w:styleId="234">
    <w:name w:val="日期 Char"/>
    <w:link w:val="233"/>
    <w:qFormat/>
    <w:uiPriority w:val="0"/>
    <w:rPr>
      <w:rFonts w:ascii="Times New Roman" w:hAnsi="Times New Roman" w:eastAsia="黑体" w:cs="Times New Roman"/>
      <w:b/>
      <w:sz w:val="36"/>
      <w:szCs w:val="20"/>
    </w:rPr>
  </w:style>
  <w:style w:type="paragraph" w:customStyle="1" w:styleId="235">
    <w:name w:val="正文文本缩进 21"/>
    <w:basedOn w:val="1"/>
    <w:link w:val="236"/>
    <w:qFormat/>
    <w:uiPriority w:val="0"/>
    <w:pPr>
      <w:ind w:left="900"/>
    </w:pPr>
    <w:rPr>
      <w:rFonts w:ascii="楷体_GB2312" w:eastAsia="楷体_GB2312"/>
      <w:b/>
      <w:sz w:val="28"/>
    </w:rPr>
  </w:style>
  <w:style w:type="character" w:customStyle="1" w:styleId="236">
    <w:name w:val="正文文本缩进 2 Char"/>
    <w:link w:val="235"/>
    <w:qFormat/>
    <w:uiPriority w:val="0"/>
    <w:rPr>
      <w:rFonts w:ascii="楷体_GB2312" w:hAnsi="Times New Roman" w:eastAsia="楷体_GB2312" w:cs="Times New Roman"/>
      <w:b/>
      <w:sz w:val="28"/>
      <w:szCs w:val="20"/>
    </w:rPr>
  </w:style>
  <w:style w:type="paragraph" w:customStyle="1" w:styleId="237">
    <w:name w:val="批注框文本1"/>
    <w:basedOn w:val="1"/>
    <w:link w:val="238"/>
    <w:unhideWhenUsed/>
    <w:qFormat/>
    <w:uiPriority w:val="99"/>
    <w:rPr>
      <w:sz w:val="18"/>
      <w:szCs w:val="18"/>
    </w:rPr>
  </w:style>
  <w:style w:type="character" w:customStyle="1" w:styleId="238">
    <w:name w:val="批注框文本 Char"/>
    <w:link w:val="237"/>
    <w:semiHidden/>
    <w:qFormat/>
    <w:uiPriority w:val="99"/>
    <w:rPr>
      <w:rFonts w:ascii="Times New Roman" w:hAnsi="Times New Roman" w:eastAsia="宋体" w:cs="Times New Roman"/>
      <w:sz w:val="18"/>
      <w:szCs w:val="18"/>
    </w:rPr>
  </w:style>
  <w:style w:type="paragraph" w:customStyle="1" w:styleId="239">
    <w:name w:val="页脚1"/>
    <w:basedOn w:val="1"/>
    <w:link w:val="240"/>
    <w:unhideWhenUsed/>
    <w:qFormat/>
    <w:uiPriority w:val="0"/>
    <w:pPr>
      <w:tabs>
        <w:tab w:val="center" w:pos="4153"/>
        <w:tab w:val="right" w:pos="8306"/>
      </w:tabs>
      <w:jc w:val="left"/>
    </w:pPr>
    <w:rPr>
      <w:rFonts w:ascii="Calibri" w:hAnsi="Calibri"/>
      <w:sz w:val="18"/>
      <w:szCs w:val="18"/>
    </w:rPr>
  </w:style>
  <w:style w:type="character" w:customStyle="1" w:styleId="240">
    <w:name w:val="页脚 Char"/>
    <w:link w:val="239"/>
    <w:qFormat/>
    <w:uiPriority w:val="0"/>
    <w:rPr>
      <w:sz w:val="18"/>
      <w:szCs w:val="18"/>
    </w:rPr>
  </w:style>
  <w:style w:type="paragraph" w:customStyle="1" w:styleId="241">
    <w:name w:val="页眉1"/>
    <w:basedOn w:val="1"/>
    <w:link w:val="242"/>
    <w:unhideWhenUsed/>
    <w:qFormat/>
    <w:uiPriority w:val="0"/>
    <w:pPr>
      <w:pBdr>
        <w:bottom w:val="single" w:color="000000" w:sz="6" w:space="1"/>
      </w:pBdr>
      <w:tabs>
        <w:tab w:val="center" w:pos="4153"/>
        <w:tab w:val="right" w:pos="8306"/>
      </w:tabs>
      <w:jc w:val="center"/>
    </w:pPr>
    <w:rPr>
      <w:rFonts w:ascii="Calibri" w:hAnsi="Calibri"/>
      <w:sz w:val="18"/>
      <w:szCs w:val="18"/>
    </w:rPr>
  </w:style>
  <w:style w:type="character" w:customStyle="1" w:styleId="242">
    <w:name w:val="页眉 Char"/>
    <w:link w:val="241"/>
    <w:qFormat/>
    <w:uiPriority w:val="0"/>
    <w:rPr>
      <w:sz w:val="18"/>
      <w:szCs w:val="18"/>
    </w:rPr>
  </w:style>
  <w:style w:type="paragraph" w:customStyle="1" w:styleId="243">
    <w:name w:val="目录 11"/>
    <w:basedOn w:val="1"/>
    <w:next w:val="1"/>
    <w:unhideWhenUsed/>
    <w:qFormat/>
    <w:uiPriority w:val="39"/>
  </w:style>
  <w:style w:type="paragraph" w:customStyle="1" w:styleId="244">
    <w:name w:val="列表1"/>
    <w:basedOn w:val="1"/>
    <w:qFormat/>
    <w:uiPriority w:val="0"/>
    <w:pPr>
      <w:tabs>
        <w:tab w:val="left" w:pos="420"/>
      </w:tabs>
      <w:spacing w:after="20" w:line="288" w:lineRule="auto"/>
      <w:ind w:left="420" w:hanging="420"/>
    </w:pPr>
    <w:rPr>
      <w:lang w:val="en-GB"/>
    </w:rPr>
  </w:style>
  <w:style w:type="paragraph" w:customStyle="1" w:styleId="245">
    <w:name w:val="正文文本缩进 31"/>
    <w:basedOn w:val="1"/>
    <w:link w:val="246"/>
    <w:qFormat/>
    <w:uiPriority w:val="0"/>
    <w:pPr>
      <w:ind w:left="359" w:firstLine="359"/>
    </w:pPr>
    <w:rPr>
      <w:sz w:val="20"/>
    </w:rPr>
  </w:style>
  <w:style w:type="character" w:customStyle="1" w:styleId="246">
    <w:name w:val="正文文本缩进 3 Char"/>
    <w:link w:val="245"/>
    <w:qFormat/>
    <w:uiPriority w:val="0"/>
    <w:rPr>
      <w:rFonts w:ascii="Times New Roman" w:hAnsi="Times New Roman" w:eastAsia="宋体" w:cs="Times New Roman"/>
      <w:szCs w:val="20"/>
    </w:rPr>
  </w:style>
  <w:style w:type="paragraph" w:customStyle="1" w:styleId="247">
    <w:name w:val="目录 21"/>
    <w:basedOn w:val="1"/>
    <w:next w:val="1"/>
    <w:qFormat/>
    <w:uiPriority w:val="0"/>
    <w:pPr>
      <w:widowControl/>
      <w:tabs>
        <w:tab w:val="right" w:leader="dot" w:pos="9170"/>
      </w:tabs>
      <w:ind w:left="210" w:firstLine="150"/>
      <w:jc w:val="left"/>
    </w:pPr>
    <w:rPr>
      <w:rFonts w:ascii="Calibri" w:hAnsi="Calibri" w:cs="黑体"/>
      <w:smallCaps/>
      <w:color w:val="000000"/>
      <w:sz w:val="20"/>
    </w:rPr>
  </w:style>
  <w:style w:type="paragraph" w:customStyle="1" w:styleId="248">
    <w:name w:val="正文文本 21"/>
    <w:basedOn w:val="1"/>
    <w:link w:val="249"/>
    <w:qFormat/>
    <w:uiPriority w:val="0"/>
    <w:pPr>
      <w:spacing w:after="120" w:line="480" w:lineRule="auto"/>
    </w:pPr>
    <w:rPr>
      <w:sz w:val="20"/>
    </w:rPr>
  </w:style>
  <w:style w:type="character" w:customStyle="1" w:styleId="249">
    <w:name w:val="正文文本 2 Char"/>
    <w:link w:val="248"/>
    <w:qFormat/>
    <w:uiPriority w:val="0"/>
    <w:rPr>
      <w:rFonts w:ascii="Times New Roman" w:hAnsi="Times New Roman" w:eastAsia="宋体" w:cs="Times New Roman"/>
      <w:szCs w:val="20"/>
    </w:rPr>
  </w:style>
  <w:style w:type="paragraph" w:customStyle="1" w:styleId="250">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1">
    <w:name w:val="批注主题1"/>
    <w:basedOn w:val="225"/>
    <w:next w:val="225"/>
    <w:link w:val="252"/>
    <w:semiHidden/>
    <w:qFormat/>
    <w:uiPriority w:val="99"/>
    <w:rPr>
      <w:b/>
      <w:bCs/>
    </w:rPr>
  </w:style>
  <w:style w:type="character" w:customStyle="1" w:styleId="252">
    <w:name w:val="批注主题 Char"/>
    <w:link w:val="251"/>
    <w:semiHidden/>
    <w:qFormat/>
    <w:uiPriority w:val="99"/>
    <w:rPr>
      <w:rFonts w:ascii="Times New Roman" w:hAnsi="Times New Roman" w:eastAsia="宋体" w:cs="Times New Roman"/>
      <w:b/>
      <w:bCs/>
      <w:szCs w:val="24"/>
    </w:rPr>
  </w:style>
  <w:style w:type="paragraph" w:customStyle="1" w:styleId="253">
    <w:name w:val="正文首行缩进1"/>
    <w:basedOn w:val="227"/>
    <w:qFormat/>
    <w:uiPriority w:val="0"/>
    <w:pPr>
      <w:spacing w:after="120"/>
      <w:ind w:firstLine="420"/>
    </w:pPr>
    <w:rPr>
      <w:color w:val="000000"/>
      <w:spacing w:val="-8"/>
      <w:sz w:val="21"/>
    </w:rPr>
  </w:style>
  <w:style w:type="paragraph" w:customStyle="1" w:styleId="254">
    <w:name w:val="正文首行缩进 21"/>
    <w:basedOn w:val="229"/>
    <w:next w:val="1"/>
    <w:qFormat/>
    <w:uiPriority w:val="0"/>
    <w:pPr>
      <w:ind w:firstLine="420"/>
    </w:pPr>
  </w:style>
  <w:style w:type="character" w:customStyle="1" w:styleId="255">
    <w:name w:val="要点1"/>
    <w:qFormat/>
    <w:uiPriority w:val="99"/>
    <w:rPr>
      <w:rFonts w:cs="Times New Roman"/>
      <w:b/>
      <w:bCs/>
    </w:rPr>
  </w:style>
  <w:style w:type="character" w:customStyle="1" w:styleId="256">
    <w:name w:val="页码1"/>
    <w:qFormat/>
    <w:uiPriority w:val="0"/>
    <w:rPr>
      <w:rFonts w:cs="Times New Roman"/>
    </w:rPr>
  </w:style>
  <w:style w:type="character" w:customStyle="1" w:styleId="257">
    <w:name w:val="已访问的超链接1"/>
    <w:qFormat/>
    <w:uiPriority w:val="99"/>
    <w:rPr>
      <w:rFonts w:cs="Times New Roman"/>
      <w:color w:val="000000"/>
      <w:u w:val="none"/>
    </w:rPr>
  </w:style>
  <w:style w:type="character" w:customStyle="1" w:styleId="258">
    <w:name w:val="HTML 打字机1"/>
    <w:qFormat/>
    <w:uiPriority w:val="99"/>
    <w:rPr>
      <w:rFonts w:ascii="宋体" w:hAnsi="宋体" w:eastAsia="宋体" w:cs="宋体"/>
      <w:sz w:val="24"/>
      <w:szCs w:val="24"/>
    </w:rPr>
  </w:style>
  <w:style w:type="character" w:customStyle="1" w:styleId="259">
    <w:name w:val="超链接1"/>
    <w:qFormat/>
    <w:uiPriority w:val="0"/>
    <w:rPr>
      <w:color w:val="000000"/>
      <w:u w:val="none"/>
    </w:rPr>
  </w:style>
  <w:style w:type="paragraph" w:customStyle="1" w:styleId="260">
    <w:name w:val="_Style 1"/>
    <w:basedOn w:val="1"/>
    <w:qFormat/>
    <w:uiPriority w:val="99"/>
    <w:pPr>
      <w:ind w:firstLine="420"/>
    </w:pPr>
    <w:rPr>
      <w:rFonts w:ascii="Calibri" w:hAnsi="Calibri" w:cs="Calibri"/>
      <w:sz w:val="34"/>
      <w:szCs w:val="34"/>
    </w:rPr>
  </w:style>
  <w:style w:type="character" w:customStyle="1" w:styleId="261">
    <w:name w:val="日期 Char1"/>
    <w:semiHidden/>
    <w:qFormat/>
    <w:uiPriority w:val="0"/>
    <w:rPr>
      <w:rFonts w:ascii="Times New Roman" w:hAnsi="Times New Roman" w:eastAsia="宋体" w:cs="Times New Roman"/>
      <w:szCs w:val="20"/>
    </w:rPr>
  </w:style>
  <w:style w:type="character" w:customStyle="1" w:styleId="262">
    <w:name w:val="正文文本缩进 Char1"/>
    <w:semiHidden/>
    <w:qFormat/>
    <w:uiPriority w:val="0"/>
    <w:rPr>
      <w:rFonts w:ascii="Times New Roman" w:hAnsi="Times New Roman" w:eastAsia="宋体" w:cs="Times New Roman"/>
      <w:szCs w:val="20"/>
    </w:rPr>
  </w:style>
  <w:style w:type="character" w:customStyle="1" w:styleId="263">
    <w:name w:val="正文文本缩进 2 Char1"/>
    <w:semiHidden/>
    <w:qFormat/>
    <w:uiPriority w:val="0"/>
    <w:rPr>
      <w:rFonts w:ascii="Times New Roman" w:hAnsi="Times New Roman" w:eastAsia="宋体" w:cs="Times New Roman"/>
      <w:szCs w:val="20"/>
    </w:rPr>
  </w:style>
  <w:style w:type="character" w:customStyle="1" w:styleId="264">
    <w:name w:val="正文文本缩进 3 Char1"/>
    <w:semiHidden/>
    <w:qFormat/>
    <w:uiPriority w:val="0"/>
    <w:rPr>
      <w:rFonts w:ascii="Times New Roman" w:hAnsi="Times New Roman" w:eastAsia="宋体" w:cs="Times New Roman"/>
      <w:sz w:val="16"/>
      <w:szCs w:val="16"/>
    </w:rPr>
  </w:style>
  <w:style w:type="paragraph" w:customStyle="1" w:styleId="265">
    <w:name w:val="普通文字"/>
    <w:basedOn w:val="1"/>
    <w:next w:val="1"/>
    <w:qFormat/>
    <w:uiPriority w:val="0"/>
    <w:rPr>
      <w:rFonts w:ascii="宋体"/>
      <w:sz w:val="24"/>
    </w:rPr>
  </w:style>
  <w:style w:type="character" w:customStyle="1" w:styleId="266">
    <w:name w:val="文档结构图 Char1"/>
    <w:semiHidden/>
    <w:qFormat/>
    <w:uiPriority w:val="0"/>
    <w:rPr>
      <w:rFonts w:ascii="宋体" w:hAnsi="Times New Roman" w:eastAsia="宋体" w:cs="Times New Roman"/>
      <w:sz w:val="18"/>
      <w:szCs w:val="18"/>
    </w:rPr>
  </w:style>
  <w:style w:type="character" w:customStyle="1" w:styleId="267">
    <w:name w:val="正文文本 2 Char1"/>
    <w:semiHidden/>
    <w:qFormat/>
    <w:uiPriority w:val="0"/>
    <w:rPr>
      <w:rFonts w:ascii="Times New Roman" w:hAnsi="Times New Roman" w:eastAsia="宋体" w:cs="Times New Roman"/>
      <w:szCs w:val="20"/>
    </w:rPr>
  </w:style>
  <w:style w:type="character" w:customStyle="1" w:styleId="268">
    <w:name w:val="批注框文本 Char1"/>
    <w:semiHidden/>
    <w:qFormat/>
    <w:uiPriority w:val="99"/>
    <w:rPr>
      <w:rFonts w:ascii="Times New Roman" w:hAnsi="Times New Roman" w:eastAsia="宋体" w:cs="Times New Roman"/>
      <w:sz w:val="18"/>
      <w:szCs w:val="18"/>
    </w:rPr>
  </w:style>
  <w:style w:type="paragraph" w:customStyle="1" w:styleId="269">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270">
    <w:name w:val="正文首行缩进两字 Char"/>
    <w:link w:val="271"/>
    <w:qFormat/>
    <w:uiPriority w:val="0"/>
    <w:rPr>
      <w:rFonts w:ascii="Times New Roman" w:hAnsi="Times New Roman"/>
      <w:sz w:val="24"/>
      <w:szCs w:val="24"/>
      <w:lang w:val="en-US" w:eastAsia="zh-CN" w:bidi="ar-SA"/>
    </w:rPr>
  </w:style>
  <w:style w:type="paragraph" w:customStyle="1" w:styleId="271">
    <w:name w:val="正文首行缩进两字"/>
    <w:link w:val="270"/>
    <w:qFormat/>
    <w:uiPriority w:val="0"/>
    <w:pPr>
      <w:spacing w:line="300" w:lineRule="auto"/>
      <w:ind w:left="240" w:right="240" w:firstLine="480"/>
    </w:pPr>
    <w:rPr>
      <w:rFonts w:ascii="Times New Roman" w:hAnsi="Times New Roman" w:eastAsia="宋体" w:cs="Times New Roman"/>
      <w:sz w:val="24"/>
      <w:szCs w:val="24"/>
      <w:lang w:val="en-US" w:eastAsia="zh-CN" w:bidi="ar-SA"/>
    </w:rPr>
  </w:style>
  <w:style w:type="paragraph" w:customStyle="1" w:styleId="272">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73">
    <w:name w:val="一级条标题"/>
    <w:next w:val="1"/>
    <w:qFormat/>
    <w:uiPriority w:val="0"/>
    <w:pPr>
      <w:tabs>
        <w:tab w:val="left" w:pos="552"/>
      </w:tabs>
      <w:ind w:left="552" w:hanging="420"/>
      <w:outlineLvl w:val="2"/>
    </w:pPr>
    <w:rPr>
      <w:rFonts w:ascii="黑体" w:hAnsi="Times New Roman" w:eastAsia="黑体" w:cs="Times New Roman"/>
      <w:sz w:val="21"/>
      <w:szCs w:val="21"/>
      <w:lang w:val="en-US" w:eastAsia="zh-CN" w:bidi="ar-SA"/>
    </w:rPr>
  </w:style>
  <w:style w:type="paragraph" w:customStyle="1" w:styleId="274">
    <w:name w:val="字母编号列项（一级）"/>
    <w:qFormat/>
    <w:uiPriority w:val="0"/>
    <w:pPr>
      <w:tabs>
        <w:tab w:val="left" w:pos="552"/>
        <w:tab w:val="left" w:pos="840"/>
      </w:tabs>
      <w:ind w:left="552" w:hanging="420"/>
      <w:jc w:val="both"/>
    </w:pPr>
    <w:rPr>
      <w:rFonts w:ascii="宋体" w:hAnsi="Times New Roman" w:eastAsia="宋体" w:cs="Times New Roman"/>
      <w:sz w:val="21"/>
      <w:lang w:val="en-US" w:eastAsia="zh-CN" w:bidi="ar-SA"/>
    </w:rPr>
  </w:style>
  <w:style w:type="paragraph" w:customStyle="1" w:styleId="275">
    <w:name w:val="二级无"/>
    <w:basedOn w:val="1"/>
    <w:qFormat/>
    <w:uiPriority w:val="0"/>
    <w:pPr>
      <w:widowControl/>
      <w:tabs>
        <w:tab w:val="left" w:pos="552"/>
      </w:tabs>
      <w:ind w:left="552" w:hanging="420"/>
      <w:jc w:val="left"/>
      <w:outlineLvl w:val="3"/>
    </w:pPr>
    <w:rPr>
      <w:rFonts w:ascii="宋体"/>
      <w:szCs w:val="21"/>
    </w:rPr>
  </w:style>
  <w:style w:type="character" w:customStyle="1" w:styleId="276">
    <w:name w:val="case31"/>
    <w:qFormat/>
    <w:uiPriority w:val="0"/>
    <w:rPr>
      <w:spacing w:val="390"/>
      <w:sz w:val="21"/>
      <w:szCs w:val="21"/>
    </w:rPr>
  </w:style>
  <w:style w:type="character" w:customStyle="1" w:styleId="277">
    <w:name w:val="NormalCharacter1"/>
    <w:link w:val="278"/>
    <w:qFormat/>
    <w:uiPriority w:val="99"/>
    <w:rPr>
      <w:sz w:val="20"/>
    </w:rPr>
  </w:style>
  <w:style w:type="paragraph" w:customStyle="1" w:styleId="278">
    <w:name w:val="UserStyle_4"/>
    <w:basedOn w:val="1"/>
    <w:link w:val="277"/>
    <w:qFormat/>
    <w:uiPriority w:val="99"/>
    <w:pPr>
      <w:widowControl/>
    </w:pPr>
    <w:rPr>
      <w:sz w:val="20"/>
    </w:rPr>
  </w:style>
  <w:style w:type="paragraph" w:customStyle="1" w:styleId="279">
    <w:name w:val="List Paragraph1"/>
    <w:basedOn w:val="1"/>
    <w:qFormat/>
    <w:uiPriority w:val="0"/>
    <w:pPr>
      <w:ind w:firstLine="420"/>
    </w:pPr>
    <w:rPr>
      <w:szCs w:val="21"/>
    </w:rPr>
  </w:style>
  <w:style w:type="character" w:customStyle="1" w:styleId="280">
    <w:name w:val="font41"/>
    <w:basedOn w:val="213"/>
    <w:qFormat/>
    <w:uiPriority w:val="0"/>
    <w:rPr>
      <w:rFonts w:hint="eastAsia" w:ascii="宋体" w:hAnsi="宋体" w:eastAsia="宋体" w:cs="宋体"/>
      <w:color w:val="000000"/>
      <w:sz w:val="22"/>
      <w:szCs w:val="22"/>
      <w:u w:val="none"/>
      <w:vertAlign w:val="superscript"/>
    </w:rPr>
  </w:style>
  <w:style w:type="character" w:customStyle="1" w:styleId="281">
    <w:name w:val="font11"/>
    <w:basedOn w:val="213"/>
    <w:qFormat/>
    <w:uiPriority w:val="0"/>
    <w:rPr>
      <w:rFonts w:hint="eastAsia" w:ascii="宋体" w:hAnsi="宋体" w:eastAsia="宋体" w:cs="宋体"/>
      <w:color w:val="FF0000"/>
      <w:sz w:val="22"/>
      <w:szCs w:val="22"/>
      <w:u w:val="none"/>
    </w:rPr>
  </w:style>
  <w:style w:type="character" w:customStyle="1" w:styleId="282">
    <w:name w:val="font21"/>
    <w:basedOn w:val="213"/>
    <w:qFormat/>
    <w:uiPriority w:val="0"/>
    <w:rPr>
      <w:rFonts w:hint="eastAsia" w:ascii="宋体" w:hAnsi="宋体" w:eastAsia="宋体" w:cs="宋体"/>
      <w:color w:val="000000"/>
      <w:sz w:val="22"/>
      <w:szCs w:val="22"/>
      <w:u w:val="none"/>
    </w:rPr>
  </w:style>
  <w:style w:type="character" w:customStyle="1" w:styleId="283">
    <w:name w:val="font31"/>
    <w:basedOn w:val="213"/>
    <w:qFormat/>
    <w:uiPriority w:val="0"/>
    <w:rPr>
      <w:rFonts w:hint="eastAsia" w:ascii="宋体" w:hAnsi="宋体" w:eastAsia="宋体" w:cs="宋体"/>
      <w:b/>
      <w:bCs/>
      <w:color w:val="000000"/>
      <w:sz w:val="18"/>
      <w:szCs w:val="18"/>
      <w:u w:val="none"/>
    </w:rPr>
  </w:style>
  <w:style w:type="paragraph" w:customStyle="1" w:styleId="284">
    <w:name w:val="正文 A"/>
    <w:qFormat/>
    <w:uiPriority w:val="0"/>
    <w:pPr>
      <w:widowControl w:val="0"/>
      <w:jc w:val="both"/>
    </w:pPr>
    <w:rPr>
      <w:rFonts w:ascii="Times New Roman" w:hAnsi="Times New Roman" w:eastAsia="ヒラギノ角ゴ Pro W3" w:cs="Times New Roman"/>
      <w:color w:val="000000"/>
      <w:sz w:val="21"/>
      <w:lang w:val="en-US" w:eastAsia="zh-CN" w:bidi="ar-SA"/>
    </w:rPr>
  </w:style>
  <w:style w:type="paragraph" w:customStyle="1" w:styleId="285">
    <w:name w:val="Table Paragraph"/>
    <w:basedOn w:val="1"/>
    <w:qFormat/>
    <w:uiPriority w:val="1"/>
    <w:rPr>
      <w:rFonts w:ascii="Arial Unicode MS" w:hAnsi="Arial Unicode MS" w:eastAsia="Arial Unicode MS" w:cs="Arial Unicode MS"/>
      <w:lang w:val="zh-CN" w:bidi="zh-CN"/>
    </w:rPr>
  </w:style>
  <w:style w:type="paragraph" w:customStyle="1" w:styleId="286">
    <w:name w:val="表格文字"/>
    <w:basedOn w:val="1"/>
    <w:qFormat/>
    <w:uiPriority w:val="0"/>
    <w:pPr>
      <w:spacing w:line="288" w:lineRule="auto"/>
      <w:jc w:val="left"/>
    </w:pPr>
  </w:style>
  <w:style w:type="paragraph" w:customStyle="1" w:styleId="287">
    <w:name w:val="正文 New New New New New New New New New New New New New New New New New New New New New New New New New New New"/>
    <w:qFormat/>
    <w:uiPriority w:val="0"/>
    <w:pPr>
      <w:widowControl w:val="0"/>
      <w:jc w:val="both"/>
    </w:pPr>
    <w:rPr>
      <w:rFonts w:ascii="Calibri" w:hAnsi="Calibri" w:eastAsia="宋体" w:cs="黑体"/>
      <w:sz w:val="21"/>
      <w:szCs w:val="22"/>
      <w:lang w:val="en-US" w:eastAsia="zh-CN" w:bidi="ar-SA"/>
    </w:rPr>
  </w:style>
  <w:style w:type="paragraph" w:customStyle="1" w:styleId="288">
    <w:name w:val="列表段落1"/>
    <w:basedOn w:val="1"/>
    <w:qFormat/>
    <w:uiPriority w:val="0"/>
    <w:pPr>
      <w:ind w:firstLine="420"/>
    </w:pPr>
    <w:rPr>
      <w:rFonts w:ascii="Calibri" w:hAnsi="Calibri"/>
      <w:szCs w:val="22"/>
    </w:rPr>
  </w:style>
  <w:style w:type="paragraph" w:customStyle="1" w:styleId="289">
    <w:name w:val="段"/>
    <w:next w:val="1"/>
    <w:qFormat/>
    <w:uiPriority w:val="0"/>
    <w:pPr>
      <w:autoSpaceDE w:val="0"/>
      <w:autoSpaceDN w:val="0"/>
      <w:ind w:firstLine="200" w:firstLineChars="200"/>
      <w:jc w:val="both"/>
    </w:pPr>
    <w:rPr>
      <w:rFonts w:ascii="宋体" w:hAnsi="Times New Roman" w:eastAsia="Times New Roman"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Company>
  <Pages>51</Pages>
  <Words>28298</Words>
  <Characters>29404</Characters>
  <Lines>235</Lines>
  <Paragraphs>66</Paragraphs>
  <TotalTime>13</TotalTime>
  <ScaleCrop>false</ScaleCrop>
  <LinksUpToDate>false</LinksUpToDate>
  <CharactersWithSpaces>30301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2025-02-19T09:01:00Z</dcterms:created>
  <dc:creator>时缪</dc:creator>
  <cp:lastModifiedBy>胖火</cp:lastModifiedBy>
  <cp:lastPrinted>2026-06-08T01:09:00Z</cp:lastPrinted>
  <dcterms:modified xsi:type="dcterms:W3CDTF">2026-07-01T09:14:09Z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9EABB119521A460593E75067C159B5C4_13</vt:lpwstr>
  </property>
  <property fmtid="{D5CDD505-2E9C-101B-9397-08002B2CF9AE}" pid="4" name="KSOTemplateDocerSaveRecord">
    <vt:lpwstr>eyJoZGlkIjoiMDU0MGI2MmVkZmE4NDQ2MmFiODBhM2QwZWQ2ZWZlZDQiLCJ1c2VySWQiOiIxMjcwNjc3MTIzIn0=</vt:lpwstr>
  </property>
</Properties>
</file>