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0" w:after="0" w:line="288"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jc w:val="left"/>
        <w:spacing w:before="0" w:after="0" w:line="288"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jc w:val="center"/>
        <w:spacing w:before="0" w:after="0" w:line="288" w:lineRule="auto"/>
        <w:widowControl w:val="off"/>
        <w:rPr>
          <w:rFonts w:ascii="Times New Roman" w:hAnsi="Times New Roman" w:eastAsia="Times New Roman" w:cs="Times New Roman"/>
          <w:sz w:val="76"/>
          <w:szCs w:val="76"/>
          <w:highlight w:val="none"/>
        </w:rPr>
      </w:pPr>
      <w:r>
        <w:rPr>
          <w:rFonts w:ascii="黑体" w:hAnsi="黑体" w:eastAsia="黑体" w:cs="黑体"/>
          <w:sz w:val="76"/>
          <w:szCs w:val="76"/>
          <w:highlight w:val="none"/>
        </w:rPr>
        <w:t xml:space="preserve">公开招标文件</w:t>
      </w:r>
      <w:r/>
    </w:p>
    <w:p>
      <w:pPr>
        <w:jc w:val="left"/>
        <w:spacing w:before="0" w:after="0" w:line="288"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jc w:val="left"/>
        <w:spacing w:before="0" w:after="0" w:line="288"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ind w:firstLine="880"/>
        <w:jc w:val="left"/>
        <w:spacing w:before="0" w:after="0"/>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ind w:firstLine="880"/>
        <w:jc w:val="left"/>
        <w:spacing w:before="0" w:after="0"/>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tbl>
      <w:tblPr>
        <w:tblStyle w:val="815"/>
        <w:tblW w:w="4750" w:type="pct"/>
        <w:tblInd w:w="609" w:type="dxa"/>
        <w:tblLayout w:type="fixed"/>
        <w:tblCellMar>
          <w:left w:w="0" w:type="dxa"/>
          <w:top w:w="0" w:type="dxa"/>
          <w:right w:w="0" w:type="dxa"/>
          <w:bottom w:w="0" w:type="dxa"/>
        </w:tblCellMar>
        <w:tblLook w:val="04A0" w:firstRow="1" w:lastRow="0" w:firstColumn="1" w:lastColumn="0" w:noHBand="0" w:noVBand="1"/>
      </w:tblPr>
      <w:tblGrid>
        <w:gridCol w:w="8784"/>
      </w:tblGrid>
      <w:tr>
        <w:trPr>
          <w:trHeight w:val="1523"/>
        </w:trPr>
        <w:tc>
          <w:tcPr>
            <w:tcMar>
              <w:left w:w="113" w:type="dxa"/>
              <w:top w:w="5" w:type="dxa"/>
              <w:right w:w="113" w:type="dxa"/>
              <w:bottom w:w="5" w:type="dxa"/>
            </w:tcMar>
            <w:tcW w:w="8568" w:type="dxa"/>
            <w:vAlign w:val="top"/>
            <w:textDirection w:val="lrTb"/>
            <w:noWrap w:val="false"/>
          </w:tcPr>
          <w:p>
            <w:pPr>
              <w:ind w:left="2200" w:hanging="2200"/>
              <w:jc w:val="left"/>
              <w:spacing w:before="0" w:after="0" w:line="360" w:lineRule="auto"/>
              <w:widowControl w:val="off"/>
              <w:rPr>
                <w:rFonts w:ascii="黑体" w:hAnsi="黑体" w:eastAsia="黑体" w:cs="黑体"/>
                <w:b w:val="0"/>
                <w:bCs w:val="0"/>
                <w:i w:val="0"/>
                <w:iCs w:val="0"/>
                <w:smallCaps w:val="0"/>
                <w:color w:val="000000"/>
                <w:sz w:val="44"/>
                <w:szCs w:val="44"/>
                <w:highlight w:val="none"/>
              </w:rPr>
            </w:pPr>
            <w:r>
              <w:rPr>
                <w:rFonts w:ascii="黑体" w:hAnsi="黑体" w:eastAsia="黑体" w:cs="黑体"/>
                <w:b w:val="0"/>
                <w:bCs w:val="0"/>
                <w:i w:val="0"/>
                <w:iCs w:val="0"/>
                <w:smallCaps w:val="0"/>
                <w:color w:val="000000"/>
                <w:sz w:val="44"/>
                <w:szCs w:val="44"/>
                <w:highlight w:val="none"/>
              </w:rPr>
              <w:t xml:space="preserve">项目编号：</w:t>
            </w:r>
            <w:r>
              <w:rPr>
                <w:rFonts w:hint="eastAsia" w:ascii="黑体" w:hAnsi="黑体" w:eastAsia="黑体" w:cs="黑体"/>
                <w:b w:val="0"/>
                <w:bCs w:val="0"/>
                <w:i w:val="0"/>
                <w:iCs w:val="0"/>
                <w:smallCaps w:val="0"/>
                <w:color w:val="000000"/>
                <w:sz w:val="44"/>
                <w:szCs w:val="44"/>
                <w:highlight w:val="none"/>
              </w:rPr>
              <w:t xml:space="preserve">JSZC-320000-SMDG-G2026-0065</w:t>
            </w:r>
            <w:r/>
          </w:p>
          <w:p>
            <w:pPr>
              <w:ind w:left="2200" w:hanging="2200"/>
              <w:jc w:val="left"/>
              <w:spacing w:before="0" w:after="0" w:line="360" w:lineRule="auto"/>
              <w:widowControl w:val="off"/>
              <w:rPr>
                <w:rFonts w:ascii="Times New Roman" w:hAnsi="Times New Roman" w:eastAsia="Times New Roman" w:cs="Times New Roman"/>
                <w:b w:val="0"/>
                <w:bCs w:val="0"/>
                <w:i w:val="0"/>
                <w:iCs w:val="0"/>
                <w:smallCaps w:val="0"/>
                <w:color w:val="000000"/>
                <w:sz w:val="44"/>
                <w:szCs w:val="44"/>
                <w:highlight w:val="none"/>
              </w:rPr>
            </w:pPr>
            <w:r>
              <w:rPr>
                <w:rFonts w:ascii="黑体" w:hAnsi="黑体" w:eastAsia="黑体" w:cs="黑体"/>
                <w:b w:val="0"/>
                <w:bCs w:val="0"/>
                <w:i w:val="0"/>
                <w:iCs w:val="0"/>
                <w:smallCaps w:val="0"/>
                <w:color w:val="000000"/>
                <w:sz w:val="44"/>
                <w:szCs w:val="44"/>
                <w:highlight w:val="none"/>
              </w:rPr>
              <w:t xml:space="preserve">项目名称：门诊导医服务外包</w:t>
            </w:r>
            <w:r/>
          </w:p>
        </w:tc>
      </w:tr>
    </w:tbl>
    <w:p>
      <w:pPr>
        <w:jc w:val="left"/>
        <w:spacing w:before="0" w:after="0" w:line="288"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jc w:val="left"/>
        <w:spacing w:before="0" w:after="0" w:line="288" w:lineRule="auto"/>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r>
      <w:r/>
    </w:p>
    <w:p>
      <w:pPr>
        <w:jc w:val="left"/>
        <w:spacing w:before="0" w:after="0" w:line="288"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jc w:val="left"/>
        <w:spacing w:before="0" w:after="0" w:line="288"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jc w:val="left"/>
        <w:spacing w:before="0" w:after="0" w:line="288"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jc w:val="left"/>
        <w:spacing w:before="0" w:after="0" w:line="288"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jc w:val="left"/>
        <w:spacing w:before="0" w:after="0" w:line="288"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jc w:val="center"/>
        <w:spacing w:before="0" w:after="0" w:line="360" w:lineRule="auto"/>
        <w:widowControl w:val="off"/>
        <w:rPr>
          <w:rFonts w:ascii="Times New Roman" w:hAnsi="Times New Roman" w:eastAsia="Times New Roman" w:cs="Times New Roman"/>
          <w:sz w:val="44"/>
          <w:szCs w:val="44"/>
          <w:highlight w:val="none"/>
        </w:rPr>
      </w:pPr>
      <w:r>
        <w:rPr>
          <w:rFonts w:ascii="黑体" w:hAnsi="黑体" w:eastAsia="黑体" w:cs="黑体"/>
          <w:sz w:val="44"/>
          <w:szCs w:val="44"/>
          <w:highlight w:val="none"/>
        </w:rPr>
        <w:t xml:space="preserve">苏美达国际技术贸易有限公司</w:t>
      </w:r>
      <w:r/>
    </w:p>
    <w:p>
      <w:pPr>
        <w:jc w:val="center"/>
        <w:spacing w:before="0" w:after="0" w:line="360" w:lineRule="auto"/>
        <w:widowControl w:val="off"/>
        <w:rPr>
          <w:rFonts w:ascii="Times New Roman" w:hAnsi="Times New Roman" w:eastAsia="Times New Roman" w:cs="Times New Roman"/>
          <w:sz w:val="44"/>
          <w:szCs w:val="44"/>
          <w:highlight w:val="none"/>
        </w:rPr>
      </w:pPr>
      <w:r>
        <w:rPr>
          <w:rFonts w:ascii="黑体" w:hAnsi="黑体" w:eastAsia="黑体" w:cs="黑体"/>
          <w:sz w:val="44"/>
          <w:szCs w:val="44"/>
          <w:highlight w:val="none"/>
        </w:rPr>
        <w:t xml:space="preserve">二〇二六年</w:t>
      </w:r>
      <w:r>
        <w:rPr>
          <w:rFonts w:hint="eastAsia" w:ascii="黑体" w:hAnsi="黑体" w:eastAsia="黑体" w:cs="黑体"/>
          <w:sz w:val="44"/>
          <w:szCs w:val="44"/>
          <w:highlight w:val="none"/>
          <w:lang w:val="en-US" w:eastAsia="zh-CN"/>
        </w:rPr>
        <w:t xml:space="preserve">七</w:t>
      </w:r>
      <w:r>
        <w:rPr>
          <w:rFonts w:ascii="黑体" w:hAnsi="黑体" w:eastAsia="黑体" w:cs="黑体"/>
          <w:sz w:val="44"/>
          <w:szCs w:val="44"/>
          <w:highlight w:val="none"/>
        </w:rPr>
        <w:t xml:space="preserve">月</w:t>
      </w:r>
      <w:r/>
    </w:p>
    <w:p>
      <w:pPr>
        <w:spacing w:before="240" w:after="240"/>
        <w:rPr>
          <w:rFonts w:ascii="Times New Roman" w:hAnsi="Times New Roman" w:eastAsia="Times New Roman" w:cs="Times New Roman"/>
          <w:highlight w:val="none"/>
        </w:rPr>
      </w:pPr>
      <w:r>
        <w:rPr>
          <w:rFonts w:ascii="Times New Roman" w:hAnsi="Times New Roman" w:eastAsia="Times New Roman" w:cs="Times New Roman"/>
          <w:highlight w:val="none"/>
        </w:rPr>
        <w:t xml:space="preserve"> </w:t>
      </w:r>
      <w:r/>
    </w:p>
    <w:p>
      <w:pPr>
        <w:ind w:firstLine="425"/>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ind w:firstLine="425"/>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ind w:firstLine="425"/>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ind w:firstLine="425"/>
        <w:jc w:val="center"/>
        <w:spacing w:before="0" w:after="0" w:line="288" w:lineRule="auto"/>
        <w:widowControl w:val="off"/>
        <w:rPr>
          <w:rFonts w:ascii="Times New Roman" w:hAnsi="Times New Roman" w:eastAsia="Times New Roman" w:cs="Times New Roman"/>
          <w:sz w:val="36"/>
          <w:szCs w:val="36"/>
          <w:highlight w:val="none"/>
        </w:rPr>
      </w:pPr>
      <w:r>
        <w:rPr>
          <w:rFonts w:ascii="黑体" w:hAnsi="黑体" w:eastAsia="黑体" w:cs="黑体"/>
          <w:sz w:val="36"/>
          <w:szCs w:val="36"/>
          <w:highlight w:val="none"/>
        </w:rPr>
        <w:t xml:space="preserve">第一章 招标公告</w:t>
      </w:r>
      <w:r/>
    </w:p>
    <w:p>
      <w:pPr>
        <w:jc w:val="left"/>
        <w:spacing w:before="0" w:after="0" w:line="288" w:lineRule="auto"/>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p>
      <w:pPr>
        <w:ind w:firstLine="420"/>
        <w:spacing w:before="0" w:after="0"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项目概况</w:t>
      </w:r>
      <w:r/>
    </w:p>
    <w:p>
      <w:pPr>
        <w:ind w:firstLine="420"/>
        <w:spacing w:before="0" w:after="0"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江苏省肿瘤医院门诊导医服务外包项目的潜在供应商应在苏采云线上获取招标文件，并于2026年</w:t>
      </w:r>
      <w:r>
        <w:rPr>
          <w:rFonts w:hint="eastAsia" w:ascii="宋体" w:hAnsi="宋体" w:eastAsia="宋体" w:cs="宋体"/>
          <w:sz w:val="21"/>
          <w:szCs w:val="21"/>
          <w:highlight w:val="none"/>
          <w:lang w:val="en-US" w:eastAsia="zh-CN"/>
        </w:rPr>
        <w:t xml:space="preserve">7</w:t>
      </w:r>
      <w:r>
        <w:rPr>
          <w:rFonts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29</w:t>
      </w:r>
      <w:r>
        <w:rPr>
          <w:rFonts w:ascii="宋体" w:hAnsi="宋体" w:eastAsia="宋体" w:cs="宋体"/>
          <w:sz w:val="21"/>
          <w:szCs w:val="21"/>
          <w:highlight w:val="none"/>
        </w:rPr>
        <w:t xml:space="preserve">日14:</w:t>
      </w: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rPr>
        <w:t xml:space="preserve">0（北京时间）前提交投标文件。</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一、项目基本情况</w:t>
      </w:r>
      <w:r/>
    </w:p>
    <w:p>
      <w:pPr>
        <w:ind w:firstLine="420"/>
        <w:jc w:val="left"/>
        <w:spacing w:before="0" w:after="0" w:line="360" w:lineRule="auto"/>
        <w:widowControl w:val="off"/>
        <w:rPr>
          <w:rFonts w:ascii="宋体" w:hAnsi="宋体" w:eastAsia="宋体" w:cs="宋体"/>
          <w:b/>
          <w:bCs/>
          <w:sz w:val="21"/>
          <w:szCs w:val="21"/>
          <w:highlight w:val="none"/>
        </w:rPr>
      </w:pPr>
      <w:r>
        <w:rPr>
          <w:rFonts w:ascii="宋体" w:hAnsi="宋体" w:eastAsia="宋体" w:cs="宋体"/>
          <w:b/>
          <w:bCs/>
          <w:sz w:val="21"/>
          <w:szCs w:val="21"/>
          <w:highlight w:val="none"/>
        </w:rPr>
        <w:t xml:space="preserve">项目编号：</w:t>
      </w:r>
      <w:r>
        <w:rPr>
          <w:rFonts w:hint="eastAsia" w:ascii="宋体" w:hAnsi="宋体" w:eastAsia="宋体" w:cs="宋体"/>
          <w:b/>
          <w:bCs/>
          <w:sz w:val="21"/>
          <w:szCs w:val="21"/>
          <w:highlight w:val="none"/>
        </w:rPr>
        <w:t xml:space="preserve">JSZC-320000-SMDG-G2026-0065</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项目名称：</w:t>
      </w:r>
      <w:r>
        <w:rPr>
          <w:rFonts w:ascii="宋体" w:hAnsi="宋体" w:eastAsia="宋体" w:cs="宋体"/>
          <w:sz w:val="21"/>
          <w:szCs w:val="21"/>
          <w:highlight w:val="none"/>
        </w:rPr>
        <w:t xml:space="preserve">门诊导医服务外包</w:t>
      </w:r>
      <w:r/>
    </w:p>
    <w:p>
      <w:pPr>
        <w:ind w:firstLine="420"/>
        <w:jc w:val="left"/>
        <w:spacing w:before="0" w:after="0" w:line="360" w:lineRule="auto"/>
        <w:widowControl w:val="off"/>
        <w:rPr>
          <w:rFonts w:hint="default" w:ascii="Times New Roman" w:hAnsi="Times New Roman" w:eastAsia="宋体" w:cs="Times New Roman"/>
          <w:sz w:val="21"/>
          <w:szCs w:val="21"/>
          <w:highlight w:val="none"/>
          <w:lang w:val="en-US" w:eastAsia="zh-CN"/>
        </w:rPr>
      </w:pPr>
      <w:r>
        <w:rPr>
          <w:rFonts w:ascii="宋体" w:hAnsi="宋体" w:eastAsia="宋体" w:cs="宋体"/>
          <w:b/>
          <w:bCs/>
          <w:sz w:val="21"/>
          <w:szCs w:val="21"/>
          <w:highlight w:val="none"/>
        </w:rPr>
        <w:t xml:space="preserve">采购预算：</w:t>
      </w:r>
      <w:r>
        <w:rPr>
          <w:rFonts w:ascii="宋体" w:hAnsi="宋体" w:eastAsia="宋体" w:cs="宋体"/>
          <w:sz w:val="21"/>
          <w:szCs w:val="21"/>
          <w:highlight w:val="none"/>
        </w:rPr>
        <w:t xml:space="preserve">130万元/年</w:t>
      </w:r>
      <w:r>
        <w:rPr>
          <w:rFonts w:hint="eastAsia" w:ascii="宋体" w:hAnsi="宋体" w:eastAsia="宋体" w:cs="宋体"/>
          <w:sz w:val="21"/>
          <w:szCs w:val="21"/>
          <w:highlight w:val="none"/>
          <w:lang w:eastAsia="zh-CN"/>
        </w:rPr>
        <w:t xml:space="preserve">，390万元</w:t>
      </w:r>
      <w:r>
        <w:rPr>
          <w:rFonts w:hint="eastAsia" w:ascii="宋体" w:hAnsi="宋体" w:eastAsia="宋体" w:cs="宋体"/>
          <w:sz w:val="21"/>
          <w:szCs w:val="21"/>
          <w:highlight w:val="none"/>
          <w:lang w:val="en-US" w:eastAsia="zh-CN"/>
        </w:rPr>
        <w:t xml:space="preserve">/3年。</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最高限价：</w:t>
      </w:r>
      <w:r>
        <w:rPr>
          <w:rFonts w:ascii="宋体" w:hAnsi="宋体" w:eastAsia="宋体" w:cs="宋体"/>
          <w:sz w:val="21"/>
          <w:szCs w:val="21"/>
          <w:highlight w:val="none"/>
        </w:rPr>
        <w:t xml:space="preserve">130万元/年，</w:t>
      </w:r>
      <w:r>
        <w:rPr>
          <w:rFonts w:hint="eastAsia" w:ascii="宋体" w:hAnsi="宋体" w:eastAsia="宋体" w:cs="宋体"/>
          <w:sz w:val="21"/>
          <w:szCs w:val="21"/>
          <w:highlight w:val="none"/>
          <w:lang w:eastAsia="zh-CN"/>
        </w:rPr>
        <w:t xml:space="preserve">390万元</w:t>
      </w:r>
      <w:r>
        <w:rPr>
          <w:rFonts w:hint="eastAsia" w:ascii="宋体" w:hAnsi="宋体" w:eastAsia="宋体" w:cs="宋体"/>
          <w:sz w:val="21"/>
          <w:szCs w:val="21"/>
          <w:highlight w:val="none"/>
          <w:lang w:val="en-US" w:eastAsia="zh-CN"/>
        </w:rPr>
        <w:t xml:space="preserve">/3年。</w:t>
      </w:r>
      <w:r>
        <w:rPr>
          <w:rFonts w:ascii="宋体" w:hAnsi="宋体" w:eastAsia="宋体" w:cs="宋体"/>
          <w:sz w:val="21"/>
          <w:szCs w:val="21"/>
          <w:highlight w:val="none"/>
        </w:rPr>
        <w:t xml:space="preserve">超过采购预算金额及最高限价作无效投标处理。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采购需求简介：</w:t>
      </w:r>
      <w:r>
        <w:rPr>
          <w:rFonts w:ascii="宋体" w:hAnsi="宋体" w:eastAsia="宋体" w:cs="宋体"/>
          <w:sz w:val="21"/>
          <w:szCs w:val="21"/>
          <w:highlight w:val="none"/>
        </w:rPr>
        <w:t xml:space="preserve">门诊导医服务外包，具体要求详见第四章。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采购标的对应中小企业划分标准所属行业：</w:t>
      </w:r>
      <w:r>
        <w:rPr>
          <w:rFonts w:ascii="宋体" w:hAnsi="宋体" w:eastAsia="宋体" w:cs="宋体"/>
          <w:sz w:val="21"/>
          <w:szCs w:val="21"/>
          <w:highlight w:val="none"/>
        </w:rPr>
        <w:t xml:space="preserve">其他未列明行业</w:t>
      </w:r>
      <w:r>
        <w:rPr>
          <w:rFonts w:ascii="宋体" w:hAnsi="宋体" w:eastAsia="宋体" w:cs="宋体"/>
          <w:sz w:val="20"/>
          <w:szCs w:val="20"/>
          <w:highlight w:val="none"/>
        </w:rPr>
        <w:t xml:space="preserve">。</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合同履行期限：</w:t>
      </w:r>
      <w:r>
        <w:rPr>
          <w:rFonts w:ascii="宋体" w:hAnsi="宋体" w:eastAsia="宋体" w:cs="宋体"/>
          <w:sz w:val="21"/>
          <w:szCs w:val="21"/>
          <w:highlight w:val="none"/>
        </w:rPr>
        <w:t xml:space="preserve">3年。合同每执行一个年度，医院有权对供应商进行考核，考核不合格的，医院有权终止合同；考核合格后，在医院补足下一年度的预算后，合同方可继续执行。</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本项目</w:t>
      </w:r>
      <w:r>
        <w:rPr>
          <w:rFonts w:ascii="宋体" w:hAnsi="宋体" w:eastAsia="宋体" w:cs="宋体"/>
          <w:b/>
          <w:bCs/>
          <w:sz w:val="21"/>
          <w:szCs w:val="21"/>
          <w:highlight w:val="none"/>
        </w:rPr>
        <w:t xml:space="preserve">不接受</w:t>
      </w:r>
      <w:r>
        <w:rPr>
          <w:rFonts w:ascii="宋体" w:hAnsi="宋体" w:eastAsia="宋体" w:cs="宋体"/>
          <w:sz w:val="21"/>
          <w:szCs w:val="21"/>
          <w:highlight w:val="none"/>
        </w:rPr>
        <w:t xml:space="preserve">联合体投标。</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本项目中标后</w:t>
      </w:r>
      <w:r>
        <w:rPr>
          <w:rFonts w:ascii="宋体" w:hAnsi="宋体" w:eastAsia="宋体" w:cs="宋体"/>
          <w:b/>
          <w:bCs/>
          <w:sz w:val="21"/>
          <w:szCs w:val="21"/>
          <w:highlight w:val="none"/>
        </w:rPr>
        <w:t xml:space="preserve">不允许</w:t>
      </w:r>
      <w:r>
        <w:rPr>
          <w:rFonts w:ascii="宋体" w:hAnsi="宋体" w:eastAsia="宋体" w:cs="宋体"/>
          <w:sz w:val="21"/>
          <w:szCs w:val="21"/>
          <w:highlight w:val="none"/>
        </w:rPr>
        <w:t xml:space="preserve">转包、分包。</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二、申请人的资格要求：</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2.1满足《中华人民共和国政府采购法》第二十二条规定：</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（1）具有独立承担民事责任的能力，提供法人或其他组织的营业执照等证明文件，复印件加盖公章；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（2）法人代表授权书（原件）及法定代表人、授权代表身份证复印件及</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sz w:val="21"/>
          <w:szCs w:val="21"/>
          <w:highlight w:val="none"/>
        </w:rPr>
        <w:t xml:space="preserve">内任意一月投标单位为其缴纳的社保证明（如果是法定代表人直接参与投标的可以不提供授权书）；</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（3）具有良好的商业信誉和健全的财务会计制度，提供</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sz w:val="21"/>
          <w:szCs w:val="21"/>
          <w:highlight w:val="none"/>
        </w:rPr>
        <w:t xml:space="preserve">内），或2024或2025年度经审计的财务报告复印件加盖公章；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（6）有依法缴纳税收的良好记录，提供</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sz w:val="21"/>
          <w:szCs w:val="21"/>
          <w:highlight w:val="none"/>
        </w:rPr>
        <w:t xml:space="preserve">内任意一月份的纳税凭据复印件加盖公章（依法免税的应提供相应文件说明）；</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（7）有依法缴纳社会保障资金的良好记录，提供</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sz w:val="21"/>
          <w:szCs w:val="21"/>
          <w:highlight w:val="none"/>
        </w:rPr>
        <w:t xml:space="preserve">内任意一月份的依法缴纳社会保障资金的凭据复印件加盖公章；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2.2落实政府采购政策需满足的资格要求：本项目非专门面向中小企业采购</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2.3本项目的特定资格要求：无。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2.4供应商存在下列情形的不得参加本次招标活动：</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（1）单位负责人为同一人或者存在直接控股、管理关系的不同供应商，不得参加同一合同项下的政府采购活动。</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（2）除单一来源项目外，凡为采购项目提供整体设计、规范编制或者项目管理、监理、检测等服务的供应商不得再参加本项目的采购活动。</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三、获取招标文件</w:t>
      </w:r>
      <w:r>
        <w:rPr>
          <w:rFonts w:ascii="宋体" w:hAnsi="宋体" w:eastAsia="宋体" w:cs="宋体"/>
          <w:sz w:val="21"/>
          <w:szCs w:val="21"/>
          <w:highlight w:val="none"/>
        </w:rPr>
        <w:t xml:space="preserve"> </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1.获取时间：自招标公告发布之日起5个工作日 </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2.地点：“苏采云”系统注册登记成功后免费下载</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3.获取方式：本项目采用网上注册登记方式</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3.1潜在供应商访问电子招标响应交易平台的网络地址和方法：</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3.2潜在供应商访问“苏采云”系统的网络地址和方法：“苏采云”系统的网址：http://jszfcg.jsczt.cn/。</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3.3“CA数字证书”的获取：</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3.4采购文件（后缀名为“.kedt”）、供应商操作手册及政府采购客户端工具可通过“苏采云”系统--已报名项目--报名详情页面内相应链接进行下载。</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3.5招标代理机构（采购代理机构）将数据电文形式的采购文件加载至“苏采云”系统，供潜在供应商下载或者查阅。</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3.6请潜在投标单位提前安装相应的控件（详见《江苏省政府采购管理交易系统（苏采云）供应商操作手册》）并使用谷歌浏览器登录“苏采云”系统参与不见面开评标。</w:t>
      </w:r>
      <w:r/>
    </w:p>
    <w:p>
      <w:pPr>
        <w:ind w:firstLine="420"/>
        <w:jc w:val="left"/>
        <w:spacing w:before="0" w:after="0" w:line="360" w:lineRule="auto"/>
        <w:widowControl w:val="off"/>
        <w:rPr>
          <w:rFonts w:hint="eastAsia" w:ascii="宋体" w:hAnsi="宋体" w:eastAsia="宋体" w:cs="宋体"/>
          <w:sz w:val="21"/>
          <w:szCs w:val="21"/>
          <w:highlight w:val="none"/>
        </w:rPr>
      </w:pPr>
      <w:r>
        <w:rPr>
          <w:rFonts w:ascii="宋体" w:hAnsi="宋体" w:eastAsia="宋体" w:cs="宋体"/>
          <w:b/>
          <w:bCs/>
          <w:sz w:val="21"/>
          <w:szCs w:val="21"/>
          <w:highlight w:val="none"/>
        </w:rPr>
        <w:t xml:space="preserve">四、投标截止时间、开标时间和地点</w:t>
      </w:r>
      <w:r/>
    </w:p>
    <w:p>
      <w:pPr>
        <w:spacing w:before="240" w:after="240"/>
        <w:rPr>
          <w:rFonts w:ascii="Times New Roman" w:hAnsi="Times New Roman" w:eastAsia="Times New Roman" w:cs="Times New Roman"/>
          <w:highlight w:val="none"/>
        </w:rPr>
      </w:pPr>
      <w:r>
        <w:rPr>
          <w:rFonts w:ascii="Times New Roman" w:hAnsi="Times New Roman" w:eastAsia="Times New Roman" w:cs="Times New Roman"/>
          <w:highlight w:val="none"/>
        </w:rPr>
        <w:t xml:space="preserve"> </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1.投标截止时间：2026年</w:t>
      </w:r>
      <w:r>
        <w:rPr>
          <w:rFonts w:hint="eastAsia" w:ascii="宋体" w:hAnsi="宋体" w:eastAsia="宋体" w:cs="宋体"/>
          <w:sz w:val="21"/>
          <w:szCs w:val="21"/>
          <w:highlight w:val="none"/>
          <w:lang w:val="en-US" w:eastAsia="zh-CN"/>
        </w:rPr>
        <w:t xml:space="preserve">7</w:t>
      </w:r>
      <w:r>
        <w:rPr>
          <w:rFonts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29</w:t>
      </w:r>
      <w:r>
        <w:rPr>
          <w:rFonts w:ascii="宋体" w:hAnsi="宋体" w:eastAsia="宋体" w:cs="宋体"/>
          <w:sz w:val="21"/>
          <w:szCs w:val="21"/>
          <w:highlight w:val="none"/>
        </w:rPr>
        <w:t xml:space="preserve">日14:</w:t>
      </w: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rPr>
        <w:t xml:space="preserve">0（北京时间）</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2.开标时间：2026年</w:t>
      </w:r>
      <w:r>
        <w:rPr>
          <w:rFonts w:hint="eastAsia" w:ascii="宋体" w:hAnsi="宋体" w:eastAsia="宋体" w:cs="宋体"/>
          <w:sz w:val="21"/>
          <w:szCs w:val="21"/>
          <w:highlight w:val="none"/>
          <w:lang w:val="en-US" w:eastAsia="zh-CN"/>
        </w:rPr>
        <w:t xml:space="preserve">7</w:t>
      </w:r>
      <w:r>
        <w:rPr>
          <w:rFonts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29</w:t>
      </w:r>
      <w:r>
        <w:rPr>
          <w:rFonts w:ascii="宋体" w:hAnsi="宋体" w:eastAsia="宋体" w:cs="宋体"/>
          <w:sz w:val="21"/>
          <w:szCs w:val="21"/>
          <w:highlight w:val="none"/>
        </w:rPr>
        <w:t xml:space="preserve">日14:</w:t>
      </w: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rPr>
        <w:t xml:space="preserve">0（北京时间） </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3.开标地点：“苏采云”系统（网址： http://jszfcg.jsczt.cn/）“开标大厅”，点击“苏采云”进入系统“开标大厅”。</w:t>
      </w:r>
      <w:r/>
    </w:p>
    <w:p>
      <w:pPr>
        <w:ind w:firstLine="420"/>
        <w:jc w:val="left"/>
        <w:spacing w:before="0" w:after="0" w:line="360" w:lineRule="auto"/>
        <w:widowControl w:val="off"/>
        <w:rPr>
          <w:rFonts w:ascii="Times New Roman" w:hAnsi="Times New Roman" w:eastAsia="Times New Roman" w:cs="Times New Roman"/>
          <w:b/>
          <w:bCs/>
          <w:sz w:val="21"/>
          <w:szCs w:val="21"/>
          <w:highlight w:val="none"/>
        </w:rPr>
      </w:pPr>
      <w:r>
        <w:rPr>
          <w:rFonts w:ascii="宋体" w:hAnsi="宋体" w:eastAsia="宋体" w:cs="宋体"/>
          <w:b/>
          <w:bCs/>
          <w:sz w:val="21"/>
          <w:szCs w:val="21"/>
          <w:highlight w:val="none"/>
        </w:rPr>
        <w:t xml:space="preserve">注：各供应商请关注开标大厅交流区，在开标结束后，请勿离开开标大厅。</w:t>
      </w:r>
      <w:r>
        <w:rPr>
          <w:b/>
          <w:bCs/>
        </w:rP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w:t>
      </w:r>
      <w:r>
        <w:rPr>
          <w:rFonts w:ascii="宋体" w:hAnsi="宋体" w:eastAsia="宋体" w:cs="宋体"/>
          <w:b/>
          <w:bCs/>
          <w:sz w:val="21"/>
          <w:szCs w:val="21"/>
          <w:highlight w:val="none"/>
        </w:rPr>
        <w:t xml:space="preserve">投标文件的解密：</w:t>
      </w:r>
      <w:r>
        <w:rPr>
          <w:rFonts w:ascii="宋体" w:hAnsi="宋体" w:eastAsia="宋体" w:cs="宋体"/>
          <w:sz w:val="21"/>
          <w:szCs w:val="21"/>
          <w:highlight w:val="none"/>
        </w:rPr>
        <w:t xml:space="preserve">开标当天各供应商及时登录不见面开标大厅。响应文件递交截止时间后，采购人将在系统内公布投标</w:t>
      </w:r>
      <w:r>
        <w:rPr>
          <w:rFonts w:ascii="宋体" w:hAnsi="宋体" w:eastAsia="宋体" w:cs="宋体"/>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五、公告期限</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自本公告发布之日起5个工作日。</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六、其他补充事宜</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1.本项目公告媒体：江苏政府采购网（http://www.ccgp-jiangsu.gov.cn/）</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http://www.ccgp-jiangsu.gov.cn/jiangsu/zlxz/ee/ee3a4bc5a3454aa2b0d9312230633ce9.html。</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4.有关本次招标的事项若存在变动或修改，敬请及时关注在“江苏政府采购网”发布的更正公告。</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七、对本次招标提出询问，请按以下方式联系</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1.采购人信息</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名    称：江苏省肿瘤医院</w:t>
      </w:r>
      <w:r/>
    </w:p>
    <w:p>
      <w:pPr>
        <w:ind w:firstLine="420"/>
        <w:jc w:val="left"/>
        <w:spacing w:before="0" w:after="0" w:line="360" w:lineRule="auto"/>
        <w:shd w:val="clear" w:color="auto" w:fill="ffffff"/>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地    址：江苏省南京市百子亭42号</w:t>
      </w:r>
      <w:r/>
    </w:p>
    <w:p>
      <w:pPr>
        <w:ind w:firstLine="420"/>
        <w:jc w:val="left"/>
        <w:spacing w:before="0" w:after="0" w:line="360" w:lineRule="auto"/>
        <w:shd w:val="clear" w:color="auto" w:fill="ffffff"/>
        <w:widowControl w:val="off"/>
        <w:rPr>
          <w:rFonts w:hint="eastAsia" w:ascii="Times New Roman" w:hAnsi="Times New Roman" w:eastAsia="宋体" w:cs="Times New Roman"/>
          <w:sz w:val="21"/>
          <w:szCs w:val="21"/>
          <w:highlight w:val="none"/>
          <w:lang w:eastAsia="zh-CN"/>
        </w:rPr>
      </w:pPr>
      <w:r>
        <w:rPr>
          <w:rFonts w:ascii="宋体" w:hAnsi="宋体" w:eastAsia="宋体" w:cs="宋体"/>
          <w:sz w:val="21"/>
          <w:szCs w:val="21"/>
          <w:highlight w:val="none"/>
        </w:rPr>
        <w:t xml:space="preserve">联系人：</w:t>
      </w:r>
      <w:r>
        <w:rPr>
          <w:rFonts w:hint="eastAsia" w:ascii="宋体" w:hAnsi="宋体" w:eastAsia="宋体" w:cs="宋体"/>
          <w:sz w:val="21"/>
          <w:szCs w:val="21"/>
          <w:highlight w:val="none"/>
          <w:lang w:eastAsia="zh-CN"/>
        </w:rPr>
        <w:t xml:space="preserve">姚老师</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联系方式：025-83283339</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2.采购代理机构信息</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名    称：苏美达国际技术贸易有限公司            </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地 址：江苏省南京市长江路198号苏美达大厦 </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联系方式：025-8453</w:t>
      </w:r>
      <w:r>
        <w:rPr>
          <w:rFonts w:hint="eastAsia" w:ascii="宋体" w:hAnsi="宋体" w:eastAsia="宋体" w:cs="宋体"/>
          <w:sz w:val="21"/>
          <w:szCs w:val="21"/>
          <w:highlight w:val="none"/>
          <w:lang w:val="en-US" w:eastAsia="zh-CN"/>
        </w:rPr>
        <w:t xml:space="preserve">1040</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3.项目联系方式</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项目联系人：</w:t>
      </w:r>
      <w:r>
        <w:rPr>
          <w:rFonts w:hint="eastAsia" w:ascii="宋体" w:hAnsi="宋体" w:eastAsia="宋体" w:cs="宋体"/>
          <w:sz w:val="21"/>
          <w:szCs w:val="21"/>
          <w:highlight w:val="none"/>
          <w:lang w:val="en-US" w:eastAsia="zh-CN"/>
        </w:rPr>
        <w:t xml:space="preserve">王丹</w:t>
      </w:r>
      <w:r>
        <w:rPr>
          <w:rFonts w:ascii="宋体" w:hAnsi="宋体" w:eastAsia="宋体" w:cs="宋体"/>
          <w:sz w:val="21"/>
          <w:szCs w:val="21"/>
          <w:highlight w:val="none"/>
        </w:rPr>
        <w:t xml:space="preserve">、张静雯、杨扬</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电 话：025-8453</w:t>
      </w:r>
      <w:r>
        <w:rPr>
          <w:rFonts w:hint="eastAsia" w:ascii="宋体" w:hAnsi="宋体" w:eastAsia="宋体" w:cs="宋体"/>
          <w:sz w:val="21"/>
          <w:szCs w:val="21"/>
          <w:highlight w:val="none"/>
          <w:lang w:val="en-US" w:eastAsia="zh-CN"/>
        </w:rPr>
        <w:t xml:space="preserve">1040</w:t>
      </w:r>
      <w:r>
        <w:rPr>
          <w:rFonts w:ascii="宋体" w:hAnsi="宋体" w:eastAsia="宋体" w:cs="宋体"/>
          <w:sz w:val="21"/>
          <w:szCs w:val="21"/>
          <w:highlight w:val="none"/>
        </w:rPr>
        <w:t xml:space="preserve">、025-84532458、025-84532455  </w:t>
      </w:r>
      <w:r/>
    </w:p>
    <w:p>
      <w:pPr>
        <w:jc w:val="center"/>
        <w:spacing w:before="0" w:after="0" w:line="288" w:lineRule="auto"/>
        <w:widowControl w:val="off"/>
        <w:rPr>
          <w:rFonts w:ascii="Times New Roman" w:hAnsi="Times New Roman" w:eastAsia="Times New Roman" w:cs="Times New Roman"/>
          <w:sz w:val="36"/>
          <w:szCs w:val="36"/>
          <w:highlight w:val="none"/>
        </w:rPr>
      </w:pPr>
      <w:r>
        <w:rPr>
          <w:rFonts w:ascii="Times New Roman" w:hAnsi="Times New Roman" w:eastAsia="Times New Roman" w:cs="Times New Roman"/>
          <w:sz w:val="36"/>
          <w:szCs w:val="36"/>
          <w:highlight w:val="none"/>
        </w:rPr>
        <w:br w:type="page" w:clear="all"/>
      </w:r>
      <w:r>
        <w:rPr>
          <w:rFonts w:ascii="黑体" w:hAnsi="黑体" w:eastAsia="黑体" w:cs="黑体"/>
          <w:sz w:val="36"/>
          <w:szCs w:val="36"/>
          <w:highlight w:val="none"/>
        </w:rPr>
        <w:t xml:space="preserve">第二章 投标人须知</w:t>
      </w:r>
      <w:r/>
    </w:p>
    <w:p>
      <w:pPr>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投标人须知前附表</w:t>
      </w:r>
      <w:r/>
    </w:p>
    <w:tbl>
      <w:tblPr>
        <w:tblStyle w:val="815"/>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9"/>
        <w:gridCol w:w="7835"/>
      </w:tblGrid>
      <w:tr>
        <w:trPr>
          <w:trHeight w:val="240"/>
        </w:trPr>
        <w:tc>
          <w:tcPr>
            <w:tcBorders>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序号</w:t>
            </w:r>
            <w:r/>
          </w:p>
        </w:tc>
        <w:tc>
          <w:tcPr>
            <w:tcBorders>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主要内容</w:t>
            </w:r>
            <w:r/>
          </w:p>
        </w:tc>
      </w:tr>
      <w:tr>
        <w:trPr>
          <w:trHeight w:val="2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1</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采 购 人：江苏省肿瘤医院</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地    址：江苏省南京市百子亭42号</w:t>
            </w:r>
            <w:r/>
          </w:p>
          <w:p>
            <w:pPr>
              <w:jc w:val="left"/>
              <w:spacing w:before="0" w:after="0" w:line="360" w:lineRule="auto"/>
              <w:shd w:val="clear" w:color="auto" w:fill="ffffff"/>
              <w:rPr>
                <w:rFonts w:hint="eastAsia" w:ascii="Times New Roman" w:hAnsi="Times New Roman" w:eastAsia="宋体" w:cs="Times New Roman"/>
                <w:b w:val="0"/>
                <w:bCs w:val="0"/>
                <w:i w:val="0"/>
                <w:iCs w:val="0"/>
                <w:smallCaps w:val="0"/>
                <w:color w:val="000000"/>
                <w:sz w:val="21"/>
                <w:szCs w:val="21"/>
                <w:highlight w:val="none"/>
                <w:lang w:eastAsia="zh-CN"/>
              </w:rPr>
            </w:pPr>
            <w:r>
              <w:rPr>
                <w:rFonts w:ascii="宋体" w:hAnsi="宋体" w:eastAsia="宋体" w:cs="宋体"/>
                <w:b w:val="0"/>
                <w:bCs w:val="0"/>
                <w:i w:val="0"/>
                <w:iCs w:val="0"/>
                <w:smallCaps w:val="0"/>
                <w:color w:val="000000"/>
                <w:sz w:val="21"/>
                <w:szCs w:val="21"/>
                <w:highlight w:val="none"/>
              </w:rPr>
              <w:t xml:space="preserve">项目联系人：</w:t>
            </w:r>
            <w:r>
              <w:rPr>
                <w:rFonts w:hint="eastAsia" w:ascii="宋体" w:hAnsi="宋体" w:eastAsia="宋体" w:cs="宋体"/>
                <w:b w:val="0"/>
                <w:bCs w:val="0"/>
                <w:i w:val="0"/>
                <w:iCs w:val="0"/>
                <w:smallCaps w:val="0"/>
                <w:color w:val="000000"/>
                <w:sz w:val="21"/>
                <w:szCs w:val="21"/>
                <w:highlight w:val="none"/>
                <w:lang w:eastAsia="zh-CN"/>
              </w:rPr>
              <w:t xml:space="preserve">姚老师</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    话：025-83283339</w:t>
            </w:r>
            <w:r/>
          </w:p>
        </w:tc>
      </w:tr>
      <w:tr>
        <w:trPr>
          <w:trHeight w:val="2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2</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采购代理机构：苏美达国际技术贸易有限公司</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联 系 人：</w:t>
            </w:r>
            <w:r>
              <w:rPr>
                <w:rFonts w:hint="eastAsia" w:ascii="宋体" w:hAnsi="宋体" w:eastAsia="宋体" w:cs="宋体"/>
                <w:b w:val="0"/>
                <w:bCs w:val="0"/>
                <w:i w:val="0"/>
                <w:iCs w:val="0"/>
                <w:smallCaps w:val="0"/>
                <w:color w:val="000000"/>
                <w:sz w:val="21"/>
                <w:szCs w:val="21"/>
                <w:highlight w:val="none"/>
                <w:lang w:val="en-US" w:eastAsia="zh-CN"/>
              </w:rPr>
              <w:t xml:space="preserve">王丹</w:t>
            </w:r>
            <w:r>
              <w:rPr>
                <w:rFonts w:ascii="宋体" w:hAnsi="宋体" w:eastAsia="宋体" w:cs="宋体"/>
                <w:b w:val="0"/>
                <w:bCs w:val="0"/>
                <w:i w:val="0"/>
                <w:iCs w:val="0"/>
                <w:smallCaps w:val="0"/>
                <w:color w:val="000000"/>
                <w:sz w:val="21"/>
                <w:szCs w:val="21"/>
                <w:highlight w:val="none"/>
              </w:rPr>
              <w:t xml:space="preserve">、张静雯、杨扬   </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联系电话：</w:t>
            </w:r>
            <w:r>
              <w:rPr>
                <w:rFonts w:ascii="宋体" w:hAnsi="宋体" w:eastAsia="宋体" w:cs="宋体"/>
                <w:sz w:val="21"/>
                <w:szCs w:val="21"/>
                <w:highlight w:val="none"/>
              </w:rPr>
              <w:t xml:space="preserve">025-8453</w:t>
            </w:r>
            <w:r>
              <w:rPr>
                <w:rFonts w:hint="eastAsia" w:ascii="宋体" w:hAnsi="宋体" w:eastAsia="宋体" w:cs="宋体"/>
                <w:sz w:val="21"/>
                <w:szCs w:val="21"/>
                <w:highlight w:val="none"/>
                <w:lang w:val="en-US" w:eastAsia="zh-CN"/>
              </w:rPr>
              <w:t xml:space="preserve">1040</w:t>
            </w:r>
            <w:r>
              <w:rPr>
                <w:rFonts w:ascii="宋体" w:hAnsi="宋体" w:eastAsia="宋体" w:cs="宋体"/>
                <w:b w:val="0"/>
                <w:bCs w:val="0"/>
                <w:i w:val="0"/>
                <w:iCs w:val="0"/>
                <w:smallCaps w:val="0"/>
                <w:color w:val="000000"/>
                <w:sz w:val="21"/>
                <w:szCs w:val="21"/>
                <w:highlight w:val="none"/>
              </w:rPr>
              <w:t xml:space="preserve">、025-84532458、025-84532455</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联系地址：江苏省南京市长江路198号苏美达大厦</w:t>
            </w:r>
            <w:r/>
          </w:p>
        </w:tc>
      </w:tr>
      <w:tr>
        <w:trPr>
          <w:trHeight w:val="2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3</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hint="eastAsia" w:ascii="宋体" w:hAnsi="宋体" w:eastAsia="宋体" w:cs="宋体"/>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项目名称：门诊导医服务外包</w:t>
            </w:r>
            <w:r/>
          </w:p>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rPr>
              <w:t xml:space="preserve">项目编号：JSZC-320000-SMDG-G2026-0065</w:t>
            </w:r>
            <w:r/>
          </w:p>
        </w:tc>
      </w:tr>
      <w:tr>
        <w:trPr>
          <w:trHeight w:val="2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4</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采购方式：</w:t>
            </w:r>
            <w:r>
              <w:rPr>
                <w:rFonts w:ascii="宋体" w:hAnsi="宋体" w:eastAsia="宋体" w:cs="宋体"/>
                <w:b/>
                <w:bCs/>
                <w:i w:val="0"/>
                <w:iCs w:val="0"/>
                <w:smallCaps w:val="0"/>
                <w:color w:val="000000"/>
                <w:sz w:val="21"/>
                <w:szCs w:val="21"/>
                <w:highlight w:val="none"/>
              </w:rPr>
              <w:t xml:space="preserve">公开招标 </w:t>
            </w:r>
            <w:r/>
          </w:p>
        </w:tc>
      </w:tr>
      <w:tr>
        <w:trPr>
          <w:trHeight w:val="2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5</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投标有效期</w:t>
            </w:r>
            <w:r>
              <w:rPr>
                <w:rFonts w:ascii="宋体" w:hAnsi="宋体" w:eastAsia="宋体" w:cs="宋体"/>
                <w:b w:val="0"/>
                <w:bCs w:val="0"/>
                <w:i w:val="0"/>
                <w:iCs w:val="0"/>
                <w:smallCaps w:val="0"/>
                <w:color w:val="000000"/>
                <w:sz w:val="21"/>
                <w:szCs w:val="21"/>
                <w:highlight w:val="none"/>
              </w:rPr>
              <w:t xml:space="preserve">：开标之日起90天</w:t>
            </w:r>
            <w:r/>
          </w:p>
        </w:tc>
      </w:tr>
      <w:tr>
        <w:trPr>
          <w:trHeight w:val="475"/>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6</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投标保证金：本项目无需缴纳投标保证金</w:t>
            </w:r>
            <w:r/>
          </w:p>
        </w:tc>
      </w:tr>
      <w:tr>
        <w:trPr>
          <w:trHeight w:val="559"/>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7</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投标截止时间：2026年</w:t>
            </w:r>
            <w:r>
              <w:rPr>
                <w:rFonts w:hint="eastAsia" w:ascii="宋体" w:hAnsi="宋体" w:eastAsia="宋体" w:cs="宋体"/>
                <w:b w:val="0"/>
                <w:bCs w:val="0"/>
                <w:i w:val="0"/>
                <w:iCs w:val="0"/>
                <w:smallCaps w:val="0"/>
                <w:color w:val="000000"/>
                <w:sz w:val="21"/>
                <w:szCs w:val="21"/>
                <w:highlight w:val="none"/>
                <w:lang w:val="en-US" w:eastAsia="zh-CN"/>
              </w:rPr>
              <w:t xml:space="preserve">7</w:t>
            </w:r>
            <w:r>
              <w:rPr>
                <w:rFonts w:ascii="宋体" w:hAnsi="宋体" w:eastAsia="宋体" w:cs="宋体"/>
                <w:b w:val="0"/>
                <w:bCs w:val="0"/>
                <w:i w:val="0"/>
                <w:iCs w:val="0"/>
                <w:smallCaps w:val="0"/>
                <w:color w:val="000000"/>
                <w:sz w:val="21"/>
                <w:szCs w:val="21"/>
                <w:highlight w:val="none"/>
              </w:rPr>
              <w:t xml:space="preserve">月</w:t>
            </w:r>
            <w:r>
              <w:rPr>
                <w:rFonts w:hint="eastAsia" w:ascii="宋体" w:hAnsi="宋体" w:eastAsia="宋体" w:cs="宋体"/>
                <w:b w:val="0"/>
                <w:bCs w:val="0"/>
                <w:i w:val="0"/>
                <w:iCs w:val="0"/>
                <w:smallCaps w:val="0"/>
                <w:color w:val="000000"/>
                <w:sz w:val="21"/>
                <w:szCs w:val="21"/>
                <w:highlight w:val="none"/>
                <w:lang w:val="en-US" w:eastAsia="zh-CN"/>
              </w:rPr>
              <w:t xml:space="preserve">29</w:t>
            </w:r>
            <w:r>
              <w:rPr>
                <w:rFonts w:ascii="宋体" w:hAnsi="宋体" w:eastAsia="宋体" w:cs="宋体"/>
                <w:b w:val="0"/>
                <w:bCs w:val="0"/>
                <w:i w:val="0"/>
                <w:iCs w:val="0"/>
                <w:smallCaps w:val="0"/>
                <w:color w:val="000000"/>
                <w:sz w:val="21"/>
                <w:szCs w:val="21"/>
                <w:highlight w:val="none"/>
              </w:rPr>
              <w:t xml:space="preserve">日14:</w:t>
            </w:r>
            <w:r>
              <w:rPr>
                <w:rFonts w:hint="eastAsia" w:ascii="宋体" w:hAnsi="宋体" w:eastAsia="宋体" w:cs="宋体"/>
                <w:b w:val="0"/>
                <w:bCs w:val="0"/>
                <w:i w:val="0"/>
                <w:iCs w:val="0"/>
                <w:smallCaps w:val="0"/>
                <w:color w:val="000000"/>
                <w:sz w:val="21"/>
                <w:szCs w:val="21"/>
                <w:highlight w:val="none"/>
                <w:lang w:val="en-US" w:eastAsia="zh-CN"/>
              </w:rPr>
              <w:t xml:space="preserve">3</w:t>
            </w:r>
            <w:r>
              <w:rPr>
                <w:rFonts w:ascii="宋体" w:hAnsi="宋体" w:eastAsia="宋体" w:cs="宋体"/>
                <w:b w:val="0"/>
                <w:bCs w:val="0"/>
                <w:i w:val="0"/>
                <w:iCs w:val="0"/>
                <w:smallCaps w:val="0"/>
                <w:color w:val="000000"/>
                <w:sz w:val="21"/>
                <w:szCs w:val="21"/>
                <w:highlight w:val="none"/>
              </w:rPr>
              <w:t xml:space="preserve">0（北京时间）</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开标时间：2026年</w:t>
            </w:r>
            <w:r>
              <w:rPr>
                <w:rFonts w:hint="eastAsia" w:ascii="宋体" w:hAnsi="宋体" w:eastAsia="宋体" w:cs="宋体"/>
                <w:b w:val="0"/>
                <w:bCs w:val="0"/>
                <w:i w:val="0"/>
                <w:iCs w:val="0"/>
                <w:smallCaps w:val="0"/>
                <w:color w:val="000000"/>
                <w:sz w:val="21"/>
                <w:szCs w:val="21"/>
                <w:highlight w:val="none"/>
                <w:lang w:val="en-US" w:eastAsia="zh-CN"/>
              </w:rPr>
              <w:t xml:space="preserve">7</w:t>
            </w:r>
            <w:r>
              <w:rPr>
                <w:rFonts w:ascii="宋体" w:hAnsi="宋体" w:eastAsia="宋体" w:cs="宋体"/>
                <w:b w:val="0"/>
                <w:bCs w:val="0"/>
                <w:i w:val="0"/>
                <w:iCs w:val="0"/>
                <w:smallCaps w:val="0"/>
                <w:color w:val="000000"/>
                <w:sz w:val="21"/>
                <w:szCs w:val="21"/>
                <w:highlight w:val="none"/>
              </w:rPr>
              <w:t xml:space="preserve">月</w:t>
            </w:r>
            <w:r>
              <w:rPr>
                <w:rFonts w:hint="eastAsia" w:ascii="宋体" w:hAnsi="宋体" w:eastAsia="宋体" w:cs="宋体"/>
                <w:b w:val="0"/>
                <w:bCs w:val="0"/>
                <w:i w:val="0"/>
                <w:iCs w:val="0"/>
                <w:smallCaps w:val="0"/>
                <w:color w:val="000000"/>
                <w:sz w:val="21"/>
                <w:szCs w:val="21"/>
                <w:highlight w:val="none"/>
                <w:lang w:val="en-US" w:eastAsia="zh-CN"/>
              </w:rPr>
              <w:t xml:space="preserve">29</w:t>
            </w:r>
            <w:r>
              <w:rPr>
                <w:rFonts w:ascii="宋体" w:hAnsi="宋体" w:eastAsia="宋体" w:cs="宋体"/>
                <w:b w:val="0"/>
                <w:bCs w:val="0"/>
                <w:i w:val="0"/>
                <w:iCs w:val="0"/>
                <w:smallCaps w:val="0"/>
                <w:color w:val="000000"/>
                <w:sz w:val="21"/>
                <w:szCs w:val="21"/>
                <w:highlight w:val="none"/>
              </w:rPr>
              <w:t xml:space="preserve">日14:</w:t>
            </w:r>
            <w:r>
              <w:rPr>
                <w:rFonts w:hint="eastAsia" w:ascii="宋体" w:hAnsi="宋体" w:eastAsia="宋体" w:cs="宋体"/>
                <w:b w:val="0"/>
                <w:bCs w:val="0"/>
                <w:i w:val="0"/>
                <w:iCs w:val="0"/>
                <w:smallCaps w:val="0"/>
                <w:color w:val="000000"/>
                <w:sz w:val="21"/>
                <w:szCs w:val="21"/>
                <w:highlight w:val="none"/>
                <w:lang w:val="en-US" w:eastAsia="zh-CN"/>
              </w:rPr>
              <w:t xml:space="preserve">30</w:t>
            </w:r>
            <w:r>
              <w:rPr>
                <w:rFonts w:ascii="宋体" w:hAnsi="宋体" w:eastAsia="宋体" w:cs="宋体"/>
                <w:b w:val="0"/>
                <w:bCs w:val="0"/>
                <w:i w:val="0"/>
                <w:iCs w:val="0"/>
                <w:smallCaps w:val="0"/>
                <w:color w:val="000000"/>
                <w:sz w:val="21"/>
                <w:szCs w:val="21"/>
                <w:highlight w:val="none"/>
              </w:rPr>
              <w:t xml:space="preserve">（北京时间）</w:t>
            </w:r>
            <w:r/>
          </w:p>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地点：“苏采云”政府采购交易系统网上开标大厅</w:t>
            </w:r>
            <w:r/>
          </w:p>
        </w:tc>
      </w:tr>
      <w:tr>
        <w:trPr>
          <w:trHeight w:val="39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8</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投标报价：</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1.本项目以人民币报价，本次采购采用总承包方式，投标报价为项目履约完成涉及的全部费用。</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2.除非采购文件有特别说明，采购人不接受备选的投标方案或有选择的报价。</w:t>
            </w:r>
            <w:r/>
          </w:p>
        </w:tc>
      </w:tr>
      <w:tr>
        <w:trPr>
          <w:trHeight w:val="540"/>
        </w:trPr>
        <w:tc>
          <w:tcPr>
            <w:tcBorders>
              <w:top w:val="single" w:color="000000" w:sz="6" w:space="0"/>
              <w:bottom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9</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928" w:type="dxa"/>
            <w:vAlign w:val="center"/>
            <w:textDirection w:val="lrTb"/>
            <w:noWrap w:val="false"/>
          </w:tcPr>
          <w:p>
            <w:pPr>
              <w:ind w:firstLine="15"/>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现场勘查要求：本项目不组织</w:t>
            </w:r>
            <w:r>
              <w:rPr>
                <w:rFonts w:ascii="宋体" w:hAnsi="宋体" w:eastAsia="宋体" w:cs="宋体"/>
                <w:b w:val="0"/>
                <w:bCs w:val="0"/>
                <w:i w:val="0"/>
                <w:iCs w:val="0"/>
                <w:smallCaps w:val="0"/>
                <w:color w:val="000000"/>
                <w:sz w:val="21"/>
                <w:szCs w:val="21"/>
                <w:highlight w:val="none"/>
              </w:rPr>
              <w:t xml:space="preserve">。</w:t>
            </w:r>
            <w:r/>
          </w:p>
        </w:tc>
      </w:tr>
      <w:tr>
        <w:trPr>
          <w:trHeight w:val="863"/>
        </w:trPr>
        <w:tc>
          <w:tcPr>
            <w:tcBorders>
              <w:top w:val="single" w:color="000000" w:sz="6" w:space="0"/>
              <w:right w:val="single" w:color="000000" w:sz="6" w:space="0"/>
            </w:tcBorders>
            <w:tcMar>
              <w:left w:w="108" w:type="dxa"/>
              <w:top w:w="8" w:type="dxa"/>
              <w:right w:w="108" w:type="dxa"/>
              <w:bottom w:w="8" w:type="dxa"/>
            </w:tcMar>
            <w:tcW w:w="1040" w:type="dxa"/>
            <w:vAlign w:val="center"/>
            <w:textDirection w:val="lrTb"/>
            <w:noWrap w:val="false"/>
          </w:tcPr>
          <w:p>
            <w:pPr>
              <w:jc w:val="center"/>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10</w:t>
            </w:r>
            <w:r/>
          </w:p>
        </w:tc>
        <w:tc>
          <w:tcPr>
            <w:tcBorders>
              <w:top w:val="single" w:color="000000" w:sz="6" w:space="0"/>
              <w:left w:val="single" w:color="000000" w:sz="6" w:space="0"/>
            </w:tcBorders>
            <w:tcMar>
              <w:left w:w="108" w:type="dxa"/>
              <w:top w:w="8" w:type="dxa"/>
              <w:right w:w="108" w:type="dxa"/>
              <w:bottom w:w="8" w:type="dxa"/>
            </w:tcMar>
            <w:tcW w:w="8928" w:type="dxa"/>
            <w:vAlign w:val="center"/>
            <w:textDirection w:val="lrTb"/>
            <w:noWrap w:val="false"/>
          </w:tcPr>
          <w:p>
            <w:pPr>
              <w:jc w:val="left"/>
              <w:spacing w:before="0" w:after="0" w:line="360" w:lineRule="auto"/>
              <w:shd w:val="clear" w:color="auto" w:fill="ffff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投标报价中的投标价不得超过招标公告、招标文件规定的采购预算及最高限价，超过规定的采购预算及最高限价的投标文件，按无效投标处理。 </w:t>
            </w:r>
            <w:r/>
          </w:p>
        </w:tc>
      </w:tr>
    </w:tbl>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Times New Roman" w:hAnsi="Times New Roman" w:eastAsia="Times New Roman" w:cs="Times New Roman"/>
          <w:highlight w:val="none"/>
        </w:rPr>
        <w:br w:type="page" w:clear="all"/>
      </w:r>
      <w:r>
        <w:rPr>
          <w:rFonts w:ascii="宋体" w:hAnsi="宋体" w:eastAsia="宋体" w:cs="宋体"/>
          <w:b/>
          <w:bCs/>
          <w:sz w:val="21"/>
          <w:szCs w:val="21"/>
          <w:highlight w:val="none"/>
        </w:rPr>
        <w:t xml:space="preserve">一、总 则</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1.适用法律</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1.1 《中华人民共和国招标投标法》《中华人民共和国政府采购法》《中华人民共和国政府采购法实施条例》《政府采购货物和服务招标投标管理办法》等有关法律、规章和规定等。</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2.定义</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2.1 本文件中采购代理机构为</w:t>
      </w:r>
      <w:r>
        <w:rPr>
          <w:rFonts w:ascii="宋体" w:hAnsi="宋体" w:eastAsia="宋体" w:cs="宋体"/>
          <w:b/>
          <w:bCs/>
          <w:sz w:val="21"/>
          <w:szCs w:val="21"/>
          <w:highlight w:val="none"/>
          <w:u w:val="single"/>
        </w:rPr>
        <w:t xml:space="preserve">苏美达国际技术贸易有限公司</w:t>
      </w:r>
      <w:r>
        <w:rPr>
          <w:rFonts w:ascii="宋体" w:hAnsi="宋体" w:eastAsia="宋体" w:cs="宋体"/>
          <w:sz w:val="21"/>
          <w:szCs w:val="21"/>
          <w:highlight w:val="none"/>
        </w:rPr>
        <w:t xml:space="preserve">；采购人为</w:t>
      </w:r>
      <w:r>
        <w:rPr>
          <w:rFonts w:ascii="宋体" w:hAnsi="宋体" w:eastAsia="宋体" w:cs="宋体"/>
          <w:b/>
          <w:bCs/>
          <w:sz w:val="21"/>
          <w:szCs w:val="21"/>
          <w:highlight w:val="none"/>
          <w:u w:val="single"/>
        </w:rPr>
        <w:t xml:space="preserve">江苏省肿瘤医院</w:t>
      </w:r>
      <w:r>
        <w:rPr>
          <w:rFonts w:ascii="宋体" w:hAnsi="宋体" w:eastAsia="宋体" w:cs="宋体"/>
          <w:sz w:val="21"/>
          <w:szCs w:val="21"/>
          <w:highlight w:val="none"/>
        </w:rPr>
        <w:t xml:space="preserve">；投标人（亦称供应商）系指参加投标竞争并满足招标文件资格要求规定的法人、其他组织或者自然人。</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2.2 “货物和服务”指本文件中所述产品及相关货物和服务。</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2.3 “用户或使用单位”指使用货物、服务的单位。</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3.政策功能</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 </w:t>
      </w:r>
      <w:r>
        <w:rPr>
          <w:rFonts w:ascii="宋体" w:hAnsi="宋体" w:eastAsia="宋体" w:cs="宋体"/>
          <w:sz w:val="21"/>
          <w:szCs w:val="21"/>
          <w:highlight w:val="none"/>
        </w:rPr>
        <w:t xml:space="preserve">3.1 促进中小企业发展政策</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宋体" w:hAnsi="宋体" w:eastAsia="宋体" w:cs="宋体"/>
          <w:sz w:val="21"/>
          <w:szCs w:val="21"/>
          <w:highlight w:val="none"/>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3.2 节能产品、环境标志产品政策</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（1）政府采购节能产品、环境标志产品实施品目清单管理。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（2）拟采购产品属于节能产品、环境标志产品品目清单规定必须强制采购的，实行强制采购。</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（3）拟采购产品属于节能产品、环境标志产品品目清单规定优先采购的，在性能、技术、服务等指标同等条件下，实行优先采购，优先采购的评审标准详见本招标文件第三章。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（4）参加政府采购活动的节能产品、环境标志产品供应商应当提供国家确定的认证机构出具的、处于有效期之内的节能产品、环境标志产品认证证书。</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3.3 采购本国产品的支持政策</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具体内容如下：</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3.3.1 本项目政府采购活动中既有本国产品又有非本国产品参与竞争的，依法对本国产品给予价格评审优惠，对本国产品的报价给予20%的价格扣除，用扣除后的价格参与评审。</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3.3.3 供应商需按照招标文件的要求提供《关于符合本国产品标准的声明函》（以下简称《声明函》），如不提供将不享受本国产品价格评审优惠。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3.5 提供的产品属于信息安全产品的，供应商应当选择经国家认证的信息安全产品投标，并提供由中国信息安全认证中心按国家标准认证颁发的有效认证证书复印件。</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3.7 为推进社会诚信体系建设，根据财政部等政策要求，在政府采购活动中查询、使用信用记录，推进政府采购领域联合惩戒工作。</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4.投标费用</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4.1 供应商应自行承担所有与参加投标有关的费用，无论采购结果如何，代理机构和采购人在任何情况下均无义务和责任承担这些费用。</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5.招标文件的约束力</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5.1 供应商一旦参加本项目采购活动，即被认为接受了本招标文件的规定和约束。</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二、招标文件</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6.招标文件构成</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6.1 招标文件由以下部分组成：</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第一章  招标公告</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第二章  投标人须知</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第三章  评标标准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第四章  服务要求</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第五章  合同草案条款</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第六章  投标文件格式</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6.2 </w:t>
      </w:r>
      <w:r>
        <w:rPr>
          <w:rFonts w:ascii="宋体" w:hAnsi="宋体" w:eastAsia="宋体" w:cs="宋体"/>
          <w:b/>
          <w:bCs/>
          <w:sz w:val="21"/>
          <w:szCs w:val="21"/>
          <w:highlight w:val="none"/>
        </w:rPr>
        <w:t xml:space="preserve">招标的最小单位是包。采购需求中未分包的，供应商对要求提供的服务不得部分投标；采购需求中已经分包的，以包为单位投标</w:t>
      </w:r>
      <w:r>
        <w:rPr>
          <w:rFonts w:ascii="宋体" w:hAnsi="宋体" w:eastAsia="宋体" w:cs="宋体"/>
          <w:sz w:val="21"/>
          <w:szCs w:val="21"/>
          <w:highlight w:val="none"/>
        </w:rPr>
        <w:t xml:space="preserve">。</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6.4 供应商被视为充分熟悉本招标项目的各种情况以及与履行合同有关的一切其他情况。</w:t>
      </w:r>
      <w:r/>
    </w:p>
    <w:p>
      <w:pPr>
        <w:ind w:firstLine="420"/>
        <w:jc w:val="left"/>
        <w:keepNex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7.招标文件的澄清、补充或修改</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7.1 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7.2 采购代理机构对已发出的招标文件进行必要的澄清或者修改，将在投标截止时间15日前，在原招标公告媒体上公布。不足15日的，采购人或者采购代理机构应当顺延提交投标文件的截止时间。</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7.3 采购代理机构在招标文件要求提交投标文件截止时间3日前，有权决定延长投标截止时间和开标时间，并在原招标公告媒体上发布变更公告。</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7.4 为使供应商在准备投标时有合理的时间考虑招标文件的补充或修改，采购代理机构可视情况推迟投标截止时间和开标时间，并在原招标公告媒体发布更正公告。</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7.5 采购代理机构发出的所有补充、修改和变更文件均作为招标文件的组成部分，与招标文件具有同等法律效力，并对投标人具有约束力。 </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三、投标文件的编制</w:t>
      </w:r>
      <w:r/>
    </w:p>
    <w:p>
      <w:pPr>
        <w:ind w:firstLine="420"/>
        <w:jc w:val="left"/>
        <w:keepNex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8.投标文件的语言、计量单位、货币</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8.2 供应商已印刷好的资料如产品样本、说明书等可以用其他语言，但其中要点应附有中文译文。对不同文本投标文件的解释发生异议的，以中文翻译文本为准。</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8.3 除招标文件中有特殊要求外，招标文件中所使用的计量单位应为国家法定计量单位。</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8.4 本招标文件所表述的时间均为北京时间。</w:t>
      </w:r>
      <w:r/>
    </w:p>
    <w:p>
      <w:pPr>
        <w:ind w:firstLine="420"/>
        <w:jc w:val="left"/>
        <w:keepNex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8.5 所有投标响应报价具体详见投标人须知前附表。</w:t>
      </w:r>
      <w:r/>
    </w:p>
    <w:p>
      <w:pPr>
        <w:ind w:firstLine="420"/>
        <w:jc w:val="left"/>
        <w:keepNex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9.联合体（本项目不接受联合体投标）</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10.投标文件的组成（相应内容上传至投标客户端，并签电子公章）：</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10.1 投标函（格式见附件）；</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10.2 资格证明文件（详见第一章招标公告“申请人的资格要求”）；</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10.3 开标一览表（格式见附件）；</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10.4 分项报价表（格式见附件）；</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10.5 商务/技术条款偏离表（格式见附件）；</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10.6 售后服务实施方案等；</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10.7 评分标准中对应的所需证明材料（如有自行添加）；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10.8 要求采购人提供的配合（如有自拟并自行添加）；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10.9 其他（投标人认为有必要提供的声明和文件，如有自拟并自行添加）；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（1）投标供应商简介和经营情况说明；</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（2）如是小微企业的，提供《中小企业声明函》；</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（3）残疾人福利性单位声明函（供应商为残疾人福利性单位的提供）；</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（4）由省级以上监狱管理局、戒毒管理局出具的属于监狱企业的证明文件（如适用）；</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上述10.1-10.5项必须全部提供，否则投标文件无效。</w:t>
      </w:r>
      <w:r>
        <w:rPr>
          <w:rFonts w:ascii="宋体" w:hAnsi="宋体" w:eastAsia="宋体" w:cs="宋体"/>
          <w:sz w:val="21"/>
          <w:szCs w:val="21"/>
          <w:highlight w:val="none"/>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其他部分由供应商根据编制投标文件需要提供的其他相关文件。</w:t>
      </w:r>
      <w:r/>
    </w:p>
    <w:p>
      <w:pPr>
        <w:ind w:firstLine="420"/>
        <w:jc w:val="left"/>
        <w:keepNex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11.投标文件的有效期</w:t>
      </w:r>
      <w:r/>
    </w:p>
    <w:p>
      <w:pPr>
        <w:ind w:firstLine="420"/>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11.1 自开标之日起90天内，投标文件应保持有效，有效期短于此规定的投标文件将视为无效。</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11.2 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jc w:val="left"/>
        <w:keepNex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12.投标文件的编制要求和签署要求</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12.1 投标人应由其法定代表人或法定代表人授权代表在规定的网上投标时间，凭 CA 证书登录“苏采云”系统在线编制投标文件（电子数据），并在投标截止时间之前上传投标文件。</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12.2 投标人应对 CA 证书妥善保管，如被他人盗用投标，因此带来的结果均由投标人自行承担。</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12.3 投标人应当对招标文件提出的要求和条件作出实质性响应，并在电子投标系统逐条应答。</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12.4 投标人应对要求提供的资格证明文件（如资质证书、资格证书）、技术资料（如白皮书、彩页、手册、检测报告等）扫描上传至投标系统。</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四、投标文件的递交</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13.电子投标文件的递交</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13.1 投标人应当按照规定，在投标截止时间前制作并上传电子投标文件。</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14.投标截止日期</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14.1 投标人上传电子投标文件的时间不得迟于招标公告中规定的投标截止时间。</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投标人应充分考虑到网络环境、网络带宽等风险因素，如因投标人自身原因造成的电子投标文件上传不成功的作无效投标处理。</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15.投标文件的拒收</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15.1 采购人及采购代理机构拒绝接收在其规定的投标截止时间后上传的任何投标文件。</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16.投标文件的撤回和修改</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16.1 投标文件的撤回</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16.1.1 电子投标文件的撤回</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投标人可在投标截止时间前，撤回其电子投标文件。</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16.1.2 投标人撤回电子投标文件，则认为其不再参与本项目投标活动。</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16.2 投标文件的修改</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16.2.1 投标人可在投标截止时间前，对其电子投标文件进行修改。</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16.2.2 在投标截止时间之后，投标人不得对其电子投标文件作任何修改。</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16.3 在投标截止时间至招标文件中规定的投标有效期满之间的这段时间内，投标人不得撤回其投标。</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五、开标与评标</w:t>
      </w:r>
      <w:r/>
    </w:p>
    <w:p>
      <w:pPr>
        <w:ind w:firstLine="420"/>
        <w:jc w:val="left"/>
        <w:keepNex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17.开标</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17.1 开标时间及地点。开标应当在招标文件确定的提交投标文件截止时间的同一时间公开进行；开标地点应当为招标文件中预先确定的地点。</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17.2 由电子招标投标交易平台主持，邀请投标人参加。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17.3 所有投标单位使用 CA 证书在开标时间时解密各自投标文件，由工作人员操作系统进行开标。投标人不足3家的，不得开标。</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18.资格性审查</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18.2 信用信息查询</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18.3 通过资格性审查合格的投标人不足3家的，不得评标。</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19.评标 </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19.1 评标组织</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评标工作由采购代理机构负责组织，具体评标事务由依法组建的评标委员会负责，并独立履行下列职责：</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（1）审查、评价投标文件是否符合招标文件的商务、技术等实质性要求；</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（2）要求投标人对投标文件有关事项作出澄清或者说明；</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（3）对投标文件进行比较和评价；</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（4）确定中标候选人名单，以及根据采购人委托直接确定中标人；</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（5）向采购人、采购代理机构或者有关部门报告评标中发现的违法行为。</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19.2 评标委员会由采购人代表和有关技术、经济等方面的专家组成，独立开展评审工作且评标委员会人员构成符合有关规定。</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19.3 对投标文件的符合性审查</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19.3.1 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宋体" w:hAnsi="宋体" w:eastAsia="宋体" w:cs="宋体"/>
          <w:b/>
          <w:bCs/>
          <w:sz w:val="21"/>
          <w:szCs w:val="21"/>
          <w:highlight w:val="none"/>
        </w:rPr>
        <w:t xml:space="preserve">实质性要求是指本招标文件中用带星号（“★”）的商务和技术要求（如有）。</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19.3.2 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19.3.3 评审时，投标文件出现不一致情形的，按下列规定执行：</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19.3.3.1 投标文件正本与副本不符的，以正本为准。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19.3.3.2 投标文件报价出现前后不一致的，按照下列规定修正：</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（1）投标文件中开标一览表（报价表）内容与投标文件中相应内容不一致的，以开标一览表（报价表）为准；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（2）大写金额和小写金额不一致的，以大写金额为准；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（3）单价金额小数点或者百分比有明显错位的，以开标一览表的总价为准，并修改单价；</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（4）总价金额与按单价汇总金额不一致的，以单价金额计算结果为准。</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19.3.4 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评标过程中出现下列情形之一的，评标委员会应当启动异常低价投标（响应）审查程序：</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①投标（响应）报价低于全部通过符合性审查供应商投标（响应）报价平均值50%的，即投标（响应）报价〈全部通过符合性审查供应商投标（响应）报价平均值×50%；</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②投标（响应）报价低于通过符合性审查的次低报价供应商投标（响应）报价50%的，即投标（响应）报价〈通过符合性审查的次低报价供应商投标（响应）报价×50%；</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③投标（响应）报价低于采购项目最高限价45%的，即投标（响应）报价〈采购项目最高限价×45%；</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④评标委员会基于专业判断，认为供应商报价过低，有可能影响产品质量或者不能诚信履约的其他情形。</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19.3.5 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jc w:val="left"/>
        <w:keepNex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19.4 投标文件的澄清</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19.4.3 供应商澄清、说明或者补正不得超出投标文件的范围或者改变投标文件的实质性内容。供应商拒不按照要求对投标文件进行澄清、说明或者补正的，视其放弃该项权利。</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19.5 比较与评价</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19.5.1 投标文件资格性检查和符合性检查结束后，凡属于“无效投标文件确认”的投标文件不进入比较与评价程序。</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19.5.2 评标委员会应当按照招标文件中规定的评标方法和标准，对符合性审查合格的投标文件进行商务和技术评估，综合比较与评价。</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19.5.3 除评标方法和评标标准另有规定外，评标采用综合评分法。即投标文件满足招标文件全部实质性要求，且按照评审因素的量化指标评审得分最高的供应商为中标候选供应商的评标方法。评标时，评标委员会各成员应当独立对每个投标人的投标文件进行评价，并汇总每个投标人的得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19.5.4 评审因素包括投标报价、技术或服务水平、履约能力、售后服务等。</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19.5.5 评标方法和评标标准详见文件第三章。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19.6 投标供应商存在下列情况之一的，其投标无效：</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（1）投标人在苏采云系统规定的时间内未成功解密电子投标文件的。</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（2）投标人未按照招标文件要求上传电子投标文件的。</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（3）供应商不具备招标文件中规定资格要求的；</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（4）供应商在报价时采用选择性报价；</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（5）报价超过招标文件中规定的预算金额或者最高限价的；</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（6）投标文件含有采购人不能接受的附加条件的；</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（7）不同供应商的投标文件由同一单位或者个人编制；</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（8）不同供应商委托同一单位或者个人办理投标事宜；</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（9）不同供应商的投标文件载明的项目管理成员或联系人员为同一人；</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（10）不同供应商的投标文件异常一致或者投标报价呈规律性差异；</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（11）不同供应商的投标文件相互混装；</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（12）不同供应商的负责人为同一人或者存在控股、管理关系的；</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（13）不同供应商的委托代理人（或法定代表人、项目经理、项目总监、项目负责人等）在招标文件发布日上月至投标截止日当月在同一单位缴纳社会保险的；</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（14）提供虚假材料的（包括工商营业执照、财务报表、资格证明文件等）；</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（15）未通过符合性检查的；</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（17）不符合招标文件中规定的其他实质性要求的；</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（18）法律法规和招标文件规定的其他无效情形。</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19.7 出现下列情形之一的，应予废标：</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（1）符合专业条件的供应商或者对招标文件作实质响应的供应商不足三家的；</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（2）出现影响采购公正的违法、违规行为的；</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（3）因重大变故，采购任务取消的；</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（4）评标委员会认定招标文件存在歧义、重大缺陷导致评审工作无法进行的，或者招标文件内容违反国家有关强制性规定的。</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在评标期间，通过资格审查或符合性审查的投标人不足3家情形的，比照19.3.5款执行。</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六、授标</w:t>
      </w:r>
      <w:r/>
    </w:p>
    <w:p>
      <w:pPr>
        <w:ind w:firstLine="420"/>
        <w:jc w:val="left"/>
        <w:keepNex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20.确定中标供应商</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20.1 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在满足招标文件要求的条件下，评标委员会根据评分细则进行评审，按得分由高到低的顺序推荐中标候选人。如果得分相同，按服务优劣顺序排列；如果服务评分再次相同，报价低者优先；服务、报价得分均相同的情况下，抽签确定。最低投标价等任何单项因素的最优不是中标的必要条件。</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20.2 中标人确定后，在江苏政府采购网上公告中标结果，中标公告期为1个工作日，公告的同时向中标供应商发出中标通知书。</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20.3 中标供应商在收到中标通知书后，应郑重保证履行中标供应商应履行的，含招标代理服务费在内的一切义务和责任。</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20.4 中标通知书对采购人和中标供应商具有同等法律效力。</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20.5 中标通知书发出后，中标或者成交后无正当理由拒不与采购人签订政府采购合同的，情节严重的，由财政部门将其列入不良行为记录名单，在一至三年内禁止参加政府采购活动，并予以通报。</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20.6 若评标委员会发现供应商的投标文件中有弄虚作假行为，则该供应商将失去中标资格。</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21.评标过程的保密性</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21.1 采购人和采购代理机构将采取必要措施，保证评标在严格保密的情况下进行。</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21.2 任何单位和个人不得非法干预、影响评标办法的确定，以及评标过程和结果。</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21.3 凡是与审查、澄清、评价和比较投标的有关资料等，均不向投标人及与评标无关的其他人员透露。</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22.签订合同</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22.1 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22.2 招标文件、中标供应商的投标文件及评标过程中有关澄清、说明或者补正文件均应作为合同附件。</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22.3 采购人不得向中标人提出任何不合理的要求作为签订合同的条件。</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22.6 采购人与中标人应当根据合同的约定依法履行合同义务。</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22.7 履约保证金</w:t>
      </w:r>
      <w:r>
        <w:rPr>
          <w:rFonts w:ascii="宋体" w:hAnsi="宋体" w:eastAsia="宋体" w:cs="宋体"/>
          <w:sz w:val="21"/>
          <w:szCs w:val="21"/>
          <w:highlight w:val="none"/>
        </w:rPr>
        <w:t xml:space="preserve"> </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中标方需在签署合同前，向采购人一次性缴纳中标总金额的10%（人民币）作为风险（履约）保证金，该保证金不计息，货物在货运期间完好无损，没有发生货物丢失，以及遵守合同期相关约定等其他情况，采购人将在合同终止后一次性返还给中标方。</w:t>
      </w:r>
      <w:r/>
    </w:p>
    <w:p>
      <w:pPr>
        <w:ind w:firstLine="420"/>
        <w:jc w:val="left"/>
        <w:keepNex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23.招标代理服务费</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23.1 领取中标通知书时，中标人向采购代理机构一次性付清。</w:t>
      </w:r>
      <w:r/>
    </w:p>
    <w:p>
      <w:pPr>
        <w:ind w:firstLine="420"/>
        <w:spacing w:before="0" w:after="0"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23.2 供应商应自行承担所有与准备和参加投标有关的费用。中标通知书发出后一周内，中标供应商按《招标代理服务收费管理暂行办法》（国家发展计划委员会计价格[2002]1980号）规定的标准的75%向采购代理机构支付代理服务费。该费用一次付清，本项费用无需在响应报价表中单列。</w:t>
      </w:r>
      <w:r/>
    </w:p>
    <w:p>
      <w:pPr>
        <w:ind w:firstLine="420"/>
        <w:spacing w:before="0" w:after="0"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23.3 服务费受理账户信息：</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收款单位：苏美达国际技术贸易有限公司</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开户行：中信南京分行营业部 </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账号：7321010182300013675 </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七、质疑和投诉</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24.质疑</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24.1 供应商对招标活动事项有疑问的，可以向采购代理机构提出询问，采购代理机构将依法作出答复，但答复的内容不涉及商业秘密</w:t>
      </w:r>
      <w:r>
        <w:rPr>
          <w:rFonts w:ascii="宋体" w:hAnsi="宋体" w:eastAsia="宋体" w:cs="宋体"/>
          <w:b/>
          <w:bCs/>
          <w:sz w:val="21"/>
          <w:szCs w:val="21"/>
          <w:highlight w:val="none"/>
        </w:rPr>
        <w:t xml:space="preserve">。</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24.2 供应商认为招标文件、采购过程和中标结果使自己的合法权益受到损害的，可以在知道或者应知其权益受到损害之日起七个工作日内，将质疑文件原件送达采购人或采购代理机构。</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供应商应知其权益受到损害之日，是指：</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（一）对可以质疑的招标文件提出质疑的，为收到招标文件之日或者招标文件公告期限届满之日；</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（二）对采购过程提出质疑的，为各采购程序环节结束之日；</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（三）对中标或者成交结果提出质疑的，为中标或者成交结果公告期限届满之日。</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24.3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采购代理机构将在一定范围内公开质疑人的名称、质疑事项、质疑处理结果，供有关采购人、财政部门、行业协会查询。</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24.4 质疑文件应包括以下主要内容，并按照“谁主张、谁举证”的原则，附上相关证明材料。否则，采购代理机构不予受理：</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（1）质疑项目名称、项目编号、包号、招标公告发布时间、开标时间；</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（2）具体的质疑事项及法律依据（具体条款）；</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ascii="宋体" w:hAnsi="宋体" w:eastAsia="宋体" w:cs="宋体"/>
          <w:b/>
          <w:bCs/>
          <w:sz w:val="21"/>
          <w:szCs w:val="21"/>
          <w:highlight w:val="none"/>
        </w:rPr>
        <w:t xml:space="preserve">修改理由</w:t>
      </w:r>
      <w:r>
        <w:rPr>
          <w:rFonts w:ascii="宋体" w:hAnsi="宋体" w:eastAsia="宋体" w:cs="宋体"/>
          <w:sz w:val="21"/>
          <w:szCs w:val="21"/>
          <w:highlight w:val="none"/>
        </w:rPr>
        <w:t xml:space="preserve">和</w:t>
      </w:r>
      <w:r>
        <w:rPr>
          <w:rFonts w:ascii="宋体" w:hAnsi="宋体" w:eastAsia="宋体" w:cs="宋体"/>
          <w:b/>
          <w:bCs/>
          <w:sz w:val="21"/>
          <w:szCs w:val="21"/>
          <w:highlight w:val="none"/>
        </w:rPr>
        <w:t xml:space="preserve">修改建议</w:t>
      </w:r>
      <w:r>
        <w:rPr>
          <w:rFonts w:ascii="宋体" w:hAnsi="宋体" w:eastAsia="宋体" w:cs="宋体"/>
          <w:sz w:val="21"/>
          <w:szCs w:val="21"/>
          <w:highlight w:val="none"/>
        </w:rPr>
        <w:t xml:space="preserve">）；</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（4）质疑供应商名称、地址、联系方式（包括手机、传真号码）；</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24.5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24.6 采购代理机构在收到投标商的书面质疑后将及时组织调查核实，在</w:t>
      </w:r>
      <w:r>
        <w:rPr>
          <w:rFonts w:ascii="宋体" w:hAnsi="宋体" w:eastAsia="宋体" w:cs="宋体"/>
          <w:b/>
          <w:bCs/>
          <w:sz w:val="21"/>
          <w:szCs w:val="21"/>
          <w:highlight w:val="none"/>
        </w:rPr>
        <w:t xml:space="preserve">七个工作日内</w:t>
      </w:r>
      <w:r>
        <w:rPr>
          <w:rFonts w:ascii="宋体" w:hAnsi="宋体" w:eastAsia="宋体" w:cs="宋体"/>
          <w:sz w:val="21"/>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jc w:val="left"/>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25.投诉</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供应商对代理机构的答复不满意，或代理机构未在规定的时间内作出答复的，可以在答复期满后</w:t>
      </w:r>
      <w:r>
        <w:rPr>
          <w:rFonts w:ascii="宋体" w:hAnsi="宋体" w:eastAsia="宋体" w:cs="宋体"/>
          <w:b/>
          <w:bCs/>
          <w:sz w:val="21"/>
          <w:szCs w:val="21"/>
          <w:highlight w:val="none"/>
        </w:rPr>
        <w:t xml:space="preserve">十五个工作日内</w:t>
      </w:r>
      <w:r>
        <w:rPr>
          <w:rFonts w:ascii="宋体" w:hAnsi="宋体" w:eastAsia="宋体" w:cs="宋体"/>
          <w:sz w:val="21"/>
          <w:szCs w:val="21"/>
          <w:highlight w:val="none"/>
        </w:rPr>
        <w:t xml:space="preserve">向采购人同级财政部门投诉。</w:t>
      </w:r>
      <w:r/>
    </w:p>
    <w:p>
      <w:pPr>
        <w:jc w:val="center"/>
        <w:spacing w:before="0" w:after="0" w:line="288" w:lineRule="auto"/>
        <w:widowControl w:val="off"/>
        <w:rPr>
          <w:rFonts w:ascii="Times New Roman" w:hAnsi="Times New Roman" w:eastAsia="Times New Roman" w:cs="Times New Roman"/>
          <w:sz w:val="36"/>
          <w:szCs w:val="36"/>
          <w:highlight w:val="none"/>
        </w:rPr>
      </w:pPr>
      <w:r>
        <w:rPr>
          <w:rFonts w:ascii="Times New Roman" w:hAnsi="Times New Roman" w:eastAsia="Times New Roman" w:cs="Times New Roman"/>
          <w:sz w:val="36"/>
          <w:szCs w:val="36"/>
          <w:highlight w:val="none"/>
        </w:rPr>
        <w:br w:type="page" w:clear="all"/>
      </w:r>
      <w:r>
        <w:rPr>
          <w:rFonts w:ascii="黑体" w:hAnsi="黑体" w:eastAsia="黑体" w:cs="黑体"/>
          <w:sz w:val="36"/>
          <w:szCs w:val="36"/>
          <w:highlight w:val="none"/>
        </w:rPr>
        <w:t xml:space="preserve">第三章 评标标准</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本项目采用综合评分法。对投标报价、技术和商务等情况进行综合评审，满分100分，将全部评委评分直接进行算术平均，小数点后保留2位。</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在满足招标文件要求的条件下，评标委员会根据评分细则进行评审，按得分由高到低的顺序推荐中标候选人。如果得分相同，按服务方案优劣顺序排列；如果服务方案评分再次相同，报价低者优先；服务方案评分、报价均相同的情况下，抽签确定。</w:t>
      </w:r>
      <w:r/>
    </w:p>
    <w:tbl>
      <w:tblPr>
        <w:tblStyle w:val="815"/>
        <w:tblW w:w="4997"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51"/>
        <w:gridCol w:w="1328"/>
        <w:gridCol w:w="6164"/>
        <w:gridCol w:w="688"/>
      </w:tblGrid>
      <w:tr>
        <w:trPr>
          <w:jc w:val="center"/>
          <w:trHeight w:val="600"/>
          <w:tblHeader/>
        </w:trPr>
        <w:tc>
          <w:tcPr>
            <w:tcBorders>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bCs/>
                <w:i w:val="0"/>
                <w:iCs w:val="0"/>
                <w:smallCaps w:val="0"/>
                <w:color w:val="auto"/>
                <w:sz w:val="21"/>
                <w:szCs w:val="21"/>
                <w:highlight w:val="none"/>
              </w:rPr>
              <w:t xml:space="preserve">序号</w:t>
            </w:r>
            <w:r/>
          </w:p>
        </w:tc>
        <w:tc>
          <w:tcPr>
            <w:tcBorders>
              <w:left w:val="single" w:color="000000" w:sz="6" w:space="0"/>
              <w:bottom w:val="single" w:color="000000" w:sz="6" w:space="0"/>
              <w:right w:val="single" w:color="000000" w:sz="6" w:space="0"/>
            </w:tcBorders>
            <w:tcMar>
              <w:left w:w="8" w:type="dxa"/>
              <w:top w:w="8" w:type="dxa"/>
              <w:right w:w="8" w:type="dxa"/>
              <w:bottom w:w="8" w:type="dxa"/>
            </w:tcMar>
            <w:tcW w:w="735"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bCs/>
                <w:i w:val="0"/>
                <w:iCs w:val="0"/>
                <w:smallCaps w:val="0"/>
                <w:color w:val="auto"/>
                <w:sz w:val="21"/>
                <w:szCs w:val="21"/>
                <w:highlight w:val="none"/>
              </w:rPr>
              <w:t xml:space="preserve">评审因素</w:t>
            </w:r>
            <w:r/>
          </w:p>
        </w:tc>
        <w:tc>
          <w:tcPr>
            <w:tcBorders>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bCs/>
                <w:i w:val="0"/>
                <w:iCs w:val="0"/>
                <w:smallCaps w:val="0"/>
                <w:color w:val="auto"/>
                <w:sz w:val="21"/>
                <w:szCs w:val="21"/>
                <w:highlight w:val="none"/>
              </w:rPr>
              <w:t xml:space="preserve">评审细则</w:t>
            </w:r>
            <w:r/>
          </w:p>
        </w:tc>
        <w:tc>
          <w:tcPr>
            <w:tcBorders>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bCs/>
                <w:i w:val="0"/>
                <w:iCs w:val="0"/>
                <w:smallCaps w:val="0"/>
                <w:color w:val="auto"/>
                <w:sz w:val="21"/>
                <w:szCs w:val="21"/>
                <w:highlight w:val="none"/>
              </w:rPr>
              <w:t xml:space="preserve">分值</w:t>
            </w:r>
            <w:r/>
          </w:p>
        </w:tc>
      </w:tr>
      <w:tr>
        <w:trPr>
          <w:jc w:val="center"/>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35"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价格分采用低价优先法计算，即满足招标文件要求且投标价格最低的投标报价为评标基准价，其价格分为满分。其他投标人的价格分统一按照下列公式计算：投标报价得分=(评标基准价／投标报价)×15（小数点保留两位）</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15分</w:t>
            </w:r>
            <w:r/>
          </w:p>
        </w:tc>
      </w:tr>
      <w:tr>
        <w:trPr>
          <w:jc w:val="center"/>
          <w:trHeight w:val="3470"/>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vMerge w:val="restart"/>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35" w:type="pct"/>
            <w:vAlign w:val="center"/>
            <w:vMerge w:val="restart"/>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人员配备</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本项目拟配导医经理资质：（注：在本项目采购合同期限内实际配置的导医经理与本项目拟配导医经理一致。）</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1、本项目拟配导医经理具有三年及以上导医项目管理经验的得3分（提供合同复印件并加盖投标人公章（合同中需反应项目相关信息及项目负责人姓名。如合同中未载明人员姓名的，需提供由服务采购单位（委托人）出具的书面证明材料并加盖服务采购单位（委托人）公章予以佐证）。</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2、本项目拟配导医经理具有三级（含）以上企业人力资源管理师证书的，得3分（提供人社部门颁发的职业资格证书复印件并加盖投标人公章）。</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bCs/>
                <w:i w:val="0"/>
                <w:iCs w:val="0"/>
                <w:smallCaps w:val="0"/>
                <w:color w:val="auto"/>
                <w:sz w:val="21"/>
                <w:szCs w:val="21"/>
                <w:highlight w:val="none"/>
              </w:rPr>
              <w:t xml:space="preserve">提供投标单位为导医经理缴纳的（</w:t>
            </w:r>
            <w:r>
              <w:rPr>
                <w:rFonts w:hint="eastAsia" w:asciiTheme="minorEastAsia" w:hAnsiTheme="minorEastAsia" w:eastAsiaTheme="minorEastAsia" w:cstheme="minorEastAsia"/>
                <w:b/>
                <w:bCs/>
                <w:i w:val="0"/>
                <w:iCs w:val="0"/>
                <w:smallCaps w:val="0"/>
                <w:color w:val="auto"/>
                <w:sz w:val="21"/>
                <w:szCs w:val="21"/>
                <w:highlight w:val="none"/>
                <w:lang w:eastAsia="zh-CN"/>
              </w:rPr>
              <w:t xml:space="preserve">2026年2月-2026年7月</w:t>
            </w:r>
            <w:r>
              <w:rPr>
                <w:rFonts w:hint="eastAsia" w:asciiTheme="minorEastAsia" w:hAnsiTheme="minorEastAsia" w:eastAsiaTheme="minorEastAsia" w:cstheme="minorEastAsia"/>
                <w:b/>
                <w:bCs/>
                <w:i w:val="0"/>
                <w:iCs w:val="0"/>
                <w:smallCaps w:val="0"/>
                <w:color w:val="auto"/>
                <w:sz w:val="21"/>
                <w:szCs w:val="21"/>
                <w:highlight w:val="none"/>
              </w:rPr>
              <w:t xml:space="preserve">内任意一月社保证明并加盖投标人公章，原件备查），以上证明材料未提供或提供不全均不得分。</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6分</w:t>
            </w:r>
            <w:r/>
          </w:p>
        </w:tc>
      </w:tr>
      <w:tr>
        <w:trPr>
          <w:jc w:val="center"/>
          <w:trHeight w:val="1409"/>
        </w:trPr>
        <w:tc>
          <w:tcPr>
            <w:tcBorders>
              <w:top w:val="single" w:color="000000" w:sz="6" w:space="0"/>
              <w:bottom w:val="single" w:color="000000" w:sz="6" w:space="0"/>
              <w:right w:val="single" w:color="000000" w:sz="6" w:space="0"/>
            </w:tcBorders>
            <w:tcW w:w="471" w:type="pct"/>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735" w:type="pct"/>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投标人本项目拟配置导医人员资质加分规则如下：（注：在本项目采购合同期限内实际配置的引导员应包括本项目拟配导医人员。）</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具备3年及以上本项目相关从业经历的，有一人得1分，本项满分5分。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持有急救培训相关证书的，有一人得1分，本项满分5分。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注：从业经验需提供合同复印件并加盖投标人公章（合同中需反应项目相关信息及导医人员姓名。如合同中未载明人员姓名的，需提供由服务采购单位（委托人）出具的书面证明材料并加盖服务采购单位（委托人）公章予以佐证）；急救培训证书需提供相关证书复印件；供应商须承诺本条评分项人员为实际投入本项目人员(提供承诺书并加盖公章)。</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10分</w:t>
            </w:r>
            <w:r/>
          </w:p>
        </w:tc>
      </w:tr>
      <w:tr>
        <w:trPr>
          <w:jc w:val="center"/>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35"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辅助管理系统</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投标人具有支持本项目的信息管理系统、培训管理系统、督导管理系统、人事管理系统、医患满意度系统，每具有一个系统得1分，本项最高5分。（提供系统可操作界面截图及系统软件的购买凭证发票或提供软件著作权证书，以上证明材料未提供或提供不全均不得分）。 </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5分</w:t>
            </w:r>
            <w:r/>
          </w:p>
        </w:tc>
      </w:tr>
      <w:tr>
        <w:trPr>
          <w:jc w:val="center"/>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4.1</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35" w:type="pct"/>
            <w:vAlign w:val="center"/>
            <w:vMerge w:val="restart"/>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类似业绩</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投标人自2023年1月1日-投标截止时间前承担过类似项目的，提供一个得2分，最多得10分。提供合同复印件并加盖投标人公章（以合同签订时间为准,合同中应清晰反映出相关信息：合同双方信息、服务内容、签订时间盖章页等重要的相关信息。同一单位业绩不重复得分）。</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10分</w:t>
            </w:r>
            <w:r/>
          </w:p>
        </w:tc>
      </w:tr>
      <w:tr>
        <w:trPr>
          <w:jc w:val="center"/>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4.2</w:t>
            </w:r>
            <w:r/>
          </w:p>
        </w:tc>
        <w:tc>
          <w:tcPr>
            <w:tcBorders>
              <w:top w:val="single" w:color="000000" w:sz="6" w:space="0"/>
              <w:left w:val="single" w:color="000000" w:sz="6" w:space="0"/>
              <w:bottom w:val="single" w:color="000000" w:sz="6" w:space="0"/>
              <w:right w:val="single" w:color="000000" w:sz="6" w:space="0"/>
            </w:tcBorders>
            <w:tcW w:w="735" w:type="pct"/>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以上业绩中，具有合同方（甲方）或合同方主管部门开具的优秀评价证明的，每个得2分，本项最多得10分。（提供项目合同方（甲方）联系人、联系电话及合同方（甲方）或合同方主管部门盖章的证明材料复印件并加盖投标人公章，原件备查。同一单位优秀评价证明不重复得分)。</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10分</w:t>
            </w:r>
            <w:r/>
          </w:p>
        </w:tc>
      </w:tr>
      <w:tr>
        <w:trPr>
          <w:jc w:val="center"/>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5.1</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735" w:type="pct"/>
            <w:vAlign w:val="center"/>
            <w:vMerge w:val="restart"/>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服务方案</w:t>
            </w:r>
            <w:r/>
          </w:p>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 </w:t>
            </w:r>
            <w:r/>
          </w:p>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 </w:t>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投标人根据文件需求，针对本项目实际情况提供项目整体服务设想，内容包括但不限于管理服务目标、特色与亮点，服务理念及管理服务定位方案。</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制定的实施目标全面合理有效，具有详细的实施方案，内容科学适宜，得7分；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制定的实施目标较全面，方案尚可、内容不够详细，得5分；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制定的实施目标合理性欠佳，实施目标内容不够详实，得3分；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制定的实施目标合理性差，不具有执行有效性得1分；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未提供得0分。</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7分</w:t>
            </w:r>
            <w:r/>
          </w:p>
        </w:tc>
      </w:tr>
      <w:tr>
        <w:trPr>
          <w:jc w:val="center"/>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5.2</w:t>
            </w:r>
            <w:r/>
          </w:p>
        </w:tc>
        <w:tc>
          <w:tcPr>
            <w:tcBorders>
              <w:top w:val="single" w:color="000000" w:sz="6" w:space="0"/>
              <w:left w:val="single" w:color="000000" w:sz="6" w:space="0"/>
              <w:bottom w:val="single" w:color="000000" w:sz="6" w:space="0"/>
              <w:right w:val="single" w:color="000000" w:sz="6" w:space="0"/>
            </w:tcBorders>
            <w:tcW w:w="735" w:type="pct"/>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投标人根据文件需求，针对本项目实际情况提供项目管理方案，内容包括但不限于项目负责人的情况介绍、管理理念和方法、组织管理、人力资源管理、绩效和激励、日常运营和现场管理、质量监控与管理。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制定的管理方案全面合理有效，内容科学适宜，得7分；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制定的管理方案较全面，内容不够详细，得5分；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制定的管理方案合理性欠佳，内容不够详实，得3分；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制定的实施目标合理性差，不具有执行有效性得1分；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未提供得0分。</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7分</w:t>
            </w:r>
            <w:r/>
          </w:p>
        </w:tc>
      </w:tr>
      <w:tr>
        <w:trPr>
          <w:jc w:val="center"/>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5.3</w:t>
            </w:r>
            <w:r/>
          </w:p>
        </w:tc>
        <w:tc>
          <w:tcPr>
            <w:tcBorders>
              <w:top w:val="single" w:color="000000" w:sz="6" w:space="0"/>
              <w:left w:val="single" w:color="000000" w:sz="6" w:space="0"/>
              <w:bottom w:val="single" w:color="000000" w:sz="6" w:space="0"/>
              <w:right w:val="single" w:color="000000" w:sz="6" w:space="0"/>
            </w:tcBorders>
            <w:tcW w:w="735" w:type="pct"/>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投标人根据文件需求，针对本项目实际情况制定完善的培训方案，培训内容包含但不限于企业文化、人力资源、沟通技巧、形象礼仪、消防知识、心肺复苏等，并明确培训计划、频次、考核方式与保障措施。</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培训方案全面合理、内容科学适宜，得7分；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方案较全面，培训内容或管理措施不够详细，得5分；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方案合理性欠佳，培训与管理内容不够详实，得3分；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实施目标不明确，培训与管理措施不具备执行有效性，得1分；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未提供得0分。</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7分</w:t>
            </w:r>
            <w:r/>
          </w:p>
        </w:tc>
      </w:tr>
      <w:tr>
        <w:trPr>
          <w:jc w:val="center"/>
          <w:trHeight w:val="2612"/>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5.4</w:t>
            </w:r>
            <w:r/>
          </w:p>
        </w:tc>
        <w:tc>
          <w:tcPr>
            <w:tcBorders>
              <w:top w:val="single" w:color="000000" w:sz="6" w:space="0"/>
              <w:left w:val="single" w:color="000000" w:sz="6" w:space="0"/>
              <w:bottom w:val="single" w:color="000000" w:sz="6" w:space="0"/>
              <w:right w:val="single" w:color="000000" w:sz="6" w:space="0"/>
            </w:tcBorders>
            <w:tcW w:w="735" w:type="pct"/>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投标人应针对本项目建立完善的考核方案，内容包括但不限于考核目的、考核周期、考核方法、考核指标及结果应用。</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内容全面合理、详细具体，符合实际情况且具有可行性，得6分；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内容较为简要，针对性一般，基本符合实际情况，得4分；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内容简单，针对性不足，可行性一般，得2分；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无针对性，偏离实际情况，可行性差，得1分；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未提供得0分。</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6分</w:t>
            </w:r>
            <w:r/>
          </w:p>
        </w:tc>
      </w:tr>
      <w:tr>
        <w:trPr>
          <w:jc w:val="center"/>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5.5</w:t>
            </w:r>
            <w:r/>
          </w:p>
        </w:tc>
        <w:tc>
          <w:tcPr>
            <w:tcBorders>
              <w:top w:val="single" w:color="000000" w:sz="6" w:space="0"/>
              <w:left w:val="single" w:color="000000" w:sz="6" w:space="0"/>
              <w:bottom w:val="single" w:color="000000" w:sz="6" w:space="0"/>
              <w:right w:val="single" w:color="000000" w:sz="6" w:space="0"/>
            </w:tcBorders>
            <w:tcW w:w="735" w:type="pct"/>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投标人针对本项目实际情况提供项目突发状况的处理预案、应急措施等。内容包括但不限于重大抢救急救预案、火灾火险应急预案、治安事件应急预案、停水停电应急预案、公共设施故障应急预案、信息系统故障应急预案、医患投诉预案、应急防控预案。</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应急处置预案详细完整、针对性强、合理可行，得7分；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应急处置预案科学合理、内容完整，具有可操作性，得5分；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应急处置预案完整性、合理性及可行性一般，得3分；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仅提及应急相关内容，预案不完整、针对性差，得1分；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未提供得0分。</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7分</w:t>
            </w:r>
            <w:r/>
          </w:p>
        </w:tc>
      </w:tr>
      <w:tr>
        <w:trPr>
          <w:jc w:val="center"/>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5.6</w:t>
            </w:r>
            <w:r/>
          </w:p>
        </w:tc>
        <w:tc>
          <w:tcPr>
            <w:tcBorders>
              <w:top w:val="single" w:color="000000" w:sz="6" w:space="0"/>
              <w:left w:val="single" w:color="000000" w:sz="6" w:space="0"/>
              <w:bottom w:val="single" w:color="000000" w:sz="6" w:space="0"/>
              <w:right w:val="single" w:color="000000" w:sz="6" w:space="0"/>
            </w:tcBorders>
            <w:tcW w:w="735" w:type="pct"/>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为提供标准化的服务，投标人应提供导医服务手册，从服务总则、形象规范、行为规范、工作时间与休假、绩效管理体系等方面进行全面说明。</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内容全面科学合理有效得6分；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合理性欠佳，不够详实得3分；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合理性差，不具有执行性得1分；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未提供得0分。</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6分</w:t>
            </w:r>
            <w:r/>
          </w:p>
        </w:tc>
      </w:tr>
      <w:tr>
        <w:trPr>
          <w:jc w:val="center"/>
        </w:trPr>
        <w:tc>
          <w:tcPr>
            <w:tcBorders>
              <w:top w:val="single" w:color="000000" w:sz="6" w:space="0"/>
              <w:bottom w:val="single" w:color="000000" w:sz="6" w:space="0"/>
              <w:right w:val="single" w:color="000000" w:sz="6" w:space="0"/>
            </w:tcBorders>
            <w:tcMar>
              <w:left w:w="8" w:type="dxa"/>
              <w:top w:w="8" w:type="dxa"/>
              <w:right w:w="8" w:type="dxa"/>
              <w:bottom w:w="8" w:type="dxa"/>
            </w:tcMar>
            <w:tcW w:w="47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5.7</w:t>
            </w:r>
            <w:r/>
          </w:p>
        </w:tc>
        <w:tc>
          <w:tcPr>
            <w:tcBorders>
              <w:top w:val="single" w:color="000000" w:sz="6" w:space="0"/>
              <w:left w:val="single" w:color="000000" w:sz="6" w:space="0"/>
              <w:bottom w:val="single" w:color="000000" w:sz="6" w:space="0"/>
              <w:right w:val="single" w:color="000000" w:sz="6" w:space="0"/>
            </w:tcBorders>
            <w:tcW w:w="735" w:type="pct"/>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8" w:type="dxa"/>
              <w:top w:w="8" w:type="dxa"/>
              <w:right w:w="8" w:type="dxa"/>
              <w:bottom w:w="8" w:type="dxa"/>
            </w:tcMar>
            <w:tcW w:w="3412" w:type="pct"/>
            <w:vAlign w:val="center"/>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投标人针对本项目实际情况提供项目员工对应的薪酬制度，包括但不限于薪酬体系设计，员工职业发展规划，员工职业上升通道。</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薪酬制度科学合理，实用性强，得4分；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薪酬制度较科学合理，实用性较好，得2分；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薪酬制度较科学合理，实用性一般，得1分；</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未提供得0分。</w:t>
            </w:r>
            <w:r/>
          </w:p>
        </w:tc>
        <w:tc>
          <w:tcPr>
            <w:tcBorders>
              <w:top w:val="single" w:color="000000" w:sz="6" w:space="0"/>
              <w:left w:val="single" w:color="000000" w:sz="6" w:space="0"/>
              <w:bottom w:val="single" w:color="000000" w:sz="6" w:space="0"/>
            </w:tcBorders>
            <w:tcMar>
              <w:left w:w="8" w:type="dxa"/>
              <w:top w:w="8" w:type="dxa"/>
              <w:right w:w="8" w:type="dxa"/>
              <w:bottom w:w="8" w:type="dxa"/>
            </w:tcMar>
            <w:tcW w:w="381" w:type="pct"/>
            <w:vAlign w:val="center"/>
            <w:textDirection w:val="lrTb"/>
            <w:noWrap w:val="false"/>
          </w:tcPr>
          <w:p>
            <w:pPr>
              <w:jc w:val="center"/>
              <w:spacing w:before="0" w:after="0" w:line="360" w:lineRule="auto"/>
              <w:rPr>
                <w:rFonts w:hint="eastAsia" w:asciiTheme="minorEastAsia" w:hAnsiTheme="minorEastAsia" w:eastAsiaTheme="minorEastAsia" w:cstheme="minorEastAsia"/>
                <w:b w:val="0"/>
                <w:bCs w:val="0"/>
                <w:i w:val="0"/>
                <w:iCs w:val="0"/>
                <w:smallCaps w:val="0"/>
                <w:color w:val="auto"/>
                <w:sz w:val="21"/>
                <w:szCs w:val="21"/>
                <w:highlight w:val="none"/>
              </w:rPr>
            </w:pPr>
            <w:r>
              <w:rPr>
                <w:rFonts w:hint="eastAsia" w:asciiTheme="minorEastAsia" w:hAnsiTheme="minorEastAsia" w:eastAsiaTheme="minorEastAsia" w:cstheme="minorEastAsia"/>
                <w:b w:val="0"/>
                <w:bCs w:val="0"/>
                <w:i w:val="0"/>
                <w:iCs w:val="0"/>
                <w:smallCaps w:val="0"/>
                <w:color w:val="auto"/>
                <w:sz w:val="21"/>
                <w:szCs w:val="21"/>
                <w:highlight w:val="none"/>
              </w:rPr>
              <w:t xml:space="preserve">4分</w:t>
            </w:r>
            <w:r/>
          </w:p>
        </w:tc>
      </w:tr>
    </w:tbl>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注意事项：</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1.评分办法中所涉及的相关各种资格、资质、证书、证明、业绩合同等材料在投标文件中提供复印件（加盖投标人公章），复印件不清晰时提供原件备查，以供评标委员会评标核实。</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2.为便于评分，请投标供应商按评分表样式，逐条列出证明材料所在页码，格式自定。</w:t>
      </w:r>
      <w:r/>
    </w:p>
    <w:p>
      <w:pPr>
        <w:jc w:val="left"/>
        <w:spacing w:before="0" w:after="0"/>
        <w:widowControl w:val="off"/>
        <w:rPr>
          <w:rFonts w:ascii="Times New Roman" w:hAnsi="Times New Roman" w:eastAsia="Times New Roman" w:cs="Times New Roman"/>
          <w:sz w:val="36"/>
          <w:szCs w:val="36"/>
          <w:highlight w:val="none"/>
        </w:rPr>
      </w:pPr>
      <w:r>
        <w:rPr>
          <w:rFonts w:ascii="Times New Roman" w:hAnsi="Times New Roman" w:eastAsia="Times New Roman" w:cs="Times New Roman"/>
          <w:sz w:val="36"/>
          <w:szCs w:val="36"/>
          <w:highlight w:val="none"/>
        </w:rPr>
        <w:t xml:space="preserve"> </w:t>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Times New Roman" w:hAnsi="Times New Roman" w:eastAsia="Times New Roman" w:cs="Times New Roman"/>
          <w:sz w:val="36"/>
          <w:szCs w:val="36"/>
          <w:highlight w:val="none"/>
        </w:rPr>
      </w:pPr>
      <w:r>
        <w:rPr>
          <w:rFonts w:ascii="黑体" w:hAnsi="黑体" w:eastAsia="黑体" w:cs="黑体"/>
          <w:sz w:val="36"/>
          <w:szCs w:val="36"/>
          <w:highlight w:val="none"/>
        </w:rPr>
        <w:br w:type="page" w:clear="all"/>
      </w:r>
      <w:r>
        <w:rPr>
          <w:rFonts w:ascii="黑体" w:hAnsi="黑体" w:eastAsia="黑体" w:cs="黑体"/>
          <w:sz w:val="36"/>
          <w:szCs w:val="36"/>
          <w:highlight w:val="none"/>
        </w:rPr>
        <w:t xml:space="preserve">第四章 服务要求</w:t>
      </w:r>
      <w:r/>
    </w:p>
    <w:p>
      <w:pPr>
        <w:ind w:firstLine="420"/>
        <w:jc w:val="left"/>
        <w:spacing w:before="0" w:after="0"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★一、服务具体要求（以下要求均为实质性要求，投标人须逐条响应，否则作无效投标处理）</w:t>
      </w:r>
      <w:r/>
    </w:p>
    <w:p>
      <w:pPr>
        <w:ind w:firstLine="420"/>
        <w:jc w:val="left"/>
        <w:spacing w:before="0" w:after="0"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（一）岗位类别、数量</w:t>
      </w:r>
      <w:r/>
    </w:p>
    <w:tbl>
      <w:tblPr>
        <w:tblStyle w:val="815"/>
        <w:tblW w:w="474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19"/>
        <w:gridCol w:w="1906"/>
        <w:gridCol w:w="1362"/>
        <w:gridCol w:w="1313"/>
        <w:gridCol w:w="2772"/>
      </w:tblGrid>
      <w:tr>
        <w:trPr>
          <w:jc w:val="center"/>
          <w:trHeight w:val="514"/>
        </w:trPr>
        <w:tc>
          <w:tcPr>
            <w:tcBorders>
              <w:bottom w:val="single" w:color="000000" w:sz="6" w:space="0"/>
              <w:right w:val="single" w:color="000000" w:sz="6" w:space="0"/>
            </w:tcBorders>
            <w:tcMar>
              <w:left w:w="108" w:type="dxa"/>
              <w:top w:w="8" w:type="dxa"/>
              <w:right w:w="108" w:type="dxa"/>
              <w:bottom w:w="8" w:type="dxa"/>
            </w:tcMar>
            <w:tcW w:w="1419"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bCs/>
                <w:i w:val="0"/>
                <w:iCs w:val="0"/>
                <w:smallCaps w:val="0"/>
                <w:color w:val="000000"/>
                <w:sz w:val="21"/>
                <w:szCs w:val="21"/>
                <w:highlight w:val="none"/>
              </w:rPr>
              <w:t xml:space="preserve">地点</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906"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bCs/>
                <w:i w:val="0"/>
                <w:iCs w:val="0"/>
                <w:smallCaps w:val="0"/>
                <w:color w:val="000000"/>
                <w:sz w:val="21"/>
                <w:szCs w:val="21"/>
                <w:highlight w:val="none"/>
              </w:rPr>
              <w:t xml:space="preserve">岗位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362"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bCs/>
                <w:i w:val="0"/>
                <w:iCs w:val="0"/>
                <w:smallCaps w:val="0"/>
                <w:color w:val="000000"/>
                <w:sz w:val="21"/>
                <w:szCs w:val="21"/>
                <w:highlight w:val="none"/>
              </w:rPr>
              <w:t xml:space="preserve">上班时间</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313"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bCs/>
                <w:i w:val="0"/>
                <w:iCs w:val="0"/>
                <w:smallCaps w:val="0"/>
                <w:color w:val="000000"/>
                <w:sz w:val="21"/>
                <w:szCs w:val="21"/>
                <w:highlight w:val="none"/>
              </w:rPr>
              <w:t xml:space="preserve">岗位人数</w:t>
            </w:r>
            <w:r/>
          </w:p>
        </w:tc>
        <w:tc>
          <w:tcPr>
            <w:tcBorders>
              <w:left w:val="single" w:color="000000" w:sz="6" w:space="0"/>
              <w:bottom w:val="single" w:color="000000" w:sz="6" w:space="0"/>
            </w:tcBorders>
            <w:tcMar>
              <w:left w:w="108" w:type="dxa"/>
              <w:top w:w="8" w:type="dxa"/>
              <w:right w:w="108" w:type="dxa"/>
              <w:bottom w:w="8" w:type="dxa"/>
            </w:tcMar>
            <w:tcW w:w="2772"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bCs/>
                <w:i w:val="0"/>
                <w:iCs w:val="0"/>
                <w:smallCaps w:val="0"/>
                <w:color w:val="000000"/>
                <w:sz w:val="21"/>
                <w:szCs w:val="21"/>
                <w:highlight w:val="none"/>
              </w:rPr>
              <w:t xml:space="preserve">备注</w:t>
            </w:r>
            <w:r/>
          </w:p>
        </w:tc>
      </w:tr>
      <w:tr>
        <w:trPr>
          <w:jc w:val="center"/>
          <w:trHeight w:val="590" w:hRule="exact"/>
        </w:trPr>
        <w:tc>
          <w:tcPr>
            <w:tcBorders>
              <w:top w:val="single" w:color="000000" w:sz="6" w:space="0"/>
              <w:right w:val="single" w:color="000000" w:sz="6" w:space="0"/>
            </w:tcBorders>
            <w:tcMar>
              <w:left w:w="108" w:type="dxa"/>
              <w:top w:w="8" w:type="dxa"/>
              <w:right w:w="108" w:type="dxa"/>
              <w:bottom w:w="5" w:type="dxa"/>
            </w:tcMar>
            <w:tcW w:w="1419" w:type="dxa"/>
            <w:vAlign w:val="center"/>
            <w:vMerge w:val="restart"/>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门诊一楼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06"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咨询岗</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62" w:type="dxa"/>
            <w:vAlign w:val="center"/>
            <w:vMerge w:val="restart"/>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按排班上岗</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13" w:type="dxa"/>
            <w:vAlign w:val="center"/>
            <w:vMerge w:val="restart"/>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15（含导医经理1人）</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2772" w:type="dxa"/>
            <w:vAlign w:val="center"/>
            <w:vMerge w:val="restart"/>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每周工作40个小时，具体时间段根据医院要求安排</w:t>
            </w:r>
            <w:r/>
          </w:p>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（目前门诊每周开诊6天）</w:t>
            </w:r>
            <w:r/>
          </w:p>
        </w:tc>
      </w:tr>
      <w:tr>
        <w:trPr>
          <w:jc w:val="center"/>
          <w:trHeight w:val="571" w:hRule="exact"/>
        </w:trPr>
        <w:tc>
          <w:tcPr>
            <w:tcBorders>
              <w:top w:val="single" w:color="000000" w:sz="6" w:space="0"/>
              <w:right w:val="single" w:color="000000" w:sz="6" w:space="0"/>
            </w:tcBorders>
            <w:tcW w:w="1419"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06"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自助设备推广岗</w:t>
            </w:r>
            <w:r/>
          </w:p>
        </w:tc>
        <w:tc>
          <w:tcPr>
            <w:tcBorders>
              <w:top w:val="single" w:color="000000" w:sz="6" w:space="0"/>
              <w:left w:val="single" w:color="000000" w:sz="6" w:space="0"/>
              <w:bottom w:val="single" w:color="000000" w:sz="6" w:space="0"/>
              <w:right w:val="single" w:color="000000" w:sz="6" w:space="0"/>
            </w:tcBorders>
            <w:tcW w:w="136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313"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W w:w="277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r>
      <w:tr>
        <w:trPr>
          <w:jc w:val="center"/>
          <w:trHeight w:val="590" w:hRule="exact"/>
        </w:trPr>
        <w:tc>
          <w:tcPr>
            <w:tcBorders>
              <w:top w:val="single" w:color="000000" w:sz="6" w:space="0"/>
              <w:right w:val="single" w:color="000000" w:sz="6" w:space="0"/>
            </w:tcBorders>
            <w:tcW w:w="1419"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06"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导医服务岗</w:t>
            </w:r>
            <w:r/>
          </w:p>
        </w:tc>
        <w:tc>
          <w:tcPr>
            <w:tcBorders>
              <w:top w:val="single" w:color="000000" w:sz="6" w:space="0"/>
              <w:left w:val="single" w:color="000000" w:sz="6" w:space="0"/>
              <w:bottom w:val="single" w:color="000000" w:sz="6" w:space="0"/>
              <w:right w:val="single" w:color="000000" w:sz="6" w:space="0"/>
            </w:tcBorders>
            <w:tcW w:w="136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313"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W w:w="277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r>
      <w:tr>
        <w:trPr>
          <w:jc w:val="center"/>
          <w:trHeight w:val="590"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19"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门诊二楼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06"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导医服务岗</w:t>
            </w:r>
            <w:r/>
          </w:p>
        </w:tc>
        <w:tc>
          <w:tcPr>
            <w:tcBorders>
              <w:top w:val="single" w:color="000000" w:sz="6" w:space="0"/>
              <w:left w:val="single" w:color="000000" w:sz="6" w:space="0"/>
              <w:bottom w:val="single" w:color="000000" w:sz="6" w:space="0"/>
              <w:right w:val="single" w:color="000000" w:sz="6" w:space="0"/>
            </w:tcBorders>
            <w:tcW w:w="136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313"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W w:w="277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r>
      <w:tr>
        <w:trPr>
          <w:jc w:val="center"/>
          <w:trHeight w:val="590"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19"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门诊三楼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06"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导医服务岗</w:t>
            </w:r>
            <w:r/>
          </w:p>
        </w:tc>
        <w:tc>
          <w:tcPr>
            <w:tcBorders>
              <w:top w:val="single" w:color="000000" w:sz="6" w:space="0"/>
              <w:left w:val="single" w:color="000000" w:sz="6" w:space="0"/>
              <w:bottom w:val="single" w:color="000000" w:sz="6" w:space="0"/>
              <w:right w:val="single" w:color="000000" w:sz="6" w:space="0"/>
            </w:tcBorders>
            <w:tcW w:w="136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313"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W w:w="277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r>
      <w:tr>
        <w:trPr>
          <w:jc w:val="center"/>
          <w:trHeight w:val="590"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19"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门诊四楼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06"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导医服务岗</w:t>
            </w:r>
            <w:r/>
          </w:p>
        </w:tc>
        <w:tc>
          <w:tcPr>
            <w:tcBorders>
              <w:top w:val="single" w:color="000000" w:sz="6" w:space="0"/>
              <w:left w:val="single" w:color="000000" w:sz="6" w:space="0"/>
              <w:bottom w:val="single" w:color="000000" w:sz="6" w:space="0"/>
              <w:right w:val="single" w:color="000000" w:sz="6" w:space="0"/>
            </w:tcBorders>
            <w:tcW w:w="136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313"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W w:w="277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r>
      <w:tr>
        <w:trPr>
          <w:jc w:val="center"/>
          <w:trHeight w:val="590"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19"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门诊五楼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06"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导医服务岗</w:t>
            </w:r>
            <w:r/>
          </w:p>
        </w:tc>
        <w:tc>
          <w:tcPr>
            <w:tcBorders>
              <w:top w:val="single" w:color="000000" w:sz="6" w:space="0"/>
              <w:left w:val="single" w:color="000000" w:sz="6" w:space="0"/>
              <w:bottom w:val="single" w:color="000000" w:sz="6" w:space="0"/>
              <w:right w:val="single" w:color="000000" w:sz="6" w:space="0"/>
            </w:tcBorders>
            <w:tcW w:w="136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313"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W w:w="277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r>
      <w:tr>
        <w:trPr>
          <w:jc w:val="center"/>
          <w:trHeight w:val="590" w:hRule="exact"/>
        </w:trPr>
        <w:tc>
          <w:tcPr>
            <w:tcBorders>
              <w:top w:val="single" w:color="000000" w:sz="6" w:space="0"/>
              <w:bottom w:val="single" w:color="000000" w:sz="6" w:space="0"/>
              <w:right w:val="single" w:color="000000" w:sz="6" w:space="0"/>
            </w:tcBorders>
            <w:tcMar>
              <w:left w:w="108" w:type="dxa"/>
              <w:top w:w="8" w:type="dxa"/>
              <w:right w:w="108" w:type="dxa"/>
              <w:bottom w:w="8" w:type="dxa"/>
            </w:tcMar>
            <w:tcW w:w="1419"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门诊六楼</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06"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导医服务岗</w:t>
            </w:r>
            <w:r/>
          </w:p>
        </w:tc>
        <w:tc>
          <w:tcPr>
            <w:tcBorders>
              <w:top w:val="single" w:color="000000" w:sz="6" w:space="0"/>
              <w:left w:val="single" w:color="000000" w:sz="6" w:space="0"/>
              <w:bottom w:val="single" w:color="000000" w:sz="6" w:space="0"/>
              <w:right w:val="single" w:color="000000" w:sz="6" w:space="0"/>
            </w:tcBorders>
            <w:tcW w:w="136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313"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W w:w="277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r>
      <w:tr>
        <w:trPr>
          <w:jc w:val="center"/>
          <w:trHeight w:val="590" w:hRule="exact"/>
        </w:trPr>
        <w:tc>
          <w:tcPr>
            <w:gridSpan w:val="2"/>
            <w:tcBorders>
              <w:top w:val="single" w:color="000000" w:sz="6" w:space="0"/>
              <w:right w:val="single" w:color="000000" w:sz="6" w:space="0"/>
            </w:tcBorders>
            <w:tcMar>
              <w:left w:w="108" w:type="dxa"/>
              <w:top w:w="8" w:type="dxa"/>
              <w:right w:w="108" w:type="dxa"/>
              <w:bottom w:w="8" w:type="dxa"/>
            </w:tcMar>
            <w:tcW w:w="3325" w:type="dxa"/>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t xml:space="preserve">导医经理</w:t>
            </w:r>
            <w:r/>
          </w:p>
        </w:tc>
        <w:tc>
          <w:tcPr>
            <w:tcBorders>
              <w:top w:val="single" w:color="000000" w:sz="6" w:space="0"/>
              <w:left w:val="single" w:color="000000" w:sz="6" w:space="0"/>
              <w:bottom w:val="single" w:color="000000" w:sz="6" w:space="0"/>
              <w:right w:val="single" w:color="000000" w:sz="6" w:space="0"/>
            </w:tcBorders>
            <w:tcW w:w="136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313"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W w:w="2772" w:type="dxa"/>
            <w:vAlign w:val="center"/>
            <w:vMerge w:val="continue"/>
            <w:textDirection w:val="lrTb"/>
            <w:noWrap w:val="false"/>
          </w:tcPr>
          <w:p>
            <w:pPr>
              <w:rPr>
                <w:rFonts w:hint="eastAsia" w:asciiTheme="minorEastAsia" w:hAnsiTheme="minorEastAsia" w:eastAsiaTheme="minorEastAsia" w:cstheme="minorEastAsia"/>
                <w:b w:val="0"/>
                <w:bCs w:val="0"/>
                <w:i w:val="0"/>
                <w:iCs w:val="0"/>
                <w:smallCaps w:val="0"/>
                <w:color w:val="000000"/>
                <w:sz w:val="21"/>
                <w:szCs w:val="21"/>
                <w:highlight w:val="none"/>
              </w:rPr>
            </w:pPr>
            <w:r>
              <w:rPr>
                <w:rFonts w:hint="eastAsia" w:asciiTheme="minorEastAsia" w:hAnsiTheme="minorEastAsia" w:eastAsiaTheme="minorEastAsia" w:cstheme="minorEastAsia"/>
                <w:b w:val="0"/>
                <w:bCs w:val="0"/>
                <w:i w:val="0"/>
                <w:iCs w:val="0"/>
                <w:smallCaps w:val="0"/>
                <w:color w:val="000000"/>
                <w:sz w:val="21"/>
                <w:szCs w:val="21"/>
                <w:highlight w:val="none"/>
              </w:rPr>
            </w:r>
            <w:r/>
          </w:p>
        </w:tc>
      </w:tr>
    </w:tbl>
    <w:p>
      <w:pPr>
        <w:ind w:firstLine="420"/>
        <w:jc w:val="left"/>
        <w:spacing w:before="0" w:after="0"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注：实际用人情况根据医院需求</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（二）</w:t>
      </w:r>
      <w:r>
        <w:rPr>
          <w:rFonts w:hint="eastAsia" w:asciiTheme="minorEastAsia" w:hAnsiTheme="minorEastAsia" w:eastAsiaTheme="minorEastAsia" w:cstheme="minorEastAsia"/>
          <w:b/>
          <w:bCs/>
          <w:sz w:val="21"/>
          <w:szCs w:val="21"/>
          <w:highlight w:val="none"/>
        </w:rPr>
        <w:t xml:space="preserve">导医服务要求</w:t>
      </w:r>
      <w:r/>
    </w:p>
    <w:p>
      <w:pPr>
        <w:pStyle w:val="816"/>
        <w:ind w:firstLine="422"/>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1.导医人员</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（1）人员年龄18-40周岁以内，160cm以上；</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（2）性格开朗，善于与人沟通；</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（3）学历要求大专及以上，医疗相关专业优先；</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（4）普通话标准，口齿清晰，熟练电脑操作；</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（5）身心健康、无传染病、无精神性疾病，必须持有健康证；</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（6）员工需统一着装上岗，配备工作牌；</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（7）配备的所有人员需作风正派，无犯罪记录、无失信记录。</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（8）上岗员工100%经过基础培训才能上岗；</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2.门诊导医服务要求</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（1）遵守法律法规和医院规章制度，服从工作安排，认真工作。</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（2）规范统一着装，做到仪表端庄，接待热情、态度和蔼、微笑服务。</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（3）准确热情地为患者提供导诊服务，指引至目标诊疗区域。</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（4）全面耐心地解答患者及家属关于就诊流程、科室分布、专家出诊信息等各类咨询。</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（5）负责接听门诊就诊咨询电话，做好记录与解答，定期汇总分析来电内容并上报。</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（6）维持各诊区良好就诊秩序，执行一医一患制度，保护患者隐私。</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（7）及时疏导候诊拥堵人群，防范安全风险，协助处理诊区突发事件。</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（8）主动识别并帮助老、弱、残及行动不便患者，协调安排优先就诊。遇突发情况及时联系医护人员，必要时协助转送至急诊。</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（9）积极指导并协助患者使用自助机、报告打印机、线上服务平台等智慧医疗设施。</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（10）合理引导患者使用自助设备，分流人工窗口排队压力，提升整体效率。</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（11）负责自助设备及其它门诊设施的日常巡检及故障报修，确保正常运行。</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（12）每日开诊前，检查诊区环境物品、设备运行及信息系统状态，确保正常开诊。</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（13）承担现场预约挂号、门诊患者信息登记等辅助工作。</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（14）做好与出诊医师的沟通联络，协助处理停替诊等临时变动，并及时告知患者。</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（15）认真落实各项便民措施，协助发放健康教育等材料。</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（16）协助开展患者满意度调查，收集并反馈患者意见与建议。</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（17）负责劝阻诊区内吸烟、大声喧哗等不文明行为，营造安静整洁的就诊环境。</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（18）高效完成上级主管交办的其它临时性工作任务。服从门诊工作统一调配，具备岗位协作与补位意识。</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3.导医经理</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（1）年龄45岁以内；</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（2）具有良好的沟通技巧及表达能力；</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（3）熟悉服务运营管理，具有较强的领导能力、组织能力、应变能力、协调能力，能独立处理突发状况；</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4.导医经理服务要求</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（1）负责每日导医的考勤排班等人力资源管理工作。</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（2）负责每日导医日常运营、现场管理以及质量监控与管理。</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（3）负责导医培训（每年不少于2场）、绩效考核、创新与标准化推进。</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负责日常工作数据上传到项目管理信息系统，并定期对项目的相关数据进行分析，持续改善日常管理（项目管理信息系统至少包括项目台账系统、人事管理系统等，并能与医院共享相关管理的数据与信息，方便医院及时掌握项目的运作情况）。</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（5）完成门诊部交代的医院其他管理工作并做合理安排。</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5.内控需求</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除现场导医岗位（含经理）外，中标人公司内部应配备独立的督查管理人员，定期对驻场工作人员进行内控督查并做好记录，督查包括导医经理在内的所有导医工作。因工作需要，中标人的督查管理人员需配合医院做好包括但不限于现场抽查、查看台账、员工访谈、问卷调查等工作。</w:t>
      </w:r>
      <w:r/>
    </w:p>
    <w:p>
      <w:pPr>
        <w:ind w:firstLine="422"/>
        <w:jc w:val="left"/>
        <w:keepLines w:val="0"/>
        <w:keepNext w:val="0"/>
        <w:pageBreakBefore w:val="0"/>
        <w:spacing w:before="0" w:after="0"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z w:val="21"/>
          <w:szCs w:val="21"/>
          <w:highlight w:val="none"/>
        </w:rPr>
        <w:t xml:space="preserve">（三）服务质量考核</w:t>
      </w:r>
      <w:r/>
    </w:p>
    <w:p>
      <w:pPr>
        <w:ind w:firstLine="420"/>
        <w:jc w:val="left"/>
        <w:keepLines w:val="0"/>
        <w:keepNext w:val="0"/>
        <w:pageBreakBefore w:val="0"/>
        <w:spacing w:before="0" w:after="0"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医院对供应商采用月度百分制考核。月度考核得分85分及以上为整体符合服务要求，85分以下的，每减1分扣款500元。特别约定：月度考核得分70以下的医院有权单方面解除协议而且不承担任何责任。在履约过程中，医院可根据工作要求变化和实际执行情况动态调整考核内容与标准，供应商应完全配合。</w:t>
      </w:r>
      <w:r/>
    </w:p>
    <w:p>
      <w:pPr>
        <w:ind w:firstLine="420"/>
        <w:jc w:val="left"/>
        <w:keepLines w:val="0"/>
        <w:keepNext w:val="0"/>
        <w:pageBreakBefore w:val="0"/>
        <w:spacing w:before="0" w:after="0"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医院对供应商服务人员采用月度百分制考核。供应商应协助医院完成对其服务人员的考核。如当月每发现1名未按考核标准落实的服务人员并经再次提醒（口头或者书面）仍不符合要求的，扣款20元/人。同时扣款供应商50元/人次。</w:t>
      </w:r>
      <w:r/>
    </w:p>
    <w:p>
      <w:pPr>
        <w:ind w:firstLine="420"/>
        <w:jc w:val="left"/>
        <w:keepLines w:val="0"/>
        <w:keepNext w:val="0"/>
        <w:pageBreakBefore w:val="0"/>
        <w:spacing w:before="0" w:after="0" w:line="360" w:lineRule="auto"/>
        <w:widowControl w:val="off"/>
        <w:rPr>
          <w:rFonts w:ascii="Times New Roman" w:hAnsi="Times New Roman" w:eastAsia="Times New Roman" w:cs="Times New Roman"/>
          <w:sz w:val="21"/>
          <w:szCs w:val="21"/>
          <w:highlight w:val="none"/>
        </w:rPr>
      </w:pPr>
      <w:r>
        <w:rPr>
          <w:rFonts w:hint="eastAsia" w:asciiTheme="minorEastAsia" w:hAnsiTheme="minorEastAsia" w:eastAsiaTheme="minorEastAsia" w:cstheme="minorEastAsia"/>
          <w:sz w:val="21"/>
          <w:szCs w:val="21"/>
          <w:highlight w:val="none"/>
        </w:rPr>
        <w:t xml:space="preserve">3.医院每月根据有效投诉情况对供应商进行考核，处罚标准如下：每发生一起投诉扣1000元。</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（四）其他要求</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中标供应商须在正式进场履约服务前，足额配齐符合要求的岗位人员，并提交人员的个人履历、符合本项目要求的培训证明等资料，经采购人核验备案合格后方可上岗履职，后期如有人员调整，新入职人员仍须取得上述条件并经采购人核验后方可上岗，如出现导医人员空岗，供应商应在15天内完成人员补齐并培训上岗，采购人认为不符合要求的员工或不符合招标文件要求的员工不得录用。</w:t>
      </w:r>
      <w:r>
        <w:rPr>
          <w:rFonts w:hint="eastAsia" w:asciiTheme="minorEastAsia" w:hAnsiTheme="minorEastAsia" w:eastAsiaTheme="minorEastAsia" w:cstheme="minorEastAsia"/>
          <w:b/>
          <w:bCs/>
          <w:sz w:val="21"/>
          <w:szCs w:val="21"/>
          <w:highlight w:val="none"/>
        </w:rPr>
        <w:t xml:space="preserve">（提供承诺书并加盖公章）</w:t>
      </w:r>
      <w:r/>
    </w:p>
    <w:p>
      <w:pPr>
        <w:pStyle w:val="816"/>
        <w:ind w:firstLine="4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投标人必须具备独立完成本项目的能力，了解项目情况及祥细需求。投标人应承担前期调研的责任和风险，投标人中标后，不得以不完全了解现场情况为理由而向采购人提出任何索赔的要求，对此采购人不承担任何责任并将不作任何答复与考虑。</w:t>
      </w:r>
      <w:r/>
    </w:p>
    <w:p>
      <w:pPr>
        <w:pStyle w:val="816"/>
        <w:ind w:firstLine="4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3.合同签订后中标人必须在30天内完成服务交接，提供合格人员现场服务。</w:t>
      </w:r>
      <w:r/>
    </w:p>
    <w:p>
      <w:pPr>
        <w:pStyle w:val="816"/>
        <w:ind w:firstLine="4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4.供应商每个月须将发放员工工资、福利和社保费用的情况提交医院审核，待遇合理，保证按时发放，不得迟发。</w:t>
      </w:r>
      <w:r/>
    </w:p>
    <w:p>
      <w:pPr>
        <w:pStyle w:val="816"/>
        <w:ind w:firstLine="4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5.供应商提供的员工工作服款式及颜色需要满足医院要求，费用包含在投标总价中。</w:t>
      </w:r>
      <w:r/>
    </w:p>
    <w:p>
      <w:pPr>
        <w:pStyle w:val="816"/>
        <w:ind w:firstLine="4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6.供应商必须保持导医服务人员队伍稳定，如发现实际人数与采购的岗位人数不符，或人员没有健康证，或健康证人证不符等情形，采购人有权要求供应商限期整改并从当月费用中扣除相应岗位人员的工资、社保与福利等。供应商拒绝整改或整改不到位的，视作供应商严重违约，采购人可单方面解除合同，并保留追偿损失的权利。</w:t>
      </w:r>
      <w:r/>
    </w:p>
    <w:p>
      <w:pPr>
        <w:pStyle w:val="816"/>
        <w:ind w:firstLine="420"/>
        <w:keepLines w:val="0"/>
        <w:keepNext w:val="0"/>
        <w:pageBreakBefore w:val="0"/>
        <w:spacing w:line="360" w:lineRule="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供应商工作人员的岗位职责、操作规范、人身安全、医疗、工资、各项保险、劳动工具、劳保用品、内部管理、发生各种意外事故及纠纷、用工人员投诉、仲裁、诉讼等事宜及所涉及经费和相关法律责任均由供应商自行负责。</w:t>
      </w:r>
      <w:r/>
    </w:p>
    <w:p>
      <w:pPr>
        <w:pStyle w:val="816"/>
        <w:ind w:firstLine="420"/>
        <w:keepLines w:val="0"/>
        <w:keepNext w:val="0"/>
        <w:pageBreakBefore w:val="0"/>
        <w:spacing w:line="360" w:lineRule="auto"/>
        <w:rPr>
          <w:rFonts w:ascii="Times New Roman" w:hAnsi="Times New Roman" w:eastAsia="Times New Roman" w:cs="Times New Roman"/>
          <w:highlight w:val="none"/>
        </w:rPr>
      </w:pPr>
      <w:r>
        <w:rPr>
          <w:rFonts w:hint="eastAsia" w:asciiTheme="minorEastAsia" w:hAnsiTheme="minorEastAsia" w:eastAsiaTheme="minorEastAsia" w:cstheme="minorEastAsia"/>
          <w:sz w:val="21"/>
          <w:szCs w:val="21"/>
          <w:highlight w:val="none"/>
        </w:rPr>
        <w:t xml:space="preserve">8.安全责任条款：供应商在为医院服务的合同期（协议期）内，应执行国家相关安全生产的法律、法规、行业规范和医院相关制度，并掌握医院的消防安全状况，自觉接受医院保卫处、总务处等相关部门的安全管理领导。供应商必须依法执行安全生产责任制度，采取有效措施，防止伤亡和其他安全生产事故的发生。如因供应商服务不当或违规操作而发生人身伤亡、经济损失或其他安全事故，均由供应商承担全部责任。</w:t>
      </w:r>
      <w:r/>
    </w:p>
    <w:p>
      <w:pPr>
        <w:ind w:firstLine="422"/>
        <w:jc w:val="left"/>
        <w:keepLines w:val="0"/>
        <w:keepNext w:val="0"/>
        <w:pageBreakBefore w:val="0"/>
        <w:spacing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二、商务要求</w:t>
      </w:r>
      <w:r/>
    </w:p>
    <w:p>
      <w:pPr>
        <w:ind w:firstLine="420"/>
        <w:jc w:val="left"/>
        <w:keepLines w:val="0"/>
        <w:keepNext w:val="0"/>
        <w:pageBreakBefore w:val="0"/>
        <w:spacing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1.服务期限（合同履行期限）：3年。合同每执行一个年度，医院有权对供应商进行考核，考核不合格的，医院有权终止合同；考核合格后，在医院补足下一年度的预算后，合同方可继续执行。</w:t>
      </w:r>
      <w:r/>
    </w:p>
    <w:p>
      <w:pPr>
        <w:ind w:firstLine="420"/>
        <w:jc w:val="left"/>
        <w:keepLines w:val="0"/>
        <w:keepNext w:val="0"/>
        <w:pageBreakBefore w:val="0"/>
        <w:spacing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付款方式：每月15号前，供应商向医院提交费用核算单，经医院管理部门审核后将上月服务费支付给供应商。付款前供应商应提供合法票据，如供应商未提供合法票据的，医院有权拒绝支付款项，由此产生的一切损失由供应商承担，与医院无关。</w:t>
      </w:r>
      <w:r/>
    </w:p>
    <w:p>
      <w:pPr>
        <w:pStyle w:val="816"/>
        <w:ind w:firstLine="420"/>
        <w:keepLines w:val="0"/>
        <w:keepNext w:val="0"/>
        <w:pageBreakBefore w:val="0"/>
        <w:spacing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（1）本合同项下所有款项均以人民币支付。</w:t>
      </w:r>
      <w:r/>
    </w:p>
    <w:p>
      <w:pPr>
        <w:pStyle w:val="816"/>
        <w:ind w:firstLine="420"/>
        <w:keepLines w:val="0"/>
        <w:keepNext w:val="0"/>
        <w:pageBreakBefore w:val="0"/>
        <w:spacing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（2）本合同项下的采购资金由医院自行支付，供应商向医院开具增值税发票。</w:t>
      </w:r>
      <w:r/>
    </w:p>
    <w:p>
      <w:pPr>
        <w:pStyle w:val="816"/>
        <w:ind w:firstLine="420"/>
        <w:keepLines w:val="0"/>
        <w:keepNext w:val="0"/>
        <w:pageBreakBefore w:val="0"/>
        <w:spacing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（3）医院支付给供应商的费用为：月固定服务费*月度服务质量系数，服务费每月结算一次。</w:t>
      </w:r>
      <w:r/>
    </w:p>
    <w:p>
      <w:pPr>
        <w:pStyle w:val="816"/>
        <w:ind w:firstLine="420"/>
        <w:keepLines w:val="0"/>
        <w:keepNext w:val="0"/>
        <w:pageBreakBefore w:val="0"/>
        <w:spacing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月固定服务费用：月固定服务费按元/人/月的标准收取，每月医院支付给供应商的服务费用为月固定服务费╳服务人数╳月度服务质量系数，不足一整月的按照当月实际上岗天数与当月实际天数比例支付服务费用。服务费用从合同签订后，供应商人员实际到岗之日起计算。</w:t>
      </w:r>
      <w:r/>
    </w:p>
    <w:p>
      <w:pPr>
        <w:pStyle w:val="816"/>
        <w:ind w:firstLine="420"/>
        <w:keepLines w:val="0"/>
        <w:keepNext w:val="0"/>
        <w:pageBreakBefore w:val="0"/>
        <w:spacing w:line="360" w:lineRule="auto"/>
        <w:rPr>
          <w:rFonts w:ascii="Times New Roman" w:hAnsi="Times New Roman" w:eastAsia="Times New Roman" w:cs="Times New Roman"/>
          <w:highlight w:val="none"/>
        </w:rPr>
      </w:pPr>
      <w:r>
        <w:rPr>
          <w:rFonts w:ascii="宋体" w:hAnsi="宋体" w:eastAsia="宋体" w:cs="宋体"/>
          <w:sz w:val="21"/>
          <w:szCs w:val="21"/>
          <w:highlight w:val="none"/>
        </w:rPr>
        <w:t xml:space="preserve">（5）月度服务质量系数：医院每月对导医整体工作进行考核，得分对照下表产生当月服务质量系数，并据此计算当月应支付给供应商的服务费用。</w:t>
      </w:r>
      <w:r/>
    </w:p>
    <w:tbl>
      <w:tblPr>
        <w:tblStyle w:val="815"/>
        <w:tblW w:w="4750" w:type="pct"/>
        <w:jc w:val="center"/>
        <w:tblCellSpacing w:w="0"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848"/>
        <w:gridCol w:w="3584"/>
        <w:gridCol w:w="4208"/>
      </w:tblGrid>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04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57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供应商月度考核得分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420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供应商月度服务质量系数</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04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57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[70-74]分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420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0.92</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04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57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[75-84]分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420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0.96</w:t>
            </w:r>
            <w:r/>
          </w:p>
        </w:tc>
      </w:tr>
      <w:tr>
        <w:trPr>
          <w:jc w:val="center"/>
          <w:tblCellSpacing w:w="0" w:type="dxa"/>
        </w:trPr>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104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357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≥85分</w:t>
            </w:r>
            <w:r/>
          </w:p>
        </w:tc>
        <w:tc>
          <w:tcPr>
            <w:tcBorders>
              <w:top w:val="single" w:color="808080" w:sz="6" w:space="0"/>
              <w:left w:val="single" w:color="808080" w:sz="6" w:space="0"/>
              <w:bottom w:val="single" w:color="808080" w:sz="6" w:space="0"/>
              <w:right w:val="single" w:color="808080" w:sz="6" w:space="0"/>
            </w:tcBorders>
            <w:tcMar>
              <w:left w:w="22" w:type="dxa"/>
              <w:top w:w="22" w:type="dxa"/>
              <w:right w:w="22" w:type="dxa"/>
              <w:bottom w:w="22" w:type="dxa"/>
            </w:tcMar>
            <w:tcW w:w="4200" w:type="dxa"/>
            <w:vAlign w:val="center"/>
            <w:textDirection w:val="lrTb"/>
            <w:noWrap w:val="false"/>
          </w:tcPr>
          <w:p>
            <w:pPr>
              <w:pStyle w:val="817"/>
              <w:jc w:val="center"/>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0"/>
                <w:szCs w:val="20"/>
                <w:highlight w:val="none"/>
              </w:rPr>
              <w:t xml:space="preserve">1.0</w:t>
            </w:r>
            <w:r/>
          </w:p>
        </w:tc>
      </w:tr>
    </w:tbl>
    <w:p>
      <w:pPr>
        <w:pStyle w:val="816"/>
        <w:ind w:firstLine="420"/>
        <w:keepLines w:val="0"/>
        <w:keepNext w:val="0"/>
        <w:pageBreakBefore w:val="0"/>
        <w:spacing w:line="360" w:lineRule="auto"/>
        <w:widowControl/>
        <w:rPr>
          <w:rFonts w:ascii="Times New Roman" w:hAnsi="Times New Roman" w:eastAsia="Times New Roman" w:cs="Times New Roman"/>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rPr>
        <w:t xml:space="preserve">岗位编制情况考核：医院每月对供应商导医人员考勤情况进行审核，如出现缺编情况，医院按实际在岗人数支付当月供应商服务费用。</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7</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rPr>
        <w:t xml:space="preserve">其他考核和处罚措施：</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1）人员更迭率≥20%，每月扣除3000元；</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2）无健康证上岗每人次扣罚500元；</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3）供应商服务人员的服务质量不符考核要求并经再次提醒（口头或者书面）仍不达标，对服务人员扣款20元/月/人，同时扣款供应商50元/月/人次。</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4）医院每月根据有效投诉情况对供应商进行考核，处罚标准如下：每发生一起投诉扣1000元。</w:t>
      </w:r>
      <w:r/>
    </w:p>
    <w:p>
      <w:pPr>
        <w:pStyle w:val="816"/>
        <w:ind w:firstLine="420"/>
        <w:keepLines w:val="0"/>
        <w:keepNext w:val="0"/>
        <w:pageBreakBefore w:val="0"/>
        <w:spacing w:line="360" w:lineRule="auto"/>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5）连续3个月考评低于75分，合同终止。</w:t>
      </w:r>
      <w:r/>
    </w:p>
    <w:p>
      <w:pPr>
        <w:pStyle w:val="816"/>
        <w:ind w:firstLine="420"/>
        <w:keepLines w:val="0"/>
        <w:keepNext w:val="0"/>
        <w:pageBreakBefore w:val="0"/>
        <w:spacing w:line="360" w:lineRule="auto"/>
        <w:widowControl/>
        <w:rPr>
          <w:rFonts w:ascii="Times New Roman" w:hAnsi="Times New Roman" w:eastAsia="Times New Roman" w:cs="Times New Roman"/>
          <w:highlight w:val="none"/>
        </w:rPr>
      </w:pPr>
      <w:r>
        <w:rPr>
          <w:rFonts w:hint="eastAsia" w:asciiTheme="minorEastAsia" w:hAnsiTheme="minorEastAsia" w:eastAsiaTheme="minorEastAsia" w:cstheme="minorEastAsia"/>
          <w:sz w:val="21"/>
          <w:szCs w:val="21"/>
          <w:highlight w:val="none"/>
        </w:rPr>
        <w:t xml:space="preserve">6）月度考核得分70以下，医院有权单方面通知供应商解除协议而且不承担任何责任。</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 xml:space="preserve"> </w:t>
      </w:r>
      <w:r/>
    </w:p>
    <w:p>
      <w:pPr>
        <w:jc w:val="cente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《门诊导医服务供应商考核表》</w:t>
      </w:r>
      <w:r/>
    </w:p>
    <w:tbl>
      <w:tblPr>
        <w:tblStyle w:val="815"/>
        <w:tblW w:w="4750" w:type="pct"/>
        <w:tblInd w:w="24"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64"/>
        <w:gridCol w:w="3168"/>
        <w:gridCol w:w="957"/>
        <w:gridCol w:w="2553"/>
        <w:gridCol w:w="957"/>
      </w:tblGrid>
      <w:tr>
        <w:trPr>
          <w:trHeight w:val="557"/>
        </w:trPr>
        <w:tc>
          <w:tcPr>
            <w:tcBorders>
              <w:bottom w:val="single" w:color="000000" w:sz="6" w:space="0"/>
              <w:right w:val="single" w:color="000000" w:sz="6" w:space="0"/>
            </w:tcBorders>
            <w:tcMar>
              <w:left w:w="16" w:type="dxa"/>
              <w:top w:w="16" w:type="dxa"/>
              <w:right w:w="16" w:type="dxa"/>
              <w:bottom w:w="8" w:type="dxa"/>
            </w:tcMar>
            <w:tcW w:w="104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考核项目</w:t>
            </w:r>
            <w:r/>
          </w:p>
        </w:tc>
        <w:tc>
          <w:tcPr>
            <w:tcBorders>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考评内容</w:t>
            </w:r>
            <w:r/>
          </w:p>
        </w:tc>
        <w:tc>
          <w:tcPr>
            <w:tcBorders>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标准分</w:t>
            </w:r>
            <w:r/>
          </w:p>
        </w:tc>
        <w:tc>
          <w:tcPr>
            <w:tcBorders>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考核标准</w:t>
            </w:r>
            <w:r/>
          </w:p>
        </w:tc>
        <w:tc>
          <w:tcPr>
            <w:tcBorders>
              <w:left w:val="single" w:color="000000" w:sz="6" w:space="0"/>
              <w:bottom w:val="single" w:color="000000" w:sz="6" w:space="0"/>
            </w:tcBorders>
            <w:tcMar>
              <w:left w:w="16" w:type="dxa"/>
              <w:top w:w="16" w:type="dxa"/>
              <w:right w:w="16" w:type="dxa"/>
              <w:bottom w:w="8" w:type="dxa"/>
            </w:tcMar>
            <w:tcW w:w="1040" w:type="dxa"/>
            <w:vAlign w:val="bottom"/>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考核</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得分</w:t>
            </w:r>
            <w:r/>
          </w:p>
        </w:tc>
      </w:tr>
      <w:tr>
        <w:trPr>
          <w:trHeight w:val="707"/>
        </w:trPr>
        <w:tc>
          <w:tcPr>
            <w:tcBorders>
              <w:top w:val="single" w:color="000000" w:sz="6" w:space="0"/>
              <w:bottom w:val="single" w:color="000000" w:sz="6" w:space="0"/>
              <w:right w:val="single" w:color="000000" w:sz="6" w:space="0"/>
            </w:tcBorders>
            <w:tcMar>
              <w:left w:w="16" w:type="dxa"/>
              <w:top w:w="16" w:type="dxa"/>
              <w:right w:w="16" w:type="dxa"/>
              <w:bottom w:w="8" w:type="dxa"/>
            </w:tcMar>
            <w:tcW w:w="1048"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服务质量</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（20分）</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导医在岗期间保持良好的工作态度，按照规范积极为患者提供优质服务。</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未落实导医工作标准或因工作态度差造成患者投诉，扣2分/人次</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807"/>
        </w:trPr>
        <w:tc>
          <w:tcPr>
            <w:tcBorders>
              <w:top w:val="single" w:color="000000" w:sz="6" w:space="0"/>
              <w:bottom w:val="single" w:color="000000" w:sz="6" w:space="0"/>
              <w:right w:val="single" w:color="000000" w:sz="6" w:space="0"/>
            </w:tcBorders>
            <w:tcW w:w="1048"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熟练处理本岗位中常见的患者咨询、就医流程等问题。</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在上级检查中发现问题，扣2分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Mar>
              <w:left w:w="16" w:type="dxa"/>
              <w:top w:w="16" w:type="dxa"/>
              <w:right w:w="16" w:type="dxa"/>
              <w:bottom w:w="8" w:type="dxa"/>
            </w:tcMar>
            <w:tcW w:w="1048"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工作纪律</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（20分）</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除按规定审核的休假，需保证当月全员在岗率100%。</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有导医旷工、随意离岗办私事、迟到、早退、串岗，发现1例扣2分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W w:w="1048"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用语规范，仪表端庄，符合服务规范要求。</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安排工作时讲条件、闹情绪，每人次扣2分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42"/>
        </w:trPr>
        <w:tc>
          <w:tcPr>
            <w:tcBorders>
              <w:top w:val="single" w:color="000000" w:sz="6" w:space="0"/>
              <w:bottom w:val="single" w:color="000000" w:sz="6" w:space="0"/>
              <w:right w:val="single" w:color="000000" w:sz="6" w:space="0"/>
            </w:tcBorders>
            <w:tcW w:w="1048"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规范着装上岗，佩戴胸牌。</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不按要求着装扣每人次1分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1248"/>
        </w:trPr>
        <w:tc>
          <w:tcPr>
            <w:tcBorders>
              <w:top w:val="single" w:color="000000" w:sz="6" w:space="0"/>
              <w:bottom w:val="single" w:color="000000" w:sz="6" w:space="0"/>
              <w:right w:val="single" w:color="000000" w:sz="6" w:space="0"/>
            </w:tcBorders>
            <w:tcMar>
              <w:left w:w="16" w:type="dxa"/>
              <w:top w:w="16" w:type="dxa"/>
              <w:right w:w="16" w:type="dxa"/>
              <w:bottom w:w="8" w:type="dxa"/>
            </w:tcMar>
            <w:tcW w:w="1048"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服务管理</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（60分）</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按要求定期对导医进行培训（每年至少2次），并积极参加采购人组织的相关培训。</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未定期组织培或者缺少培训项目或未参加医院组织的培训，扣2分；每次培训实到人数未达导医总数的2/3，扣1分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W w:w="1048"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1.服务人员必须服从医院和供应商的双重管理，遵守医院相关管理制度和规定；</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2.医院在特殊情况下安排的临时性紧急任务或突发性任务，供应商必须无条件配合完成，医院不另外支付任何费用；</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3.供应商在履行合同期间，必须接受医院提出的整改意见，并在规定时间内完成整改工作；</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4.供应商需配合完成医院的考核并有责任配合医院接受上级领导部门的监督、检查。</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24</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经采购人评估如有一条未达标，扣6分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W w:w="1048"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供应商建立导医相关各类制度，包括但不限于工作总结、定期巡查、整改情况等台账，并认真执行。</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制度不完善、制度落实不到位，扣3分/项</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W w:w="1048"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供应商应做好人员储备工作，人员空岗或医院因工作需要增减导医，供应商在双方约定的时间内满足医院岗位人员需求，且不影响服务质量。</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超过约定时间的每延迟1天扣1分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W w:w="1048"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供应商应按相关法律法规为导医办理社保和公积金，保证新聘人员必须在规定的时间内完善相关劳动手续。按时发放导医工资福利待遇，不得迟发。如果发生各种意外事故及纠纷、用工人员投诉、仲裁、诉讼等，均由供应商自行承担经济和法律责任。</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发现未按照要求落实的每人扣2分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246"/>
        </w:trPr>
        <w:tc>
          <w:tcPr>
            <w:tcBorders>
              <w:top w:val="single" w:color="000000" w:sz="6" w:space="0"/>
              <w:right w:val="single" w:color="000000" w:sz="6" w:space="0"/>
            </w:tcBorders>
            <w:tcMar>
              <w:left w:w="16" w:type="dxa"/>
              <w:top w:w="16" w:type="dxa"/>
              <w:right w:w="16" w:type="dxa"/>
              <w:bottom w:w="8" w:type="dxa"/>
            </w:tcMar>
            <w:tcW w:w="1048"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合计</w:t>
            </w:r>
            <w:r/>
          </w:p>
        </w:tc>
        <w:tc>
          <w:tcPr>
            <w:tcBorders>
              <w:top w:val="single" w:color="000000" w:sz="6" w:space="0"/>
              <w:left w:val="single" w:color="000000" w:sz="6" w:space="0"/>
              <w:right w:val="single" w:color="000000" w:sz="6" w:space="0"/>
            </w:tcBorders>
            <w:tcMar>
              <w:left w:w="16" w:type="dxa"/>
              <w:top w:w="16" w:type="dxa"/>
              <w:right w:w="16" w:type="dxa"/>
              <w:bottom w:w="8" w:type="dxa"/>
            </w:tcMar>
            <w:tcW w:w="3454"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100</w:t>
            </w:r>
            <w:r/>
          </w:p>
        </w:tc>
        <w:tc>
          <w:tcPr>
            <w:tcBorders>
              <w:top w:val="single" w:color="000000" w:sz="6" w:space="0"/>
              <w:left w:val="single" w:color="000000" w:sz="6" w:space="0"/>
              <w:right w:val="single" w:color="000000" w:sz="6" w:space="0"/>
            </w:tcBorders>
            <w:tcMar>
              <w:left w:w="16" w:type="dxa"/>
              <w:top w:w="16" w:type="dxa"/>
              <w:right w:w="16" w:type="dxa"/>
              <w:bottom w:w="8" w:type="dxa"/>
            </w:tcMar>
            <w:tcW w:w="2782"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bl>
    <w:p>
      <w:pPr>
        <w:ind w:firstLine="422"/>
        <w:jc w:val="left"/>
        <w:keepLines w:val="0"/>
        <w:keepNext w:val="0"/>
        <w:pageBreakBefore w:val="0"/>
        <w:spacing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三、投标报价</w:t>
      </w:r>
      <w:r/>
    </w:p>
    <w:p>
      <w:pPr>
        <w:ind w:firstLine="420"/>
        <w:jc w:val="left"/>
        <w:keepLines w:val="0"/>
        <w:keepNext w:val="0"/>
        <w:pageBreakBefore w:val="0"/>
        <w:spacing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1.投标报价的内容。供应商参与本项目的投标报价包括：供应商为采购人提供服务的所有员工工资、员工缴纳的社会保险（包括养老、工伤、失业、生育、医疗）和公积金、津补贴、夜班费、节日</w:t>
      </w:r>
      <w:r>
        <w:rPr>
          <w:rFonts w:ascii="宋体" w:hAnsi="宋体" w:eastAsia="宋体" w:cs="宋体"/>
          <w:sz w:val="21"/>
          <w:szCs w:val="21"/>
          <w:highlight w:val="none"/>
        </w:rPr>
        <w:t xml:space="preserve">福利费、加班费（包括执行国家法规所有法定节假日的加班费）、病假人员替班工资、夏季高温费、特殊人员体检费、服务所用材料消耗费用、培训费、工具、服装费、离职补偿费、管理费、营业利润、应缴的税费、采购人重大或者临时性活动服务费用、其它相关费用等。供应商的员工工资、工作时间不得违反南京市对于最低工资标准、每月最高工作时间的相关规定，供应商员工必须按照《劳动法》、《劳动合同法》等有关法律、法规缴纳相应社会保险，合法用工。供应商劳资纠纷由供应商自行处理解决，并由其按《劳动法》相关规定给予劳动者补偿，该费用由供应商承担。</w:t>
      </w:r>
      <w:r/>
    </w:p>
    <w:p>
      <w:pPr>
        <w:pStyle w:val="816"/>
        <w:ind w:firstLine="420"/>
        <w:keepLines w:val="0"/>
        <w:keepNext w:val="0"/>
        <w:pageBreakBefore w:val="0"/>
        <w:spacing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2.具体要求。</w:t>
      </w:r>
      <w:r/>
    </w:p>
    <w:p>
      <w:pPr>
        <w:pStyle w:val="816"/>
        <w:ind w:firstLine="420"/>
        <w:keepLines w:val="0"/>
        <w:keepNext w:val="0"/>
        <w:pageBreakBefore w:val="0"/>
        <w:spacing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法定节假日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p>
    <w:p>
      <w:pPr>
        <w:pStyle w:val="816"/>
        <w:ind w:firstLine="420"/>
        <w:keepLines w:val="0"/>
        <w:keepNext w:val="0"/>
        <w:pageBreakBefore w:val="0"/>
        <w:spacing w:line="360" w:lineRule="auto"/>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（2）法定税费：供应商应依法缴纳税费。</w:t>
      </w:r>
      <w:r/>
    </w:p>
    <w:p>
      <w:pPr>
        <w:ind w:firstLine="420"/>
        <w:jc w:val="left"/>
        <w:keepLines w:val="0"/>
        <w:keepNext w:val="0"/>
        <w:pageBreakBefore w:val="0"/>
        <w:spacing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3.投标报价的调整。</w:t>
      </w:r>
      <w:r/>
    </w:p>
    <w:p>
      <w:pPr>
        <w:ind w:firstLine="420"/>
        <w:jc w:val="left"/>
        <w:keepLines w:val="0"/>
        <w:keepNext w:val="0"/>
        <w:pageBreakBefore w:val="0"/>
        <w:spacing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（1）合同期内报价不变，如遇江苏省或南京市最低工资、社保、公积金缴纳基数及比例、高温费等政策性调整，报价不做相应调整。</w:t>
      </w:r>
      <w:r/>
    </w:p>
    <w:p>
      <w:pPr>
        <w:ind w:firstLine="420"/>
        <w:jc w:val="left"/>
        <w:keepLines w:val="0"/>
        <w:keepNext w:val="0"/>
        <w:pageBreakBefore w:val="0"/>
        <w:spacing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（2）合同执行期内，除新增服务区域或范围外，导医人员工作时间及配置数量不予调增；如遇采购人根据实际情况需要减岗的，中标供应商应无条件配合采购人减少相应岗位。</w:t>
      </w:r>
      <w:r/>
    </w:p>
    <w:p>
      <w:pPr>
        <w:ind w:firstLine="420"/>
        <w:jc w:val="left"/>
        <w:keepLines w:val="0"/>
        <w:keepNext w:val="0"/>
        <w:pageBreakBefore w:val="0"/>
        <w:spacing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4.投标报价的风险因素。供应商报价</w:t>
      </w:r>
      <w:r>
        <w:rPr>
          <w:rFonts w:ascii="宋体" w:hAnsi="宋体" w:eastAsia="宋体" w:cs="宋体"/>
          <w:sz w:val="21"/>
          <w:szCs w:val="21"/>
          <w:highlight w:val="none"/>
        </w:rPr>
        <w:t xml:space="preserve">时应充分考虑所有可能影响到报价的相关因素。供应商报价除包含采购文件中列明的项目外还应包括保障该导医服务正常运行应当具有的物资和服务。除本招标文件规定的相关内容外，还包括参与采购人各项突发性活动费用，如参观来访、上级检查、消防演练和救火救灾等。对导医服务正常运行应当具有的物资和服务理解不一致的以采购人理解为准。一旦成交，总价包定，合同期内服务费用一律不予调整。如发生漏、缺、少项，都将被认为是供应商的报价让利行为，损失自负。供应商的任何错漏、优惠、竞争性报价不得作为减轻责任、减少服务、增加收费、降低质量的理由。</w:t>
      </w:r>
      <w:r/>
    </w:p>
    <w:p>
      <w:pPr>
        <w:ind w:firstLine="420"/>
        <w:jc w:val="left"/>
        <w:keepLines w:val="0"/>
        <w:keepNext w:val="0"/>
        <w:pageBreakBefore w:val="0"/>
        <w:spacing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总之，供应商投标报价应包含完成本招标发生的所有含税费用、支付给员工的工资和国家强制缴纳的各种社会保障资金，以及为完成本招标所有项目可能发生的费用，投标供应商必须提供各单项人员工资组成明细。报价时充分考虑招标文件公示内容条款和其他要求条款中注明的相关内容可能产生的费用。</w:t>
      </w:r>
      <w:r/>
    </w:p>
    <w:p>
      <w:pPr>
        <w:jc w:val="left"/>
        <w:spacing w:before="0" w:after="0"/>
        <w:widowControl w:val="off"/>
        <w:rPr>
          <w:rFonts w:ascii="Times New Roman" w:hAnsi="Times New Roman" w:eastAsia="Times New Roman" w:cs="Times New Roman"/>
          <w:sz w:val="36"/>
          <w:szCs w:val="36"/>
          <w:highlight w:val="none"/>
        </w:rPr>
      </w:pPr>
      <w:r>
        <w:rPr>
          <w:rFonts w:ascii="Times New Roman" w:hAnsi="Times New Roman" w:eastAsia="Times New Roman" w:cs="Times New Roman"/>
          <w:sz w:val="36"/>
          <w:szCs w:val="36"/>
          <w:highlight w:val="none"/>
        </w:rPr>
        <w:t xml:space="preserve"> </w:t>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黑体" w:hAnsi="黑体" w:eastAsia="黑体" w:cs="黑体"/>
          <w:sz w:val="36"/>
          <w:szCs w:val="36"/>
          <w:highlight w:val="none"/>
        </w:rPr>
      </w:pPr>
      <w:r>
        <w:rPr>
          <w:rFonts w:ascii="黑体" w:hAnsi="黑体" w:eastAsia="黑体" w:cs="黑体"/>
          <w:sz w:val="36"/>
          <w:szCs w:val="36"/>
          <w:highlight w:val="none"/>
        </w:rPr>
      </w:r>
      <w:r/>
    </w:p>
    <w:p>
      <w:pPr>
        <w:jc w:val="center"/>
        <w:spacing w:before="0" w:after="0" w:line="288" w:lineRule="auto"/>
        <w:widowControl w:val="off"/>
        <w:rPr>
          <w:rFonts w:ascii="Times New Roman" w:hAnsi="Times New Roman" w:eastAsia="Times New Roman" w:cs="Times New Roman"/>
          <w:sz w:val="36"/>
          <w:szCs w:val="36"/>
          <w:highlight w:val="none"/>
        </w:rPr>
      </w:pPr>
      <w:r>
        <w:rPr>
          <w:rFonts w:ascii="黑体" w:hAnsi="黑体" w:eastAsia="黑体" w:cs="黑体"/>
          <w:sz w:val="36"/>
          <w:szCs w:val="36"/>
          <w:highlight w:val="none"/>
        </w:rPr>
        <w:br w:type="page" w:clear="all"/>
      </w:r>
      <w:r>
        <w:rPr>
          <w:rFonts w:ascii="黑体" w:hAnsi="黑体" w:eastAsia="黑体" w:cs="黑体"/>
          <w:sz w:val="36"/>
          <w:szCs w:val="36"/>
          <w:highlight w:val="none"/>
        </w:rPr>
        <w:t xml:space="preserve">第五章 合同草案条款</w:t>
      </w:r>
      <w:r/>
    </w:p>
    <w:p>
      <w:pPr>
        <w:jc w:val="center"/>
        <w:spacing w:before="0" w:after="0" w:line="500" w:lineRule="atLeast"/>
        <w:widowControl w:val="off"/>
        <w:rPr>
          <w:rFonts w:ascii="Times New Roman" w:hAnsi="Times New Roman" w:eastAsia="Times New Roman" w:cs="Times New Roman"/>
          <w:highlight w:val="none"/>
        </w:rPr>
      </w:pPr>
      <w:r>
        <w:rPr>
          <w:rFonts w:ascii="宋体" w:hAnsi="宋体" w:eastAsia="宋体" w:cs="宋体"/>
          <w:b/>
          <w:bCs/>
          <w:highlight w:val="none"/>
        </w:rPr>
        <w:t xml:space="preserve">（参考格式，本合同内容条款在正式签署前可具体补充细化，仅作参考，最终合同以采购人审查通过的版本为准）</w:t>
      </w:r>
      <w:r/>
    </w:p>
    <w:p>
      <w:pPr>
        <w:jc w:val="center"/>
        <w:spacing w:before="290" w:after="0"/>
        <w:rPr>
          <w:rFonts w:ascii="Times New Roman" w:hAnsi="Times New Roman" w:eastAsia="Times New Roman" w:cs="Times New Roman"/>
          <w:highlight w:val="none"/>
        </w:rPr>
      </w:pPr>
      <w:r>
        <w:rPr>
          <w:rFonts w:ascii="宋体" w:hAnsi="宋体" w:eastAsia="宋体" w:cs="宋体"/>
          <w:b/>
          <w:bCs/>
          <w:highlight w:val="none"/>
        </w:rPr>
        <w:t xml:space="preserve">江苏省肿瘤医院采购合同(服务)</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甲方：江苏省肿瘤防治研究所(江苏省肿瘤医院)</w:t>
      </w:r>
      <w:r>
        <w:rPr>
          <w:rFonts w:ascii="宋体" w:hAnsi="宋体" w:eastAsia="宋体" w:cs="宋体"/>
          <w:sz w:val="21"/>
          <w:szCs w:val="21"/>
          <w:highlight w:val="none"/>
        </w:rPr>
        <w:br/>
      </w:r>
      <w:r>
        <w:rPr>
          <w:rFonts w:ascii="宋体" w:hAnsi="宋体" w:eastAsia="宋体" w:cs="宋体"/>
          <w:sz w:val="21"/>
          <w:szCs w:val="21"/>
          <w:highlight w:val="none"/>
        </w:rPr>
        <w:t xml:space="preserve">乙方：</w:t>
      </w:r>
      <w:r>
        <w:rPr>
          <w:rFonts w:ascii="宋体" w:hAnsi="宋体" w:eastAsia="宋体" w:cs="宋体"/>
          <w:sz w:val="21"/>
          <w:szCs w:val="21"/>
          <w:highlight w:val="none"/>
          <w:u w:val="single"/>
        </w:rPr>
        <w:t xml:space="preserve">                                 </w:t>
      </w:r>
      <w:r/>
    </w:p>
    <w:p>
      <w:pPr>
        <w:ind w:firstLine="420"/>
        <w:spacing w:before="0" w:after="0"/>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420"/>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依据(中华人民共和国民法典》、《中华人民共和国政府采购法》等有关法律法规以及《江苏省肿瘤医院合同管理制度》，遵循平等、自愿、公平和诚实信用的原则，经</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年</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月</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日招标代理公司名称 </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公开招标(招标编号:</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)，就乙方为甲方提供以下服务，制定本合同。</w:t>
      </w:r>
      <w:r/>
    </w:p>
    <w:p>
      <w:pPr>
        <w:spacing w:before="0" w:after="0"/>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ind w:firstLine="210"/>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一、</w:t>
      </w:r>
      <w:r>
        <w:rPr>
          <w:rFonts w:ascii="宋体" w:hAnsi="宋体" w:eastAsia="宋体" w:cs="宋体"/>
          <w:b/>
          <w:bCs/>
          <w:sz w:val="21"/>
          <w:szCs w:val="21"/>
          <w:highlight w:val="none"/>
        </w:rPr>
        <w:t xml:space="preserve">服务内容</w:t>
      </w:r>
      <w:r>
        <w:rPr>
          <w:rFonts w:ascii="宋体" w:hAnsi="宋体" w:eastAsia="宋体" w:cs="宋体"/>
          <w:b/>
          <w:bCs/>
          <w:sz w:val="21"/>
          <w:szCs w:val="21"/>
          <w:highlight w:val="none"/>
        </w:rPr>
        <w:br/>
      </w:r>
      <w:r>
        <w:rPr>
          <w:rFonts w:ascii="宋体" w:hAnsi="宋体" w:eastAsia="宋体" w:cs="宋体"/>
          <w:sz w:val="21"/>
          <w:szCs w:val="21"/>
          <w:highlight w:val="none"/>
        </w:rPr>
        <w:t xml:space="preserve">1.1 乙方应根据甲方的需求，提供以下服务：</w:t>
      </w:r>
      <w:r>
        <w:rPr>
          <w:rFonts w:ascii="宋体" w:hAnsi="宋体" w:eastAsia="宋体" w:cs="宋体"/>
          <w:sz w:val="21"/>
          <w:szCs w:val="21"/>
          <w:highlight w:val="none"/>
        </w:rPr>
        <w:br/>
      </w:r>
      <w:r>
        <w:rPr>
          <w:rFonts w:ascii="宋体" w:hAnsi="宋体" w:eastAsia="宋体" w:cs="宋体"/>
          <w:sz w:val="21"/>
          <w:szCs w:val="21"/>
          <w:highlight w:val="none"/>
          <w:u w:val="single"/>
        </w:rPr>
        <w:t xml:space="preserve">                                               </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具体服务内容详见附件《服务清单》或乙方投标（响应）文件。</w:t>
      </w:r>
      <w:r>
        <w:rPr>
          <w:rFonts w:ascii="宋体" w:hAnsi="宋体" w:eastAsia="宋体" w:cs="宋体"/>
          <w:sz w:val="21"/>
          <w:szCs w:val="21"/>
          <w:highlight w:val="none"/>
        </w:rPr>
        <w:br/>
      </w:r>
      <w:r>
        <w:rPr>
          <w:rFonts w:ascii="宋体" w:hAnsi="宋体" w:eastAsia="宋体" w:cs="宋体"/>
          <w:sz w:val="21"/>
          <w:szCs w:val="21"/>
          <w:highlight w:val="none"/>
        </w:rPr>
        <w:t xml:space="preserve">1.2 乙方所提供的服务必须与采购文件或《投标(响应)文件》一致。</w:t>
      </w:r>
      <w:r/>
    </w:p>
    <w:p>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二、服务期限</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2.1 本合同服务期限：</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到</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2.2 乙方应在本合同约定的服务期限内完成服务。</w:t>
      </w:r>
      <w:r/>
    </w:p>
    <w:p>
      <w:pPr>
        <w:spacing w:before="0" w:after="0"/>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三、合同金额</w:t>
      </w:r>
      <w:r>
        <w:rPr>
          <w:rFonts w:ascii="宋体" w:hAnsi="宋体" w:eastAsia="宋体" w:cs="宋体"/>
          <w:b/>
          <w:bCs/>
          <w:sz w:val="21"/>
          <w:szCs w:val="21"/>
          <w:highlight w:val="none"/>
        </w:rPr>
        <w:br/>
      </w:r>
      <w:r>
        <w:rPr>
          <w:rFonts w:ascii="宋体" w:hAnsi="宋体" w:eastAsia="宋体" w:cs="宋体"/>
          <w:sz w:val="21"/>
          <w:szCs w:val="21"/>
          <w:highlight w:val="none"/>
        </w:rPr>
        <w:t xml:space="preserve">3.1本合同金额为人民币(大写)：</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（小写：￥</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w:t>
      </w:r>
      <w:r/>
    </w:p>
    <w:p>
      <w:pPr>
        <w:spacing w:before="0" w:after="0"/>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四、双方权利和义务</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4.1 甲方权利与义务：</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4.1.1提供必要的服务场所和条件；</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4.1.2按本合同约定支付服务费用；</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4.1.3对乙方服务进行检查、监督和评估。</w:t>
      </w:r>
      <w:r/>
    </w:p>
    <w:p>
      <w:pPr>
        <w:spacing w:before="0" w:after="0"/>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4.2 乙方权利与义务：</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4.2.1 应按照本合同约定提供服务，确保服务质量符合国家规定和行业标准；</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4.2.2 按照甲方的要求，及时完成服务；</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4.2.3 应保证其提供的服务人员具备相应的职业资格和经验；</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4.2.4 保障服务过程中的安全和质量；</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4.2.5 对服务中的问题及时进行整改；</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4.2.6其他按照投标文件要求执行。</w:t>
      </w:r>
      <w:r/>
    </w:p>
    <w:p>
      <w:pPr>
        <w:spacing w:before="0" w:after="0"/>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五、技术资料</w:t>
      </w:r>
      <w:r>
        <w:rPr>
          <w:rFonts w:ascii="宋体" w:hAnsi="宋体" w:eastAsia="宋体" w:cs="宋体"/>
          <w:b/>
          <w:bCs/>
          <w:sz w:val="21"/>
          <w:szCs w:val="21"/>
          <w:highlight w:val="none"/>
        </w:rPr>
        <w:br/>
      </w:r>
      <w:r>
        <w:rPr>
          <w:rFonts w:ascii="宋体" w:hAnsi="宋体" w:eastAsia="宋体" w:cs="宋体"/>
          <w:sz w:val="21"/>
          <w:szCs w:val="21"/>
          <w:highlight w:val="none"/>
        </w:rPr>
        <w:t xml:space="preserve">5.1乙方应按投标文件规定的时间向甲方提供相关服务的有关技术资料。</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5.2 没有甲方事先书面同意，乙方不得将由甲方提供的有关合同或任何合同条文、规格、计划、图纸、样品或资料提供给与履行本合同无关的任何其他人。即使履行本合同有关的人员提供，也应注意保密并限于履行合同的必需范围。</w:t>
      </w:r>
      <w:r>
        <w:rPr>
          <w:rFonts w:ascii="宋体" w:hAnsi="宋体" w:eastAsia="宋体" w:cs="宋体"/>
          <w:sz w:val="21"/>
          <w:szCs w:val="21"/>
          <w:highlight w:val="none"/>
        </w:rPr>
        <w:br/>
      </w:r>
      <w:r/>
    </w:p>
    <w:p>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六、权利保证</w:t>
      </w:r>
      <w:r>
        <w:rPr>
          <w:rFonts w:ascii="宋体" w:hAnsi="宋体" w:eastAsia="宋体" w:cs="宋体"/>
          <w:b/>
          <w:bCs/>
          <w:sz w:val="21"/>
          <w:szCs w:val="21"/>
          <w:highlight w:val="none"/>
        </w:rPr>
        <w:br/>
      </w:r>
      <w:r>
        <w:rPr>
          <w:rFonts w:ascii="宋体" w:hAnsi="宋体" w:eastAsia="宋体" w:cs="宋体"/>
          <w:sz w:val="21"/>
          <w:szCs w:val="21"/>
          <w:highlight w:val="none"/>
        </w:rPr>
        <w:t xml:space="preserve">6.1乙方应保证甲方在使用本合同服务或其任何一部分时不受第三方提出侵犯其专利权、版权、商标权或其他权利的起诉。 一旦出现侵权，由乙方负全部责任。</w:t>
      </w:r>
      <w:r/>
    </w:p>
    <w:p>
      <w:pPr>
        <w:spacing w:before="0" w:after="20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6.2 乙方需为己方员工按规定缴纳法律规定的社会保险，妥善处理已达退休年龄但未享受养老保险待遇人员的人身损害问题，必要时可购买雇主责任险，避免产生纠纷影响甲方正常工作秩序。</w:t>
      </w:r>
      <w:r/>
    </w:p>
    <w:p>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七、履约保证金</w:t>
      </w:r>
      <w:r>
        <w:rPr>
          <w:rFonts w:ascii="宋体" w:hAnsi="宋体" w:eastAsia="宋体" w:cs="宋体"/>
          <w:b/>
          <w:bCs/>
          <w:sz w:val="21"/>
          <w:szCs w:val="21"/>
          <w:highlight w:val="none"/>
        </w:rPr>
        <w:br/>
      </w:r>
      <w:r>
        <w:rPr>
          <w:rFonts w:ascii="宋体" w:hAnsi="宋体" w:eastAsia="宋体" w:cs="宋体"/>
          <w:sz w:val="21"/>
          <w:szCs w:val="21"/>
          <w:highlight w:val="none"/>
        </w:rPr>
        <w:t xml:space="preserve">7.1自合同签订之日起5个工作日内，乙方须向甲方交纳人民币</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元（大写：</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)作为本合同的履约保证金，乙方按照约定认真履行合同且未发生不退回履约保证金的事项时，甲方自合同期满之日起的30日内无息退回乙方。</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7.2因乙方原因导致甲方终止合同时，甲方不退回履约保证金给乙方。</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7.3乙方未经甲方同意擅自终止合同时，甲方不退回履约保证金给乙方。</w:t>
      </w:r>
      <w:r/>
    </w:p>
    <w:p>
      <w:pPr>
        <w:spacing w:before="0" w:after="20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八、转包或分包</w:t>
      </w:r>
      <w:r>
        <w:rPr>
          <w:rFonts w:ascii="宋体" w:hAnsi="宋体" w:eastAsia="宋体" w:cs="宋体"/>
          <w:b/>
          <w:bCs/>
          <w:sz w:val="21"/>
          <w:szCs w:val="21"/>
          <w:highlight w:val="none"/>
        </w:rPr>
        <w:br/>
      </w:r>
      <w:r>
        <w:rPr>
          <w:rFonts w:ascii="宋体" w:hAnsi="宋体" w:eastAsia="宋体" w:cs="宋体"/>
          <w:sz w:val="21"/>
          <w:szCs w:val="21"/>
          <w:highlight w:val="none"/>
        </w:rPr>
        <w:t xml:space="preserve">8.1本合同范围的服务一般应由乙方直接供应，不得转让他人供应；除非得到甲方的书面同意，乙方不得将本合同范围的服务全部或部分分包给他人供应；如有转让和未经甲方同意的分包行为，甲方有权解除合同，并追究乙方的违约责任。</w:t>
      </w:r>
      <w:r/>
    </w:p>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九、款项支付</w:t>
      </w:r>
      <w:r>
        <w:rPr>
          <w:rFonts w:ascii="宋体" w:hAnsi="宋体" w:eastAsia="宋体" w:cs="宋体"/>
          <w:b/>
          <w:bCs/>
          <w:sz w:val="21"/>
          <w:szCs w:val="21"/>
          <w:highlight w:val="none"/>
        </w:rPr>
        <w:br/>
      </w:r>
      <w:r>
        <w:rPr>
          <w:rFonts w:ascii="宋体" w:hAnsi="宋体" w:eastAsia="宋体" w:cs="宋体"/>
          <w:sz w:val="21"/>
          <w:szCs w:val="21"/>
          <w:highlight w:val="none"/>
        </w:rPr>
        <w:t xml:space="preserve">9.1款项支付方式、时间及条件：</w:t>
      </w:r>
      <w:r/>
    </w:p>
    <w:tbl>
      <w:tblPr>
        <w:tblStyle w:val="815"/>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20"/>
        <w:gridCol w:w="1693"/>
        <w:gridCol w:w="1712"/>
        <w:gridCol w:w="1499"/>
        <w:gridCol w:w="2550"/>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金额</w:t>
            </w:r>
            <w:r>
              <w:rPr>
                <w:rFonts w:ascii="宋体" w:hAnsi="宋体" w:eastAsia="宋体" w:cs="宋体"/>
                <w:b w:val="0"/>
                <w:bCs w:val="0"/>
                <w:i w:val="0"/>
                <w:iCs w:val="0"/>
                <w:smallCaps w:val="0"/>
                <w:color w:val="000000"/>
                <w:sz w:val="20"/>
                <w:szCs w:val="20"/>
                <w:highlight w:val="none"/>
              </w:rPr>
              <w:t xml:space="preserve">(元)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付款比例</w:t>
            </w:r>
            <w:r/>
          </w:p>
        </w:tc>
        <w:tc>
          <w:tcPr>
            <w:tcBorders>
              <w:left w:val="single" w:color="000000" w:sz="6" w:space="0"/>
              <w:bottom w:val="single" w:color="000000" w:sz="6" w:space="0"/>
            </w:tcBorders>
            <w:tcMar>
              <w:left w:w="108" w:type="dxa"/>
              <w:top w:w="8" w:type="dxa"/>
              <w:right w:w="108" w:type="dxa"/>
              <w:bottom w:w="8" w:type="dxa"/>
            </w:tcMar>
            <w:tcW w:w="2632"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544"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tcBorders>
            <w:tcMar>
              <w:left w:w="108" w:type="dxa"/>
              <w:top w:w="8" w:type="dxa"/>
              <w:right w:w="108" w:type="dxa"/>
              <w:bottom w:w="8" w:type="dxa"/>
            </w:tcMar>
            <w:tcW w:w="2632" w:type="dxa"/>
            <w:vAlign w:val="top"/>
            <w:textDirection w:val="lrTb"/>
            <w:noWrap w:val="false"/>
          </w:tcPr>
          <w:p>
            <w:pP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bl>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9.2 乙方的开户银行、账户名称、银行账号以本合同提供的为准，如有变更，乙方应在合同规定的相关付款期限十天之前以书面方式通知甲方并加盖财务专用章。如未正确依照上述规定执行而影响相关款项的支付，由此产生的责任由乙方自负。</w:t>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9.3 合同付款前，甲方按照投标文件或合同附件中服务考核评价标准，对乙方提供的服务情况进行考核评价，并根据考核评价结果进行付款。</w:t>
      </w:r>
      <w:r/>
    </w:p>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十、税</w:t>
      </w:r>
      <w:r>
        <w:rPr>
          <w:rFonts w:ascii="宋体" w:hAnsi="宋体" w:eastAsia="宋体" w:cs="宋体"/>
          <w:b/>
          <w:bCs/>
          <w:sz w:val="21"/>
          <w:szCs w:val="21"/>
          <w:highlight w:val="none"/>
        </w:rPr>
        <w:br/>
      </w:r>
      <w:r>
        <w:rPr>
          <w:rFonts w:ascii="宋体" w:hAnsi="宋体" w:eastAsia="宋体" w:cs="宋体"/>
          <w:sz w:val="21"/>
          <w:szCs w:val="21"/>
          <w:highlight w:val="none"/>
        </w:rPr>
        <w:t xml:space="preserve">10.1本合同执行中相关的一切税费均由乙方负担。</w:t>
      </w:r>
      <w:r/>
    </w:p>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十一、质量保证</w:t>
      </w:r>
      <w:r>
        <w:rPr>
          <w:rFonts w:ascii="宋体" w:hAnsi="宋体" w:eastAsia="宋体" w:cs="宋体"/>
          <w:b/>
          <w:bCs/>
          <w:sz w:val="21"/>
          <w:szCs w:val="21"/>
          <w:highlight w:val="none"/>
        </w:rPr>
        <w:br/>
      </w:r>
      <w:r>
        <w:rPr>
          <w:rFonts w:ascii="宋体" w:hAnsi="宋体" w:eastAsia="宋体" w:cs="宋体"/>
          <w:sz w:val="21"/>
          <w:szCs w:val="21"/>
          <w:highlight w:val="none"/>
        </w:rPr>
        <w:t xml:space="preserve">11.1乙方所提供服务的技术规格应与招标文件规定的技术规格及所附的“技术规格响应表”相一致；若技术性能无特殊说明，则按国家有关部门最新颁布的标准及规范为准。如采购事项未通过招投标方式进行采购的，应当在合同或者合同附件中明确相关质量、技术标准、服务内容等。</w:t>
      </w:r>
      <w:r/>
    </w:p>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br/>
      </w:r>
      <w:r>
        <w:rPr>
          <w:rFonts w:ascii="宋体" w:hAnsi="宋体" w:eastAsia="宋体" w:cs="宋体"/>
          <w:b/>
          <w:bCs/>
          <w:sz w:val="21"/>
          <w:szCs w:val="21"/>
          <w:highlight w:val="none"/>
        </w:rPr>
        <w:t xml:space="preserve">十二、服务交付</w:t>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12.1服务在交付甲方前发生的风险均由乙方负责。</w:t>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12.2服务在规定的交付期限内由乙方送达甲方指定的地点视为交付，乙方同时需通知甲方服务已送达。</w:t>
      </w:r>
      <w:r/>
    </w:p>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十三、违约责任</w:t>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13.1乙方因违约行为导致甲方解除合同的，乙方应向甲方支付合同总值</w:t>
      </w:r>
      <w:r>
        <w:rPr>
          <w:rFonts w:ascii="宋体" w:hAnsi="宋体" w:eastAsia="宋体" w:cs="宋体"/>
          <w:sz w:val="21"/>
          <w:szCs w:val="21"/>
          <w:highlight w:val="none"/>
          <w:u w:val="single"/>
        </w:rPr>
        <w:t xml:space="preserve">5%</w:t>
      </w:r>
      <w:r>
        <w:rPr>
          <w:rFonts w:ascii="宋体" w:hAnsi="宋体" w:eastAsia="宋体" w:cs="宋体"/>
          <w:sz w:val="21"/>
          <w:szCs w:val="21"/>
          <w:highlight w:val="none"/>
        </w:rPr>
        <w:t xml:space="preserve">的违约金，如造成甲方损失超过违约金的，超出部分由乙方继续承担赔偿责任；</w:t>
      </w:r>
      <w:r>
        <w:rPr>
          <w:rFonts w:ascii="宋体" w:hAnsi="宋体" w:eastAsia="宋体" w:cs="宋体"/>
          <w:sz w:val="21"/>
          <w:szCs w:val="21"/>
          <w:highlight w:val="none"/>
        </w:rPr>
        <w:br/>
      </w:r>
      <w:r>
        <w:rPr>
          <w:rFonts w:ascii="宋体" w:hAnsi="宋体" w:eastAsia="宋体" w:cs="宋体"/>
          <w:sz w:val="21"/>
          <w:szCs w:val="21"/>
          <w:highlight w:val="none"/>
        </w:rPr>
        <w:t xml:space="preserve">13.2乙方所交的服务质量不符合合同规定及招标文件规定标准的，甲方有权拒收该服务，或如甲方愿意更换服务，乙方拒绝更换的，甲方可单方面解除合同，并追究乙方的违约责任，乙方应向甲方支付合同总值5%的违约金。</w:t>
      </w:r>
      <w:r>
        <w:rPr>
          <w:rFonts w:ascii="宋体" w:hAnsi="宋体" w:eastAsia="宋体" w:cs="宋体"/>
          <w:sz w:val="21"/>
          <w:szCs w:val="21"/>
          <w:highlight w:val="none"/>
        </w:rPr>
        <w:br/>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十四、不可抗力事件处理</w:t>
      </w:r>
      <w:r>
        <w:rPr>
          <w:rFonts w:ascii="宋体" w:hAnsi="宋体" w:eastAsia="宋体" w:cs="宋体"/>
          <w:b/>
          <w:bCs/>
          <w:sz w:val="21"/>
          <w:szCs w:val="21"/>
          <w:highlight w:val="none"/>
        </w:rPr>
        <w:br/>
      </w:r>
      <w:r>
        <w:rPr>
          <w:rFonts w:ascii="宋体" w:hAnsi="宋体" w:eastAsia="宋体" w:cs="宋体"/>
          <w:sz w:val="21"/>
          <w:szCs w:val="21"/>
          <w:highlight w:val="none"/>
        </w:rPr>
        <w:t xml:space="preserve">14.1在合同有效期内，任何一方因不可抗力事件导致不能履行合同，则合同履</w:t>
      </w:r>
      <w:r>
        <w:rPr>
          <w:rFonts w:ascii="宋体" w:hAnsi="宋体" w:eastAsia="宋体" w:cs="宋体"/>
          <w:sz w:val="21"/>
          <w:szCs w:val="21"/>
          <w:highlight w:val="none"/>
        </w:rPr>
        <w:br/>
      </w:r>
      <w:r>
        <w:rPr>
          <w:rFonts w:ascii="宋体" w:hAnsi="宋体" w:eastAsia="宋体" w:cs="宋体"/>
          <w:sz w:val="21"/>
          <w:szCs w:val="21"/>
          <w:highlight w:val="none"/>
        </w:rPr>
        <w:t xml:space="preserve">期可延长，其延长期与不可抗力影响期相同；</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14.2不可抗力事件发生后，应立即通知对方，并寄送有关权威机构出具的证明；</w:t>
      </w:r>
      <w:r>
        <w:rPr>
          <w:rFonts w:ascii="宋体" w:hAnsi="宋体" w:eastAsia="宋体" w:cs="宋体"/>
          <w:sz w:val="21"/>
          <w:szCs w:val="21"/>
          <w:highlight w:val="none"/>
        </w:rPr>
        <w:br/>
      </w:r>
      <w:r>
        <w:rPr>
          <w:rFonts w:ascii="宋体" w:hAnsi="宋体" w:eastAsia="宋体" w:cs="宋体"/>
          <w:sz w:val="21"/>
          <w:szCs w:val="21"/>
          <w:highlight w:val="none"/>
        </w:rPr>
        <w:t xml:space="preserve">14.3不可抗力事件延续</w:t>
      </w:r>
      <w:r>
        <w:rPr>
          <w:rFonts w:ascii="宋体" w:hAnsi="宋体" w:eastAsia="宋体" w:cs="宋体"/>
          <w:sz w:val="21"/>
          <w:szCs w:val="21"/>
          <w:highlight w:val="none"/>
          <w:u w:val="single"/>
        </w:rPr>
        <w:t xml:space="preserve">120</w:t>
      </w:r>
      <w:r>
        <w:rPr>
          <w:rFonts w:ascii="宋体" w:hAnsi="宋体" w:eastAsia="宋体" w:cs="宋体"/>
          <w:sz w:val="21"/>
          <w:szCs w:val="21"/>
          <w:highlight w:val="none"/>
        </w:rPr>
        <w:t xml:space="preserve">天以上，双方应通过友好协商，确定是否继续履行</w:t>
      </w:r>
      <w:r>
        <w:rPr>
          <w:rFonts w:ascii="宋体" w:hAnsi="宋体" w:eastAsia="宋体" w:cs="宋体"/>
          <w:sz w:val="21"/>
          <w:szCs w:val="21"/>
          <w:highlight w:val="none"/>
        </w:rPr>
        <w:br/>
      </w:r>
      <w:r>
        <w:rPr>
          <w:rFonts w:ascii="宋体" w:hAnsi="宋体" w:eastAsia="宋体" w:cs="宋体"/>
          <w:sz w:val="21"/>
          <w:szCs w:val="21"/>
          <w:highlight w:val="none"/>
        </w:rPr>
        <w:t xml:space="preserve">合同。</w:t>
      </w:r>
      <w:r>
        <w:rPr>
          <w:rFonts w:ascii="宋体" w:hAnsi="宋体" w:eastAsia="宋体" w:cs="宋体"/>
          <w:sz w:val="21"/>
          <w:szCs w:val="21"/>
          <w:highlight w:val="none"/>
        </w:rPr>
        <w:br/>
      </w:r>
      <w:r/>
    </w:p>
    <w:p>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十五、诉讼</w:t>
      </w:r>
      <w:r>
        <w:rPr>
          <w:rFonts w:ascii="宋体" w:hAnsi="宋体" w:eastAsia="宋体" w:cs="宋体"/>
          <w:b/>
          <w:bCs/>
          <w:sz w:val="21"/>
          <w:szCs w:val="21"/>
          <w:highlight w:val="none"/>
        </w:rPr>
        <w:br/>
      </w:r>
      <w:r>
        <w:rPr>
          <w:rFonts w:ascii="宋体" w:hAnsi="宋体" w:eastAsia="宋体" w:cs="宋体"/>
          <w:sz w:val="21"/>
          <w:szCs w:val="21"/>
          <w:highlight w:val="none"/>
        </w:rPr>
        <w:t xml:space="preserve">15.1双方在执行合同中所发生的一切争议，应通过协商解决。如协商不成，可</w:t>
      </w:r>
      <w:r>
        <w:rPr>
          <w:rFonts w:ascii="宋体" w:hAnsi="宋体" w:eastAsia="宋体" w:cs="宋体"/>
          <w:sz w:val="21"/>
          <w:szCs w:val="21"/>
          <w:highlight w:val="none"/>
        </w:rPr>
        <w:br/>
      </w:r>
      <w:r>
        <w:rPr>
          <w:rFonts w:ascii="宋体" w:hAnsi="宋体" w:eastAsia="宋体" w:cs="宋体"/>
          <w:sz w:val="21"/>
          <w:szCs w:val="21"/>
          <w:highlight w:val="none"/>
        </w:rPr>
        <w:t xml:space="preserve">向合同签订地法院起诉，合同签订地在此约定为南京市玄武区。</w:t>
      </w:r>
      <w:r/>
    </w:p>
    <w:p>
      <w:pPr>
        <w:spacing w:before="0" w:after="0"/>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十六、合同生效及其它</w:t>
      </w:r>
      <w:r>
        <w:rPr>
          <w:rFonts w:ascii="宋体" w:hAnsi="宋体" w:eastAsia="宋体" w:cs="宋体"/>
          <w:b/>
          <w:bCs/>
          <w:sz w:val="21"/>
          <w:szCs w:val="21"/>
          <w:highlight w:val="none"/>
        </w:rPr>
        <w:br/>
      </w:r>
      <w:r>
        <w:rPr>
          <w:rFonts w:ascii="宋体" w:hAnsi="宋体" w:eastAsia="宋体" w:cs="宋体"/>
          <w:sz w:val="21"/>
          <w:szCs w:val="21"/>
          <w:highlight w:val="none"/>
        </w:rPr>
        <w:t xml:space="preserve">16.1 本合同是根据《中华人民共和国民法典》、《中华人民共和医政府采购法》、《江苏省肿瘤医院合同管理制度》与甲、乙双方的招标、谈判及投标等文件签订。</w:t>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16.2 与本次采购活动相关的文件及有关附件是本合同不可分割的组成部分，与本合同具有同等法律效力，这些文件包括但不限于：</w:t>
      </w:r>
      <w:r/>
    </w:p>
    <w:p>
      <w:pPr>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（1）合同变更、补充协议；        （2）服务一览表；</w:t>
      </w:r>
      <w:r/>
    </w:p>
    <w:p>
      <w:pPr>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（3）中标（成交）通知书；        （4）投标（响应）文件；</w:t>
      </w:r>
      <w:r/>
    </w:p>
    <w:p>
      <w:pPr>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（5）采购文件；                  （6）有关技术文件，图纸件；</w:t>
      </w:r>
      <w:r/>
    </w:p>
    <w:p>
      <w:pPr>
        <w:jc w:val="left"/>
        <w:spacing w:before="0" w:after="0"/>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（7）国家法律、行政法规和规章制度规定或合同约定的作为合同组成部分的其他文件。</w:t>
      </w:r>
      <w:r/>
    </w:p>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16.3合同经双方法定代表人或授权委托代表人签字并加盖单位合同专用章或单位公章后生效。</w:t>
      </w:r>
      <w:r/>
    </w:p>
    <w:p>
      <w:pPr>
        <w:spacing w:before="0" w:after="0"/>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16.4本合同未尽事宜，可由双方另行签订补充协议或遵照《民法典》有关条文执行。</w:t>
      </w:r>
      <w:r>
        <w:rPr>
          <w:rFonts w:ascii="宋体" w:hAnsi="宋体" w:eastAsia="宋体" w:cs="宋体"/>
          <w:sz w:val="21"/>
          <w:szCs w:val="21"/>
          <w:highlight w:val="none"/>
        </w:rPr>
        <w:br/>
      </w:r>
      <w:r>
        <w:rPr>
          <w:rFonts w:ascii="宋体" w:hAnsi="宋体" w:eastAsia="宋体" w:cs="宋体"/>
          <w:sz w:val="21"/>
          <w:szCs w:val="21"/>
          <w:highlight w:val="none"/>
        </w:rPr>
        <w:t xml:space="preserve">16.5本协议一式</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份，经买卖双方签字盖章后生效。甲方执</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份，乙方执</w:t>
      </w:r>
      <w:r>
        <w:rPr>
          <w:rFonts w:ascii="宋体" w:hAnsi="宋体" w:eastAsia="宋体" w:cs="宋体"/>
          <w:sz w:val="21"/>
          <w:szCs w:val="21"/>
          <w:highlight w:val="none"/>
          <w:u w:val="single"/>
        </w:rPr>
        <w:t xml:space="preserve">      </w:t>
      </w:r>
      <w:r>
        <w:rPr>
          <w:rFonts w:ascii="宋体" w:hAnsi="宋体" w:eastAsia="宋体" w:cs="宋体"/>
          <w:sz w:val="21"/>
          <w:szCs w:val="21"/>
          <w:highlight w:val="none"/>
        </w:rPr>
        <w:t xml:space="preserve">份，具有同等法律效力。</w:t>
      </w:r>
      <w:r/>
    </w:p>
    <w:p>
      <w:pPr>
        <w:spacing w:before="0" w:after="0"/>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tbl>
      <w:tblPr>
        <w:tblStyle w:val="815"/>
        <w:tblpPr w:horzAnchor="text" w:tblpXSpec="left" w:vertAnchor="text" w:tblpY="1" w:leftFromText="180" w:topFromText="0" w:rightFromText="180" w:bottomFromText="0"/>
        <w:tblW w:w="4750" w:type="pct"/>
        <w:tblInd w:w="0" w:type="dxa"/>
        <w:tblLayout w:type="fixed"/>
        <w:tblCellMar>
          <w:left w:w="0" w:type="dxa"/>
          <w:top w:w="0" w:type="dxa"/>
          <w:right w:w="0" w:type="dxa"/>
          <w:bottom w:w="0" w:type="dxa"/>
        </w:tblCellMar>
        <w:tblLook w:val="04A0" w:firstRow="1" w:lastRow="0" w:firstColumn="1" w:lastColumn="0" w:noHBand="0" w:noVBand="1"/>
      </w:tblPr>
      <w:tblGrid>
        <w:gridCol w:w="1575"/>
        <w:gridCol w:w="2875"/>
        <w:gridCol w:w="1709"/>
        <w:gridCol w:w="2625"/>
      </w:tblGrid>
      <w:tr>
        <w:trPr>
          <w:trHeight w:val="392"/>
        </w:trPr>
        <w:tc>
          <w:tcPr>
            <w:tcMar>
              <w:left w:w="113" w:type="dxa"/>
              <w:top w:w="5" w:type="dxa"/>
              <w:right w:w="113" w:type="dxa"/>
              <w:bottom w:w="5" w:type="dxa"/>
            </w:tcMar>
            <w:tcW w:w="162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甲方：</w:t>
            </w:r>
            <w:r/>
          </w:p>
        </w:tc>
        <w:tc>
          <w:tcPr>
            <w:tcMar>
              <w:left w:w="113" w:type="dxa"/>
              <w:top w:w="5" w:type="dxa"/>
              <w:right w:w="113" w:type="dxa"/>
              <w:bottom w:w="5" w:type="dxa"/>
            </w:tcMar>
            <w:tcW w:w="298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江苏省肿瘤防治研究所</w:t>
            </w:r>
            <w:r/>
          </w:p>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(江苏省肿瘤医院)</w:t>
            </w:r>
            <w:r/>
          </w:p>
        </w:tc>
        <w:tc>
          <w:tcPr>
            <w:tcMar>
              <w:left w:w="113" w:type="dxa"/>
              <w:top w:w="5" w:type="dxa"/>
              <w:right w:w="113" w:type="dxa"/>
              <w:bottom w:w="5" w:type="dxa"/>
            </w:tcMar>
            <w:tcW w:w="176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乙方：</w:t>
            </w:r>
            <w:r/>
          </w:p>
        </w:tc>
        <w:tc>
          <w:tcPr>
            <w:tcMar>
              <w:left w:w="113" w:type="dxa"/>
              <w:top w:w="5" w:type="dxa"/>
              <w:right w:w="113" w:type="dxa"/>
              <w:bottom w:w="5" w:type="dxa"/>
            </w:tcMar>
            <w:tcW w:w="27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403"/>
        </w:trPr>
        <w:tc>
          <w:tcPr>
            <w:tcMar>
              <w:left w:w="113" w:type="dxa"/>
              <w:top w:w="5" w:type="dxa"/>
              <w:right w:w="113" w:type="dxa"/>
              <w:bottom w:w="5" w:type="dxa"/>
            </w:tcMar>
            <w:tcW w:w="162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税号：</w:t>
            </w:r>
            <w:r/>
          </w:p>
        </w:tc>
        <w:tc>
          <w:tcPr>
            <w:tcMar>
              <w:left w:w="113" w:type="dxa"/>
              <w:top w:w="5" w:type="dxa"/>
              <w:right w:w="113" w:type="dxa"/>
              <w:bottom w:w="5" w:type="dxa"/>
            </w:tcMar>
            <w:tcW w:w="298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Mar>
              <w:left w:w="113" w:type="dxa"/>
              <w:top w:w="5" w:type="dxa"/>
              <w:right w:w="113" w:type="dxa"/>
              <w:bottom w:w="5" w:type="dxa"/>
            </w:tcMar>
            <w:tcW w:w="176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税号：</w:t>
            </w:r>
            <w:r/>
          </w:p>
        </w:tc>
        <w:tc>
          <w:tcPr>
            <w:tcMar>
              <w:left w:w="113" w:type="dxa"/>
              <w:top w:w="5" w:type="dxa"/>
              <w:right w:w="113" w:type="dxa"/>
              <w:bottom w:w="5" w:type="dxa"/>
            </w:tcMar>
            <w:tcW w:w="27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92"/>
        </w:trPr>
        <w:tc>
          <w:tcPr>
            <w:tcMar>
              <w:left w:w="113" w:type="dxa"/>
              <w:top w:w="5" w:type="dxa"/>
              <w:right w:w="113" w:type="dxa"/>
              <w:bottom w:w="5" w:type="dxa"/>
            </w:tcMar>
            <w:tcW w:w="162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电话：</w:t>
            </w:r>
            <w:r/>
          </w:p>
        </w:tc>
        <w:tc>
          <w:tcPr>
            <w:tcMar>
              <w:left w:w="113" w:type="dxa"/>
              <w:top w:w="5" w:type="dxa"/>
              <w:right w:w="113" w:type="dxa"/>
              <w:bottom w:w="5" w:type="dxa"/>
            </w:tcMar>
            <w:tcW w:w="298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Mar>
              <w:left w:w="113" w:type="dxa"/>
              <w:top w:w="5" w:type="dxa"/>
              <w:right w:w="113" w:type="dxa"/>
              <w:bottom w:w="5" w:type="dxa"/>
            </w:tcMar>
            <w:tcW w:w="176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电话：</w:t>
            </w:r>
            <w:r/>
          </w:p>
        </w:tc>
        <w:tc>
          <w:tcPr>
            <w:tcMar>
              <w:left w:w="113" w:type="dxa"/>
              <w:top w:w="5" w:type="dxa"/>
              <w:right w:w="113" w:type="dxa"/>
              <w:bottom w:w="5" w:type="dxa"/>
            </w:tcMar>
            <w:tcW w:w="27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92"/>
        </w:trPr>
        <w:tc>
          <w:tcPr>
            <w:tcMar>
              <w:left w:w="113" w:type="dxa"/>
              <w:top w:w="5" w:type="dxa"/>
              <w:right w:w="113" w:type="dxa"/>
              <w:bottom w:w="5" w:type="dxa"/>
            </w:tcMar>
            <w:tcW w:w="162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地址：</w:t>
            </w:r>
            <w:r/>
          </w:p>
        </w:tc>
        <w:tc>
          <w:tcPr>
            <w:tcMar>
              <w:left w:w="113" w:type="dxa"/>
              <w:top w:w="5" w:type="dxa"/>
              <w:right w:w="113" w:type="dxa"/>
              <w:bottom w:w="5" w:type="dxa"/>
            </w:tcMar>
            <w:tcW w:w="298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南京百子亭42号</w:t>
            </w:r>
            <w:r/>
          </w:p>
        </w:tc>
        <w:tc>
          <w:tcPr>
            <w:tcMar>
              <w:left w:w="113" w:type="dxa"/>
              <w:top w:w="5" w:type="dxa"/>
              <w:right w:w="113" w:type="dxa"/>
              <w:bottom w:w="5" w:type="dxa"/>
            </w:tcMar>
            <w:tcW w:w="176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地址：</w:t>
            </w:r>
            <w:r/>
          </w:p>
        </w:tc>
        <w:tc>
          <w:tcPr>
            <w:tcMar>
              <w:left w:w="113" w:type="dxa"/>
              <w:top w:w="5" w:type="dxa"/>
              <w:right w:w="113" w:type="dxa"/>
              <w:bottom w:w="5" w:type="dxa"/>
            </w:tcMar>
            <w:tcW w:w="27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784"/>
        </w:trPr>
        <w:tc>
          <w:tcPr>
            <w:tcMar>
              <w:left w:w="113" w:type="dxa"/>
              <w:top w:w="5" w:type="dxa"/>
              <w:right w:w="113" w:type="dxa"/>
              <w:bottom w:w="5" w:type="dxa"/>
            </w:tcMar>
            <w:tcW w:w="162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法定（授权）</w:t>
            </w:r>
            <w:r/>
          </w:p>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代表人：</w:t>
            </w:r>
            <w:r/>
          </w:p>
        </w:tc>
        <w:tc>
          <w:tcPr>
            <w:tcMar>
              <w:left w:w="113" w:type="dxa"/>
              <w:top w:w="5" w:type="dxa"/>
              <w:right w:w="113" w:type="dxa"/>
              <w:bottom w:w="5" w:type="dxa"/>
            </w:tcMar>
            <w:tcW w:w="298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Mar>
              <w:left w:w="113" w:type="dxa"/>
              <w:top w:w="5" w:type="dxa"/>
              <w:right w:w="113" w:type="dxa"/>
              <w:bottom w:w="5" w:type="dxa"/>
            </w:tcMar>
            <w:tcW w:w="176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法定（授权）</w:t>
            </w:r>
            <w:r/>
          </w:p>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代表人：</w:t>
            </w:r>
            <w:r/>
          </w:p>
        </w:tc>
        <w:tc>
          <w:tcPr>
            <w:tcMar>
              <w:left w:w="113" w:type="dxa"/>
              <w:top w:w="5" w:type="dxa"/>
              <w:right w:w="113" w:type="dxa"/>
              <w:bottom w:w="5" w:type="dxa"/>
            </w:tcMar>
            <w:tcW w:w="27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92"/>
        </w:trPr>
        <w:tc>
          <w:tcPr>
            <w:tcMar>
              <w:left w:w="113" w:type="dxa"/>
              <w:top w:w="5" w:type="dxa"/>
              <w:right w:w="113" w:type="dxa"/>
              <w:bottom w:w="5" w:type="dxa"/>
            </w:tcMar>
            <w:tcW w:w="162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部门负责人：</w:t>
            </w:r>
            <w:r/>
          </w:p>
        </w:tc>
        <w:tc>
          <w:tcPr>
            <w:tcMar>
              <w:left w:w="113" w:type="dxa"/>
              <w:top w:w="5" w:type="dxa"/>
              <w:right w:w="113" w:type="dxa"/>
              <w:bottom w:w="5" w:type="dxa"/>
            </w:tcMar>
            <w:tcW w:w="298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Mar>
              <w:left w:w="113" w:type="dxa"/>
              <w:top w:w="5" w:type="dxa"/>
              <w:right w:w="113" w:type="dxa"/>
              <w:bottom w:w="5" w:type="dxa"/>
            </w:tcMar>
            <w:tcW w:w="1768" w:type="dxa"/>
            <w:vAlign w:val="top"/>
            <w:textDirection w:val="lrTb"/>
            <w:noWrap w:val="false"/>
          </w:tcPr>
          <w:p>
            <w:pPr>
              <w:ind w:right="240"/>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签订日期：</w:t>
            </w:r>
            <w:r/>
          </w:p>
        </w:tc>
        <w:tc>
          <w:tcPr>
            <w:tcMar>
              <w:left w:w="113" w:type="dxa"/>
              <w:top w:w="5" w:type="dxa"/>
              <w:right w:w="113" w:type="dxa"/>
              <w:bottom w:w="5" w:type="dxa"/>
            </w:tcMar>
            <w:tcW w:w="27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518"/>
        </w:trPr>
        <w:tc>
          <w:tcPr>
            <w:tcMar>
              <w:left w:w="113" w:type="dxa"/>
              <w:top w:w="5" w:type="dxa"/>
              <w:right w:w="113" w:type="dxa"/>
              <w:bottom w:w="5" w:type="dxa"/>
            </w:tcMar>
            <w:tcW w:w="162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签订日期：</w:t>
            </w:r>
            <w:r/>
          </w:p>
        </w:tc>
        <w:tc>
          <w:tcPr>
            <w:tcMar>
              <w:left w:w="113" w:type="dxa"/>
              <w:top w:w="5" w:type="dxa"/>
              <w:right w:w="113" w:type="dxa"/>
              <w:bottom w:w="5" w:type="dxa"/>
            </w:tcMar>
            <w:tcW w:w="298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Mar>
              <w:left w:w="113" w:type="dxa"/>
              <w:top w:w="5" w:type="dxa"/>
              <w:right w:w="113" w:type="dxa"/>
              <w:bottom w:w="5" w:type="dxa"/>
            </w:tcMar>
            <w:tcW w:w="1768" w:type="dxa"/>
            <w:vAlign w:val="top"/>
            <w:textDirection w:val="lrTb"/>
            <w:noWrap w:val="false"/>
          </w:tcPr>
          <w:p>
            <w:pPr>
              <w:ind w:right="240"/>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签订地点：</w:t>
            </w:r>
            <w:r/>
          </w:p>
        </w:tc>
        <w:tc>
          <w:tcPr>
            <w:tcMar>
              <w:left w:w="113" w:type="dxa"/>
              <w:top w:w="5" w:type="dxa"/>
              <w:right w:w="113" w:type="dxa"/>
              <w:bottom w:w="5" w:type="dxa"/>
            </w:tcMar>
            <w:tcW w:w="27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92"/>
        </w:trPr>
        <w:tc>
          <w:tcPr>
            <w:tcMar>
              <w:left w:w="113" w:type="dxa"/>
              <w:top w:w="5" w:type="dxa"/>
              <w:right w:w="113" w:type="dxa"/>
              <w:bottom w:w="5" w:type="dxa"/>
            </w:tcMar>
            <w:tcW w:w="162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签订地点：</w:t>
            </w:r>
            <w:r/>
          </w:p>
        </w:tc>
        <w:tc>
          <w:tcPr>
            <w:tcMar>
              <w:left w:w="113" w:type="dxa"/>
              <w:top w:w="5" w:type="dxa"/>
              <w:right w:w="113" w:type="dxa"/>
              <w:bottom w:w="5" w:type="dxa"/>
            </w:tcMar>
            <w:tcW w:w="298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Mar>
              <w:left w:w="113" w:type="dxa"/>
              <w:top w:w="5" w:type="dxa"/>
              <w:right w:w="113" w:type="dxa"/>
              <w:bottom w:w="5" w:type="dxa"/>
            </w:tcMar>
            <w:tcW w:w="1768" w:type="dxa"/>
            <w:vAlign w:val="top"/>
            <w:textDirection w:val="lrTb"/>
            <w:noWrap w:val="false"/>
          </w:tcPr>
          <w:p>
            <w:pPr>
              <w:ind w:right="240"/>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开户银行：</w:t>
            </w:r>
            <w:r/>
          </w:p>
        </w:tc>
        <w:tc>
          <w:tcPr>
            <w:tcMar>
              <w:left w:w="113" w:type="dxa"/>
              <w:top w:w="5" w:type="dxa"/>
              <w:right w:w="113" w:type="dxa"/>
              <w:bottom w:w="5" w:type="dxa"/>
            </w:tcMar>
            <w:tcW w:w="27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92"/>
        </w:trPr>
        <w:tc>
          <w:tcPr>
            <w:tcMar>
              <w:left w:w="113" w:type="dxa"/>
              <w:top w:w="5" w:type="dxa"/>
              <w:right w:w="113" w:type="dxa"/>
              <w:bottom w:w="5" w:type="dxa"/>
            </w:tcMar>
            <w:tcW w:w="1628"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经办人：</w:t>
            </w:r>
            <w:r/>
          </w:p>
        </w:tc>
        <w:tc>
          <w:tcPr>
            <w:tcMar>
              <w:left w:w="113" w:type="dxa"/>
              <w:top w:w="5" w:type="dxa"/>
              <w:right w:w="113" w:type="dxa"/>
              <w:bottom w:w="5" w:type="dxa"/>
            </w:tcMar>
            <w:tcW w:w="298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Mar>
              <w:left w:w="113" w:type="dxa"/>
              <w:top w:w="5" w:type="dxa"/>
              <w:right w:w="113" w:type="dxa"/>
              <w:bottom w:w="5" w:type="dxa"/>
            </w:tcMar>
            <w:tcW w:w="1768" w:type="dxa"/>
            <w:vAlign w:val="top"/>
            <w:textDirection w:val="lrTb"/>
            <w:noWrap w:val="false"/>
          </w:tcPr>
          <w:p>
            <w:pPr>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银行账号：</w:t>
            </w:r>
            <w:r/>
          </w:p>
        </w:tc>
        <w:tc>
          <w:tcPr>
            <w:tcMar>
              <w:left w:w="113" w:type="dxa"/>
              <w:top w:w="5" w:type="dxa"/>
              <w:right w:w="113" w:type="dxa"/>
              <w:bottom w:w="5" w:type="dxa"/>
            </w:tcMar>
            <w:tcW w:w="2720"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bl>
    <w:p>
      <w:pPr>
        <w:jc w:val="left"/>
        <w:spacing w:before="0" w:after="0"/>
        <w:widowControl w:val="off"/>
        <w:rPr>
          <w:rFonts w:ascii="Times New Roman" w:hAnsi="Times New Roman" w:eastAsia="Times New Roman" w:cs="Times New Roman"/>
          <w:sz w:val="16"/>
          <w:szCs w:val="16"/>
          <w:highlight w:val="none"/>
        </w:rPr>
      </w:pPr>
      <w:r>
        <w:rPr>
          <w:rFonts w:ascii="Times New Roman" w:hAnsi="Times New Roman" w:eastAsia="Times New Roman" w:cs="Times New Roman"/>
          <w:sz w:val="16"/>
          <w:szCs w:val="16"/>
          <w:highlight w:val="none"/>
        </w:rPr>
      </w:r>
      <w:r/>
    </w:p>
    <w:p>
      <w:pPr>
        <w:ind w:left="2996" w:hanging="2730"/>
        <w:jc w:val="left"/>
        <w:spacing w:before="0" w:after="0" w:line="3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0" w:after="0"/>
        <w:widowControl w:val="off"/>
        <w:rPr>
          <w:rFonts w:ascii="Times New Roman" w:hAnsi="Times New Roman" w:eastAsia="Times New Roman" w:cs="Times New Roman"/>
          <w:sz w:val="18"/>
          <w:szCs w:val="18"/>
          <w:highlight w:val="none"/>
        </w:rPr>
      </w:pPr>
      <w:r>
        <w:rPr>
          <w:rFonts w:ascii="Times New Roman" w:hAnsi="Times New Roman" w:eastAsia="Times New Roman" w:cs="Times New Roman"/>
          <w:sz w:val="18"/>
          <w:szCs w:val="18"/>
          <w:highlight w:val="none"/>
        </w:rPr>
      </w:r>
      <w:r/>
    </w:p>
    <w:p>
      <w:pPr>
        <w:jc w:val="center"/>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36"/>
          <w:szCs w:val="36"/>
          <w:highlight w:val="none"/>
        </w:rPr>
        <w:br w:type="page" w:clear="all"/>
      </w:r>
      <w:r>
        <w:rPr>
          <w:rFonts w:ascii="宋体" w:hAnsi="宋体" w:eastAsia="宋体" w:cs="宋体"/>
          <w:b/>
          <w:bCs/>
          <w:sz w:val="21"/>
          <w:szCs w:val="21"/>
          <w:highlight w:val="none"/>
        </w:rPr>
        <w:t xml:space="preserve">附件1：《门诊导医服务供应商考核表》</w:t>
      </w:r>
      <w:r/>
    </w:p>
    <w:tbl>
      <w:tblPr>
        <w:tblStyle w:val="815"/>
        <w:tblW w:w="4750" w:type="pct"/>
        <w:tblInd w:w="24"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38"/>
        <w:gridCol w:w="3327"/>
        <w:gridCol w:w="939"/>
        <w:gridCol w:w="2456"/>
        <w:gridCol w:w="939"/>
      </w:tblGrid>
      <w:tr>
        <w:trPr>
          <w:trHeight w:val="557"/>
        </w:trPr>
        <w:tc>
          <w:tcPr>
            <w:tcBorders>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考核项目</w:t>
            </w:r>
            <w:r/>
          </w:p>
        </w:tc>
        <w:tc>
          <w:tcPr>
            <w:tcBorders>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考评内容</w:t>
            </w:r>
            <w:r/>
          </w:p>
        </w:tc>
        <w:tc>
          <w:tcPr>
            <w:tcBorders>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标准分</w:t>
            </w:r>
            <w:r/>
          </w:p>
        </w:tc>
        <w:tc>
          <w:tcPr>
            <w:tcBorders>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考核标准</w:t>
            </w:r>
            <w:r/>
          </w:p>
        </w:tc>
        <w:tc>
          <w:tcPr>
            <w:tcBorders>
              <w:left w:val="single" w:color="000000" w:sz="6" w:space="0"/>
              <w:bottom w:val="single" w:color="000000" w:sz="6" w:space="0"/>
            </w:tcBorders>
            <w:tcMar>
              <w:left w:w="16" w:type="dxa"/>
              <w:top w:w="16" w:type="dxa"/>
              <w:right w:w="16" w:type="dxa"/>
              <w:bottom w:w="8" w:type="dxa"/>
            </w:tcMar>
            <w:tcW w:w="1040" w:type="dxa"/>
            <w:vAlign w:val="bottom"/>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考核</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得分</w:t>
            </w:r>
            <w:r/>
          </w:p>
        </w:tc>
      </w:tr>
      <w:tr>
        <w:trPr>
          <w:trHeight w:val="707"/>
        </w:trPr>
        <w:tc>
          <w:tcPr>
            <w:tcBorders>
              <w:top w:val="single" w:color="000000" w:sz="6" w:space="0"/>
              <w:bottom w:val="single" w:color="000000" w:sz="6" w:space="0"/>
              <w:right w:val="single" w:color="000000" w:sz="6" w:space="0"/>
            </w:tcBorders>
            <w:tcMar>
              <w:left w:w="16" w:type="dxa"/>
              <w:top w:w="16" w:type="dxa"/>
              <w:right w:w="16" w:type="dxa"/>
              <w:bottom w:w="8" w:type="dxa"/>
            </w:tcMar>
            <w:tcW w:w="1040"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服务质量</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（20分）</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导医在岗期间保持良好的工作态度，按照规范积极为患者提供优质服务。</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未落实导医工作标准或因工作态度差造成患者投诉，扣2分/人次</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807"/>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熟练处理本岗位中常见的患者咨询、就医流程等问题。</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在上级检查中发现问题，扣2分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Mar>
              <w:left w:w="16" w:type="dxa"/>
              <w:top w:w="16" w:type="dxa"/>
              <w:right w:w="16" w:type="dxa"/>
              <w:bottom w:w="8" w:type="dxa"/>
            </w:tcMar>
            <w:tcW w:w="1040"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工作纪律</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（20分）</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除按规定审核的休假，需保证当月全员在岗率100%。</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有导医旷工、随意离岗办私事、迟到、早退、串岗，发现1例扣2分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用语规范，仪表端庄，符合服务规范要求。</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安排工作时讲条件、闹情绪，每人次扣2分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42"/>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规范着装上岗，佩戴胸牌。</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6</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不按要求着装扣每人次1分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1248"/>
        </w:trPr>
        <w:tc>
          <w:tcPr>
            <w:tcBorders>
              <w:top w:val="single" w:color="000000" w:sz="6" w:space="0"/>
              <w:bottom w:val="single" w:color="000000" w:sz="6" w:space="0"/>
              <w:right w:val="single" w:color="000000" w:sz="6" w:space="0"/>
            </w:tcBorders>
            <w:tcMar>
              <w:left w:w="16" w:type="dxa"/>
              <w:top w:w="16" w:type="dxa"/>
              <w:right w:w="16" w:type="dxa"/>
              <w:bottom w:w="8" w:type="dxa"/>
            </w:tcMar>
            <w:tcW w:w="1040" w:type="dxa"/>
            <w:vAlign w:val="center"/>
            <w:vMerge w:val="restart"/>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服务管理</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（60分）</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按要求定期对导医进行培训（每年至少2次），并积极参加采购人组织的相关培训。</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未定期组织培或者缺少培训项目或未参加医院组织的培训，扣2分；每次培训实到人数未达导医总数的2/3，扣1分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1.服务人员必须服从医院和供应商的双重管理，遵守医院相关管理制度和规定；</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2.医院在特殊情况下安排的临时性紧急任务或突发性任务，供应商必须无条件配合完成，医院不另外支付任何费用；</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3.供应商在履行合同期间，必须接受医院提出的整改意见，并在规定时间内完成整改工作；</w:t>
            </w:r>
            <w:r/>
          </w:p>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4.供应商需配合完成医院的考核并有责任配合医院接受上级领导部门的监督、检查。</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24</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经采购人评估如有一条未达标，扣6分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供应商建立导医相关各类制度，包括但不限于工作总结、定期巡查、整改情况等台账，并认真执行。</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制度不完善、制度落实不到位，扣3分/项</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供应商应做好人员储备工作，人员空岗或医院因工作需要增减导医，供应商在双方约定的时间内满足医院岗位人员需求，且不影响服务质量。</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超过约定时间的每延迟1天扣1分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314"/>
        </w:trPr>
        <w:tc>
          <w:tcPr>
            <w:tcBorders>
              <w:top w:val="single" w:color="000000" w:sz="6" w:space="0"/>
              <w:bottom w:val="single" w:color="000000" w:sz="6" w:space="0"/>
              <w:right w:val="single" w:color="000000" w:sz="6" w:space="0"/>
            </w:tcBorders>
            <w:tcW w:w="1040" w:type="dxa"/>
            <w:vAlign w:val="center"/>
            <w:vMerge w:val="continue"/>
            <w:textDirection w:val="lrTb"/>
            <w:noWrap w:val="false"/>
          </w:tcPr>
          <w:p>
            <w:pPr>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供应商应按相关法律法规为导医办理社保和公积金，保证新聘人员必须在规定的时间内完善相关劳动手续。按时发放导医工资福利待遇，不得迟发。如果发生各种意外事故及纠纷、用工人员投诉、仲裁、诉讼等，均由供应商自行承担经济和法律责任。</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发现未按照要求落实的每人扣2分</w:t>
            </w:r>
            <w:r/>
          </w:p>
        </w:tc>
        <w:tc>
          <w:tcPr>
            <w:tcBorders>
              <w:top w:val="single" w:color="000000" w:sz="6" w:space="0"/>
              <w:left w:val="single" w:color="000000" w:sz="6" w:space="0"/>
              <w:bottom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246"/>
        </w:trPr>
        <w:tc>
          <w:tcPr>
            <w:tcBorders>
              <w:top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合计</w:t>
            </w:r>
            <w:r/>
          </w:p>
        </w:tc>
        <w:tc>
          <w:tcPr>
            <w:tcBorders>
              <w:top w:val="single" w:color="000000" w:sz="6" w:space="0"/>
              <w:left w:val="single" w:color="000000" w:sz="6" w:space="0"/>
              <w:right w:val="single" w:color="000000" w:sz="6" w:space="0"/>
            </w:tcBorders>
            <w:tcMar>
              <w:left w:w="16" w:type="dxa"/>
              <w:top w:w="16" w:type="dxa"/>
              <w:right w:w="16" w:type="dxa"/>
              <w:bottom w:w="8" w:type="dxa"/>
            </w:tcMar>
            <w:tcW w:w="370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righ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100</w:t>
            </w:r>
            <w:r/>
          </w:p>
        </w:tc>
        <w:tc>
          <w:tcPr>
            <w:tcBorders>
              <w:top w:val="single" w:color="000000" w:sz="6" w:space="0"/>
              <w:left w:val="single" w:color="000000" w:sz="6" w:space="0"/>
              <w:right w:val="single" w:color="000000" w:sz="6" w:space="0"/>
            </w:tcBorders>
            <w:tcMar>
              <w:left w:w="16" w:type="dxa"/>
              <w:top w:w="16" w:type="dxa"/>
              <w:right w:w="16" w:type="dxa"/>
              <w:bottom w:w="8" w:type="dxa"/>
            </w:tcMar>
            <w:tcW w:w="273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tcBorders>
            <w:tcMar>
              <w:left w:w="16" w:type="dxa"/>
              <w:top w:w="16" w:type="dxa"/>
              <w:right w:w="16" w:type="dxa"/>
              <w:bottom w:w="8" w:type="dxa"/>
            </w:tcMar>
            <w:tcW w:w="104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bl>
    <w:p>
      <w:pPr>
        <w:spacing w:before="0" w:after="0"/>
        <w:widowControl w:val="off"/>
        <w:rPr>
          <w:rFonts w:ascii="Times New Roman" w:hAnsi="Times New Roman" w:eastAsia="Times New Roman" w:cs="Times New Roman"/>
          <w:sz w:val="44"/>
          <w:szCs w:val="44"/>
          <w:highlight w:val="none"/>
        </w:rPr>
      </w:pPr>
      <w:r>
        <w:rPr>
          <w:rFonts w:ascii="Times New Roman" w:hAnsi="Times New Roman" w:eastAsia="Times New Roman" w:cs="Times New Roman"/>
          <w:sz w:val="44"/>
          <w:szCs w:val="44"/>
          <w:highlight w:val="none"/>
        </w:rPr>
        <w:t xml:space="preserve"> </w:t>
      </w:r>
      <w:r/>
    </w:p>
    <w:p>
      <w:pPr>
        <w:pStyle w:val="810"/>
        <w:jc w:val="center"/>
        <w:spacing w:before="290" w:after="290"/>
        <w:widowControl w:val="off"/>
        <w:rPr>
          <w:rFonts w:ascii="Times New Roman" w:hAnsi="Times New Roman" w:eastAsia="Times New Roman" w:cs="Times New Roman"/>
          <w:b/>
          <w:bCs/>
          <w:sz w:val="44"/>
          <w:szCs w:val="44"/>
          <w:highlight w:val="none"/>
        </w:rPr>
        <w:outlineLvl w:val="9"/>
      </w:pPr>
      <w:r>
        <w:rPr>
          <w:rFonts w:ascii="黑体" w:hAnsi="黑体" w:eastAsia="黑体" w:cs="黑体"/>
          <w:sz w:val="44"/>
          <w:szCs w:val="44"/>
          <w:highlight w:val="none"/>
        </w:rPr>
        <w:br w:type="page" w:clear="all"/>
      </w:r>
      <w:r>
        <w:rPr>
          <w:rFonts w:ascii="黑体" w:hAnsi="黑体" w:eastAsia="黑体" w:cs="黑体"/>
          <w:sz w:val="44"/>
          <w:szCs w:val="44"/>
          <w:highlight w:val="none"/>
        </w:rPr>
        <w:t xml:space="preserve">第六章 投标文件格式</w:t>
      </w:r>
      <w:r/>
    </w:p>
    <w:p>
      <w:pPr>
        <w:spacing w:before="0" w:after="0" w:line="360" w:lineRule="auto"/>
        <w:rPr>
          <w:rFonts w:ascii="Times New Roman" w:hAnsi="Times New Roman" w:eastAsia="Times New Roman" w:cs="Times New Roman"/>
          <w:highlight w:val="none"/>
        </w:rPr>
      </w:pPr>
      <w:r>
        <w:rPr>
          <w:rFonts w:ascii="宋体" w:hAnsi="宋体" w:eastAsia="宋体" w:cs="宋体"/>
          <w:sz w:val="21"/>
          <w:szCs w:val="21"/>
          <w:highlight w:val="none"/>
        </w:rPr>
        <w:t xml:space="preserve">注：请供应商按照以下文件的要求格式、内容，顺序制作投标文件，并请编制目录及页码，否则可能将影响对投标文件的评价。</w:t>
      </w:r>
      <w:r/>
    </w:p>
    <w:p>
      <w:pPr>
        <w:jc w:val="left"/>
        <w:spacing w:before="0" w:after="0" w:line="44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spacing w:before="0" w:after="0"/>
        <w:widowControl w:val="off"/>
        <w:rPr>
          <w:rFonts w:ascii="Times New Roman" w:hAnsi="Times New Roman" w:eastAsia="Times New Roman" w:cs="Times New Roman"/>
          <w:sz w:val="30"/>
          <w:szCs w:val="30"/>
          <w:highlight w:val="none"/>
        </w:rPr>
      </w:pPr>
      <w:r>
        <w:rPr>
          <w:rFonts w:ascii="Times New Roman" w:hAnsi="Times New Roman" w:eastAsia="Times New Roman" w:cs="Times New Roman"/>
          <w:sz w:val="30"/>
          <w:szCs w:val="30"/>
          <w:highlight w:val="none"/>
        </w:rPr>
        <w:t xml:space="preserve"> </w:t>
      </w:r>
      <w:r/>
    </w:p>
    <w:p>
      <w:pPr>
        <w:jc w:val="center"/>
        <w:spacing w:before="0" w:after="0"/>
        <w:widowControl w:val="off"/>
        <w:rPr>
          <w:rFonts w:ascii="Times New Roman" w:hAnsi="Times New Roman" w:eastAsia="Times New Roman" w:cs="Times New Roman"/>
          <w:sz w:val="30"/>
          <w:szCs w:val="30"/>
          <w:highlight w:val="none"/>
        </w:rPr>
      </w:pPr>
      <w:r>
        <w:rPr>
          <w:rFonts w:ascii="PMingLiU" w:hAnsi="PMingLiU" w:eastAsia="PMingLiU" w:cs="PMingLiU"/>
          <w:b/>
          <w:bCs/>
          <w:sz w:val="30"/>
          <w:szCs w:val="30"/>
          <w:highlight w:val="none"/>
        </w:rPr>
        <w:t xml:space="preserve">评分索引表</w:t>
      </w:r>
      <w:r/>
    </w:p>
    <w:tbl>
      <w:tblPr>
        <w:tblStyle w:val="815"/>
        <w:tblW w:w="4750" w:type="pct"/>
        <w:tblInd w:w="1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380"/>
        <w:gridCol w:w="3394"/>
      </w:tblGrid>
      <w:tr>
        <w:trPr>
          <w:trHeight w:val="460"/>
        </w:trPr>
        <w:tc>
          <w:tcPr>
            <w:tcBorders>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PMingLiU" w:hAnsi="PMingLiU" w:eastAsia="PMingLiU" w:cs="PMingLiU"/>
                <w:b/>
                <w:bCs/>
                <w:i w:val="0"/>
                <w:iCs w:val="0"/>
                <w:smallCaps w:val="0"/>
                <w:color w:val="000000"/>
                <w:sz w:val="20"/>
                <w:szCs w:val="20"/>
                <w:highlight w:val="none"/>
              </w:rPr>
              <w:t xml:space="preserve">评分项目</w:t>
            </w:r>
            <w:r/>
          </w:p>
        </w:tc>
        <w:tc>
          <w:tcPr>
            <w:tcBorders>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center"/>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PMingLiU" w:hAnsi="PMingLiU" w:eastAsia="PMingLiU" w:cs="PMingLiU"/>
                <w:b/>
                <w:bCs/>
                <w:i w:val="0"/>
                <w:iCs w:val="0"/>
                <w:smallCaps w:val="0"/>
                <w:color w:val="000000"/>
                <w:sz w:val="20"/>
                <w:szCs w:val="20"/>
                <w:highlight w:val="none"/>
              </w:rPr>
              <w:t xml:space="preserve">在投标文件中的页码位置</w:t>
            </w:r>
            <w:r/>
          </w:p>
        </w:tc>
      </w:tr>
      <w:tr>
        <w:trPr>
          <w:trHeight w:val="446"/>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28"/>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20"/>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60"/>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60"/>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399"/>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388"/>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23"/>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07"/>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40"/>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44"/>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385"/>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02"/>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39"/>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37"/>
        </w:trPr>
        <w:tc>
          <w:tcPr>
            <w:tcBorders>
              <w:top w:val="single" w:color="000000" w:sz="6" w:space="0"/>
              <w:bottom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r>
        <w:trPr>
          <w:trHeight w:val="440"/>
        </w:trPr>
        <w:tc>
          <w:tcPr>
            <w:tcBorders>
              <w:top w:val="single" w:color="000000" w:sz="6" w:space="0"/>
              <w:right w:val="single" w:color="000000" w:sz="6" w:space="0"/>
            </w:tcBorders>
            <w:tcMar>
              <w:left w:w="108" w:type="dxa"/>
              <w:top w:w="8" w:type="dxa"/>
              <w:right w:w="108" w:type="dxa"/>
              <w:bottom w:w="8" w:type="dxa"/>
            </w:tcMar>
            <w:tcW w:w="5252"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c>
          <w:tcPr>
            <w:tcBorders>
              <w:top w:val="single" w:color="000000" w:sz="6" w:space="0"/>
              <w:left w:val="single" w:color="000000" w:sz="6" w:space="0"/>
            </w:tcBorders>
            <w:tcMar>
              <w:left w:w="108" w:type="dxa"/>
              <w:top w:w="8" w:type="dxa"/>
              <w:right w:w="108" w:type="dxa"/>
              <w:bottom w:w="8" w:type="dxa"/>
            </w:tcMar>
            <w:tcW w:w="3314" w:type="dxa"/>
            <w:vAlign w:val="top"/>
            <w:textDirection w:val="lrTb"/>
            <w:noWrap w:val="false"/>
          </w:tcPr>
          <w:p>
            <w:pPr>
              <w:jc w:val="left"/>
              <w:spacing w:before="0" w:after="0"/>
              <w:widowControl w:val="off"/>
              <w:rPr>
                <w:rFonts w:ascii="Times New Roman" w:hAnsi="Times New Roman" w:eastAsia="Times New Roman" w:cs="Times New Roman"/>
                <w:b w:val="0"/>
                <w:bCs w:val="0"/>
                <w:i w:val="0"/>
                <w:iCs w:val="0"/>
                <w:smallCaps w:val="0"/>
                <w:color w:val="000000"/>
                <w:sz w:val="20"/>
                <w:szCs w:val="20"/>
                <w:highlight w:val="none"/>
              </w:rPr>
            </w:pPr>
            <w:r>
              <w:rPr>
                <w:rFonts w:ascii="Times New Roman" w:hAnsi="Times New Roman" w:eastAsia="Times New Roman" w:cs="Times New Roman"/>
                <w:b w:val="0"/>
                <w:bCs w:val="0"/>
                <w:i w:val="0"/>
                <w:iCs w:val="0"/>
                <w:smallCaps w:val="0"/>
                <w:color w:val="000000"/>
                <w:sz w:val="20"/>
                <w:szCs w:val="20"/>
                <w:highlight w:val="none"/>
              </w:rPr>
            </w:r>
            <w:r/>
          </w:p>
        </w:tc>
      </w:tr>
    </w:tbl>
    <w:p>
      <w:pPr>
        <w:jc w:val="left"/>
        <w:spacing w:before="0" w:after="0" w:line="288" w:lineRule="auto"/>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ind w:firstLine="420"/>
        <w:jc w:val="left"/>
        <w:spacing w:before="0" w:after="0"/>
        <w:widowControl w:val="off"/>
        <w:rPr>
          <w:rFonts w:ascii="Times New Roman" w:hAnsi="Times New Roman" w:eastAsia="Times New Roman" w:cs="Times New Roman"/>
          <w:sz w:val="32"/>
          <w:szCs w:val="32"/>
          <w:highlight w:val="none"/>
        </w:rPr>
      </w:pPr>
      <w:r>
        <w:rPr>
          <w:rFonts w:ascii="Times New Roman" w:hAnsi="Times New Roman" w:eastAsia="Times New Roman" w:cs="Times New Roman"/>
          <w:sz w:val="32"/>
          <w:szCs w:val="32"/>
          <w:highlight w:val="none"/>
        </w:rPr>
      </w:r>
      <w:r/>
    </w:p>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 xml:space="preserve"> </w:t>
      </w:r>
      <w:r/>
    </w:p>
    <w:p>
      <w:pPr>
        <w:pStyle w:val="811"/>
        <w:keepNext w:val="0"/>
        <w:spacing w:before="120" w:after="120" w:line="400" w:lineRule="atLeast"/>
        <w:widowControl w:val="off"/>
        <w:rPr>
          <w:rFonts w:ascii="Times New Roman" w:hAnsi="Times New Roman" w:eastAsia="Times New Roman" w:cs="Times New Roman"/>
          <w:b/>
          <w:bCs/>
          <w:sz w:val="36"/>
          <w:szCs w:val="36"/>
          <w:highlight w:val="none"/>
        </w:rPr>
        <w:outlineLvl w:val="9"/>
      </w:pPr>
      <w:r>
        <w:rPr>
          <w:rFonts w:ascii="宋体" w:hAnsi="宋体" w:eastAsia="宋体" w:cs="宋体"/>
          <w:i w:val="0"/>
          <w:iCs w:val="0"/>
          <w:sz w:val="21"/>
          <w:szCs w:val="21"/>
          <w:highlight w:val="none"/>
        </w:rPr>
        <w:br w:type="page" w:clear="all"/>
      </w:r>
      <w:r>
        <w:rPr>
          <w:rFonts w:ascii="宋体" w:hAnsi="宋体" w:eastAsia="宋体" w:cs="宋体"/>
          <w:i w:val="0"/>
          <w:iCs w:val="0"/>
          <w:sz w:val="21"/>
          <w:szCs w:val="21"/>
          <w:highlight w:val="none"/>
        </w:rPr>
        <w:t xml:space="preserve">一、投标函、投标报价及项目相关文件</w:t>
      </w:r>
      <w:r/>
    </w:p>
    <w:p>
      <w:pPr>
        <w:pStyle w:val="812"/>
        <w:jc w:val="center"/>
        <w:keepNext w:val="0"/>
        <w:spacing w:before="0" w:after="0" w:line="400" w:lineRule="atLeast"/>
        <w:shd w:val="clear" w:color="auto" w:fill="ffffff"/>
        <w:widowControl w:val="off"/>
        <w:rPr>
          <w:rFonts w:ascii="Times New Roman" w:hAnsi="Times New Roman" w:eastAsia="Times New Roman" w:cs="Times New Roman"/>
          <w:b/>
          <w:bCs/>
          <w:sz w:val="28"/>
          <w:szCs w:val="28"/>
          <w:highlight w:val="none"/>
        </w:rPr>
        <w:outlineLvl w:val="9"/>
      </w:pPr>
      <w:r>
        <w:rPr>
          <w:rFonts w:ascii="宋体" w:hAnsi="宋体" w:eastAsia="宋体" w:cs="宋体"/>
          <w:sz w:val="21"/>
          <w:szCs w:val="21"/>
          <w:highlight w:val="none"/>
        </w:rPr>
        <w:t xml:space="preserve">1.投标函</w:t>
      </w:r>
      <w:r/>
    </w:p>
    <w:p>
      <w:pPr>
        <w:jc w:val="left"/>
        <w:spacing w:before="19"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苏美达国际技术贸易有限公司：</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贵单位招标文件（包括更正通知，如果有的话）收悉，我们经详细审阅和研究，现决定参加投标。</w:t>
      </w:r>
      <w:r/>
    </w:p>
    <w:p>
      <w:pPr>
        <w:ind w:firstLine="420"/>
        <w:jc w:val="left"/>
        <w:spacing w:before="19"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1.我们郑重承诺：我们是符合《中华人民共和国政府采购法》第二十二条规定的供应商，并严格遵守《中华人民共和国政府采购法》的规定。</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    2.我们接受招标文件的所有条款和规定。</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    3.我们同意按照招标文件第二章“投标人须知”第11条的规定，本投标文件的有效期为从投标截止日期起计算的九十天，在此期间，本投标文件将始终对我们具有约束力，并可随时被接受。如果我们中标，本投标文件在此期间之后将继续保持有效。</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    4.我们同意提供采购人要求的有关本次招标的所有资料。</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    5.我们理解，贵公司无义务必须接受投标价最低的投标，并有权拒绝所有的投标。同时也理解贵公司不承担我们本次投标的费用。</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6.如果我们中标，我们将按照招标文件的规定向贵公司支付招标代理服务费及其他相关费用；为执行合同，我们将按投标人须知有关要求提供必要的履约保证。</w:t>
      </w:r>
      <w:r/>
    </w:p>
    <w:p>
      <w:pPr>
        <w:ind w:firstLine="420"/>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20"/>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0" w:after="0" w:line="400" w:lineRule="atLeast"/>
        <w:widowControl w:val="off"/>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供应商名称：</w:t>
      </w:r>
      <w:r>
        <w:rPr>
          <w:rFonts w:ascii="Calibri" w:hAnsi="Calibri" w:eastAsia="Calibri" w:cs="Calibri"/>
          <w:sz w:val="21"/>
          <w:szCs w:val="21"/>
          <w:highlight w:val="none"/>
        </w:rPr>
        <w:tab/>
      </w:r>
      <w:r>
        <w:rPr>
          <w:rFonts w:ascii="PMingLiU" w:hAnsi="PMingLiU" w:eastAsia="PMingLiU" w:cs="PMingLiU"/>
          <w:sz w:val="21"/>
          <w:szCs w:val="21"/>
          <w:highlight w:val="none"/>
          <w:u w:val="single"/>
        </w:rPr>
        <w:t xml:space="preserve">（公章）</w:t>
      </w:r>
      <w:r/>
    </w:p>
    <w:p>
      <w:pPr>
        <w:jc w:val="left"/>
        <w:spacing w:before="0" w:after="0" w:line="400" w:lineRule="atLeast"/>
        <w:widowControl w:val="off"/>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地址：邮编：</w:t>
      </w:r>
      <w:r/>
    </w:p>
    <w:p>
      <w:pPr>
        <w:jc w:val="left"/>
        <w:spacing w:before="0" w:after="0" w:line="400" w:lineRule="atLeast"/>
        <w:widowControl w:val="off"/>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电话：传真：</w:t>
      </w:r>
      <w:r/>
    </w:p>
    <w:p>
      <w:pPr>
        <w:jc w:val="left"/>
        <w:spacing w:before="0" w:after="0" w:line="400" w:lineRule="atLeast"/>
        <w:widowControl w:val="off"/>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授权代表签字：</w:t>
      </w:r>
      <w:r/>
    </w:p>
    <w:p>
      <w:pPr>
        <w:jc w:val="left"/>
        <w:spacing w:before="0" w:after="0" w:line="400" w:lineRule="atLeast"/>
        <w:widowControl w:val="off"/>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职务：</w:t>
      </w:r>
      <w:r/>
    </w:p>
    <w:p>
      <w:pPr>
        <w:jc w:val="left"/>
        <w:spacing w:before="0" w:after="0" w:line="400" w:lineRule="atLeast"/>
        <w:widowControl w:val="off"/>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日期：</w:t>
      </w:r>
      <w:r/>
    </w:p>
    <w:p>
      <w:pPr>
        <w:jc w:val="left"/>
        <w:spacing w:before="4"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t xml:space="preserve"> </w:t>
      </w:r>
      <w:r/>
    </w:p>
    <w:p>
      <w:pPr>
        <w:pStyle w:val="812"/>
        <w:jc w:val="center"/>
        <w:keepNext w:val="0"/>
        <w:spacing w:before="0" w:after="0" w:line="400" w:lineRule="atLeast"/>
        <w:shd w:val="clear" w:color="auto" w:fill="ffffff"/>
        <w:widowControl w:val="off"/>
        <w:rPr>
          <w:rFonts w:ascii="Times New Roman" w:hAnsi="Times New Roman" w:eastAsia="Times New Roman" w:cs="Times New Roman"/>
          <w:b/>
          <w:bCs/>
          <w:sz w:val="28"/>
          <w:szCs w:val="28"/>
          <w:highlight w:val="none"/>
        </w:rPr>
        <w:outlineLvl w:val="9"/>
      </w:pPr>
      <w:r>
        <w:rPr>
          <w:rFonts w:ascii="宋体" w:hAnsi="宋体" w:eastAsia="宋体" w:cs="宋体"/>
          <w:sz w:val="21"/>
          <w:szCs w:val="21"/>
          <w:highlight w:val="none"/>
        </w:rPr>
        <w:br w:type="page" w:clear="all"/>
      </w:r>
      <w:r>
        <w:rPr>
          <w:rFonts w:ascii="宋体" w:hAnsi="宋体" w:eastAsia="宋体" w:cs="宋体"/>
          <w:sz w:val="21"/>
          <w:szCs w:val="21"/>
          <w:highlight w:val="none"/>
        </w:rPr>
        <w:t xml:space="preserve">2.开标一览表</w:t>
      </w:r>
      <w:r/>
    </w:p>
    <w:p>
      <w:pPr>
        <w:jc w:val="left"/>
        <w:spacing w:before="0" w:after="0" w:line="400" w:lineRule="atLeast"/>
        <w:widowControl w:val="off"/>
        <w:rPr>
          <w:rFonts w:ascii="Times New Roman" w:hAnsi="Times New Roman" w:eastAsia="Times New Roman" w:cs="Times New Roman"/>
          <w:sz w:val="24"/>
          <w:szCs w:val="24"/>
          <w:highlight w:val="none"/>
        </w:rPr>
      </w:pP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rPr>
          <w:rFonts w:ascii="Times New Roman" w:hAnsi="Times New Roman" w:eastAsia="Times New Roman" w:cs="Times New Roman"/>
          <w:sz w:val="24"/>
          <w:szCs w:val="24"/>
          <w:highlight w:val="none"/>
        </w:rPr>
        <w:tab/>
      </w:r>
      <w:r/>
    </w:p>
    <w:tbl>
      <w:tblPr>
        <w:tblStyle w:val="815"/>
        <w:tblW w:w="4750" w:type="pct"/>
        <w:tblInd w:w="123"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407"/>
        <w:gridCol w:w="6367"/>
      </w:tblGrid>
      <w:tr>
        <w:trPr/>
        <w:tc>
          <w:tcPr>
            <w:tcBorders>
              <w:bottom w:val="single" w:color="000000" w:sz="6" w:space="0"/>
              <w:right w:val="single" w:color="000000" w:sz="6" w:space="0"/>
            </w:tcBorders>
            <w:tcMar>
              <w:left w:w="108" w:type="dxa"/>
              <w:top w:w="15" w:type="dxa"/>
              <w:right w:w="108" w:type="dxa"/>
              <w:bottom w:w="8" w:type="dxa"/>
            </w:tcMar>
            <w:tcW w:w="235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项目名称</w:t>
            </w:r>
            <w:r/>
          </w:p>
        </w:tc>
        <w:tc>
          <w:tcPr>
            <w:tcBorders>
              <w:left w:val="single" w:color="000000" w:sz="6" w:space="0"/>
              <w:bottom w:val="single" w:color="000000" w:sz="6" w:space="0"/>
            </w:tcBorders>
            <w:tcMar>
              <w:left w:w="108" w:type="dxa"/>
              <w:top w:w="15" w:type="dxa"/>
              <w:right w:w="108" w:type="dxa"/>
              <w:bottom w:w="8" w:type="dxa"/>
            </w:tcMar>
            <w:tcW w:w="62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c>
          <w:tcPr>
            <w:tcBorders>
              <w:top w:val="single" w:color="000000" w:sz="12" w:space="0"/>
              <w:bottom w:val="single" w:color="000000" w:sz="6" w:space="0"/>
              <w:right w:val="single" w:color="000000" w:sz="6" w:space="0"/>
            </w:tcBorders>
            <w:tcMar>
              <w:left w:w="108" w:type="dxa"/>
              <w:top w:w="15" w:type="dxa"/>
              <w:right w:w="108" w:type="dxa"/>
              <w:bottom w:w="8" w:type="dxa"/>
            </w:tcMar>
            <w:tcW w:w="2350"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项目编号</w:t>
            </w:r>
            <w:r/>
          </w:p>
        </w:tc>
        <w:tc>
          <w:tcPr>
            <w:tcBorders>
              <w:top w:val="single" w:color="000000" w:sz="12" w:space="0"/>
              <w:left w:val="single" w:color="000000" w:sz="6" w:space="0"/>
              <w:bottom w:val="single" w:color="000000" w:sz="6" w:space="0"/>
            </w:tcBorders>
            <w:tcMar>
              <w:left w:w="108" w:type="dxa"/>
              <w:top w:w="15" w:type="dxa"/>
              <w:right w:w="108" w:type="dxa"/>
              <w:bottom w:w="8" w:type="dxa"/>
            </w:tcMar>
            <w:tcW w:w="6216" w:type="dxa"/>
            <w:vAlign w:val="center"/>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2350"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lang w:val="en-US" w:eastAsia="zh-CN"/>
              </w:rPr>
            </w:pPr>
            <w:r>
              <w:rPr>
                <w:rFonts w:ascii="宋体" w:hAnsi="宋体" w:eastAsia="宋体" w:cs="宋体"/>
                <w:b w:val="0"/>
                <w:bCs w:val="0"/>
                <w:i w:val="0"/>
                <w:iCs w:val="0"/>
                <w:smallCaps w:val="0"/>
                <w:color w:val="000000"/>
                <w:sz w:val="21"/>
                <w:szCs w:val="21"/>
                <w:highlight w:val="none"/>
              </w:rPr>
              <w:t xml:space="preserve">投标</w:t>
            </w:r>
            <w:r>
              <w:rPr>
                <w:rFonts w:hint="eastAsia" w:ascii="宋体" w:hAnsi="宋体" w:eastAsia="宋体" w:cs="宋体"/>
                <w:b w:val="0"/>
                <w:bCs w:val="0"/>
                <w:i w:val="0"/>
                <w:iCs w:val="0"/>
                <w:smallCaps w:val="0"/>
                <w:color w:val="000000"/>
                <w:sz w:val="21"/>
                <w:szCs w:val="21"/>
                <w:highlight w:val="none"/>
                <w:lang w:val="en-US" w:eastAsia="zh-CN"/>
              </w:rPr>
              <w:t xml:space="preserve">报</w:t>
            </w:r>
            <w:r>
              <w:rPr>
                <w:rFonts w:ascii="宋体" w:hAnsi="宋体" w:eastAsia="宋体" w:cs="宋体"/>
                <w:b w:val="0"/>
                <w:bCs w:val="0"/>
                <w:i w:val="0"/>
                <w:iCs w:val="0"/>
                <w:smallCaps w:val="0"/>
                <w:color w:val="000000"/>
                <w:sz w:val="21"/>
                <w:szCs w:val="21"/>
                <w:highlight w:val="none"/>
              </w:rPr>
              <w:t xml:space="preserve">价</w:t>
            </w:r>
            <w:r>
              <w:rPr>
                <w:rFonts w:hint="eastAsia" w:ascii="宋体" w:hAnsi="宋体" w:eastAsia="宋体" w:cs="宋体"/>
                <w:b w:val="0"/>
                <w:bCs w:val="0"/>
                <w:i w:val="0"/>
                <w:iCs w:val="0"/>
                <w:smallCaps w:val="0"/>
                <w:color w:val="000000"/>
                <w:sz w:val="21"/>
                <w:szCs w:val="21"/>
                <w:highlight w:val="none"/>
                <w:lang w:val="en-US" w:eastAsia="zh-CN"/>
              </w:rPr>
              <w:t xml:space="preserve">/年</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val="en-US" w:eastAsia="zh-CN"/>
              </w:rPr>
              <w:t xml:space="preserve">(</w:t>
            </w:r>
            <w:r>
              <w:rPr>
                <w:rFonts w:ascii="宋体" w:hAnsi="宋体" w:eastAsia="宋体" w:cs="宋体"/>
                <w:b w:val="0"/>
                <w:bCs w:val="0"/>
                <w:i w:val="0"/>
                <w:iCs w:val="0"/>
                <w:smallCaps w:val="0"/>
                <w:color w:val="000000"/>
                <w:sz w:val="21"/>
                <w:szCs w:val="21"/>
                <w:highlight w:val="none"/>
              </w:rPr>
              <w:t xml:space="preserve">人民币）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6216"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2350" w:type="dxa"/>
            <w:vAlign w:val="top"/>
            <w:textDirection w:val="lrTb"/>
            <w:noWrap w:val="false"/>
          </w:tcPr>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lang w:val="en-US" w:eastAsia="zh-CN"/>
              </w:rPr>
            </w:pPr>
            <w:r>
              <w:rPr>
                <w:rFonts w:ascii="宋体" w:hAnsi="宋体" w:eastAsia="宋体" w:cs="宋体"/>
                <w:b w:val="0"/>
                <w:bCs w:val="0"/>
                <w:i w:val="0"/>
                <w:iCs w:val="0"/>
                <w:smallCaps w:val="0"/>
                <w:color w:val="000000"/>
                <w:sz w:val="21"/>
                <w:szCs w:val="21"/>
                <w:highlight w:val="none"/>
              </w:rPr>
              <w:t xml:space="preserve">投标</w:t>
            </w:r>
            <w:r>
              <w:rPr>
                <w:rFonts w:hint="eastAsia" w:ascii="宋体" w:hAnsi="宋体" w:eastAsia="宋体" w:cs="宋体"/>
                <w:b w:val="0"/>
                <w:bCs w:val="0"/>
                <w:i w:val="0"/>
                <w:iCs w:val="0"/>
                <w:smallCaps w:val="0"/>
                <w:color w:val="000000"/>
                <w:sz w:val="21"/>
                <w:szCs w:val="21"/>
                <w:highlight w:val="none"/>
                <w:lang w:val="en-US" w:eastAsia="zh-CN"/>
              </w:rPr>
              <w:t xml:space="preserve">总报</w:t>
            </w:r>
            <w:r>
              <w:rPr>
                <w:rFonts w:ascii="宋体" w:hAnsi="宋体" w:eastAsia="宋体" w:cs="宋体"/>
                <w:b w:val="0"/>
                <w:bCs w:val="0"/>
                <w:i w:val="0"/>
                <w:iCs w:val="0"/>
                <w:smallCaps w:val="0"/>
                <w:color w:val="000000"/>
                <w:sz w:val="21"/>
                <w:szCs w:val="21"/>
                <w:highlight w:val="none"/>
              </w:rPr>
              <w:t xml:space="preserve">价</w:t>
            </w:r>
            <w:r>
              <w:rPr>
                <w:rFonts w:hint="eastAsia" w:ascii="宋体" w:hAnsi="宋体" w:eastAsia="宋体" w:cs="宋体"/>
                <w:b w:val="0"/>
                <w:bCs w:val="0"/>
                <w:i w:val="0"/>
                <w:iCs w:val="0"/>
                <w:smallCaps w:val="0"/>
                <w:color w:val="000000"/>
                <w:sz w:val="21"/>
                <w:szCs w:val="21"/>
                <w:highlight w:val="none"/>
                <w:lang w:val="en-US" w:eastAsia="zh-CN"/>
              </w:rPr>
              <w:t xml:space="preserve">/3年</w:t>
            </w:r>
            <w:r/>
          </w:p>
          <w:p>
            <w:pPr>
              <w:jc w:val="center"/>
              <w:spacing w:before="0" w:after="0" w:line="360" w:lineRule="auto"/>
              <w:widowControl w:val="off"/>
              <w:rPr>
                <w:rFonts w:hint="eastAsia" w:ascii="宋体" w:hAnsi="宋体" w:eastAsia="宋体" w:cs="宋体"/>
                <w:b w:val="0"/>
                <w:bCs w:val="0"/>
                <w:i w:val="0"/>
                <w:iCs w:val="0"/>
                <w:smallCaps w:val="0"/>
                <w:color w:val="000000"/>
                <w:sz w:val="21"/>
                <w:szCs w:val="21"/>
                <w:highlight w:val="none"/>
                <w:lang w:val="en-US" w:eastAsia="zh-CN"/>
              </w:rPr>
            </w:pPr>
            <w:r>
              <w:rPr>
                <w:rFonts w:hint="eastAsia" w:ascii="宋体" w:hAnsi="宋体" w:eastAsia="宋体" w:cs="宋体"/>
                <w:b w:val="0"/>
                <w:bCs w:val="0"/>
                <w:i w:val="0"/>
                <w:iCs w:val="0"/>
                <w:smallCaps w:val="0"/>
                <w:color w:val="000000"/>
                <w:sz w:val="21"/>
                <w:szCs w:val="21"/>
                <w:highlight w:val="none"/>
                <w:lang w:val="en-US" w:eastAsia="zh-CN"/>
              </w:rPr>
              <w:t xml:space="preserve">(</w:t>
            </w:r>
            <w:r>
              <w:rPr>
                <w:rFonts w:ascii="宋体" w:hAnsi="宋体" w:eastAsia="宋体" w:cs="宋体"/>
                <w:b w:val="0"/>
                <w:bCs w:val="0"/>
                <w:i w:val="0"/>
                <w:iCs w:val="0"/>
                <w:smallCaps w:val="0"/>
                <w:color w:val="000000"/>
                <w:sz w:val="21"/>
                <w:szCs w:val="21"/>
                <w:highlight w:val="none"/>
              </w:rPr>
              <w:t xml:space="preserve">人民币）</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6216"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235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合同履行期限</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6216" w:type="dxa"/>
            <w:vAlign w:val="top"/>
            <w:textDirection w:val="lrTb"/>
            <w:noWrap w:val="false"/>
          </w:tcPr>
          <w:p>
            <w:pPr>
              <w:jc w:val="left"/>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c>
          <w:tcPr>
            <w:tcBorders>
              <w:top w:val="single" w:color="000000" w:sz="6" w:space="0"/>
              <w:right w:val="single" w:color="000000" w:sz="6" w:space="0"/>
            </w:tcBorders>
            <w:tcMar>
              <w:left w:w="108" w:type="dxa"/>
              <w:top w:w="8" w:type="dxa"/>
              <w:right w:w="108" w:type="dxa"/>
              <w:bottom w:w="15" w:type="dxa"/>
            </w:tcMar>
            <w:tcW w:w="2350"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是否属于小微企业</w:t>
            </w:r>
            <w:r/>
          </w:p>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（请打√）</w:t>
            </w:r>
            <w:r/>
          </w:p>
        </w:tc>
        <w:tc>
          <w:tcPr>
            <w:tcBorders>
              <w:top w:val="single" w:color="000000" w:sz="6" w:space="0"/>
              <w:left w:val="single" w:color="000000" w:sz="6" w:space="0"/>
            </w:tcBorders>
            <w:tcMar>
              <w:left w:w="108" w:type="dxa"/>
              <w:top w:w="8" w:type="dxa"/>
              <w:right w:w="108" w:type="dxa"/>
              <w:bottom w:w="15" w:type="dxa"/>
            </w:tcMar>
            <w:tcW w:w="6216" w:type="dxa"/>
            <w:vAlign w:val="top"/>
            <w:textDirection w:val="lrTb"/>
            <w:noWrap w:val="false"/>
          </w:tcPr>
          <w:p>
            <w:pPr>
              <w:jc w:val="center"/>
              <w:spacing w:before="0" w:after="0" w:line="360" w:lineRule="auto"/>
              <w:widowControl w:val="off"/>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□是                       □否</w:t>
            </w:r>
            <w:r/>
          </w:p>
        </w:tc>
      </w:tr>
    </w:tbl>
    <w:p>
      <w:pPr>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sz w:val="21"/>
          <w:szCs w:val="21"/>
          <w:highlight w:val="none"/>
        </w:rPr>
        <w:t xml:space="preserve">供应商名称：</w:t>
      </w:r>
      <w:r/>
    </w:p>
    <w:p>
      <w:pPr>
        <w:jc w:val="left"/>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sz w:val="21"/>
          <w:szCs w:val="21"/>
          <w:highlight w:val="none"/>
        </w:rPr>
        <w:t xml:space="preserve">供应商公章</w:t>
      </w:r>
      <w:r>
        <w:rPr>
          <w:rFonts w:ascii="宋体" w:hAnsi="宋体" w:eastAsia="宋体" w:cs="宋体"/>
          <w:sz w:val="21"/>
          <w:szCs w:val="21"/>
          <w:highlight w:val="none"/>
        </w:rPr>
        <w:t xml:space="preserve">：</w:t>
      </w:r>
      <w:r/>
    </w:p>
    <w:p>
      <w:pPr>
        <w:jc w:val="left"/>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sz w:val="21"/>
          <w:szCs w:val="21"/>
          <w:highlight w:val="none"/>
        </w:rPr>
        <w:t xml:space="preserve">授权代表</w:t>
      </w:r>
      <w:r>
        <w:rPr>
          <w:rFonts w:ascii="宋体" w:hAnsi="宋体" w:eastAsia="宋体" w:cs="宋体"/>
          <w:sz w:val="21"/>
          <w:szCs w:val="21"/>
          <w:highlight w:val="none"/>
        </w:rPr>
        <w:t xml:space="preserve">（</w:t>
      </w:r>
      <w:r>
        <w:rPr>
          <w:rFonts w:ascii="PMingLiU" w:hAnsi="PMingLiU" w:eastAsia="PMingLiU" w:cs="PMingLiU"/>
          <w:sz w:val="21"/>
          <w:szCs w:val="21"/>
          <w:highlight w:val="none"/>
        </w:rPr>
        <w:t xml:space="preserve">签字</w:t>
      </w:r>
      <w:r>
        <w:rPr>
          <w:rFonts w:ascii="宋体" w:hAnsi="宋体" w:eastAsia="宋体" w:cs="宋体"/>
          <w:sz w:val="21"/>
          <w:szCs w:val="21"/>
          <w:highlight w:val="none"/>
        </w:rPr>
        <w:t xml:space="preserve">）：</w:t>
      </w:r>
      <w:r/>
    </w:p>
    <w:p>
      <w:pPr>
        <w:jc w:val="left"/>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sz w:val="21"/>
          <w:szCs w:val="21"/>
          <w:highlight w:val="none"/>
        </w:rPr>
        <w:t xml:space="preserve">日期：</w:t>
      </w:r>
      <w:r/>
    </w:p>
    <w:p>
      <w:pPr>
        <w:jc w:val="left"/>
        <w:spacing w:before="0" w:after="0"/>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t xml:space="preserve"> </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r>
      <w:r>
        <w:rPr>
          <w:rFonts w:ascii="宋体" w:hAnsi="宋体" w:eastAsia="宋体" w:cs="宋体"/>
          <w:sz w:val="21"/>
          <w:szCs w:val="21"/>
          <w:highlight w:val="none"/>
        </w:rPr>
      </w:r>
      <w:r/>
    </w:p>
    <w:p>
      <w:pPr>
        <w:jc w:val="left"/>
        <w:spacing w:before="0" w:after="0" w:line="400" w:lineRule="atLeast"/>
        <w:widowControl w:val="off"/>
        <w:rPr>
          <w:rFonts w:ascii="宋体" w:hAnsi="宋体" w:eastAsia="宋体" w:cs="宋体"/>
          <w:sz w:val="21"/>
          <w:szCs w:val="21"/>
          <w:highlight w:val="none"/>
        </w:rPr>
      </w:pPr>
      <w:r>
        <w:rPr>
          <w:rFonts w:ascii="宋体" w:hAnsi="宋体" w:eastAsia="宋体" w:cs="宋体"/>
          <w:sz w:val="21"/>
          <w:szCs w:val="21"/>
          <w:highlight w:val="none"/>
        </w:rPr>
      </w:r>
      <w:r>
        <w:rPr>
          <w:rFonts w:ascii="SimSun" w:hAnsi="SimSun" w:eastAsia="SimSun" w:cs="SimSun"/>
          <w:b/>
          <w:color w:val="000000"/>
          <w:sz w:val="22"/>
        </w:rPr>
        <w:t xml:space="preserve">备注：“苏采云”系统自动生成的报价表中投标总价填写三年总报价，本格式文件中单年报价和三年报价均需按格式填写。</w:t>
      </w:r>
      <w:r>
        <w:rPr>
          <w:rFonts w:ascii="宋体" w:hAnsi="宋体" w:eastAsia="宋体" w:cs="宋体"/>
          <w:sz w:val="21"/>
          <w:szCs w:val="21"/>
          <w:highlight w:val="none"/>
        </w:rPr>
        <w:br w:type="page" w:clear="all"/>
      </w:r>
      <w:r>
        <w:rPr>
          <w:rFonts w:ascii="宋体" w:hAnsi="宋体" w:eastAsia="宋体" w:cs="宋体"/>
          <w:sz w:val="21"/>
          <w:szCs w:val="21"/>
          <w:highlight w:val="none"/>
        </w:rPr>
        <w:t xml:space="preserve">3.分项报价表</w:t>
      </w:r>
      <w:r/>
    </w:p>
    <w:p>
      <w:pPr>
        <w:jc w:val="center"/>
        <w:spacing w:before="0" w:after="0"/>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3.分项报价表</w:t>
      </w:r>
      <w:r/>
    </w:p>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项目编号：</w:t>
      </w:r>
      <w:r/>
    </w:p>
    <w:p>
      <w:pPr>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项目名称：</w:t>
      </w:r>
      <w:r/>
    </w:p>
    <w:tbl>
      <w:tblPr>
        <w:tblStyle w:val="815"/>
        <w:tblW w:w="4749" w:type="pct"/>
        <w:tblInd w:w="11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91"/>
        <w:gridCol w:w="2036"/>
        <w:gridCol w:w="1242"/>
        <w:gridCol w:w="1535"/>
        <w:gridCol w:w="990"/>
        <w:gridCol w:w="990"/>
        <w:gridCol w:w="990"/>
      </w:tblGrid>
      <w:tr>
        <w:trPr>
          <w:trHeight w:val="540"/>
          <w:tblHeader/>
        </w:trPr>
        <w:tc>
          <w:tcPr>
            <w:tcBorders>
              <w:bottom w:val="single" w:color="000000" w:sz="6" w:space="0"/>
              <w:right w:val="single" w:color="000000" w:sz="6" w:space="0"/>
            </w:tcBorders>
            <w:tcMar>
              <w:left w:w="108" w:type="dxa"/>
              <w:top w:w="15" w:type="dxa"/>
              <w:right w:w="108" w:type="dxa"/>
              <w:bottom w:w="8" w:type="dxa"/>
            </w:tcMar>
            <w:tcW w:w="991" w:type="dxa"/>
            <w:vAlign w:val="center"/>
            <w:vMerge w:val="restart"/>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序号</w:t>
            </w:r>
            <w:r/>
          </w:p>
        </w:tc>
        <w:tc>
          <w:tcPr>
            <w:tcBorders>
              <w:left w:val="single" w:color="000000" w:sz="6" w:space="0"/>
              <w:bottom w:val="single" w:color="000000" w:sz="6" w:space="0"/>
              <w:right w:val="single" w:color="000000" w:sz="6" w:space="0"/>
            </w:tcBorders>
            <w:tcMar>
              <w:left w:w="108" w:type="dxa"/>
              <w:top w:w="15" w:type="dxa"/>
              <w:right w:w="108" w:type="dxa"/>
              <w:bottom w:w="8" w:type="dxa"/>
            </w:tcMar>
            <w:tcW w:w="2036" w:type="dxa"/>
            <w:vAlign w:val="center"/>
            <w:vMerge w:val="restart"/>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服务名称</w:t>
            </w:r>
            <w:r/>
          </w:p>
        </w:tc>
        <w:tc>
          <w:tcPr>
            <w:tcBorders>
              <w:left w:val="single" w:color="000000" w:sz="6" w:space="0"/>
              <w:bottom w:val="single" w:color="000000" w:sz="6" w:space="0"/>
              <w:right w:val="single" w:color="000000" w:sz="6" w:space="0"/>
            </w:tcBorders>
            <w:tcMar>
              <w:left w:w="108" w:type="dxa"/>
              <w:top w:w="15" w:type="dxa"/>
              <w:right w:w="108" w:type="dxa"/>
              <w:bottom w:w="8" w:type="dxa"/>
            </w:tcMar>
            <w:tcW w:w="1242" w:type="dxa"/>
            <w:vAlign w:val="center"/>
            <w:vMerge w:val="restart"/>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内容描述</w:t>
            </w:r>
            <w:r/>
          </w:p>
        </w:tc>
        <w:tc>
          <w:tcPr>
            <w:tcBorders>
              <w:left w:val="single" w:color="000000" w:sz="6" w:space="0"/>
              <w:bottom w:val="single" w:color="000000" w:sz="6" w:space="0"/>
              <w:right w:val="single" w:color="000000" w:sz="6" w:space="0"/>
            </w:tcBorders>
            <w:tcMar>
              <w:left w:w="108" w:type="dxa"/>
              <w:top w:w="15" w:type="dxa"/>
              <w:right w:w="108" w:type="dxa"/>
              <w:bottom w:w="8" w:type="dxa"/>
            </w:tcMar>
            <w:tcW w:w="1535" w:type="dxa"/>
            <w:vAlign w:val="center"/>
            <w:vMerge w:val="restart"/>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计量单位</w:t>
            </w:r>
            <w:r/>
          </w:p>
        </w:tc>
        <w:tc>
          <w:tcPr>
            <w:tcBorders>
              <w:left w:val="single" w:color="000000" w:sz="6" w:space="0"/>
              <w:bottom w:val="single" w:color="000000" w:sz="6" w:space="0"/>
              <w:right w:val="single" w:color="000000" w:sz="6" w:space="0"/>
            </w:tcBorders>
            <w:tcMar>
              <w:left w:w="108" w:type="dxa"/>
              <w:top w:w="15" w:type="dxa"/>
              <w:right w:w="108" w:type="dxa"/>
              <w:bottom w:w="8" w:type="dxa"/>
            </w:tcMar>
            <w:tcW w:w="990" w:type="dxa"/>
            <w:vAlign w:val="center"/>
            <w:vMerge w:val="restart"/>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数量</w:t>
            </w:r>
            <w:r/>
          </w:p>
        </w:tc>
        <w:tc>
          <w:tcPr>
            <w:gridSpan w:val="2"/>
            <w:tcBorders>
              <w:left w:val="single" w:color="000000" w:sz="6" w:space="0"/>
              <w:bottom w:val="single" w:color="000000" w:sz="6" w:space="0"/>
            </w:tcBorders>
            <w:tcMar>
              <w:left w:w="108" w:type="dxa"/>
              <w:top w:w="15" w:type="dxa"/>
              <w:right w:w="108" w:type="dxa"/>
              <w:bottom w:w="8" w:type="dxa"/>
            </w:tcMar>
            <w:tcW w:w="198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金 额</w:t>
            </w:r>
            <w:r/>
          </w:p>
        </w:tc>
      </w:tr>
      <w:tr>
        <w:trPr>
          <w:trHeight w:val="540"/>
          <w:tblHeader/>
        </w:trPr>
        <w:tc>
          <w:tcPr>
            <w:tcBorders>
              <w:bottom w:val="single" w:color="000000" w:sz="6" w:space="0"/>
              <w:right w:val="single" w:color="000000" w:sz="6" w:space="0"/>
            </w:tcBorders>
            <w:tcW w:w="991"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r>
            <w:r/>
          </w:p>
        </w:tc>
        <w:tc>
          <w:tcPr>
            <w:tcBorders>
              <w:left w:val="single" w:color="000000" w:sz="6" w:space="0"/>
              <w:bottom w:val="single" w:color="000000" w:sz="6" w:space="0"/>
              <w:right w:val="single" w:color="000000" w:sz="6" w:space="0"/>
            </w:tcBorders>
            <w:tcW w:w="2036"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r>
            <w:r/>
          </w:p>
        </w:tc>
        <w:tc>
          <w:tcPr>
            <w:tcBorders>
              <w:left w:val="single" w:color="000000" w:sz="6" w:space="0"/>
              <w:bottom w:val="single" w:color="000000" w:sz="6" w:space="0"/>
              <w:right w:val="single" w:color="000000" w:sz="6" w:space="0"/>
            </w:tcBorders>
            <w:tcW w:w="1242"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r>
            <w:r/>
          </w:p>
        </w:tc>
        <w:tc>
          <w:tcPr>
            <w:tcBorders>
              <w:left w:val="single" w:color="000000" w:sz="6" w:space="0"/>
              <w:bottom w:val="single" w:color="000000" w:sz="6" w:space="0"/>
              <w:right w:val="single" w:color="000000" w:sz="6" w:space="0"/>
            </w:tcBorders>
            <w:tcW w:w="1535"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r>
            <w:r/>
          </w:p>
        </w:tc>
        <w:tc>
          <w:tcPr>
            <w:tcBorders>
              <w:left w:val="single" w:color="000000" w:sz="6" w:space="0"/>
              <w:bottom w:val="single" w:color="000000" w:sz="6" w:space="0"/>
              <w:right w:val="single" w:color="000000" w:sz="6" w:space="0"/>
            </w:tcBorders>
            <w:tcW w:w="990" w:type="dxa"/>
            <w:vAlign w:val="center"/>
            <w:vMerge w:val="continue"/>
            <w:textDirection w:val="lrTb"/>
            <w:noWrap w:val="false"/>
          </w:tcPr>
          <w:p>
            <w:pPr>
              <w:rPr>
                <w:rFonts w:ascii="宋体" w:hAnsi="宋体" w:eastAsia="宋体" w:cs="宋体"/>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单价</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合价</w:t>
            </w:r>
            <w:r/>
          </w:p>
        </w:tc>
      </w:tr>
      <w:tr>
        <w:trPr>
          <w:trHeight w:val="77"/>
        </w:trPr>
        <w:tc>
          <w:tcPr>
            <w:tcBorders>
              <w:top w:val="single" w:color="000000" w:sz="6" w:space="0"/>
              <w:bottom w:val="single" w:color="000000" w:sz="6" w:space="0"/>
              <w:right w:val="single" w:color="000000" w:sz="6" w:space="0"/>
            </w:tcBorders>
            <w:tcMar>
              <w:left w:w="108" w:type="dxa"/>
              <w:top w:w="8" w:type="dxa"/>
              <w:right w:w="108" w:type="dxa"/>
              <w:bottom w:w="8" w:type="dxa"/>
            </w:tcMar>
            <w:tcW w:w="99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36"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月固定服务费</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42"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（元/人/月）</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90" w:type="dxa"/>
            <w:vAlign w:val="center"/>
            <w:textDirection w:val="lrTb"/>
            <w:noWrap w:val="false"/>
          </w:tcPr>
          <w:p>
            <w:pPr>
              <w:jc w:val="righ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77"/>
        </w:trPr>
        <w:tc>
          <w:tcPr>
            <w:tcBorders>
              <w:top w:val="single" w:color="000000" w:sz="6" w:space="0"/>
              <w:bottom w:val="single" w:color="000000" w:sz="6" w:space="0"/>
              <w:right w:val="single" w:color="000000" w:sz="6" w:space="0"/>
            </w:tcBorders>
            <w:tcMar>
              <w:left w:w="108" w:type="dxa"/>
              <w:top w:w="8" w:type="dxa"/>
              <w:right w:w="108" w:type="dxa"/>
              <w:bottom w:w="8" w:type="dxa"/>
            </w:tcMar>
            <w:tcW w:w="99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36"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42"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90" w:type="dxa"/>
            <w:vAlign w:val="center"/>
            <w:textDirection w:val="lrTb"/>
            <w:noWrap w:val="false"/>
          </w:tcPr>
          <w:p>
            <w:pPr>
              <w:jc w:val="righ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77"/>
        </w:trPr>
        <w:tc>
          <w:tcPr>
            <w:tcBorders>
              <w:top w:val="single" w:color="000000" w:sz="6" w:space="0"/>
              <w:bottom w:val="single" w:color="000000" w:sz="6" w:space="0"/>
              <w:right w:val="single" w:color="000000" w:sz="6" w:space="0"/>
            </w:tcBorders>
            <w:tcMar>
              <w:left w:w="108" w:type="dxa"/>
              <w:top w:w="8" w:type="dxa"/>
              <w:right w:w="108" w:type="dxa"/>
              <w:bottom w:w="8" w:type="dxa"/>
            </w:tcMar>
            <w:tcW w:w="99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36"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42"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90" w:type="dxa"/>
            <w:vAlign w:val="center"/>
            <w:textDirection w:val="lrTb"/>
            <w:noWrap w:val="false"/>
          </w:tcPr>
          <w:p>
            <w:pPr>
              <w:jc w:val="righ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77"/>
        </w:trPr>
        <w:tc>
          <w:tcPr>
            <w:tcBorders>
              <w:top w:val="single" w:color="000000" w:sz="6" w:space="0"/>
              <w:bottom w:val="single" w:color="000000" w:sz="6" w:space="0"/>
              <w:right w:val="single" w:color="000000" w:sz="6" w:space="0"/>
            </w:tcBorders>
            <w:tcMar>
              <w:left w:w="108" w:type="dxa"/>
              <w:top w:w="8" w:type="dxa"/>
              <w:right w:w="108" w:type="dxa"/>
              <w:bottom w:w="8" w:type="dxa"/>
            </w:tcMar>
            <w:tcW w:w="991"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36"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42" w:type="dxa"/>
            <w:vAlign w:val="center"/>
            <w:textDirection w:val="lrTb"/>
            <w:noWrap w:val="false"/>
          </w:tcPr>
          <w:p>
            <w:pPr>
              <w:jc w:val="lef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535"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90" w:type="dxa"/>
            <w:vAlign w:val="center"/>
            <w:textDirection w:val="lrTb"/>
            <w:noWrap w:val="false"/>
          </w:tcPr>
          <w:p>
            <w:pPr>
              <w:jc w:val="right"/>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77"/>
        </w:trPr>
        <w:tc>
          <w:tcPr>
            <w:gridSpan w:val="6"/>
            <w:tcBorders>
              <w:top w:val="single" w:color="000000" w:sz="6" w:space="0"/>
              <w:bottom w:val="single" w:color="000000" w:sz="6" w:space="0"/>
              <w:right w:val="single" w:color="000000" w:sz="6" w:space="0"/>
            </w:tcBorders>
            <w:tcMar>
              <w:left w:w="108" w:type="dxa"/>
              <w:top w:w="8" w:type="dxa"/>
              <w:right w:w="108" w:type="dxa"/>
              <w:bottom w:w="15" w:type="dxa"/>
            </w:tcMar>
            <w:tcW w:w="7784" w:type="dxa"/>
            <w:vAlign w:val="center"/>
            <w:textDirection w:val="lrTb"/>
            <w:noWrap w:val="false"/>
          </w:tcPr>
          <w:p>
            <w:pPr>
              <w:jc w:val="center"/>
              <w:spacing w:before="0" w:after="0"/>
              <w:rPr>
                <w:rFonts w:hint="eastAsia" w:ascii="Times New Roman" w:hAnsi="Times New Roman" w:eastAsia="宋体" w:cs="Times New Roman"/>
                <w:b w:val="0"/>
                <w:bCs w:val="0"/>
                <w:i w:val="0"/>
                <w:iCs w:val="0"/>
                <w:smallCaps w:val="0"/>
                <w:color w:val="000000"/>
                <w:sz w:val="21"/>
                <w:szCs w:val="21"/>
                <w:highlight w:val="none"/>
                <w:lang w:eastAsia="zh-CN"/>
              </w:rPr>
            </w:pPr>
            <w:r>
              <w:rPr>
                <w:rFonts w:ascii="宋体" w:hAnsi="宋体" w:eastAsia="宋体" w:cs="宋体"/>
                <w:b w:val="0"/>
                <w:bCs w:val="0"/>
                <w:i w:val="0"/>
                <w:iCs w:val="0"/>
                <w:smallCaps w:val="0"/>
                <w:color w:val="000000"/>
                <w:sz w:val="21"/>
                <w:szCs w:val="21"/>
                <w:highlight w:val="none"/>
              </w:rPr>
              <w:t xml:space="preserve">合计</w:t>
            </w:r>
            <w:r>
              <w:rPr>
                <w:rFonts w:hint="eastAsia" w:ascii="宋体" w:hAnsi="宋体" w:eastAsia="宋体" w:cs="宋体"/>
                <w:b w:val="0"/>
                <w:bCs w:val="0"/>
                <w:i w:val="0"/>
                <w:iCs w:val="0"/>
                <w:smallCaps w:val="0"/>
                <w:color w:val="000000"/>
                <w:sz w:val="21"/>
                <w:szCs w:val="21"/>
                <w:highlight w:val="none"/>
                <w:lang w:eastAsia="zh-CN"/>
              </w:rPr>
              <w:t xml:space="preserve">（</w:t>
            </w:r>
            <w:r>
              <w:rPr>
                <w:rFonts w:hint="eastAsia" w:ascii="宋体" w:hAnsi="宋体" w:eastAsia="宋体" w:cs="宋体"/>
                <w:b w:val="0"/>
                <w:bCs w:val="0"/>
                <w:i w:val="0"/>
                <w:iCs w:val="0"/>
                <w:smallCaps w:val="0"/>
                <w:color w:val="000000"/>
                <w:sz w:val="21"/>
                <w:szCs w:val="21"/>
                <w:highlight w:val="none"/>
                <w:lang w:val="en-US" w:eastAsia="zh-CN"/>
              </w:rPr>
              <w:t xml:space="preserve">一年</w:t>
            </w:r>
            <w:r>
              <w:rPr>
                <w:rFonts w:hint="eastAsia" w:ascii="宋体" w:hAnsi="宋体" w:eastAsia="宋体" w:cs="宋体"/>
                <w:b w:val="0"/>
                <w:bCs w:val="0"/>
                <w:i w:val="0"/>
                <w:iCs w:val="0"/>
                <w:smallCaps w:val="0"/>
                <w:color w:val="000000"/>
                <w:sz w:val="21"/>
                <w:szCs w:val="21"/>
                <w:highlight w:val="none"/>
                <w:lang w:eastAsia="zh-CN"/>
              </w:rPr>
              <w:t xml:space="preserve">）</w:t>
            </w:r>
            <w:r/>
          </w:p>
        </w:tc>
        <w:tc>
          <w:tcPr>
            <w:tcBorders>
              <w:top w:val="single" w:color="000000" w:sz="6" w:space="0"/>
              <w:left w:val="single" w:color="000000" w:sz="6" w:space="0"/>
              <w:bottom w:val="single" w:color="000000" w:sz="6" w:space="0"/>
            </w:tcBorders>
            <w:tcMar>
              <w:left w:w="108" w:type="dxa"/>
              <w:top w:w="8" w:type="dxa"/>
              <w:right w:w="108" w:type="dxa"/>
              <w:bottom w:w="15"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r>
        <w:trPr>
          <w:trHeight w:val="77"/>
        </w:trPr>
        <w:tc>
          <w:tcPr>
            <w:gridSpan w:val="6"/>
            <w:tcBorders>
              <w:top w:val="single" w:color="000000" w:sz="6" w:space="0"/>
              <w:right w:val="single" w:color="000000" w:sz="6" w:space="0"/>
            </w:tcBorders>
            <w:tcMar>
              <w:left w:w="108" w:type="dxa"/>
              <w:top w:w="8" w:type="dxa"/>
              <w:right w:w="108" w:type="dxa"/>
              <w:bottom w:w="15" w:type="dxa"/>
            </w:tcMar>
            <w:tcW w:w="7784" w:type="dxa"/>
            <w:vAlign w:val="center"/>
            <w:textDirection w:val="lrTb"/>
            <w:noWrap w:val="false"/>
          </w:tcPr>
          <w:p>
            <w:pPr>
              <w:jc w:val="center"/>
              <w:spacing w:before="0" w:after="0"/>
              <w:rPr>
                <w:rFonts w:ascii="宋体" w:hAnsi="宋体" w:eastAsia="宋体" w:cs="宋体"/>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合计</w:t>
            </w:r>
            <w:r>
              <w:rPr>
                <w:rFonts w:hint="eastAsia" w:ascii="宋体" w:hAnsi="宋体" w:eastAsia="宋体" w:cs="宋体"/>
                <w:b w:val="0"/>
                <w:bCs w:val="0"/>
                <w:i w:val="0"/>
                <w:iCs w:val="0"/>
                <w:smallCaps w:val="0"/>
                <w:color w:val="000000"/>
                <w:sz w:val="21"/>
                <w:szCs w:val="21"/>
                <w:highlight w:val="none"/>
                <w:lang w:eastAsia="zh-CN"/>
              </w:rPr>
              <w:t xml:space="preserve">（</w:t>
            </w:r>
            <w:r>
              <w:rPr>
                <w:rFonts w:hint="eastAsia" w:ascii="宋体" w:hAnsi="宋体" w:eastAsia="宋体" w:cs="宋体"/>
                <w:b w:val="0"/>
                <w:bCs w:val="0"/>
                <w:i w:val="0"/>
                <w:iCs w:val="0"/>
                <w:smallCaps w:val="0"/>
                <w:color w:val="000000"/>
                <w:sz w:val="21"/>
                <w:szCs w:val="21"/>
                <w:highlight w:val="none"/>
                <w:lang w:val="en-US" w:eastAsia="zh-CN"/>
              </w:rPr>
              <w:t xml:space="preserve">三年</w:t>
            </w:r>
            <w:r>
              <w:rPr>
                <w:rFonts w:hint="eastAsia" w:ascii="宋体" w:hAnsi="宋体" w:eastAsia="宋体" w:cs="宋体"/>
                <w:b w:val="0"/>
                <w:bCs w:val="0"/>
                <w:i w:val="0"/>
                <w:iCs w:val="0"/>
                <w:smallCaps w:val="0"/>
                <w:color w:val="000000"/>
                <w:sz w:val="21"/>
                <w:szCs w:val="21"/>
                <w:highlight w:val="none"/>
                <w:lang w:eastAsia="zh-CN"/>
              </w:rPr>
              <w:t xml:space="preserve">）</w:t>
            </w:r>
            <w:r/>
          </w:p>
        </w:tc>
        <w:tc>
          <w:tcPr>
            <w:tcBorders>
              <w:top w:val="single" w:color="000000" w:sz="6" w:space="0"/>
              <w:left w:val="single" w:color="000000" w:sz="6" w:space="0"/>
            </w:tcBorders>
            <w:tcMar>
              <w:left w:w="108" w:type="dxa"/>
              <w:top w:w="8" w:type="dxa"/>
              <w:right w:w="108" w:type="dxa"/>
              <w:bottom w:w="15" w:type="dxa"/>
            </w:tcMar>
            <w:tcW w:w="990" w:type="dxa"/>
            <w:vAlign w:val="center"/>
            <w:textDirection w:val="lrTb"/>
            <w:noWrap w:val="false"/>
          </w:tcPr>
          <w:p>
            <w:pPr>
              <w:jc w:val="center"/>
              <w:spacing w:before="0" w:after="0"/>
              <w:rPr>
                <w:rFonts w:ascii="Times New Roman" w:hAnsi="Times New Roman" w:eastAsia="Times New Roman" w:cs="Times New Roman"/>
                <w:b w:val="0"/>
                <w:bCs w:val="0"/>
                <w:i w:val="0"/>
                <w:iCs w:val="0"/>
                <w:smallCaps w:val="0"/>
                <w:color w:val="000000"/>
                <w:sz w:val="21"/>
                <w:szCs w:val="21"/>
                <w:highlight w:val="none"/>
              </w:rPr>
            </w:pPr>
            <w:r>
              <w:rPr>
                <w:rFonts w:ascii="Times New Roman" w:hAnsi="Times New Roman" w:eastAsia="Times New Roman" w:cs="Times New Roman"/>
                <w:b w:val="0"/>
                <w:bCs w:val="0"/>
                <w:i w:val="0"/>
                <w:iCs w:val="0"/>
                <w:smallCaps w:val="0"/>
                <w:color w:val="000000"/>
                <w:sz w:val="21"/>
                <w:szCs w:val="21"/>
                <w:highlight w:val="none"/>
              </w:rPr>
            </w:r>
            <w:r/>
          </w:p>
        </w:tc>
      </w:tr>
    </w:tbl>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b/>
          <w:bCs/>
          <w:sz w:val="21"/>
          <w:szCs w:val="21"/>
          <w:highlight w:val="none"/>
        </w:rPr>
        <w:t xml:space="preserve">供应商名称（公章）：</w:t>
      </w:r>
      <w:r/>
    </w:p>
    <w:p>
      <w:pPr>
        <w:jc w:val="left"/>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b/>
          <w:bCs/>
          <w:sz w:val="21"/>
          <w:szCs w:val="21"/>
          <w:highlight w:val="none"/>
        </w:rPr>
        <w:t xml:space="preserve">供应商代表签字：</w:t>
      </w:r>
      <w:r/>
    </w:p>
    <w:p>
      <w:pPr>
        <w:pStyle w:val="812"/>
        <w:jc w:val="center"/>
        <w:keepNext w:val="0"/>
        <w:spacing w:before="0" w:after="0" w:line="400" w:lineRule="atLeast"/>
        <w:shd w:val="clear" w:color="auto" w:fill="ffffff"/>
        <w:widowControl w:val="off"/>
        <w:rPr>
          <w:rFonts w:ascii="Times New Roman" w:hAnsi="Times New Roman" w:eastAsia="Times New Roman" w:cs="Times New Roman"/>
          <w:b/>
          <w:bCs/>
          <w:sz w:val="28"/>
          <w:szCs w:val="28"/>
          <w:highlight w:val="none"/>
        </w:rPr>
        <w:outlineLvl w:val="9"/>
      </w:pPr>
      <w:r>
        <w:rPr>
          <w:rFonts w:ascii="Times New Roman" w:hAnsi="Times New Roman" w:eastAsia="Times New Roman" w:cs="Times New Roman"/>
          <w:b/>
          <w:bCs/>
          <w:sz w:val="28"/>
          <w:szCs w:val="28"/>
          <w:highlight w:val="none"/>
        </w:rPr>
        <w:br w:type="page" w:clear="all"/>
      </w:r>
      <w:r>
        <w:rPr>
          <w:rFonts w:ascii="宋体" w:hAnsi="宋体" w:eastAsia="宋体" w:cs="宋体"/>
          <w:sz w:val="21"/>
          <w:szCs w:val="21"/>
          <w:highlight w:val="none"/>
        </w:rPr>
        <w:t xml:space="preserve">4.商务条款偏离表</w:t>
      </w:r>
      <w:r/>
    </w:p>
    <w:tbl>
      <w:tblPr>
        <w:tblStyle w:val="815"/>
        <w:tblW w:w="4750" w:type="pct"/>
        <w:tblInd w:w="123" w:type="dxa"/>
        <w:tblLayout w:type="fixed"/>
        <w:tblCellMar>
          <w:left w:w="0" w:type="dxa"/>
          <w:top w:w="0" w:type="dxa"/>
          <w:right w:w="0" w:type="dxa"/>
          <w:bottom w:w="0" w:type="dxa"/>
        </w:tblCellMar>
        <w:tblLook w:val="04A0" w:firstRow="1" w:lastRow="0" w:firstColumn="1" w:lastColumn="0" w:noHBand="0" w:noVBand="1"/>
      </w:tblPr>
      <w:tblGrid>
        <w:gridCol w:w="1027"/>
        <w:gridCol w:w="1903"/>
        <w:gridCol w:w="2378"/>
        <w:gridCol w:w="2378"/>
        <w:gridCol w:w="1088"/>
      </w:tblGrid>
      <w:tr>
        <w:trPr/>
        <w:tc>
          <w:tcPr>
            <w:tcBorders>
              <w:top w:val="single" w:color="000000" w:sz="12" w:space="0"/>
              <w:left w:val="single" w:color="000000" w:sz="12" w:space="0"/>
              <w:bottom w:val="single" w:color="000000" w:sz="6" w:space="0"/>
              <w:right w:val="single" w:color="000000" w:sz="6" w:space="0"/>
            </w:tcBorders>
            <w:tcMar>
              <w:left w:w="108" w:type="dxa"/>
              <w:top w:w="15" w:type="dxa"/>
              <w:right w:w="108" w:type="dxa"/>
              <w:bottom w:w="8" w:type="dxa"/>
            </w:tcMar>
            <w:tcW w:w="1040" w:type="dxa"/>
            <w:vAlign w:val="top"/>
            <w:textDirection w:val="lrTb"/>
            <w:noWrap w:val="false"/>
          </w:tcPr>
          <w:p>
            <w:pPr>
              <w:jc w:val="center"/>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Mar>
              <w:left w:w="108" w:type="dxa"/>
              <w:top w:w="15" w:type="dxa"/>
              <w:right w:w="108" w:type="dxa"/>
              <w:bottom w:w="8" w:type="dxa"/>
            </w:tcMar>
            <w:tcW w:w="1930" w:type="dxa"/>
            <w:vAlign w:val="top"/>
            <w:textDirection w:val="lrTb"/>
            <w:noWrap w:val="false"/>
          </w:tcPr>
          <w:p>
            <w:pPr>
              <w:jc w:val="center"/>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招标文件条目号</w:t>
            </w:r>
            <w:r/>
          </w:p>
        </w:tc>
        <w:tc>
          <w:tcPr>
            <w:tcBorders>
              <w:top w:val="single" w:color="000000" w:sz="12" w:space="0"/>
              <w:left w:val="single" w:color="000000" w:sz="6" w:space="0"/>
              <w:bottom w:val="single" w:color="000000" w:sz="6" w:space="0"/>
              <w:right w:val="single" w:color="000000" w:sz="6" w:space="0"/>
            </w:tcBorders>
            <w:tcMar>
              <w:left w:w="108" w:type="dxa"/>
              <w:top w:w="15" w:type="dxa"/>
              <w:right w:w="108" w:type="dxa"/>
              <w:bottom w:w="8" w:type="dxa"/>
            </w:tcMar>
            <w:tcW w:w="2412" w:type="dxa"/>
            <w:vAlign w:val="top"/>
            <w:textDirection w:val="lrTb"/>
            <w:noWrap w:val="false"/>
          </w:tcPr>
          <w:p>
            <w:pPr>
              <w:jc w:val="center"/>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招标文件的商务条款</w:t>
            </w:r>
            <w:r/>
          </w:p>
        </w:tc>
        <w:tc>
          <w:tcPr>
            <w:tcBorders>
              <w:top w:val="single" w:color="000000" w:sz="12" w:space="0"/>
              <w:left w:val="single" w:color="000000" w:sz="6" w:space="0"/>
              <w:bottom w:val="single" w:color="000000" w:sz="6" w:space="0"/>
              <w:right w:val="single" w:color="000000" w:sz="6" w:space="0"/>
            </w:tcBorders>
            <w:tcMar>
              <w:left w:w="108" w:type="dxa"/>
              <w:top w:w="15" w:type="dxa"/>
              <w:right w:w="108" w:type="dxa"/>
              <w:bottom w:w="8" w:type="dxa"/>
            </w:tcMar>
            <w:tcW w:w="2412" w:type="dxa"/>
            <w:vAlign w:val="top"/>
            <w:textDirection w:val="lrTb"/>
            <w:noWrap w:val="false"/>
          </w:tcPr>
          <w:p>
            <w:pPr>
              <w:jc w:val="center"/>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投标文件的商务条款</w:t>
            </w:r>
            <w:r/>
          </w:p>
        </w:tc>
        <w:tc>
          <w:tcPr>
            <w:tcBorders>
              <w:top w:val="single" w:color="000000" w:sz="12" w:space="0"/>
              <w:left w:val="single" w:color="000000" w:sz="6" w:space="0"/>
              <w:bottom w:val="single" w:color="000000" w:sz="6" w:space="0"/>
              <w:right w:val="single" w:color="000000" w:sz="12" w:space="0"/>
            </w:tcBorders>
            <w:tcMar>
              <w:left w:w="108" w:type="dxa"/>
              <w:top w:w="15" w:type="dxa"/>
              <w:right w:w="108" w:type="dxa"/>
              <w:bottom w:w="8" w:type="dxa"/>
            </w:tcMar>
            <w:tcW w:w="1102" w:type="dxa"/>
            <w:vAlign w:val="top"/>
            <w:textDirection w:val="lrTb"/>
            <w:noWrap w:val="false"/>
          </w:tcPr>
          <w:p>
            <w:pPr>
              <w:jc w:val="center"/>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说明</w:t>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合同履行期限</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c>
          <w:tcPr>
            <w:tcBorders>
              <w:top w:val="single" w:color="000000" w:sz="6" w:space="0"/>
              <w:left w:val="single" w:color="000000" w:sz="12" w:space="0"/>
              <w:bottom w:val="single" w:color="000000" w:sz="6" w:space="0"/>
              <w:right w:val="single" w:color="000000" w:sz="6" w:space="0"/>
            </w:tcBorders>
            <w:tcMar>
              <w:left w:w="108" w:type="dxa"/>
              <w:top w:w="8" w:type="dxa"/>
              <w:right w:w="108" w:type="dxa"/>
              <w:bottom w:w="8" w:type="dxa"/>
            </w:tcMar>
            <w:tcW w:w="104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930"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41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12" w:space="0"/>
            </w:tcBorders>
            <w:tcMar>
              <w:left w:w="108" w:type="dxa"/>
              <w:top w:w="8" w:type="dxa"/>
              <w:right w:w="108" w:type="dxa"/>
              <w:bottom w:w="8" w:type="dxa"/>
            </w:tcMar>
            <w:tcW w:w="1102" w:type="dxa"/>
            <w:vAlign w:val="top"/>
            <w:textDirection w:val="lrTb"/>
            <w:noWrap w:val="false"/>
          </w:tcPr>
          <w:p>
            <w:pPr>
              <w:jc w:val="left"/>
              <w:spacing w:before="240" w:after="24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bl>
    <w:p>
      <w:pPr>
        <w:jc w:val="center"/>
        <w:spacing w:before="0" w:after="0" w:line="400" w:lineRule="atLeast"/>
        <w:widowControl w:val="off"/>
        <w:rPr>
          <w:rFonts w:ascii="Times New Roman" w:hAnsi="Times New Roman" w:eastAsia="Times New Roman" w:cs="Times New Roman"/>
          <w:highlight w:val="none"/>
        </w:rPr>
      </w:pPr>
      <w:r>
        <w:rPr>
          <w:rFonts w:ascii="Calibri" w:hAnsi="Calibri" w:eastAsia="Calibri" w:cs="Calibri"/>
          <w:b/>
          <w:bCs/>
          <w:sz w:val="21"/>
          <w:szCs w:val="21"/>
          <w:highlight w:val="none"/>
        </w:rPr>
        <w:t xml:space="preserve">               </w:t>
      </w:r>
      <w:r>
        <w:rPr>
          <w:rFonts w:ascii="PMingLiU" w:hAnsi="PMingLiU" w:eastAsia="PMingLiU" w:cs="PMingLiU"/>
          <w:b/>
          <w:bCs/>
          <w:sz w:val="21"/>
          <w:szCs w:val="21"/>
          <w:highlight w:val="none"/>
        </w:rPr>
        <w:t xml:space="preserve">供应商名称（公章）：</w:t>
      </w:r>
      <w:r/>
    </w:p>
    <w:p>
      <w:pPr>
        <w:jc w:val="center"/>
        <w:spacing w:before="0" w:after="0" w:line="400" w:lineRule="atLeast"/>
        <w:widowControl w:val="off"/>
        <w:rPr>
          <w:rFonts w:ascii="Times New Roman" w:hAnsi="Times New Roman" w:eastAsia="Times New Roman" w:cs="Times New Roman"/>
          <w:highlight w:val="none"/>
        </w:rPr>
      </w:pPr>
      <w:r>
        <w:rPr>
          <w:rFonts w:ascii="Calibri" w:hAnsi="Calibri" w:eastAsia="Calibri" w:cs="Calibri"/>
          <w:b/>
          <w:bCs/>
          <w:sz w:val="21"/>
          <w:szCs w:val="21"/>
          <w:highlight w:val="none"/>
        </w:rPr>
        <w:t xml:space="preserve">           </w:t>
      </w:r>
      <w:r>
        <w:rPr>
          <w:rFonts w:ascii="PMingLiU" w:hAnsi="PMingLiU" w:eastAsia="PMingLiU" w:cs="PMingLiU"/>
          <w:b/>
          <w:bCs/>
          <w:sz w:val="21"/>
          <w:szCs w:val="21"/>
          <w:highlight w:val="none"/>
        </w:rPr>
        <w:t xml:space="preserve">供应商代表签字：</w:t>
      </w:r>
      <w:r/>
    </w:p>
    <w:p>
      <w:pPr>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注：1. 如供应商无任何偏离，也需在响应表中注明并在投标文件中递交此表。</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2. 偏离包括正、负偏离，正偏离指供应商的响应高于招标文件要求，负偏离指供应商的响应低于招标文件要求。</w:t>
      </w:r>
      <w:r/>
    </w:p>
    <w:p>
      <w:pPr>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pStyle w:val="812"/>
        <w:jc w:val="center"/>
        <w:keepNext w:val="0"/>
        <w:spacing w:before="0" w:after="0" w:line="400" w:lineRule="atLeast"/>
        <w:shd w:val="clear" w:color="auto" w:fill="ffffff"/>
        <w:widowControl w:val="off"/>
        <w:rPr>
          <w:rFonts w:ascii="Times New Roman" w:hAnsi="Times New Roman" w:eastAsia="Times New Roman" w:cs="Times New Roman"/>
          <w:b/>
          <w:bCs/>
          <w:sz w:val="28"/>
          <w:szCs w:val="28"/>
          <w:highlight w:val="none"/>
        </w:rPr>
        <w:outlineLvl w:val="9"/>
      </w:pPr>
      <w:r>
        <w:rPr>
          <w:rFonts w:ascii="宋体" w:hAnsi="宋体" w:eastAsia="宋体" w:cs="宋体"/>
          <w:sz w:val="21"/>
          <w:szCs w:val="21"/>
          <w:highlight w:val="none"/>
        </w:rPr>
        <w:br w:type="page" w:clear="all"/>
      </w:r>
      <w:r>
        <w:rPr>
          <w:rFonts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服务要求</w:t>
      </w:r>
      <w:r>
        <w:rPr>
          <w:rFonts w:ascii="宋体" w:hAnsi="宋体" w:eastAsia="宋体" w:cs="宋体"/>
          <w:sz w:val="21"/>
          <w:szCs w:val="21"/>
          <w:highlight w:val="none"/>
        </w:rPr>
        <w:t xml:space="preserve">偏离表</w:t>
      </w:r>
      <w:r/>
    </w:p>
    <w:tbl>
      <w:tblPr>
        <w:tblStyle w:val="815"/>
        <w:tblW w:w="4750" w:type="pct"/>
        <w:tblInd w:w="3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918"/>
        <w:gridCol w:w="1892"/>
        <w:gridCol w:w="2409"/>
        <w:gridCol w:w="1376"/>
        <w:gridCol w:w="1027"/>
      </w:tblGrid>
      <w:tr>
        <w:trPr>
          <w:trHeight w:val="567"/>
        </w:trPr>
        <w:tc>
          <w:tcPr>
            <w:tcBorders>
              <w:bottom w:val="single" w:color="000000" w:sz="6" w:space="0"/>
              <w:right w:val="single" w:color="000000" w:sz="6" w:space="0"/>
            </w:tcBorders>
            <w:tcMar>
              <w:left w:w="28" w:type="dxa"/>
              <w:top w:w="8" w:type="dxa"/>
              <w:right w:w="28" w:type="dxa"/>
              <w:bottom w:w="8" w:type="dxa"/>
            </w:tcMar>
            <w:tcW w:w="1944" w:type="dxa"/>
            <w:vAlign w:val="center"/>
            <w:textDirection w:val="lrTb"/>
            <w:noWrap w:val="false"/>
          </w:tcPr>
          <w:p>
            <w:pPr>
              <w:jc w:val="center"/>
              <w:spacing w:before="12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招标文件</w:t>
            </w:r>
            <w:r>
              <w:rPr>
                <w:rFonts w:hint="eastAsia" w:ascii="宋体" w:hAnsi="宋体" w:eastAsia="宋体" w:cs="宋体"/>
                <w:b w:val="0"/>
                <w:bCs w:val="0"/>
                <w:i w:val="0"/>
                <w:iCs w:val="0"/>
                <w:smallCaps w:val="0"/>
                <w:color w:val="000000"/>
                <w:sz w:val="21"/>
                <w:szCs w:val="21"/>
                <w:highlight w:val="none"/>
                <w:lang w:val="en-US" w:eastAsia="zh-CN"/>
              </w:rPr>
              <w:t xml:space="preserve">服务要求</w:t>
            </w:r>
            <w:r>
              <w:rPr>
                <w:rFonts w:ascii="宋体" w:hAnsi="宋体" w:eastAsia="宋体" w:cs="宋体"/>
                <w:b w:val="0"/>
                <w:bCs w:val="0"/>
                <w:i w:val="0"/>
                <w:iCs w:val="0"/>
                <w:smallCaps w:val="0"/>
                <w:color w:val="000000"/>
                <w:sz w:val="21"/>
                <w:szCs w:val="21"/>
                <w:highlight w:val="none"/>
              </w:rPr>
              <w:t xml:space="preserve">对应序号</w:t>
            </w:r>
            <w:r/>
          </w:p>
        </w:tc>
        <w:tc>
          <w:tcPr>
            <w:tcBorders>
              <w:left w:val="single" w:color="000000" w:sz="6" w:space="0"/>
              <w:bottom w:val="single" w:color="000000" w:sz="6" w:space="0"/>
              <w:right w:val="single" w:color="000000" w:sz="6" w:space="0"/>
            </w:tcBorders>
            <w:tcMar>
              <w:left w:w="28" w:type="dxa"/>
              <w:top w:w="8" w:type="dxa"/>
              <w:right w:w="28" w:type="dxa"/>
              <w:bottom w:w="8" w:type="dxa"/>
            </w:tcMar>
            <w:tcW w:w="1918" w:type="dxa"/>
            <w:vAlign w:val="center"/>
            <w:textDirection w:val="lrTb"/>
            <w:noWrap w:val="false"/>
          </w:tcPr>
          <w:p>
            <w:pPr>
              <w:jc w:val="center"/>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招标文件</w:t>
            </w:r>
            <w:r/>
          </w:p>
          <w:p>
            <w:pPr>
              <w:jc w:val="center"/>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hint="eastAsia" w:ascii="宋体" w:hAnsi="宋体" w:eastAsia="宋体" w:cs="宋体"/>
                <w:b w:val="0"/>
                <w:bCs w:val="0"/>
                <w:i w:val="0"/>
                <w:iCs w:val="0"/>
                <w:smallCaps w:val="0"/>
                <w:color w:val="000000"/>
                <w:sz w:val="21"/>
                <w:szCs w:val="21"/>
                <w:highlight w:val="none"/>
                <w:lang w:val="en-US" w:eastAsia="zh-CN"/>
              </w:rPr>
              <w:t xml:space="preserve">服务</w:t>
            </w:r>
            <w:r>
              <w:rPr>
                <w:rFonts w:ascii="宋体" w:hAnsi="宋体" w:eastAsia="宋体" w:cs="宋体"/>
                <w:b w:val="0"/>
                <w:bCs w:val="0"/>
                <w:i w:val="0"/>
                <w:iCs w:val="0"/>
                <w:smallCaps w:val="0"/>
                <w:color w:val="000000"/>
                <w:sz w:val="21"/>
                <w:szCs w:val="21"/>
                <w:highlight w:val="none"/>
              </w:rPr>
              <w:t xml:space="preserve">要求</w:t>
            </w:r>
            <w:r/>
          </w:p>
        </w:tc>
        <w:tc>
          <w:tcPr>
            <w:tcBorders>
              <w:left w:val="single" w:color="000000" w:sz="6" w:space="0"/>
              <w:bottom w:val="single" w:color="000000" w:sz="6" w:space="0"/>
              <w:right w:val="single" w:color="000000" w:sz="6" w:space="0"/>
            </w:tcBorders>
            <w:tcMar>
              <w:left w:w="28" w:type="dxa"/>
              <w:top w:w="8" w:type="dxa"/>
              <w:right w:w="28" w:type="dxa"/>
              <w:bottom w:w="8" w:type="dxa"/>
            </w:tcMar>
            <w:tcW w:w="2442" w:type="dxa"/>
            <w:vAlign w:val="center"/>
            <w:textDirection w:val="lrTb"/>
            <w:noWrap w:val="false"/>
          </w:tcPr>
          <w:p>
            <w:pPr>
              <w:jc w:val="center"/>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投标文件</w:t>
            </w:r>
            <w:r/>
          </w:p>
          <w:p>
            <w:pPr>
              <w:jc w:val="center"/>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对应应答</w:t>
            </w:r>
            <w:r/>
          </w:p>
        </w:tc>
        <w:tc>
          <w:tcPr>
            <w:tcBorders>
              <w:left w:val="single" w:color="000000" w:sz="6" w:space="0"/>
              <w:bottom w:val="single" w:color="000000" w:sz="6" w:space="0"/>
              <w:right w:val="single" w:color="000000" w:sz="6" w:space="0"/>
            </w:tcBorders>
            <w:tcMar>
              <w:left w:w="28" w:type="dxa"/>
              <w:top w:w="8" w:type="dxa"/>
              <w:right w:w="28" w:type="dxa"/>
              <w:bottom w:w="8" w:type="dxa"/>
            </w:tcMar>
            <w:tcW w:w="1394" w:type="dxa"/>
            <w:vAlign w:val="center"/>
            <w:textDirection w:val="lrTb"/>
            <w:noWrap w:val="false"/>
          </w:tcPr>
          <w:p>
            <w:pPr>
              <w:jc w:val="center"/>
              <w:spacing w:before="12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偏差</w:t>
            </w:r>
            <w:r/>
          </w:p>
        </w:tc>
        <w:tc>
          <w:tcPr>
            <w:tcBorders>
              <w:left w:val="single" w:color="000000" w:sz="6" w:space="0"/>
              <w:bottom w:val="single" w:color="000000" w:sz="6" w:space="0"/>
            </w:tcBorders>
            <w:tcMar>
              <w:left w:w="28" w:type="dxa"/>
              <w:top w:w="8" w:type="dxa"/>
              <w:right w:w="28" w:type="dxa"/>
              <w:bottom w:w="8" w:type="dxa"/>
            </w:tcMar>
            <w:tcW w:w="1040" w:type="dxa"/>
            <w:vAlign w:val="center"/>
            <w:textDirection w:val="lrTb"/>
            <w:noWrap w:val="false"/>
          </w:tcPr>
          <w:p>
            <w:pPr>
              <w:jc w:val="center"/>
              <w:spacing w:before="120" w:after="0" w:line="560" w:lineRule="atLeast"/>
              <w:widowControl w:val="off"/>
              <w:rPr>
                <w:rFonts w:ascii="Times New Roman" w:hAnsi="Times New Roman" w:eastAsia="Times New Roman" w:cs="Times New Roman"/>
                <w:b w:val="0"/>
                <w:bCs w:val="0"/>
                <w:i w:val="0"/>
                <w:iCs w:val="0"/>
                <w:smallCaps w:val="0"/>
                <w:color w:val="000000"/>
                <w:highlight w:val="none"/>
              </w:rPr>
            </w:pPr>
            <w:r/>
            <w:bookmarkStart w:id="0" w:name="_GoBack"/>
            <w:r>
              <w:rPr>
                <w:rFonts w:ascii="宋体" w:hAnsi="宋体" w:eastAsia="宋体" w:cs="宋体"/>
                <w:b w:val="0"/>
                <w:bCs w:val="0"/>
                <w:i w:val="0"/>
                <w:iCs w:val="0"/>
                <w:smallCaps w:val="0"/>
                <w:color w:val="000000"/>
                <w:sz w:val="21"/>
                <w:szCs w:val="21"/>
                <w:highlight w:val="none"/>
              </w:rPr>
              <w:t xml:space="preserve">备注</w:t>
            </w:r>
            <w:bookmarkEnd w:id="0"/>
            <w:r/>
            <w:r/>
          </w:p>
        </w:tc>
      </w:tr>
      <w:tr>
        <w:trPr>
          <w:trHeight w:val="567"/>
        </w:trPr>
        <w:tc>
          <w:tcPr>
            <w:tcBorders>
              <w:top w:val="single" w:color="000000" w:sz="6" w:space="0"/>
              <w:bottom w:val="single" w:color="000000" w:sz="6" w:space="0"/>
              <w:right w:val="single" w:color="000000" w:sz="6" w:space="0"/>
            </w:tcBorders>
            <w:tcMar>
              <w:left w:w="28" w:type="dxa"/>
              <w:top w:w="8" w:type="dxa"/>
              <w:right w:w="28" w:type="dxa"/>
              <w:bottom w:w="8" w:type="dxa"/>
            </w:tcMar>
            <w:tcW w:w="194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918"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244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39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28" w:type="dxa"/>
              <w:top w:w="8" w:type="dxa"/>
              <w:right w:w="28" w:type="dxa"/>
              <w:bottom w:w="8" w:type="dxa"/>
            </w:tcMar>
            <w:tcW w:w="1040"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rHeight w:val="567"/>
        </w:trPr>
        <w:tc>
          <w:tcPr>
            <w:tcBorders>
              <w:top w:val="single" w:color="000000" w:sz="6" w:space="0"/>
              <w:bottom w:val="single" w:color="000000" w:sz="6" w:space="0"/>
              <w:right w:val="single" w:color="000000" w:sz="6" w:space="0"/>
            </w:tcBorders>
            <w:tcMar>
              <w:left w:w="28" w:type="dxa"/>
              <w:top w:w="8" w:type="dxa"/>
              <w:right w:w="28" w:type="dxa"/>
              <w:bottom w:w="8" w:type="dxa"/>
            </w:tcMar>
            <w:tcW w:w="1944" w:type="dxa"/>
            <w:vAlign w:val="top"/>
            <w:textDirection w:val="lrTb"/>
            <w:noWrap w:val="false"/>
          </w:tcPr>
          <w:p>
            <w:pPr>
              <w:ind w:firstLine="480"/>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918"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244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39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28" w:type="dxa"/>
              <w:top w:w="8" w:type="dxa"/>
              <w:right w:w="28" w:type="dxa"/>
              <w:bottom w:w="8" w:type="dxa"/>
            </w:tcMar>
            <w:tcW w:w="1040"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rHeight w:val="567"/>
        </w:trPr>
        <w:tc>
          <w:tcPr>
            <w:tcBorders>
              <w:top w:val="single" w:color="000000" w:sz="6" w:space="0"/>
              <w:bottom w:val="single" w:color="000000" w:sz="6" w:space="0"/>
              <w:right w:val="single" w:color="000000" w:sz="6" w:space="0"/>
            </w:tcBorders>
            <w:tcMar>
              <w:left w:w="28" w:type="dxa"/>
              <w:top w:w="8" w:type="dxa"/>
              <w:right w:w="28" w:type="dxa"/>
              <w:bottom w:w="8" w:type="dxa"/>
            </w:tcMar>
            <w:tcW w:w="1944" w:type="dxa"/>
            <w:vAlign w:val="top"/>
            <w:textDirection w:val="lrTb"/>
            <w:noWrap w:val="false"/>
          </w:tcPr>
          <w:p>
            <w:pPr>
              <w:ind w:firstLine="480"/>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918"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244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39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28" w:type="dxa"/>
              <w:top w:w="8" w:type="dxa"/>
              <w:right w:w="28" w:type="dxa"/>
              <w:bottom w:w="8" w:type="dxa"/>
            </w:tcMar>
            <w:tcW w:w="1040"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rHeight w:val="567"/>
        </w:trPr>
        <w:tc>
          <w:tcPr>
            <w:tcBorders>
              <w:top w:val="single" w:color="000000" w:sz="6" w:space="0"/>
              <w:bottom w:val="single" w:color="000000" w:sz="6" w:space="0"/>
              <w:right w:val="single" w:color="000000" w:sz="6" w:space="0"/>
            </w:tcBorders>
            <w:tcMar>
              <w:left w:w="28" w:type="dxa"/>
              <w:top w:w="8" w:type="dxa"/>
              <w:right w:w="28" w:type="dxa"/>
              <w:bottom w:w="8" w:type="dxa"/>
            </w:tcMar>
            <w:tcW w:w="1944" w:type="dxa"/>
            <w:vAlign w:val="top"/>
            <w:textDirection w:val="lrTb"/>
            <w:noWrap w:val="false"/>
          </w:tcPr>
          <w:p>
            <w:pPr>
              <w:ind w:firstLine="480"/>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918"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244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39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28" w:type="dxa"/>
              <w:top w:w="8" w:type="dxa"/>
              <w:right w:w="28" w:type="dxa"/>
              <w:bottom w:w="8" w:type="dxa"/>
            </w:tcMar>
            <w:tcW w:w="1040"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rHeight w:val="567"/>
        </w:trPr>
        <w:tc>
          <w:tcPr>
            <w:tcBorders>
              <w:top w:val="single" w:color="000000" w:sz="6" w:space="0"/>
              <w:bottom w:val="single" w:color="000000" w:sz="6" w:space="0"/>
              <w:right w:val="single" w:color="000000" w:sz="6" w:space="0"/>
            </w:tcBorders>
            <w:tcMar>
              <w:left w:w="28" w:type="dxa"/>
              <w:top w:w="8" w:type="dxa"/>
              <w:right w:w="28" w:type="dxa"/>
              <w:bottom w:w="8" w:type="dxa"/>
            </w:tcMar>
            <w:tcW w:w="194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918"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244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28" w:type="dxa"/>
              <w:top w:w="8" w:type="dxa"/>
              <w:right w:w="28" w:type="dxa"/>
              <w:bottom w:w="8" w:type="dxa"/>
            </w:tcMar>
            <w:tcW w:w="139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28" w:type="dxa"/>
              <w:top w:w="8" w:type="dxa"/>
              <w:right w:w="28" w:type="dxa"/>
              <w:bottom w:w="8" w:type="dxa"/>
            </w:tcMar>
            <w:tcW w:w="1040"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trHeight w:val="567"/>
        </w:trPr>
        <w:tc>
          <w:tcPr>
            <w:tcBorders>
              <w:top w:val="single" w:color="000000" w:sz="6" w:space="0"/>
              <w:right w:val="single" w:color="000000" w:sz="6" w:space="0"/>
            </w:tcBorders>
            <w:tcMar>
              <w:left w:w="28" w:type="dxa"/>
              <w:top w:w="8" w:type="dxa"/>
              <w:right w:w="28" w:type="dxa"/>
              <w:bottom w:w="8" w:type="dxa"/>
            </w:tcMar>
            <w:tcW w:w="1944" w:type="dxa"/>
            <w:vAlign w:val="top"/>
            <w:textDirection w:val="lrTb"/>
            <w:noWrap w:val="false"/>
          </w:tcPr>
          <w:p>
            <w:pPr>
              <w:ind w:firstLine="480"/>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right w:val="single" w:color="000000" w:sz="6" w:space="0"/>
            </w:tcBorders>
            <w:tcMar>
              <w:left w:w="28" w:type="dxa"/>
              <w:top w:w="8" w:type="dxa"/>
              <w:right w:w="28" w:type="dxa"/>
              <w:bottom w:w="8" w:type="dxa"/>
            </w:tcMar>
            <w:tcW w:w="1918" w:type="dxa"/>
            <w:vAlign w:val="top"/>
            <w:textDirection w:val="lrTb"/>
            <w:noWrap w:val="false"/>
          </w:tcPr>
          <w:p>
            <w:pPr>
              <w:ind w:left="0" w:right="0"/>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right w:val="single" w:color="000000" w:sz="6" w:space="0"/>
            </w:tcBorders>
            <w:tcMar>
              <w:left w:w="28" w:type="dxa"/>
              <w:top w:w="8" w:type="dxa"/>
              <w:right w:w="28" w:type="dxa"/>
              <w:bottom w:w="8" w:type="dxa"/>
            </w:tcMar>
            <w:tcW w:w="2442"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right w:val="single" w:color="000000" w:sz="6" w:space="0"/>
            </w:tcBorders>
            <w:tcMar>
              <w:left w:w="28" w:type="dxa"/>
              <w:top w:w="8" w:type="dxa"/>
              <w:right w:w="28" w:type="dxa"/>
              <w:bottom w:w="8" w:type="dxa"/>
            </w:tcMar>
            <w:tcW w:w="1394"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tcBorders>
            <w:tcMar>
              <w:left w:w="28" w:type="dxa"/>
              <w:top w:w="8" w:type="dxa"/>
              <w:right w:w="28" w:type="dxa"/>
              <w:bottom w:w="8" w:type="dxa"/>
            </w:tcMar>
            <w:tcW w:w="1040" w:type="dxa"/>
            <w:vAlign w:val="top"/>
            <w:textDirection w:val="lrTb"/>
            <w:noWrap w:val="false"/>
          </w:tcPr>
          <w:p>
            <w:pPr>
              <w:jc w:val="left"/>
              <w:spacing w:before="0" w:after="0" w:line="56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bl>
    <w:p>
      <w:pPr>
        <w:jc w:val="center"/>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b/>
          <w:bCs/>
          <w:sz w:val="21"/>
          <w:szCs w:val="21"/>
          <w:highlight w:val="none"/>
        </w:rPr>
        <w:t xml:space="preserve">供应商名称（公章）：</w:t>
      </w:r>
      <w:r/>
    </w:p>
    <w:p>
      <w:pPr>
        <w:jc w:val="center"/>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b/>
          <w:bCs/>
          <w:sz w:val="21"/>
          <w:szCs w:val="21"/>
          <w:highlight w:val="none"/>
        </w:rPr>
        <w:t xml:space="preserve">供应商代表签字：</w:t>
      </w:r>
      <w:r/>
    </w:p>
    <w:p>
      <w:pPr>
        <w:jc w:val="left"/>
        <w:spacing w:before="0" w:after="0" w:line="56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0" w:after="0" w:line="560" w:lineRule="atLeast"/>
        <w:widowControl w:val="off"/>
        <w:rPr>
          <w:rFonts w:ascii="Times New Roman" w:hAnsi="Times New Roman" w:eastAsia="Times New Roman" w:cs="Times New Roman"/>
          <w:highlight w:val="none"/>
        </w:rPr>
      </w:pPr>
      <w:r>
        <w:rPr>
          <w:rFonts w:ascii="宋体" w:hAnsi="宋体" w:eastAsia="宋体" w:cs="宋体"/>
          <w:highlight w:val="none"/>
        </w:rPr>
        <w:t xml:space="preserve">注：</w:t>
      </w:r>
      <w:r>
        <w:rPr>
          <w:rFonts w:ascii="宋体" w:hAnsi="宋体" w:eastAsia="宋体" w:cs="宋体"/>
          <w:sz w:val="21"/>
          <w:szCs w:val="21"/>
          <w:highlight w:val="none"/>
        </w:rPr>
        <w:t xml:space="preserve">1.按照招标文件中列明的技术性能、功能及配置或服务要求进行如实逐条应答。</w:t>
      </w:r>
      <w:r/>
    </w:p>
    <w:p>
      <w:pPr>
        <w:ind w:firstLine="435"/>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2.对于那些可以用量化形式表示的条款，供应商必须明确回答，对于那些非量化的条款供应商应以功能描述回答，指出所报提供的货物和服务是否做出实质性响应。</w:t>
      </w:r>
      <w:r/>
    </w:p>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t xml:space="preserve"> </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rPr>
        <w:br w:type="page" w:clear="all"/>
      </w:r>
      <w:r>
        <w:rPr>
          <w:rFonts w:ascii="宋体" w:hAnsi="宋体" w:eastAsia="宋体" w:cs="宋体"/>
          <w:b/>
          <w:bCs/>
          <w:sz w:val="21"/>
          <w:szCs w:val="21"/>
          <w:highlight w:val="none"/>
        </w:rPr>
        <w:t xml:space="preserve">二、资格证明文件</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2.1满足《中华人民共和国政府采购法》第二十二条规定：</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（1）具有独立承担民事责任的能力，提供法人或其他组织的营业执照等证明文件，复印件加盖公章；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（2）法人代表授权书（原件）及法定代表人、授权代表身份证复印件及</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sz w:val="21"/>
          <w:szCs w:val="21"/>
          <w:highlight w:val="none"/>
        </w:rPr>
        <w:t xml:space="preserve">内任意一月投标单位为其缴纳的社保证明（如果是法定代表人直接参与投标的可以不提供授权书）；</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（3）具有良好的商业信誉和健全的财务会计制度，提供</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sz w:val="21"/>
          <w:szCs w:val="21"/>
          <w:highlight w:val="none"/>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sz w:val="21"/>
          <w:szCs w:val="21"/>
          <w:highlight w:val="none"/>
        </w:rPr>
        <w:t xml:space="preserve">内），或2024或2025年度经审计的财务报告复印件加盖公章；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（4）具有履行合同所必需的设备和专业技术能力（根据项目需求提供履行合同所必需的设备和专业技术能力的证明材料或相关加盖公章的承诺函，承诺函自行编写）；</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（6）有依法缴纳税收的良好记录，提供</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sz w:val="21"/>
          <w:szCs w:val="21"/>
          <w:highlight w:val="none"/>
        </w:rPr>
        <w:t xml:space="preserve">内任意一月份的纳税凭据复印件加盖公章（依法免税的应提供相应文件说明）；</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（7）有依法缴纳社会保障资金的良好记录，提供</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sz w:val="21"/>
          <w:szCs w:val="21"/>
          <w:highlight w:val="none"/>
        </w:rPr>
        <w:t xml:space="preserve">内任意一月份的依法缴纳社会保障资金的凭据复印件加盖公章；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2.2落实政府采购政策需满足的资格要求：本项目非专门面向中小企业采购</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2.3本项目的特定资格要求：无。</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b/>
          <w:bCs/>
          <w:sz w:val="21"/>
          <w:szCs w:val="21"/>
          <w:highlight w:val="none"/>
        </w:rPr>
        <w:t xml:space="preserve">2.4供应商存在下列情形的不得参加本次招标活动：</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（1）单位负责人为同一人或者存在直接控股、管理关系的不同供应商，不得参加同一合同项下的政府采购活动。</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（2）除单一来源项目外，凡为采购项目提供整体设计、规范编制或者项目管理、监理、检测等服务的供应商不得再参加本项目的采购活动。</w:t>
      </w:r>
      <w:r/>
    </w:p>
    <w:p>
      <w:pPr>
        <w:ind w:firstLine="420"/>
        <w:spacing w:before="0" w:after="0" w:line="360" w:lineRule="auto"/>
        <w:shd w:val="clear" w:color="auto" w:fill="ffffff"/>
        <w:rPr>
          <w:rFonts w:ascii="宋体" w:hAnsi="宋体" w:eastAsia="宋体" w:cs="宋体"/>
          <w:sz w:val="21"/>
          <w:szCs w:val="21"/>
          <w:highlight w:val="none"/>
        </w:rPr>
      </w:pPr>
      <w:r>
        <w:rPr>
          <w:rFonts w:ascii="宋体" w:hAnsi="宋体" w:eastAsia="宋体" w:cs="宋体"/>
          <w:sz w:val="21"/>
          <w:szCs w:val="21"/>
          <w:highlight w:val="none"/>
        </w:rPr>
        <w:t xml:space="preserve">（3）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before="0" w:after="0" w:line="360" w:lineRule="auto"/>
        <w:shd w:val="clear" w:color="auto" w:fill="ffffff"/>
        <w:rPr>
          <w:rFonts w:ascii="Times New Roman" w:hAnsi="Times New Roman" w:eastAsia="Times New Roman" w:cs="Times New Roman"/>
          <w:sz w:val="21"/>
          <w:szCs w:val="21"/>
          <w:highlight w:val="none"/>
        </w:rPr>
      </w:pPr>
      <w:r>
        <w:rPr>
          <w:rFonts w:ascii="宋体" w:hAnsi="宋体" w:eastAsia="宋体" w:cs="宋体"/>
          <w:sz w:val="21"/>
          <w:szCs w:val="21"/>
          <w:highlight w:val="none"/>
        </w:rPr>
        <w:br w:type="page" w:clear="all"/>
      </w:r>
      <w:r/>
    </w:p>
    <w:tbl>
      <w:tblPr>
        <w:tblStyle w:val="815"/>
        <w:tblpPr w:horzAnchor="text" w:tblpXSpec="left" w:vertAnchor="text" w:tblpY="1" w:leftFromText="180" w:topFromText="0" w:rightFromText="180" w:bottomFromText="0"/>
        <w:tblW w:w="475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774"/>
      </w:tblGrid>
      <w:tr>
        <w:trPr/>
        <w:tc>
          <w:tcPr>
            <w:tcMar>
              <w:left w:w="108" w:type="dxa"/>
              <w:top w:w="8" w:type="dxa"/>
              <w:right w:w="108" w:type="dxa"/>
              <w:bottom w:w="8" w:type="dxa"/>
            </w:tcMar>
            <w:tcW w:w="9430" w:type="dxa"/>
            <w:vAlign w:val="top"/>
            <w:textDirection w:val="lrTb"/>
            <w:noWrap w:val="false"/>
          </w:tcPr>
          <w:p>
            <w:pPr>
              <w:jc w:val="center"/>
              <w:spacing w:before="0" w:after="0" w:line="40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bCs/>
                <w:i w:val="0"/>
                <w:iCs w:val="0"/>
                <w:smallCaps w:val="0"/>
                <w:color w:val="000000"/>
                <w:sz w:val="21"/>
                <w:szCs w:val="21"/>
                <w:highlight w:val="none"/>
              </w:rPr>
              <w:t xml:space="preserve">参加政府采购活动前 3 年内在经营活动中</w:t>
            </w:r>
            <w:r/>
          </w:p>
          <w:p>
            <w:pPr>
              <w:jc w:val="center"/>
              <w:spacing w:before="0" w:after="0" w:line="40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bCs/>
                <w:i w:val="0"/>
                <w:iCs w:val="0"/>
                <w:smallCaps w:val="0"/>
                <w:color w:val="000000"/>
                <w:sz w:val="21"/>
                <w:szCs w:val="21"/>
                <w:highlight w:val="none"/>
              </w:rPr>
              <w:t xml:space="preserve">没有重大违法记录的书面声明（参考格式）</w:t>
            </w:r>
            <w:r/>
          </w:p>
          <w:p>
            <w:pPr>
              <w:ind w:firstLine="420"/>
              <w:jc w:val="left"/>
              <w:spacing w:before="0" w:after="0" w:line="40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jc w:val="left"/>
              <w:spacing w:before="0" w:after="0"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p>
            <w:pPr>
              <w:ind w:firstLine="3570"/>
              <w:jc w:val="left"/>
              <w:spacing w:before="0" w:after="0" w:line="40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 供应商名称（公章）：</w:t>
            </w:r>
            <w:r/>
          </w:p>
          <w:p>
            <w:pPr>
              <w:jc w:val="left"/>
              <w:spacing w:before="0" w:after="0" w:line="40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                                   授权代表签字： </w:t>
            </w:r>
            <w:r/>
          </w:p>
          <w:p>
            <w:pPr>
              <w:jc w:val="center"/>
              <w:spacing w:before="0" w:after="0" w:line="400" w:lineRule="atLeast"/>
              <w:widowControl w:val="off"/>
              <w:rPr>
                <w:rFonts w:ascii="Times New Roman" w:hAnsi="Times New Roman" w:eastAsia="Times New Roman" w:cs="Times New Roman"/>
                <w:b w:val="0"/>
                <w:bCs w:val="0"/>
                <w:i w:val="0"/>
                <w:iCs w:val="0"/>
                <w:smallCaps w:val="0"/>
                <w:color w:val="000000"/>
                <w:highlight w:val="none"/>
              </w:rPr>
            </w:pPr>
            <w:r>
              <w:rPr>
                <w:rFonts w:ascii="宋体" w:hAnsi="宋体" w:eastAsia="宋体" w:cs="宋体"/>
                <w:b w:val="0"/>
                <w:bCs w:val="0"/>
                <w:i w:val="0"/>
                <w:iCs w:val="0"/>
                <w:smallCaps w:val="0"/>
                <w:color w:val="000000"/>
                <w:sz w:val="21"/>
                <w:szCs w:val="21"/>
                <w:highlight w:val="none"/>
              </w:rPr>
              <w:t xml:space="preserve">                                   日期：     年    月    日</w:t>
            </w:r>
            <w:r/>
          </w:p>
        </w:tc>
      </w:tr>
    </w:tbl>
    <w:p>
      <w:pPr>
        <w:pStyle w:val="811"/>
        <w:keepNext w:val="0"/>
        <w:spacing w:before="0" w:after="120" w:line="400" w:lineRule="atLeast"/>
        <w:widowControl w:val="off"/>
        <w:rPr>
          <w:rFonts w:ascii="Times New Roman" w:hAnsi="Times New Roman" w:eastAsia="Times New Roman" w:cs="Times New Roman"/>
          <w:b/>
          <w:bCs/>
          <w:sz w:val="36"/>
          <w:szCs w:val="36"/>
          <w:highlight w:val="none"/>
        </w:rPr>
        <w:outlineLvl w:val="9"/>
      </w:pPr>
      <w:r>
        <w:rPr>
          <w:rFonts w:ascii="Times New Roman" w:hAnsi="Times New Roman" w:eastAsia="Times New Roman" w:cs="Times New Roman"/>
          <w:b/>
          <w:bCs/>
          <w:sz w:val="36"/>
          <w:szCs w:val="36"/>
          <w:highlight w:val="none"/>
        </w:rPr>
        <w:br w:type="page" w:clear="all"/>
      </w:r>
      <w:r>
        <w:rPr>
          <w:rFonts w:ascii="宋体" w:hAnsi="宋体" w:eastAsia="宋体" w:cs="宋体"/>
          <w:i w:val="0"/>
          <w:iCs w:val="0"/>
          <w:sz w:val="21"/>
          <w:szCs w:val="21"/>
          <w:highlight w:val="none"/>
        </w:rPr>
        <w:t xml:space="preserve">三、其他相关文件</w:t>
      </w:r>
      <w:r/>
    </w:p>
    <w:p>
      <w:pPr>
        <w:pStyle w:val="812"/>
        <w:jc w:val="left"/>
        <w:keepNext w:val="0"/>
        <w:spacing w:before="0" w:after="0" w:line="400" w:lineRule="atLeast"/>
        <w:shd w:val="clear" w:color="auto" w:fill="ffffff"/>
        <w:widowControl w:val="off"/>
        <w:rPr>
          <w:rFonts w:ascii="Times New Roman" w:hAnsi="Times New Roman" w:eastAsia="Times New Roman" w:cs="Times New Roman"/>
          <w:b/>
          <w:bCs/>
          <w:sz w:val="28"/>
          <w:szCs w:val="28"/>
          <w:highlight w:val="none"/>
        </w:rPr>
        <w:outlineLvl w:val="9"/>
      </w:pPr>
      <w:r>
        <w:rPr>
          <w:rFonts w:ascii="宋体" w:hAnsi="宋体" w:eastAsia="宋体" w:cs="宋体"/>
          <w:sz w:val="21"/>
          <w:szCs w:val="21"/>
          <w:highlight w:val="none"/>
        </w:rPr>
        <w:t xml:space="preserve">1.授权委托书</w:t>
      </w:r>
      <w:r/>
    </w:p>
    <w:p>
      <w:pPr>
        <w:jc w:val="center"/>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b/>
          <w:bCs/>
          <w:sz w:val="21"/>
          <w:szCs w:val="21"/>
          <w:highlight w:val="none"/>
        </w:rPr>
        <w:t xml:space="preserve">授权委托书</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致苏美达国际技术贸易有限公司：</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    本授权书宣告：</w:t>
      </w:r>
      <w:r/>
    </w:p>
    <w:p>
      <w:pPr>
        <w:ind w:firstLine="420"/>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委托人：</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地    址： </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法定代表人：</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受托人： </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性别： </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出生日期：</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所在单位：</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职务：</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身份证号：</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联系方式：</w:t>
      </w:r>
      <w:r/>
    </w:p>
    <w:p>
      <w:pPr>
        <w:ind w:firstLine="420"/>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    受托人在办理上述事宜过程中以其自己的名义所签署的所有文件我均予以承认。受托人无转委托权。</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委托期限：至上述事宜处理完毕止。</w:t>
      </w:r>
      <w:r/>
    </w:p>
    <w:p>
      <w:pPr>
        <w:ind w:firstLine="420"/>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20"/>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3079"/>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委托单位   </w:t>
      </w:r>
      <w:r>
        <w:rPr>
          <w:rFonts w:ascii="宋体" w:hAnsi="宋体" w:eastAsia="宋体" w:cs="宋体"/>
          <w:sz w:val="21"/>
          <w:szCs w:val="21"/>
          <w:highlight w:val="none"/>
          <w:u w:val="single"/>
        </w:rPr>
        <w:t xml:space="preserve"> （公章）          </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                             法定代表人 </w:t>
      </w:r>
      <w:r>
        <w:rPr>
          <w:rFonts w:ascii="宋体" w:hAnsi="宋体" w:eastAsia="宋体" w:cs="宋体"/>
          <w:sz w:val="21"/>
          <w:szCs w:val="21"/>
          <w:highlight w:val="none"/>
          <w:u w:val="single"/>
        </w:rPr>
        <w:t xml:space="preserve"> （签名或盖章）          </w:t>
      </w:r>
      <w:r/>
    </w:p>
    <w:p>
      <w:pPr>
        <w:ind w:firstLine="3885"/>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年    月    日</w:t>
      </w:r>
      <w:r/>
    </w:p>
    <w:p>
      <w:pPr>
        <w:jc w:val="left"/>
        <w:spacing w:before="0" w:after="0"/>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rPr>
        <w:t xml:space="preserve">附：法定代表人、授权代表身份证复印件及</w:t>
      </w:r>
      <w:r>
        <w:rPr>
          <w:rFonts w:hint="eastAsia" w:ascii="宋体" w:hAnsi="宋体" w:eastAsia="宋体" w:cs="宋体"/>
          <w:b/>
          <w:bCs/>
          <w:sz w:val="21"/>
          <w:szCs w:val="21"/>
          <w:highlight w:val="none"/>
          <w:lang w:eastAsia="zh-CN"/>
        </w:rPr>
        <w:t xml:space="preserve">2026年2月-2026年7月</w:t>
      </w:r>
      <w:r>
        <w:rPr>
          <w:rFonts w:ascii="宋体" w:hAnsi="宋体" w:eastAsia="宋体" w:cs="宋体"/>
          <w:b/>
          <w:bCs/>
          <w:sz w:val="21"/>
          <w:szCs w:val="21"/>
          <w:highlight w:val="none"/>
        </w:rPr>
        <w:t xml:space="preserve">内任意一月投标单位为其缴纳的社保证明（如果是法定代表人直接参与投标的可以不提供授权书）。</w:t>
      </w:r>
      <w:r/>
    </w:p>
    <w:p>
      <w:pPr>
        <w:jc w:val="left"/>
        <w:spacing w:before="0" w:after="0"/>
        <w:widowControl w:val="off"/>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t xml:space="preserve"> </w:t>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br w:type="page" w:clear="all"/>
      </w:r>
      <w:r>
        <w:rPr>
          <w:rFonts w:ascii="宋体" w:hAnsi="宋体" w:eastAsia="宋体" w:cs="宋体"/>
          <w:sz w:val="21"/>
          <w:szCs w:val="21"/>
          <w:highlight w:val="none"/>
        </w:rPr>
        <w:t xml:space="preserve">2.相关资质、业绩证明文件</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2.1 </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2.2</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2.3 </w:t>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sz w:val="21"/>
          <w:szCs w:val="21"/>
          <w:highlight w:val="none"/>
        </w:rPr>
        <w:t xml:space="preserve">2.4 </w:t>
      </w:r>
      <w:r/>
    </w:p>
    <w:p>
      <w:pPr>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rPr>
        <w:t xml:space="preserve">3.供应商拟承担本项目主要专业技术人员一览表格式</w:t>
      </w:r>
      <w:r/>
    </w:p>
    <w:p>
      <w:pPr>
        <w:jc w:val="center"/>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center"/>
        <w:spacing w:before="0" w:after="0" w:line="40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rPr>
        <w:t xml:space="preserve">供应商拟承担本项目主要专业技术人员一览表</w:t>
      </w:r>
      <w:r/>
    </w:p>
    <w:tbl>
      <w:tblPr>
        <w:tblStyle w:val="815"/>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727"/>
        <w:gridCol w:w="1763"/>
        <w:gridCol w:w="1763"/>
        <w:gridCol w:w="1906"/>
        <w:gridCol w:w="1615"/>
      </w:tblGrid>
      <w:tr>
        <w:trPr>
          <w:jc w:val="center"/>
          <w:trHeight w:val="399"/>
        </w:trPr>
        <w:tc>
          <w:tcPr>
            <w:tcBorders>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人员姓名</w:t>
            </w:r>
            <w:r/>
          </w:p>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联系电话</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专业</w:t>
            </w:r>
            <w:r>
              <w:rPr>
                <w:rFonts w:ascii="Calibri" w:hAnsi="Calibri" w:eastAsia="Calibri" w:cs="Calibri"/>
                <w:b w:val="0"/>
                <w:bCs w:val="0"/>
                <w:i w:val="0"/>
                <w:iCs w:val="0"/>
                <w:smallCaps w:val="0"/>
                <w:color w:val="000000"/>
                <w:sz w:val="21"/>
                <w:szCs w:val="21"/>
                <w:highlight w:val="none"/>
              </w:rPr>
              <w:t xml:space="preserve">/</w:t>
            </w:r>
            <w:r>
              <w:rPr>
                <w:rFonts w:ascii="PMingLiU" w:hAnsi="PMingLiU" w:eastAsia="PMingLiU" w:cs="PMingLiU"/>
                <w:b w:val="0"/>
                <w:bCs w:val="0"/>
                <w:i w:val="0"/>
                <w:iCs w:val="0"/>
                <w:smallCaps w:val="0"/>
                <w:color w:val="000000"/>
                <w:sz w:val="21"/>
                <w:szCs w:val="21"/>
                <w:highlight w:val="none"/>
              </w:rPr>
              <w:t xml:space="preserve">类别</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工作时间</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工作业绩</w:t>
            </w:r>
            <w:r/>
          </w:p>
        </w:tc>
        <w:tc>
          <w:tcPr>
            <w:tcBorders>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在本项目中</w:t>
            </w:r>
            <w:r/>
          </w:p>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PMingLiU" w:hAnsi="PMingLiU" w:eastAsia="PMingLiU" w:cs="PMingLiU"/>
                <w:b w:val="0"/>
                <w:bCs w:val="0"/>
                <w:i w:val="0"/>
                <w:iCs w:val="0"/>
                <w:smallCaps w:val="0"/>
                <w:color w:val="000000"/>
                <w:sz w:val="21"/>
                <w:szCs w:val="21"/>
                <w:highlight w:val="none"/>
              </w:rPr>
              <w:t xml:space="preserve">职责分工</w:t>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Pr>
        <w:tc>
          <w:tcPr>
            <w:tcBorders>
              <w:top w:val="single" w:color="000000" w:sz="6" w:space="0"/>
              <w:bottom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r>
        <w:trPr>
          <w:jc w:val="center"/>
        </w:trPr>
        <w:tc>
          <w:tcPr>
            <w:tcBorders>
              <w:top w:val="single" w:color="000000" w:sz="6" w:space="0"/>
              <w:right w:val="single" w:color="000000" w:sz="6" w:space="0"/>
            </w:tcBorders>
            <w:tcMar>
              <w:left w:w="108" w:type="dxa"/>
              <w:top w:w="8" w:type="dxa"/>
              <w:right w:w="108" w:type="dxa"/>
              <w:bottom w:w="8" w:type="dxa"/>
            </w:tcMar>
            <w:tcW w:w="1686" w:type="dxa"/>
            <w:vAlign w:val="center"/>
            <w:textDirection w:val="lrTb"/>
            <w:noWrap w:val="false"/>
          </w:tcPr>
          <w:p>
            <w:pPr>
              <w:jc w:val="center"/>
              <w:spacing w:before="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72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right w:val="single" w:color="000000" w:sz="6" w:space="0"/>
            </w:tcBorders>
            <w:tcMar>
              <w:left w:w="108" w:type="dxa"/>
              <w:top w:w="8" w:type="dxa"/>
              <w:right w:w="108" w:type="dxa"/>
              <w:bottom w:w="8" w:type="dxa"/>
            </w:tcMar>
            <w:tcW w:w="1860"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c>
          <w:tcPr>
            <w:tcBorders>
              <w:top w:val="single" w:color="000000" w:sz="6" w:space="0"/>
              <w:left w:val="single" w:color="000000" w:sz="6" w:space="0"/>
            </w:tcBorders>
            <w:tcMar>
              <w:left w:w="108" w:type="dxa"/>
              <w:top w:w="8" w:type="dxa"/>
              <w:right w:w="108" w:type="dxa"/>
              <w:bottom w:w="8" w:type="dxa"/>
            </w:tcMar>
            <w:tcW w:w="1576" w:type="dxa"/>
            <w:vAlign w:val="center"/>
            <w:textDirection w:val="lrTb"/>
            <w:noWrap w:val="false"/>
          </w:tcPr>
          <w:p>
            <w:pPr>
              <w:ind w:firstLine="2536"/>
              <w:jc w:val="center"/>
              <w:spacing w:before="290" w:after="145" w:line="400" w:lineRule="atLeast"/>
              <w:widowControl w:val="off"/>
              <w:rPr>
                <w:rFonts w:ascii="Times New Roman" w:hAnsi="Times New Roman" w:eastAsia="Times New Roman" w:cs="Times New Roman"/>
                <w:b w:val="0"/>
                <w:bCs w:val="0"/>
                <w:i w:val="0"/>
                <w:iCs w:val="0"/>
                <w:smallCaps w:val="0"/>
                <w:color w:val="000000"/>
                <w:highlight w:val="none"/>
              </w:rPr>
            </w:pPr>
            <w:r>
              <w:rPr>
                <w:rFonts w:ascii="Times New Roman" w:hAnsi="Times New Roman" w:eastAsia="Times New Roman" w:cs="Times New Roman"/>
                <w:b w:val="0"/>
                <w:bCs w:val="0"/>
                <w:i w:val="0"/>
                <w:iCs w:val="0"/>
                <w:smallCaps w:val="0"/>
                <w:color w:val="000000"/>
                <w:highlight w:val="none"/>
              </w:rPr>
            </w:r>
            <w:r/>
          </w:p>
        </w:tc>
      </w:tr>
    </w:tbl>
    <w:p>
      <w:pPr>
        <w:ind w:left="420" w:hanging="420"/>
        <w:jc w:val="left"/>
        <w:spacing w:before="0" w:after="145" w:line="400" w:lineRule="atLeast"/>
        <w:widowControl w:val="off"/>
        <w:rPr>
          <w:rFonts w:ascii="Times New Roman" w:hAnsi="Times New Roman" w:eastAsia="Times New Roman" w:cs="Times New Roman"/>
          <w:highlight w:val="none"/>
        </w:rPr>
      </w:pPr>
      <w:r>
        <w:rPr>
          <w:rFonts w:ascii="PMingLiU" w:hAnsi="PMingLiU" w:eastAsia="PMingLiU" w:cs="PMingLiU"/>
          <w:sz w:val="21"/>
          <w:szCs w:val="21"/>
          <w:highlight w:val="none"/>
        </w:rPr>
        <w:t xml:space="preserve">注：附技术人员相关资格证书复印件。</w:t>
      </w:r>
      <w:r/>
    </w:p>
    <w:p>
      <w:pPr>
        <w:jc w:val="center"/>
        <w:spacing w:before="0" w:after="0" w:line="400" w:lineRule="atLeast"/>
        <w:widowControl w:val="off"/>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供应商单位公章：</w:t>
      </w:r>
      <w:r/>
    </w:p>
    <w:p>
      <w:pPr>
        <w:jc w:val="center"/>
        <w:spacing w:before="0" w:after="0" w:line="400" w:lineRule="atLeast"/>
        <w:widowControl w:val="off"/>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供应商代表签字</w:t>
      </w:r>
      <w:r>
        <w:rPr>
          <w:rFonts w:ascii="宋体" w:hAnsi="宋体" w:eastAsia="宋体" w:cs="宋体"/>
          <w:sz w:val="21"/>
          <w:szCs w:val="21"/>
          <w:highlight w:val="none"/>
        </w:rPr>
        <w:t xml:space="preserve">：</w:t>
      </w:r>
      <w:r>
        <w:rPr>
          <w:rFonts w:ascii="Calibri" w:hAnsi="Calibri" w:eastAsia="Calibri" w:cs="Calibri"/>
          <w:sz w:val="21"/>
          <w:szCs w:val="21"/>
          <w:highlight w:val="none"/>
        </w:rPr>
        <w:t xml:space="preserve">  </w:t>
      </w:r>
      <w:r/>
    </w:p>
    <w:p>
      <w:pPr>
        <w:jc w:val="center"/>
        <w:spacing w:before="0" w:after="0" w:line="400" w:lineRule="atLeast"/>
        <w:widowControl w:val="off"/>
        <w:rPr>
          <w:rFonts w:ascii="Times New Roman" w:hAnsi="Times New Roman" w:eastAsia="Times New Roman" w:cs="Times New Roman"/>
          <w:highlight w:val="none"/>
        </w:rPr>
      </w:pP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年</w:t>
      </w: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月</w:t>
      </w:r>
      <w:r>
        <w:rPr>
          <w:rFonts w:ascii="Calibri" w:hAnsi="Calibri" w:eastAsia="Calibri" w:cs="Calibri"/>
          <w:sz w:val="21"/>
          <w:szCs w:val="21"/>
          <w:highlight w:val="none"/>
        </w:rPr>
        <w:t xml:space="preserve">    </w:t>
      </w:r>
      <w:r>
        <w:rPr>
          <w:rFonts w:ascii="PMingLiU" w:hAnsi="PMingLiU" w:eastAsia="PMingLiU" w:cs="PMingLiU"/>
          <w:sz w:val="21"/>
          <w:szCs w:val="21"/>
          <w:highlight w:val="none"/>
        </w:rPr>
        <w:t xml:space="preserve">日</w:t>
      </w:r>
      <w:r/>
    </w:p>
    <w:p>
      <w:pPr>
        <w:jc w:val="left"/>
        <w:spacing w:before="12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pStyle w:val="812"/>
        <w:jc w:val="left"/>
        <w:keepNext w:val="0"/>
        <w:spacing w:before="0" w:after="0" w:line="400" w:lineRule="atLeast"/>
        <w:shd w:val="clear" w:color="auto" w:fill="ffffff"/>
        <w:widowControl w:val="off"/>
        <w:rPr>
          <w:rFonts w:ascii="Times New Roman" w:hAnsi="Times New Roman" w:eastAsia="Times New Roman" w:cs="Times New Roman"/>
          <w:b/>
          <w:bCs/>
          <w:sz w:val="28"/>
          <w:szCs w:val="28"/>
          <w:highlight w:val="none"/>
        </w:rPr>
        <w:outlineLvl w:val="9"/>
      </w:pPr>
      <w:r>
        <w:rPr>
          <w:rFonts w:ascii="宋体" w:hAnsi="宋体" w:eastAsia="宋体" w:cs="宋体"/>
          <w:sz w:val="21"/>
          <w:szCs w:val="21"/>
          <w:highlight w:val="none"/>
        </w:rPr>
        <w:t xml:space="preserve">4.服务承诺</w:t>
      </w:r>
      <w:r/>
    </w:p>
    <w:p>
      <w:pPr>
        <w:jc w:val="left"/>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sz w:val="21"/>
          <w:szCs w:val="21"/>
          <w:highlight w:val="none"/>
        </w:rPr>
        <w:t xml:space="preserve">（结合评标办法）</w:t>
      </w:r>
      <w:r/>
    </w:p>
    <w:p>
      <w:pPr>
        <w:pStyle w:val="812"/>
        <w:jc w:val="left"/>
        <w:keepNext w:val="0"/>
        <w:spacing w:before="0" w:after="0" w:line="400" w:lineRule="atLeast"/>
        <w:shd w:val="clear" w:color="auto" w:fill="ffffff"/>
        <w:widowControl w:val="off"/>
        <w:rPr>
          <w:rFonts w:ascii="Times New Roman" w:hAnsi="Times New Roman" w:eastAsia="Times New Roman" w:cs="Times New Roman"/>
          <w:b/>
          <w:bCs/>
          <w:sz w:val="28"/>
          <w:szCs w:val="28"/>
          <w:highlight w:val="none"/>
        </w:rPr>
        <w:outlineLvl w:val="9"/>
      </w:pPr>
      <w:r>
        <w:rPr>
          <w:rFonts w:ascii="Times New Roman" w:hAnsi="Times New Roman" w:eastAsia="Times New Roman" w:cs="Times New Roman"/>
          <w:b/>
          <w:bCs/>
          <w:sz w:val="28"/>
          <w:szCs w:val="28"/>
          <w:highlight w:val="none"/>
        </w:rPr>
        <w:br/>
      </w:r>
      <w:r>
        <w:rPr>
          <w:rFonts w:ascii="宋体" w:hAnsi="宋体" w:eastAsia="宋体" w:cs="宋体"/>
          <w:sz w:val="21"/>
          <w:szCs w:val="21"/>
          <w:highlight w:val="none"/>
        </w:rPr>
        <w:t xml:space="preserve">5.其他可以提供的关于投标的证明材料（样本、说明书或者检测报告等）</w:t>
      </w:r>
      <w:r/>
    </w:p>
    <w:p>
      <w:pPr>
        <w:pStyle w:val="811"/>
        <w:keepNext w:val="0"/>
        <w:spacing w:before="120" w:after="120" w:line="400" w:lineRule="atLeast"/>
        <w:widowControl w:val="off"/>
        <w:rPr>
          <w:rFonts w:ascii="Times New Roman" w:hAnsi="Times New Roman" w:eastAsia="Times New Roman" w:cs="Times New Roman"/>
          <w:b/>
          <w:bCs/>
          <w:sz w:val="36"/>
          <w:szCs w:val="36"/>
          <w:highlight w:val="none"/>
        </w:rPr>
        <w:outlineLvl w:val="9"/>
      </w:pPr>
      <w:r>
        <w:rPr>
          <w:rFonts w:ascii="宋体" w:hAnsi="宋体" w:eastAsia="宋体" w:cs="宋体"/>
          <w:i w:val="0"/>
          <w:iCs w:val="0"/>
          <w:sz w:val="21"/>
          <w:szCs w:val="21"/>
          <w:highlight w:val="none"/>
        </w:rPr>
        <w:t xml:space="preserve">四、服务方案及建议书</w:t>
      </w:r>
      <w:r/>
    </w:p>
    <w:p>
      <w:pPr>
        <w:ind w:firstLine="420"/>
        <w:jc w:val="left"/>
        <w:spacing w:before="0" w:after="0" w:line="560" w:lineRule="atLeast"/>
        <w:widowControl w:val="off"/>
        <w:rPr>
          <w:rFonts w:ascii="Times New Roman" w:hAnsi="Times New Roman" w:eastAsia="Times New Roman" w:cs="Times New Roman"/>
          <w:highlight w:val="none"/>
        </w:rPr>
      </w:pPr>
      <w:r>
        <w:rPr>
          <w:rFonts w:ascii="PMingLiU" w:hAnsi="PMingLiU" w:eastAsia="PMingLiU" w:cs="PMingLiU"/>
          <w:sz w:val="21"/>
          <w:szCs w:val="21"/>
          <w:highlight w:val="none"/>
        </w:rPr>
        <w:t xml:space="preserve">供应商应根据招标文件中《</w:t>
      </w:r>
      <w:r>
        <w:rPr>
          <w:rFonts w:ascii="宋体" w:hAnsi="宋体" w:eastAsia="宋体" w:cs="宋体"/>
          <w:sz w:val="21"/>
          <w:szCs w:val="21"/>
          <w:highlight w:val="none"/>
        </w:rPr>
        <w:t xml:space="preserve">服务</w:t>
      </w:r>
      <w:r>
        <w:rPr>
          <w:rFonts w:ascii="PMingLiU" w:hAnsi="PMingLiU" w:eastAsia="PMingLiU" w:cs="PMingLiU"/>
          <w:sz w:val="21"/>
          <w:szCs w:val="21"/>
          <w:highlight w:val="none"/>
        </w:rPr>
        <w:t xml:space="preserve">要求》，详细叙述拟提供技术及服务方案</w:t>
      </w:r>
      <w:r>
        <w:rPr>
          <w:rFonts w:ascii="Calibri" w:hAnsi="Calibri" w:eastAsia="Calibri" w:cs="Calibri"/>
          <w:sz w:val="21"/>
          <w:szCs w:val="21"/>
          <w:highlight w:val="none"/>
        </w:rPr>
        <w:t xml:space="preserve">/</w:t>
      </w:r>
      <w:r>
        <w:rPr>
          <w:rFonts w:ascii="PMingLiU" w:hAnsi="PMingLiU" w:eastAsia="PMingLiU" w:cs="PMingLiU"/>
          <w:sz w:val="21"/>
          <w:szCs w:val="21"/>
          <w:highlight w:val="none"/>
        </w:rPr>
        <w:t xml:space="preserve">服务情况。供应商提出的本项目技术及服务方案应包括：</w:t>
      </w:r>
      <w:r/>
    </w:p>
    <w:p>
      <w:pPr>
        <w:ind w:firstLine="420"/>
        <w:jc w:val="left"/>
        <w:spacing w:before="0" w:after="0" w:line="560" w:lineRule="atLeast"/>
        <w:widowControl w:val="off"/>
        <w:rPr>
          <w:rFonts w:ascii="Times New Roman" w:hAnsi="Times New Roman" w:eastAsia="Times New Roman" w:cs="Times New Roman"/>
          <w:highlight w:val="none"/>
        </w:rPr>
      </w:pPr>
      <w:r>
        <w:rPr>
          <w:rFonts w:ascii="PMingLiU" w:hAnsi="PMingLiU" w:eastAsia="PMingLiU" w:cs="PMingLiU"/>
          <w:sz w:val="21"/>
          <w:szCs w:val="21"/>
          <w:highlight w:val="none"/>
        </w:rPr>
        <w:t xml:space="preserve">（结合评标办法）</w:t>
      </w:r>
      <w:r/>
    </w:p>
    <w:p>
      <w:pPr>
        <w:pStyle w:val="811"/>
        <w:keepNext w:val="0"/>
        <w:spacing w:before="120" w:after="120" w:line="400" w:lineRule="atLeast"/>
        <w:widowControl w:val="off"/>
        <w:rPr>
          <w:rFonts w:ascii="Times New Roman" w:hAnsi="Times New Roman" w:eastAsia="Times New Roman" w:cs="Times New Roman"/>
          <w:b/>
          <w:bCs/>
          <w:sz w:val="36"/>
          <w:szCs w:val="36"/>
          <w:highlight w:val="none"/>
        </w:rPr>
        <w:outlineLvl w:val="9"/>
      </w:pPr>
      <w:r>
        <w:rPr>
          <w:rFonts w:ascii="宋体" w:hAnsi="宋体" w:eastAsia="宋体" w:cs="宋体"/>
          <w:i w:val="0"/>
          <w:iCs w:val="0"/>
          <w:sz w:val="21"/>
          <w:szCs w:val="21"/>
          <w:highlight w:val="none"/>
        </w:rPr>
        <w:br w:type="page" w:clear="all"/>
      </w:r>
      <w:r>
        <w:rPr>
          <w:rFonts w:ascii="宋体" w:hAnsi="宋体" w:eastAsia="宋体" w:cs="宋体"/>
          <w:i w:val="0"/>
          <w:iCs w:val="0"/>
          <w:sz w:val="21"/>
          <w:szCs w:val="21"/>
          <w:highlight w:val="none"/>
        </w:rPr>
        <w:t xml:space="preserve">五、政府采购政策</w:t>
      </w:r>
      <w:r/>
    </w:p>
    <w:p>
      <w:pPr>
        <w:jc w:val="left"/>
        <w:spacing w:before="0" w:after="0" w:line="400" w:lineRule="atLeast"/>
        <w:widowControl w:val="off"/>
        <w:rPr>
          <w:rFonts w:ascii="Times New Roman" w:hAnsi="Times New Roman" w:eastAsia="Times New Roman" w:cs="Times New Roman"/>
          <w:highlight w:val="none"/>
        </w:rPr>
      </w:pPr>
      <w:r>
        <w:rPr>
          <w:rFonts w:ascii="PMingLiU" w:hAnsi="PMingLiU" w:eastAsia="PMingLiU" w:cs="PMingLiU"/>
          <w:sz w:val="21"/>
          <w:szCs w:val="21"/>
          <w:highlight w:val="none"/>
        </w:rPr>
        <w:t xml:space="preserve">（一）政府采购促进中小企业发展政策</w:t>
      </w:r>
      <w:r/>
    </w:p>
    <w:p>
      <w:pPr>
        <w:ind w:firstLine="420"/>
        <w:jc w:val="left"/>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20"/>
        <w:jc w:val="left"/>
        <w:spacing w:before="0" w:after="0" w:line="400" w:lineRule="atLeast"/>
        <w:widowControl w:val="off"/>
        <w:rPr>
          <w:rFonts w:ascii="Times New Roman" w:hAnsi="Times New Roman" w:eastAsia="Times New Roman" w:cs="Times New Roman"/>
          <w:highlight w:val="none"/>
        </w:rPr>
      </w:pPr>
      <w:r>
        <w:rPr>
          <w:rFonts w:ascii="宋体" w:hAnsi="宋体" w:eastAsia="宋体" w:cs="宋体"/>
          <w:b/>
          <w:bCs/>
          <w:sz w:val="21"/>
          <w:szCs w:val="21"/>
          <w:highlight w:val="none"/>
        </w:rPr>
        <w:t xml:space="preserve">1.中小企业声明函</w:t>
      </w:r>
      <w:r>
        <w:rPr>
          <w:rFonts w:ascii="Calibri" w:hAnsi="Calibri" w:eastAsia="Calibri" w:cs="Calibri"/>
          <w:b/>
          <w:bCs/>
          <w:sz w:val="21"/>
          <w:szCs w:val="21"/>
          <w:highlight w:val="none"/>
        </w:rPr>
        <w:t xml:space="preserve"> </w:t>
      </w:r>
      <w:r/>
    </w:p>
    <w:p>
      <w:pPr>
        <w:jc w:val="center"/>
        <w:spacing w:before="0" w:after="0" w:line="210" w:lineRule="atLeast"/>
        <w:widowControl w:val="off"/>
        <w:rPr>
          <w:rFonts w:ascii="Times New Roman" w:hAnsi="Times New Roman" w:eastAsia="Times New Roman" w:cs="Times New Roman"/>
          <w:highlight w:val="none"/>
        </w:rPr>
      </w:pPr>
      <w:r>
        <w:rPr>
          <w:rFonts w:ascii="PMingLiU" w:hAnsi="PMingLiU" w:eastAsia="PMingLiU" w:cs="PMingLiU"/>
          <w:b/>
          <w:bCs/>
          <w:sz w:val="21"/>
          <w:szCs w:val="21"/>
          <w:highlight w:val="none"/>
        </w:rPr>
        <w:t xml:space="preserve">中小企业声明函（工程、服务）</w:t>
      </w:r>
      <w:r/>
    </w:p>
    <w:p>
      <w:pPr>
        <w:jc w:val="center"/>
        <w:spacing w:before="0" w:after="0" w:line="21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本公司（联合体）郑重声明，根据《政府采购促进中小企业发展管理办法》（财库〔2020〕46号）的规定，本公司（联合体）参加</w:t>
      </w:r>
      <w:r>
        <w:rPr>
          <w:rFonts w:ascii="宋体" w:hAnsi="宋体" w:eastAsia="宋体" w:cs="宋体"/>
          <w:i/>
          <w:iCs/>
          <w:sz w:val="21"/>
          <w:szCs w:val="21"/>
          <w:highlight w:val="none"/>
          <w:u w:val="single"/>
        </w:rPr>
        <w:t xml:space="preserve"> （单位名称）</w:t>
      </w:r>
      <w:r>
        <w:rPr>
          <w:rFonts w:ascii="宋体" w:hAnsi="宋体" w:eastAsia="宋体" w:cs="宋体"/>
          <w:sz w:val="21"/>
          <w:szCs w:val="21"/>
          <w:highlight w:val="none"/>
        </w:rPr>
        <w:t xml:space="preserve">的（</w:t>
      </w:r>
      <w:r>
        <w:rPr>
          <w:rFonts w:ascii="宋体" w:hAnsi="宋体" w:eastAsia="宋体" w:cs="宋体"/>
          <w:i/>
          <w:iCs/>
          <w:sz w:val="21"/>
          <w:szCs w:val="21"/>
          <w:highlight w:val="none"/>
          <w:u w:val="single"/>
        </w:rPr>
        <w:t xml:space="preserve">项目名称）</w:t>
      </w:r>
      <w:r>
        <w:rPr>
          <w:rFonts w:ascii="宋体" w:hAnsi="宋体" w:eastAsia="宋体" w:cs="宋体"/>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1.</w:t>
      </w:r>
      <w:r>
        <w:rPr>
          <w:rFonts w:ascii="宋体" w:hAnsi="宋体" w:eastAsia="宋体" w:cs="宋体"/>
          <w:i/>
          <w:iCs/>
          <w:sz w:val="21"/>
          <w:szCs w:val="21"/>
          <w:highlight w:val="none"/>
          <w:u w:val="single"/>
        </w:rPr>
        <w:t xml:space="preserve">（标的名称）</w:t>
      </w:r>
      <w:r>
        <w:rPr>
          <w:rFonts w:ascii="宋体" w:hAnsi="宋体" w:eastAsia="宋体" w:cs="宋体"/>
          <w:sz w:val="21"/>
          <w:szCs w:val="21"/>
          <w:highlight w:val="none"/>
        </w:rPr>
        <w:t xml:space="preserve">，属于</w:t>
      </w:r>
      <w:r>
        <w:rPr>
          <w:rFonts w:ascii="宋体" w:hAnsi="宋体" w:eastAsia="宋体" w:cs="宋体"/>
          <w:i/>
          <w:iCs/>
          <w:sz w:val="21"/>
          <w:szCs w:val="21"/>
          <w:highlight w:val="none"/>
          <w:u w:val="single"/>
        </w:rPr>
        <w:t xml:space="preserve">（采购文件中明确的所属行业）</w:t>
      </w:r>
      <w:r>
        <w:rPr>
          <w:rFonts w:ascii="宋体" w:hAnsi="宋体" w:eastAsia="宋体" w:cs="宋体"/>
          <w:sz w:val="21"/>
          <w:szCs w:val="21"/>
          <w:highlight w:val="none"/>
        </w:rPr>
        <w:t xml:space="preserve">；承建（承接）企业为</w:t>
      </w:r>
      <w:r>
        <w:rPr>
          <w:rFonts w:ascii="宋体" w:hAnsi="宋体" w:eastAsia="宋体" w:cs="宋体"/>
          <w:i/>
          <w:iCs/>
          <w:sz w:val="21"/>
          <w:szCs w:val="21"/>
          <w:highlight w:val="none"/>
          <w:u w:val="single"/>
        </w:rPr>
        <w:t xml:space="preserve">（企业名称）</w:t>
      </w:r>
      <w:r>
        <w:rPr>
          <w:rFonts w:ascii="宋体" w:hAnsi="宋体" w:eastAsia="宋体" w:cs="宋体"/>
          <w:sz w:val="21"/>
          <w:szCs w:val="21"/>
          <w:highlight w:val="none"/>
        </w:rPr>
        <w:t xml:space="preserve">，从业人员人，营业收入为万元，资产总额为万元，属于</w:t>
      </w:r>
      <w:r>
        <w:rPr>
          <w:rFonts w:ascii="宋体" w:hAnsi="宋体" w:eastAsia="宋体" w:cs="宋体"/>
          <w:i/>
          <w:iCs/>
          <w:sz w:val="21"/>
          <w:szCs w:val="21"/>
          <w:highlight w:val="none"/>
          <w:u w:val="single"/>
        </w:rPr>
        <w:t xml:space="preserve">（中型企业、小型企业、微型企业）</w:t>
      </w:r>
      <w:r>
        <w:rPr>
          <w:rFonts w:ascii="宋体" w:hAnsi="宋体" w:eastAsia="宋体" w:cs="宋体"/>
          <w:sz w:val="21"/>
          <w:szCs w:val="21"/>
          <w:highlight w:val="none"/>
        </w:rPr>
        <w:t xml:space="preserve">；</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2.</w:t>
      </w:r>
      <w:r>
        <w:rPr>
          <w:rFonts w:ascii="宋体" w:hAnsi="宋体" w:eastAsia="宋体" w:cs="宋体"/>
          <w:i/>
          <w:iCs/>
          <w:sz w:val="21"/>
          <w:szCs w:val="21"/>
          <w:highlight w:val="none"/>
          <w:u w:val="single"/>
        </w:rPr>
        <w:t xml:space="preserve">（标的名称） </w:t>
      </w:r>
      <w:r>
        <w:rPr>
          <w:rFonts w:ascii="宋体" w:hAnsi="宋体" w:eastAsia="宋体" w:cs="宋体"/>
          <w:sz w:val="21"/>
          <w:szCs w:val="21"/>
          <w:highlight w:val="none"/>
        </w:rPr>
        <w:t xml:space="preserve">，属于</w:t>
      </w:r>
      <w:r>
        <w:rPr>
          <w:rFonts w:ascii="宋体" w:hAnsi="宋体" w:eastAsia="宋体" w:cs="宋体"/>
          <w:i/>
          <w:iCs/>
          <w:sz w:val="21"/>
          <w:szCs w:val="21"/>
          <w:highlight w:val="none"/>
          <w:u w:val="single"/>
        </w:rPr>
        <w:t xml:space="preserve">（采购文件中明确的所属行业）</w:t>
      </w:r>
      <w:r>
        <w:rPr>
          <w:rFonts w:ascii="宋体" w:hAnsi="宋体" w:eastAsia="宋体" w:cs="宋体"/>
          <w:sz w:val="21"/>
          <w:szCs w:val="21"/>
          <w:highlight w:val="none"/>
        </w:rPr>
        <w:t xml:space="preserve">；承建（承接）企业为（</w:t>
      </w:r>
      <w:r>
        <w:rPr>
          <w:rFonts w:ascii="宋体" w:hAnsi="宋体" w:eastAsia="宋体" w:cs="宋体"/>
          <w:i/>
          <w:iCs/>
          <w:sz w:val="21"/>
          <w:szCs w:val="21"/>
          <w:highlight w:val="none"/>
          <w:u w:val="single"/>
        </w:rPr>
        <w:t xml:space="preserve">企业名称）</w:t>
      </w:r>
      <w:r>
        <w:rPr>
          <w:rFonts w:ascii="宋体" w:hAnsi="宋体" w:eastAsia="宋体" w:cs="宋体"/>
          <w:sz w:val="21"/>
          <w:szCs w:val="21"/>
          <w:highlight w:val="none"/>
        </w:rPr>
        <w:t xml:space="preserve">，从业人员人，营业收入为万元，资产总额为万元，属于</w:t>
      </w:r>
      <w:r>
        <w:rPr>
          <w:rFonts w:ascii="宋体" w:hAnsi="宋体" w:eastAsia="宋体" w:cs="宋体"/>
          <w:i/>
          <w:iCs/>
          <w:sz w:val="21"/>
          <w:szCs w:val="21"/>
          <w:highlight w:val="none"/>
          <w:u w:val="single"/>
        </w:rPr>
        <w:t xml:space="preserve">（中型企业、小型企业、微型企业）</w:t>
      </w:r>
      <w:r>
        <w:rPr>
          <w:rFonts w:ascii="宋体" w:hAnsi="宋体" w:eastAsia="宋体" w:cs="宋体"/>
          <w:sz w:val="21"/>
          <w:szCs w:val="21"/>
          <w:highlight w:val="none"/>
        </w:rPr>
        <w:t xml:space="preserve">；</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 ...</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以上企业，不属于大企业的分支机构，不存在控股股东为大企业的情形，也不存在与大企业的负责人为同一人的情形。</w:t>
      </w:r>
      <w:r/>
    </w:p>
    <w:p>
      <w:pPr>
        <w:ind w:firstLine="420"/>
        <w:jc w:val="left"/>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本企业对上述声明内容的真实性负责。如有虚假，将依法承担相应责任。</w:t>
      </w:r>
      <w:r/>
    </w:p>
    <w:p>
      <w:pPr>
        <w:jc w:val="center"/>
        <w:spacing w:before="0" w:after="0" w:line="360" w:lineRule="auto"/>
        <w:widowControl w:val="off"/>
        <w:rPr>
          <w:rFonts w:ascii="Times New Roman" w:hAnsi="Times New Roman" w:eastAsia="Times New Roman" w:cs="Times New Roman"/>
          <w:sz w:val="21"/>
          <w:szCs w:val="21"/>
          <w:highlight w:val="none"/>
        </w:rPr>
      </w:pPr>
      <w:r>
        <w:rPr>
          <w:rFonts w:ascii="Times New Roman" w:hAnsi="Times New Roman" w:eastAsia="Times New Roman" w:cs="Times New Roman"/>
          <w:sz w:val="21"/>
          <w:szCs w:val="21"/>
          <w:highlight w:val="none"/>
        </w:rPr>
      </w:r>
      <w:r/>
    </w:p>
    <w:p>
      <w:pPr>
        <w:jc w:val="cente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企业名称（盖章）：</w:t>
      </w:r>
      <w:r/>
    </w:p>
    <w:p>
      <w:pPr>
        <w:jc w:val="center"/>
        <w:spacing w:before="0" w:after="0" w:line="360" w:lineRule="auto"/>
        <w:widowControl w:val="off"/>
        <w:rPr>
          <w:rFonts w:ascii="Times New Roman" w:hAnsi="Times New Roman" w:eastAsia="Times New Roman" w:cs="Times New Roman"/>
          <w:sz w:val="21"/>
          <w:szCs w:val="21"/>
          <w:highlight w:val="none"/>
        </w:rPr>
      </w:pPr>
      <w:r>
        <w:rPr>
          <w:rFonts w:ascii="宋体" w:hAnsi="宋体" w:eastAsia="宋体" w:cs="宋体"/>
          <w:sz w:val="21"/>
          <w:szCs w:val="21"/>
          <w:highlight w:val="none"/>
        </w:rPr>
        <w:t xml:space="preserve">日期：</w:t>
      </w:r>
      <w:r/>
    </w:p>
    <w:p>
      <w:pPr>
        <w:ind w:firstLine="420"/>
        <w:spacing w:before="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jc w:val="left"/>
        <w:spacing w:before="120" w:after="0" w:line="400" w:lineRule="atLeast"/>
        <w:widowControl w:val="off"/>
        <w:rPr>
          <w:rFonts w:ascii="Times New Roman" w:hAnsi="Times New Roman" w:eastAsia="Times New Roman" w:cs="Times New Roman"/>
          <w:highlight w:val="none"/>
        </w:rPr>
      </w:pPr>
      <w:r>
        <w:rPr>
          <w:rFonts w:ascii="Times New Roman" w:hAnsi="Times New Roman" w:eastAsia="Times New Roman" w:cs="Times New Roman"/>
          <w:highlight w:val="none"/>
        </w:rPr>
      </w:r>
      <w:r/>
    </w:p>
    <w:p>
      <w:pPr>
        <w:pStyle w:val="811"/>
        <w:keepLines/>
        <w:spacing w:before="120" w:after="120" w:line="400" w:lineRule="atLeast"/>
        <w:widowControl w:val="off"/>
        <w:rPr>
          <w:rFonts w:ascii="Times New Roman" w:hAnsi="Times New Roman" w:eastAsia="Times New Roman" w:cs="Times New Roman"/>
          <w:b/>
          <w:bCs/>
          <w:sz w:val="36"/>
          <w:szCs w:val="36"/>
          <w:highlight w:val="none"/>
        </w:rPr>
        <w:outlineLvl w:val="9"/>
      </w:pPr>
      <w:r>
        <w:rPr>
          <w:rFonts w:ascii="宋体" w:hAnsi="宋体" w:eastAsia="宋体" w:cs="宋体"/>
          <w:i w:val="0"/>
          <w:iCs w:val="0"/>
          <w:sz w:val="21"/>
          <w:szCs w:val="21"/>
          <w:highlight w:val="none"/>
        </w:rPr>
        <w:t xml:space="preserve">六、其他针对评标办法的其他相关文件</w:t>
      </w:r>
      <w:r/>
    </w:p>
    <w:p>
      <w:pPr>
        <w:spacing w:before="240" w:after="240"/>
        <w:rPr>
          <w:rFonts w:ascii="Times New Roman" w:hAnsi="Times New Roman" w:eastAsia="Times New Roman" w:cs="Times New Roman"/>
          <w:highlight w:val="none"/>
        </w:rPr>
      </w:pPr>
      <w:r>
        <w:rPr>
          <w:rFonts w:ascii="Times New Roman" w:hAnsi="Times New Roman" w:eastAsia="Times New Roman" w:cs="Times New Roman"/>
          <w:highlight w:val="none"/>
        </w:rPr>
        <w:t xml:space="preserve"> </w:t>
      </w:r>
      <w:r/>
    </w:p>
    <w:p>
      <w:pPr>
        <w:rPr>
          <w:highlight w:val="none"/>
        </w:rPr>
      </w:pPr>
      <w:r>
        <w:rPr>
          <w:highlight w:val="none"/>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PMingLiU">
    <w:panose1 w:val="02020500000000000000"/>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4">
    <w:name w:val="Heading 1 Char"/>
    <w:basedOn w:val="813"/>
    <w:link w:val="810"/>
    <w:uiPriority w:val="9"/>
    <w:rPr>
      <w:rFonts w:ascii="Arial" w:hAnsi="Arial" w:eastAsia="Arial" w:cs="Arial"/>
      <w:sz w:val="40"/>
      <w:szCs w:val="40"/>
    </w:rPr>
  </w:style>
  <w:style w:type="character" w:styleId="635">
    <w:name w:val="Heading 2 Char"/>
    <w:basedOn w:val="813"/>
    <w:link w:val="811"/>
    <w:uiPriority w:val="9"/>
    <w:rPr>
      <w:rFonts w:ascii="Arial" w:hAnsi="Arial" w:eastAsia="Arial" w:cs="Arial"/>
      <w:sz w:val="34"/>
    </w:rPr>
  </w:style>
  <w:style w:type="character" w:styleId="636">
    <w:name w:val="Heading 3 Char"/>
    <w:basedOn w:val="813"/>
    <w:link w:val="812"/>
    <w:uiPriority w:val="9"/>
    <w:rPr>
      <w:rFonts w:ascii="Arial" w:hAnsi="Arial" w:eastAsia="Arial" w:cs="Arial"/>
      <w:sz w:val="30"/>
      <w:szCs w:val="30"/>
    </w:rPr>
  </w:style>
  <w:style w:type="paragraph" w:styleId="637">
    <w:name w:val="Heading 4"/>
    <w:basedOn w:val="809"/>
    <w:next w:val="809"/>
    <w:link w:val="638"/>
    <w:uiPriority w:val="9"/>
    <w:unhideWhenUsed/>
    <w:qFormat/>
    <w:pPr>
      <w:keepLines/>
      <w:keepNext/>
      <w:spacing w:before="320" w:after="200"/>
      <w:outlineLvl w:val="3"/>
    </w:pPr>
    <w:rPr>
      <w:rFonts w:ascii="Arial" w:hAnsi="Arial" w:eastAsia="Arial" w:cs="Arial"/>
      <w:b/>
      <w:bCs/>
      <w:sz w:val="26"/>
      <w:szCs w:val="26"/>
    </w:rPr>
  </w:style>
  <w:style w:type="character" w:styleId="638">
    <w:name w:val="Heading 4 Char"/>
    <w:basedOn w:val="813"/>
    <w:link w:val="637"/>
    <w:uiPriority w:val="9"/>
    <w:rPr>
      <w:rFonts w:ascii="Arial" w:hAnsi="Arial" w:eastAsia="Arial" w:cs="Arial"/>
      <w:b/>
      <w:bCs/>
      <w:sz w:val="26"/>
      <w:szCs w:val="26"/>
    </w:rPr>
  </w:style>
  <w:style w:type="paragraph" w:styleId="639">
    <w:name w:val="Heading 5"/>
    <w:basedOn w:val="809"/>
    <w:next w:val="809"/>
    <w:link w:val="640"/>
    <w:uiPriority w:val="9"/>
    <w:unhideWhenUsed/>
    <w:qFormat/>
    <w:pPr>
      <w:keepLines/>
      <w:keepNext/>
      <w:spacing w:before="320" w:after="200"/>
      <w:outlineLvl w:val="4"/>
    </w:pPr>
    <w:rPr>
      <w:rFonts w:ascii="Arial" w:hAnsi="Arial" w:eastAsia="Arial" w:cs="Arial"/>
      <w:b/>
      <w:bCs/>
      <w:sz w:val="24"/>
      <w:szCs w:val="24"/>
    </w:rPr>
  </w:style>
  <w:style w:type="character" w:styleId="640">
    <w:name w:val="Heading 5 Char"/>
    <w:basedOn w:val="813"/>
    <w:link w:val="639"/>
    <w:uiPriority w:val="9"/>
    <w:rPr>
      <w:rFonts w:ascii="Arial" w:hAnsi="Arial" w:eastAsia="Arial" w:cs="Arial"/>
      <w:b/>
      <w:bCs/>
      <w:sz w:val="24"/>
      <w:szCs w:val="24"/>
    </w:rPr>
  </w:style>
  <w:style w:type="paragraph" w:styleId="641">
    <w:name w:val="Heading 6"/>
    <w:basedOn w:val="809"/>
    <w:next w:val="809"/>
    <w:link w:val="642"/>
    <w:uiPriority w:val="9"/>
    <w:unhideWhenUsed/>
    <w:qFormat/>
    <w:pPr>
      <w:keepLines/>
      <w:keepNext/>
      <w:spacing w:before="320" w:after="200"/>
      <w:outlineLvl w:val="5"/>
    </w:pPr>
    <w:rPr>
      <w:rFonts w:ascii="Arial" w:hAnsi="Arial" w:eastAsia="Arial" w:cs="Arial"/>
      <w:b/>
      <w:bCs/>
      <w:sz w:val="22"/>
      <w:szCs w:val="22"/>
    </w:rPr>
  </w:style>
  <w:style w:type="character" w:styleId="642">
    <w:name w:val="Heading 6 Char"/>
    <w:basedOn w:val="813"/>
    <w:link w:val="641"/>
    <w:uiPriority w:val="9"/>
    <w:rPr>
      <w:rFonts w:ascii="Arial" w:hAnsi="Arial" w:eastAsia="Arial" w:cs="Arial"/>
      <w:b/>
      <w:bCs/>
      <w:sz w:val="22"/>
      <w:szCs w:val="22"/>
    </w:rPr>
  </w:style>
  <w:style w:type="paragraph" w:styleId="643">
    <w:name w:val="Heading 7"/>
    <w:basedOn w:val="809"/>
    <w:next w:val="809"/>
    <w:link w:val="644"/>
    <w:uiPriority w:val="9"/>
    <w:unhideWhenUsed/>
    <w:qFormat/>
    <w:pPr>
      <w:keepLines/>
      <w:keepNext/>
      <w:spacing w:before="320" w:after="200"/>
      <w:outlineLvl w:val="6"/>
    </w:pPr>
    <w:rPr>
      <w:rFonts w:ascii="Arial" w:hAnsi="Arial" w:eastAsia="Arial" w:cs="Arial"/>
      <w:b/>
      <w:bCs/>
      <w:i/>
      <w:iCs/>
      <w:sz w:val="22"/>
      <w:szCs w:val="22"/>
    </w:rPr>
  </w:style>
  <w:style w:type="character" w:styleId="644">
    <w:name w:val="Heading 7 Char"/>
    <w:basedOn w:val="813"/>
    <w:link w:val="643"/>
    <w:uiPriority w:val="9"/>
    <w:rPr>
      <w:rFonts w:ascii="Arial" w:hAnsi="Arial" w:eastAsia="Arial" w:cs="Arial"/>
      <w:b/>
      <w:bCs/>
      <w:i/>
      <w:iCs/>
      <w:sz w:val="22"/>
      <w:szCs w:val="22"/>
    </w:rPr>
  </w:style>
  <w:style w:type="paragraph" w:styleId="645">
    <w:name w:val="Heading 8"/>
    <w:basedOn w:val="809"/>
    <w:next w:val="809"/>
    <w:link w:val="646"/>
    <w:uiPriority w:val="9"/>
    <w:unhideWhenUsed/>
    <w:qFormat/>
    <w:pPr>
      <w:keepLines/>
      <w:keepNext/>
      <w:spacing w:before="320" w:after="200"/>
      <w:outlineLvl w:val="7"/>
    </w:pPr>
    <w:rPr>
      <w:rFonts w:ascii="Arial" w:hAnsi="Arial" w:eastAsia="Arial" w:cs="Arial"/>
      <w:i/>
      <w:iCs/>
      <w:sz w:val="22"/>
      <w:szCs w:val="22"/>
    </w:rPr>
  </w:style>
  <w:style w:type="character" w:styleId="646">
    <w:name w:val="Heading 8 Char"/>
    <w:basedOn w:val="813"/>
    <w:link w:val="645"/>
    <w:uiPriority w:val="9"/>
    <w:rPr>
      <w:rFonts w:ascii="Arial" w:hAnsi="Arial" w:eastAsia="Arial" w:cs="Arial"/>
      <w:i/>
      <w:iCs/>
      <w:sz w:val="22"/>
      <w:szCs w:val="22"/>
    </w:rPr>
  </w:style>
  <w:style w:type="paragraph" w:styleId="647">
    <w:name w:val="Heading 9"/>
    <w:basedOn w:val="809"/>
    <w:next w:val="809"/>
    <w:link w:val="648"/>
    <w:uiPriority w:val="9"/>
    <w:unhideWhenUsed/>
    <w:qFormat/>
    <w:pPr>
      <w:keepLines/>
      <w:keepNext/>
      <w:spacing w:before="320" w:after="200"/>
      <w:outlineLvl w:val="8"/>
    </w:pPr>
    <w:rPr>
      <w:rFonts w:ascii="Arial" w:hAnsi="Arial" w:eastAsia="Arial" w:cs="Arial"/>
      <w:i/>
      <w:iCs/>
      <w:sz w:val="21"/>
      <w:szCs w:val="21"/>
    </w:rPr>
  </w:style>
  <w:style w:type="character" w:styleId="648">
    <w:name w:val="Heading 9 Char"/>
    <w:basedOn w:val="813"/>
    <w:link w:val="647"/>
    <w:uiPriority w:val="9"/>
    <w:rPr>
      <w:rFonts w:ascii="Arial" w:hAnsi="Arial" w:eastAsia="Arial" w:cs="Arial"/>
      <w:i/>
      <w:iCs/>
      <w:sz w:val="21"/>
      <w:szCs w:val="21"/>
    </w:rPr>
  </w:style>
  <w:style w:type="paragraph" w:styleId="649">
    <w:name w:val="List Paragraph"/>
    <w:basedOn w:val="809"/>
    <w:uiPriority w:val="34"/>
    <w:qFormat/>
    <w:pPr>
      <w:contextualSpacing/>
      <w:ind w:left="720"/>
    </w:pPr>
  </w:style>
  <w:style w:type="paragraph" w:styleId="650">
    <w:name w:val="No Spacing"/>
    <w:uiPriority w:val="1"/>
    <w:qFormat/>
    <w:pPr>
      <w:spacing w:before="0" w:after="0" w:line="240" w:lineRule="auto"/>
    </w:pPr>
  </w:style>
  <w:style w:type="paragraph" w:styleId="651">
    <w:name w:val="Title"/>
    <w:basedOn w:val="809"/>
    <w:next w:val="809"/>
    <w:link w:val="652"/>
    <w:uiPriority w:val="10"/>
    <w:qFormat/>
    <w:pPr>
      <w:contextualSpacing/>
      <w:spacing w:before="300" w:after="200"/>
    </w:pPr>
    <w:rPr>
      <w:sz w:val="48"/>
      <w:szCs w:val="48"/>
    </w:rPr>
  </w:style>
  <w:style w:type="character" w:styleId="652">
    <w:name w:val="Title Char"/>
    <w:basedOn w:val="813"/>
    <w:link w:val="651"/>
    <w:uiPriority w:val="10"/>
    <w:rPr>
      <w:sz w:val="48"/>
      <w:szCs w:val="48"/>
    </w:rPr>
  </w:style>
  <w:style w:type="paragraph" w:styleId="653">
    <w:name w:val="Subtitle"/>
    <w:basedOn w:val="809"/>
    <w:next w:val="809"/>
    <w:link w:val="654"/>
    <w:uiPriority w:val="11"/>
    <w:qFormat/>
    <w:pPr>
      <w:spacing w:before="200" w:after="200"/>
    </w:pPr>
    <w:rPr>
      <w:sz w:val="24"/>
      <w:szCs w:val="24"/>
    </w:rPr>
  </w:style>
  <w:style w:type="character" w:styleId="654">
    <w:name w:val="Subtitle Char"/>
    <w:basedOn w:val="813"/>
    <w:link w:val="653"/>
    <w:uiPriority w:val="11"/>
    <w:rPr>
      <w:sz w:val="24"/>
      <w:szCs w:val="24"/>
    </w:rPr>
  </w:style>
  <w:style w:type="paragraph" w:styleId="655">
    <w:name w:val="Quote"/>
    <w:basedOn w:val="809"/>
    <w:next w:val="809"/>
    <w:link w:val="656"/>
    <w:uiPriority w:val="29"/>
    <w:qFormat/>
    <w:pPr>
      <w:ind w:left="720" w:right="720"/>
    </w:pPr>
    <w:rPr>
      <w:i/>
    </w:rPr>
  </w:style>
  <w:style w:type="character" w:styleId="656">
    <w:name w:val="Quote Char"/>
    <w:link w:val="655"/>
    <w:uiPriority w:val="29"/>
    <w:rPr>
      <w:i/>
    </w:rPr>
  </w:style>
  <w:style w:type="paragraph" w:styleId="657">
    <w:name w:val="Intense Quote"/>
    <w:basedOn w:val="809"/>
    <w:next w:val="809"/>
    <w:link w:val="6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58">
    <w:name w:val="Intense Quote Char"/>
    <w:link w:val="657"/>
    <w:uiPriority w:val="30"/>
    <w:rPr>
      <w:i/>
    </w:rPr>
  </w:style>
  <w:style w:type="paragraph" w:styleId="659">
    <w:name w:val="Header"/>
    <w:basedOn w:val="809"/>
    <w:link w:val="660"/>
    <w:uiPriority w:val="99"/>
    <w:unhideWhenUsed/>
    <w:pPr>
      <w:spacing w:after="0" w:line="240" w:lineRule="auto"/>
      <w:tabs>
        <w:tab w:val="center" w:pos="7143" w:leader="none"/>
        <w:tab w:val="right" w:pos="14287" w:leader="none"/>
      </w:tabs>
    </w:pPr>
  </w:style>
  <w:style w:type="character" w:styleId="660">
    <w:name w:val="Header Char"/>
    <w:basedOn w:val="813"/>
    <w:link w:val="659"/>
    <w:uiPriority w:val="99"/>
  </w:style>
  <w:style w:type="paragraph" w:styleId="661">
    <w:name w:val="Footer"/>
    <w:basedOn w:val="809"/>
    <w:link w:val="664"/>
    <w:uiPriority w:val="99"/>
    <w:unhideWhenUsed/>
    <w:pPr>
      <w:spacing w:after="0" w:line="240" w:lineRule="auto"/>
      <w:tabs>
        <w:tab w:val="center" w:pos="7143" w:leader="none"/>
        <w:tab w:val="right" w:pos="14287" w:leader="none"/>
      </w:tabs>
    </w:pPr>
  </w:style>
  <w:style w:type="character" w:styleId="662">
    <w:name w:val="Footer Char"/>
    <w:basedOn w:val="813"/>
    <w:link w:val="661"/>
    <w:uiPriority w:val="99"/>
  </w:style>
  <w:style w:type="paragraph" w:styleId="663">
    <w:name w:val="Caption"/>
    <w:basedOn w:val="809"/>
    <w:next w:val="809"/>
    <w:uiPriority w:val="35"/>
    <w:semiHidden/>
    <w:unhideWhenUsed/>
    <w:qFormat/>
    <w:pPr>
      <w:spacing w:line="276" w:lineRule="auto"/>
    </w:pPr>
    <w:rPr>
      <w:b/>
      <w:bCs/>
      <w:color w:val="4f81bd" w:themeColor="accent1"/>
      <w:sz w:val="18"/>
      <w:szCs w:val="18"/>
    </w:rPr>
  </w:style>
  <w:style w:type="character" w:styleId="664">
    <w:name w:val="Caption Char"/>
    <w:basedOn w:val="663"/>
    <w:link w:val="661"/>
    <w:uiPriority w:val="99"/>
  </w:style>
  <w:style w:type="table" w:styleId="665">
    <w:name w:val="Table Grid"/>
    <w:basedOn w:val="8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6">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7">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8">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0">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1">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2">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3">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4">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5">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6">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7">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78">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79">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0">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1">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2">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3">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4">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5">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6">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4">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5">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6">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7">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698">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699">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0">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2">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3">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4">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5">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6">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07">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09">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0">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1">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2">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3">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4">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6">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0">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1">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3">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4">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5">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6">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7">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28">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0">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1">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2">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3">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4">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5">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37">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38">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39">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0">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1">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2">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5">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6">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47">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48">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49">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7">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58">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59">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0">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1">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2">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3">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4">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5">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6">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67">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68">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69">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0">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1">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2">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3">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4">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5">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6">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77">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5">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6">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7">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88">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89">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0">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1">
    <w:name w:val="Hyperlink"/>
    <w:uiPriority w:val="99"/>
    <w:unhideWhenUsed/>
    <w:rPr>
      <w:color w:val="0000ff" w:themeColor="hyperlink"/>
      <w:u w:val="single"/>
    </w:rPr>
  </w:style>
  <w:style w:type="paragraph" w:styleId="792">
    <w:name w:val="footnote text"/>
    <w:basedOn w:val="809"/>
    <w:link w:val="793"/>
    <w:uiPriority w:val="99"/>
    <w:semiHidden/>
    <w:unhideWhenUsed/>
    <w:pPr>
      <w:spacing w:after="40" w:line="240" w:lineRule="auto"/>
    </w:pPr>
    <w:rPr>
      <w:sz w:val="18"/>
    </w:rPr>
  </w:style>
  <w:style w:type="character" w:styleId="793">
    <w:name w:val="Footnote Text Char"/>
    <w:link w:val="792"/>
    <w:uiPriority w:val="99"/>
    <w:rPr>
      <w:sz w:val="18"/>
    </w:rPr>
  </w:style>
  <w:style w:type="character" w:styleId="794">
    <w:name w:val="footnote reference"/>
    <w:basedOn w:val="813"/>
    <w:uiPriority w:val="99"/>
    <w:unhideWhenUsed/>
    <w:rPr>
      <w:vertAlign w:val="superscript"/>
    </w:rPr>
  </w:style>
  <w:style w:type="paragraph" w:styleId="795">
    <w:name w:val="endnote text"/>
    <w:basedOn w:val="809"/>
    <w:link w:val="796"/>
    <w:uiPriority w:val="99"/>
    <w:semiHidden/>
    <w:unhideWhenUsed/>
    <w:pPr>
      <w:spacing w:after="0" w:line="240" w:lineRule="auto"/>
    </w:pPr>
    <w:rPr>
      <w:sz w:val="20"/>
    </w:rPr>
  </w:style>
  <w:style w:type="character" w:styleId="796">
    <w:name w:val="Endnote Text Char"/>
    <w:link w:val="795"/>
    <w:uiPriority w:val="99"/>
    <w:rPr>
      <w:sz w:val="20"/>
    </w:rPr>
  </w:style>
  <w:style w:type="character" w:styleId="797">
    <w:name w:val="endnote reference"/>
    <w:basedOn w:val="813"/>
    <w:uiPriority w:val="99"/>
    <w:semiHidden/>
    <w:unhideWhenUsed/>
    <w:rPr>
      <w:vertAlign w:val="superscript"/>
    </w:rPr>
  </w:style>
  <w:style w:type="paragraph" w:styleId="798">
    <w:name w:val="toc 1"/>
    <w:basedOn w:val="809"/>
    <w:next w:val="809"/>
    <w:uiPriority w:val="39"/>
    <w:unhideWhenUsed/>
    <w:pPr>
      <w:ind w:left="0" w:right="0" w:firstLine="0"/>
      <w:spacing w:after="57"/>
    </w:pPr>
  </w:style>
  <w:style w:type="paragraph" w:styleId="799">
    <w:name w:val="toc 2"/>
    <w:basedOn w:val="809"/>
    <w:next w:val="809"/>
    <w:uiPriority w:val="39"/>
    <w:unhideWhenUsed/>
    <w:pPr>
      <w:ind w:left="283" w:right="0" w:firstLine="0"/>
      <w:spacing w:after="57"/>
    </w:pPr>
  </w:style>
  <w:style w:type="paragraph" w:styleId="800">
    <w:name w:val="toc 3"/>
    <w:basedOn w:val="809"/>
    <w:next w:val="809"/>
    <w:uiPriority w:val="39"/>
    <w:unhideWhenUsed/>
    <w:pPr>
      <w:ind w:left="567" w:right="0" w:firstLine="0"/>
      <w:spacing w:after="57"/>
    </w:pPr>
  </w:style>
  <w:style w:type="paragraph" w:styleId="801">
    <w:name w:val="toc 4"/>
    <w:basedOn w:val="809"/>
    <w:next w:val="809"/>
    <w:uiPriority w:val="39"/>
    <w:unhideWhenUsed/>
    <w:pPr>
      <w:ind w:left="850" w:right="0" w:firstLine="0"/>
      <w:spacing w:after="57"/>
    </w:pPr>
  </w:style>
  <w:style w:type="paragraph" w:styleId="802">
    <w:name w:val="toc 5"/>
    <w:basedOn w:val="809"/>
    <w:next w:val="809"/>
    <w:uiPriority w:val="39"/>
    <w:unhideWhenUsed/>
    <w:pPr>
      <w:ind w:left="1134" w:right="0" w:firstLine="0"/>
      <w:spacing w:after="57"/>
    </w:pPr>
  </w:style>
  <w:style w:type="paragraph" w:styleId="803">
    <w:name w:val="toc 6"/>
    <w:basedOn w:val="809"/>
    <w:next w:val="809"/>
    <w:uiPriority w:val="39"/>
    <w:unhideWhenUsed/>
    <w:pPr>
      <w:ind w:left="1417" w:right="0" w:firstLine="0"/>
      <w:spacing w:after="57"/>
    </w:pPr>
  </w:style>
  <w:style w:type="paragraph" w:styleId="804">
    <w:name w:val="toc 7"/>
    <w:basedOn w:val="809"/>
    <w:next w:val="809"/>
    <w:uiPriority w:val="39"/>
    <w:unhideWhenUsed/>
    <w:pPr>
      <w:ind w:left="1701" w:right="0" w:firstLine="0"/>
      <w:spacing w:after="57"/>
    </w:pPr>
  </w:style>
  <w:style w:type="paragraph" w:styleId="805">
    <w:name w:val="toc 8"/>
    <w:basedOn w:val="809"/>
    <w:next w:val="809"/>
    <w:uiPriority w:val="39"/>
    <w:unhideWhenUsed/>
    <w:pPr>
      <w:ind w:left="1984" w:right="0" w:firstLine="0"/>
      <w:spacing w:after="57"/>
    </w:pPr>
  </w:style>
  <w:style w:type="paragraph" w:styleId="806">
    <w:name w:val="toc 9"/>
    <w:basedOn w:val="809"/>
    <w:next w:val="809"/>
    <w:uiPriority w:val="39"/>
    <w:unhideWhenUsed/>
    <w:pPr>
      <w:ind w:left="2268" w:right="0" w:firstLine="0"/>
      <w:spacing w:after="57"/>
    </w:pPr>
  </w:style>
  <w:style w:type="paragraph" w:styleId="807">
    <w:name w:val="TOC Heading"/>
    <w:uiPriority w:val="39"/>
    <w:unhideWhenUsed/>
  </w:style>
  <w:style w:type="paragraph" w:styleId="808">
    <w:name w:val="table of figures"/>
    <w:basedOn w:val="809"/>
    <w:next w:val="809"/>
    <w:uiPriority w:val="99"/>
    <w:unhideWhenUsed/>
    <w:pPr>
      <w:spacing w:after="0" w:afterAutospacing="0"/>
    </w:pPr>
  </w:style>
  <w:style w:type="paragraph" w:styleId="809" w:default="1">
    <w:name w:val="Normal"/>
    <w:uiPriority w:val="0"/>
    <w:qFormat/>
    <w:rPr>
      <w:rFonts w:ascii="Times New Roman" w:hAnsi="Times New Roman" w:eastAsia="Times New Roman" w:cs="Times New Roman"/>
      <w:sz w:val="24"/>
      <w:szCs w:val="24"/>
      <w:lang w:val="en-US" w:eastAsia="en-US" w:bidi="ar-SA"/>
    </w:rPr>
  </w:style>
  <w:style w:type="paragraph" w:styleId="810">
    <w:name w:val="Heading 1"/>
    <w:basedOn w:val="809"/>
    <w:next w:val="809"/>
    <w:uiPriority w:val="0"/>
    <w:qFormat/>
    <w:pPr>
      <w:keepNext/>
      <w:spacing w:before="240" w:after="60"/>
      <w:outlineLvl w:val="0"/>
    </w:pPr>
    <w:rPr>
      <w:rFonts w:ascii="Arial" w:hAnsi="Arial" w:cs="Arial"/>
      <w:b/>
      <w:bCs/>
      <w:sz w:val="32"/>
      <w:szCs w:val="32"/>
    </w:rPr>
  </w:style>
  <w:style w:type="paragraph" w:styleId="811">
    <w:name w:val="Heading 2"/>
    <w:basedOn w:val="809"/>
    <w:next w:val="809"/>
    <w:uiPriority w:val="0"/>
    <w:qFormat/>
    <w:pPr>
      <w:keepNext/>
      <w:spacing w:before="240" w:after="60"/>
      <w:outlineLvl w:val="1"/>
    </w:pPr>
    <w:rPr>
      <w:rFonts w:ascii="Arial" w:hAnsi="Arial" w:cs="Arial"/>
      <w:b/>
      <w:bCs/>
      <w:i/>
      <w:iCs/>
      <w:sz w:val="28"/>
      <w:szCs w:val="28"/>
    </w:rPr>
  </w:style>
  <w:style w:type="paragraph" w:styleId="812">
    <w:name w:val="Heading 3"/>
    <w:basedOn w:val="809"/>
    <w:next w:val="809"/>
    <w:uiPriority w:val="0"/>
    <w:qFormat/>
    <w:pPr>
      <w:keepNext/>
      <w:spacing w:before="240" w:after="60"/>
      <w:outlineLvl w:val="2"/>
    </w:pPr>
    <w:rPr>
      <w:rFonts w:ascii="Arial" w:hAnsi="Arial" w:cs="Arial"/>
      <w:b/>
      <w:bCs/>
      <w:sz w:val="26"/>
      <w:szCs w:val="26"/>
    </w:rPr>
  </w:style>
  <w:style w:type="character" w:styleId="813" w:default="1">
    <w:name w:val="Default Paragraph Font"/>
    <w:uiPriority w:val="0"/>
    <w:semiHidden/>
    <w:qFormat/>
  </w:style>
  <w:style w:type="table" w:styleId="814" w:default="1">
    <w:name w:val="Normal Table"/>
    <w:uiPriority w:val="0"/>
    <w:semiHidden/>
    <w:qFormat/>
    <w:tblPr>
      <w:tblCellMar>
        <w:left w:w="108" w:type="dxa"/>
        <w:top w:w="0" w:type="dxa"/>
        <w:right w:w="108" w:type="dxa"/>
        <w:bottom w:w="0" w:type="dxa"/>
      </w:tblCellMar>
    </w:tblPr>
  </w:style>
  <w:style w:type="table" w:styleId="815" w:customStyle="1">
    <w:name w:val="table"/>
    <w:basedOn w:val="814"/>
    <w:uiPriority w:val="0"/>
    <w:qFormat/>
    <w:tblPr/>
  </w:style>
  <w:style w:type="paragraph" w:styleId="816" w:customStyle="1">
    <w:name w:val="MsoNormal"/>
    <w:basedOn w:val="809"/>
    <w:uiPriority w:val="0"/>
    <w:qFormat/>
  </w:style>
  <w:style w:type="paragraph" w:styleId="817" w:customStyle="1">
    <w:name w:val="15"/>
    <w:basedOn w:val="809"/>
    <w:uiPriority w:val="0"/>
    <w:qFormat/>
  </w:style>
  <w:style w:type="numbering" w:styleId="8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suma</dc:creator>
  <cp:lastModifiedBy>王丹</cp:lastModifiedBy>
  <cp:revision>3</cp:revision>
  <dcterms:created xsi:type="dcterms:W3CDTF">2026-07-01T00:25:00Z</dcterms:created>
  <dcterms:modified xsi:type="dcterms:W3CDTF">2026-07-02T06:29:47Z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eyJoZGlkIjoiYmNlNGJiZWQ1MDUxNWQ5YTY5NWExMTdiY2RlNDVlYWMiLCJ1c2VySWQiOiIxMTMxNDA3NTQ1In0=</vt:lpwstr>
  </property>
  <property fmtid="{D5CDD505-2E9C-101B-9397-08002B2CF9AE}" pid="3" name="KSOProductBuildVer">
    <vt:lpwstr>2052-12.1.0.26884</vt:lpwstr>
  </property>
  <property fmtid="{D5CDD505-2E9C-101B-9397-08002B2CF9AE}" pid="4" name="ICV">
    <vt:lpwstr>840BF96F22D54B6794A0592A9E1BC098_12</vt:lpwstr>
  </property>
</Properties>
</file>