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2E603">
      <w:pPr>
        <w:pStyle w:val="16"/>
        <w:rPr>
          <w:rFonts w:hint="default" w:ascii="Times New Roman" w:hAnsi="Times New Roman" w:eastAsia="宋体" w:cs="Times New Roman"/>
          <w:color w:val="auto"/>
          <w:sz w:val="22"/>
          <w:lang w:eastAsia="zh-CN"/>
        </w:rPr>
      </w:pPr>
      <w:r>
        <w:rPr>
          <w:rFonts w:hint="default" w:ascii="Times New Roman" w:hAnsi="Times New Roman" w:cs="Times New Roman"/>
          <w:color w:val="auto"/>
          <w:sz w:val="52"/>
          <w:szCs w:val="52"/>
          <w:lang w:eastAsia="zh-CN"/>
        </w:rPr>
        <w:t>船舶结构设计软件（非线性结构有限元分析软件）</w:t>
      </w:r>
    </w:p>
    <w:p w14:paraId="43834024">
      <w:pPr>
        <w:pStyle w:val="16"/>
        <w:rPr>
          <w:rFonts w:hint="default" w:ascii="Times New Roman" w:hAnsi="Times New Roman" w:cs="Times New Roman"/>
          <w:color w:val="auto"/>
        </w:rPr>
      </w:pPr>
    </w:p>
    <w:p w14:paraId="3FD88B04">
      <w:pPr>
        <w:pStyle w:val="16"/>
        <w:rPr>
          <w:rFonts w:hint="default" w:ascii="Times New Roman" w:hAnsi="Times New Roman" w:cs="Times New Roman"/>
          <w:color w:val="auto"/>
        </w:rPr>
      </w:pPr>
    </w:p>
    <w:p w14:paraId="7F0DEFAA">
      <w:pPr>
        <w:spacing w:line="360" w:lineRule="auto"/>
        <w:jc w:val="center"/>
        <w:rPr>
          <w:rFonts w:hint="default" w:ascii="Times New Roman" w:hAnsi="Times New Roman" w:eastAsia="宋体" w:cs="Times New Roman"/>
          <w:b/>
          <w:color w:val="auto"/>
          <w:sz w:val="72"/>
          <w:szCs w:val="72"/>
        </w:rPr>
      </w:pPr>
      <w:r>
        <w:rPr>
          <w:rFonts w:hint="default" w:ascii="Times New Roman" w:hAnsi="Times New Roman" w:eastAsia="宋体" w:cs="Times New Roman"/>
          <w:b/>
          <w:color w:val="auto"/>
          <w:sz w:val="72"/>
          <w:szCs w:val="72"/>
        </w:rPr>
        <w:t>公开招标文件</w:t>
      </w:r>
    </w:p>
    <w:p w14:paraId="6D7C536F">
      <w:pPr>
        <w:spacing w:line="360" w:lineRule="auto"/>
        <w:jc w:val="center"/>
        <w:rPr>
          <w:rFonts w:hint="default" w:ascii="Times New Roman" w:hAnsi="Times New Roman" w:eastAsia="宋体" w:cs="Times New Roman"/>
          <w:b/>
          <w:color w:val="auto"/>
          <w:sz w:val="44"/>
          <w:szCs w:val="44"/>
          <w:lang w:eastAsia="zh-CN"/>
        </w:rPr>
      </w:pPr>
      <w:r>
        <w:rPr>
          <w:rFonts w:hint="default" w:ascii="Times New Roman" w:hAnsi="Times New Roman" w:eastAsia="宋体" w:cs="Times New Roman"/>
          <w:b/>
          <w:color w:val="auto"/>
          <w:sz w:val="44"/>
          <w:szCs w:val="44"/>
        </w:rPr>
        <w:t>（资格后审</w:t>
      </w:r>
      <w:r>
        <w:rPr>
          <w:rFonts w:hint="default" w:ascii="Times New Roman" w:hAnsi="Times New Roman" w:eastAsia="宋体" w:cs="Times New Roman"/>
          <w:b/>
          <w:color w:val="auto"/>
          <w:sz w:val="44"/>
          <w:szCs w:val="44"/>
          <w:lang w:eastAsia="zh-CN"/>
        </w:rPr>
        <w:t>）</w:t>
      </w:r>
    </w:p>
    <w:p w14:paraId="43EC1ED3">
      <w:pPr>
        <w:spacing w:line="360" w:lineRule="auto"/>
        <w:jc w:val="center"/>
        <w:rPr>
          <w:rFonts w:hint="default" w:ascii="Times New Roman" w:hAnsi="Times New Roman" w:eastAsia="宋体" w:cs="Times New Roman"/>
          <w:b/>
          <w:color w:val="auto"/>
          <w:sz w:val="30"/>
          <w:szCs w:val="30"/>
          <w:lang w:eastAsia="zh-CN"/>
        </w:rPr>
      </w:pPr>
      <w:r>
        <w:rPr>
          <w:rFonts w:hint="default" w:ascii="Times New Roman" w:hAnsi="Times New Roman" w:eastAsia="宋体" w:cs="Times New Roman"/>
          <w:b/>
          <w:color w:val="auto"/>
          <w:sz w:val="30"/>
          <w:szCs w:val="30"/>
        </w:rPr>
        <w:t>项目编号：</w:t>
      </w:r>
      <w:r>
        <w:rPr>
          <w:rFonts w:hint="eastAsia" w:eastAsia="宋体" w:cs="Times New Roman"/>
          <w:b/>
          <w:color w:val="auto"/>
          <w:sz w:val="30"/>
          <w:szCs w:val="30"/>
          <w:lang w:eastAsia="zh-CN"/>
        </w:rPr>
        <w:t>JSZC-320690-NTJC-G2026-0012</w:t>
      </w:r>
    </w:p>
    <w:p w14:paraId="474FE66B">
      <w:pPr>
        <w:pStyle w:val="16"/>
        <w:rPr>
          <w:rFonts w:hint="default" w:ascii="Times New Roman" w:hAnsi="Times New Roman" w:cs="Times New Roman"/>
          <w:color w:val="auto"/>
        </w:rPr>
      </w:pPr>
    </w:p>
    <w:p w14:paraId="4F54B510">
      <w:pPr>
        <w:pStyle w:val="16"/>
        <w:rPr>
          <w:rFonts w:hint="default" w:ascii="Times New Roman" w:hAnsi="Times New Roman" w:cs="Times New Roman"/>
          <w:color w:val="auto"/>
        </w:rPr>
      </w:pPr>
      <w:r>
        <w:rPr>
          <w:rFonts w:hint="default" w:ascii="Times New Roman" w:hAnsi="Times New Roman" w:cs="Times New Roman"/>
          <w:color w:val="auto"/>
          <w:sz w:val="36"/>
        </w:rPr>
        <w:tab/>
      </w:r>
    </w:p>
    <w:p w14:paraId="13148488">
      <w:pPr>
        <w:spacing w:line="360" w:lineRule="auto"/>
        <w:ind w:firstLine="602"/>
        <w:rPr>
          <w:rFonts w:hint="default" w:ascii="Times New Roman" w:hAnsi="Times New Roman" w:eastAsia="宋体" w:cs="Times New Roman"/>
          <w:b/>
          <w:color w:val="auto"/>
          <w:sz w:val="30"/>
          <w:szCs w:val="30"/>
        </w:rPr>
      </w:pPr>
    </w:p>
    <w:p w14:paraId="40F6D5B9">
      <w:pPr>
        <w:pStyle w:val="19"/>
        <w:spacing w:line="360" w:lineRule="auto"/>
        <w:ind w:firstLine="643"/>
        <w:jc w:val="center"/>
        <w:rPr>
          <w:rFonts w:hint="default" w:ascii="Times New Roman" w:hAnsi="Times New Roman" w:eastAsia="宋体" w:cs="Times New Roman"/>
          <w:b/>
          <w:color w:val="auto"/>
          <w:sz w:val="32"/>
          <w:szCs w:val="32"/>
        </w:rPr>
      </w:pPr>
    </w:p>
    <w:p w14:paraId="4CF88ADB">
      <w:pPr>
        <w:pStyle w:val="19"/>
        <w:spacing w:line="360" w:lineRule="auto"/>
        <w:ind w:firstLine="643" w:firstLineChars="200"/>
        <w:rPr>
          <w:rFonts w:hint="default" w:ascii="Times New Roman" w:hAnsi="Times New Roman" w:eastAsia="宋体" w:cs="Times New Roman"/>
          <w:b/>
          <w:color w:val="auto"/>
          <w:sz w:val="32"/>
          <w:szCs w:val="32"/>
        </w:rPr>
      </w:pPr>
    </w:p>
    <w:p w14:paraId="5B953546">
      <w:pPr>
        <w:pStyle w:val="19"/>
        <w:spacing w:line="360" w:lineRule="auto"/>
        <w:ind w:firstLine="643" w:firstLineChars="200"/>
        <w:rPr>
          <w:rFonts w:hint="default" w:ascii="Times New Roman" w:hAnsi="Times New Roman" w:eastAsia="宋体" w:cs="Times New Roman"/>
          <w:b/>
          <w:color w:val="auto"/>
          <w:sz w:val="32"/>
          <w:szCs w:val="32"/>
        </w:rPr>
      </w:pPr>
    </w:p>
    <w:p w14:paraId="68205CB5">
      <w:pPr>
        <w:pStyle w:val="19"/>
        <w:spacing w:line="360" w:lineRule="auto"/>
        <w:ind w:firstLine="643" w:firstLineChars="200"/>
        <w:rPr>
          <w:rFonts w:hint="default" w:ascii="Times New Roman" w:hAnsi="Times New Roman" w:eastAsia="宋体" w:cs="Times New Roman"/>
          <w:b/>
          <w:color w:val="auto"/>
          <w:sz w:val="32"/>
          <w:szCs w:val="32"/>
        </w:rPr>
      </w:pPr>
    </w:p>
    <w:p w14:paraId="29897D96">
      <w:pPr>
        <w:pStyle w:val="19"/>
        <w:spacing w:line="360" w:lineRule="auto"/>
        <w:ind w:firstLine="643" w:firstLineChars="200"/>
        <w:rPr>
          <w:rFonts w:hint="default" w:ascii="Times New Roman" w:hAnsi="Times New Roman" w:eastAsia="宋体" w:cs="Times New Roman"/>
          <w:b/>
          <w:color w:val="auto"/>
          <w:sz w:val="32"/>
          <w:szCs w:val="32"/>
        </w:rPr>
      </w:pPr>
    </w:p>
    <w:p w14:paraId="38AD4FAE">
      <w:pPr>
        <w:pStyle w:val="19"/>
        <w:spacing w:line="360" w:lineRule="auto"/>
        <w:ind w:firstLine="643" w:firstLineChars="200"/>
        <w:rPr>
          <w:rFonts w:hint="default" w:ascii="Times New Roman" w:hAnsi="Times New Roman" w:eastAsia="宋体" w:cs="Times New Roman"/>
          <w:b/>
          <w:color w:val="auto"/>
          <w:sz w:val="32"/>
          <w:szCs w:val="32"/>
        </w:rPr>
      </w:pPr>
      <w:r>
        <w:rPr>
          <w:rFonts w:hint="default" w:ascii="Times New Roman" w:hAnsi="Times New Roman" w:eastAsia="宋体" w:cs="Times New Roman"/>
          <w:b/>
          <w:color w:val="auto"/>
          <w:sz w:val="32"/>
          <w:szCs w:val="32"/>
        </w:rPr>
        <w:t>采购单位：江苏航运职业技术学院</w:t>
      </w:r>
    </w:p>
    <w:p w14:paraId="5C7E45A7">
      <w:pPr>
        <w:pStyle w:val="19"/>
        <w:spacing w:line="360" w:lineRule="auto"/>
        <w:ind w:firstLine="643" w:firstLineChars="200"/>
        <w:rPr>
          <w:rFonts w:hint="default" w:ascii="Times New Roman" w:hAnsi="Times New Roman" w:eastAsia="宋体" w:cs="Times New Roman"/>
          <w:b/>
          <w:color w:val="auto"/>
          <w:sz w:val="32"/>
          <w:szCs w:val="32"/>
        </w:rPr>
      </w:pPr>
      <w:r>
        <w:rPr>
          <w:rFonts w:hint="default" w:ascii="Times New Roman" w:hAnsi="Times New Roman" w:eastAsia="宋体" w:cs="Times New Roman"/>
          <w:b/>
          <w:color w:val="auto"/>
          <w:sz w:val="32"/>
          <w:szCs w:val="32"/>
        </w:rPr>
        <w:t>代理机构：南通建辰工程咨询有限公司</w:t>
      </w:r>
    </w:p>
    <w:p w14:paraId="08272079">
      <w:pPr>
        <w:pStyle w:val="19"/>
        <w:spacing w:line="360" w:lineRule="auto"/>
        <w:ind w:firstLine="643" w:firstLineChars="200"/>
        <w:rPr>
          <w:rFonts w:hint="default" w:ascii="Times New Roman" w:hAnsi="Times New Roman" w:eastAsia="宋体" w:cs="Times New Roman"/>
          <w:b/>
          <w:color w:val="auto"/>
          <w:sz w:val="32"/>
          <w:szCs w:val="32"/>
        </w:rPr>
        <w:sectPr>
          <w:headerReference r:id="rId4" w:type="first"/>
          <w:footerReference r:id="rId7" w:type="first"/>
          <w:headerReference r:id="rId3" w:type="default"/>
          <w:footerReference r:id="rId5" w:type="default"/>
          <w:footerReference r:id="rId6" w:type="even"/>
          <w:pgSz w:w="11906" w:h="16838"/>
          <w:pgMar w:top="1588" w:right="1418" w:bottom="1418" w:left="1701" w:header="851" w:footer="964" w:gutter="0"/>
          <w:pgBorders>
            <w:top w:val="none" w:sz="0" w:space="0"/>
            <w:left w:val="none" w:sz="0" w:space="0"/>
            <w:bottom w:val="none" w:sz="0" w:space="0"/>
            <w:right w:val="none" w:sz="0" w:space="0"/>
          </w:pgBorders>
          <w:pgNumType w:start="1"/>
          <w:cols w:space="1701" w:num="1"/>
          <w:titlePg/>
          <w:docGrid w:linePitch="360" w:charSpace="0"/>
        </w:sectPr>
      </w:pPr>
      <w:r>
        <w:rPr>
          <w:rFonts w:hint="default" w:ascii="Times New Roman" w:hAnsi="Times New Roman" w:eastAsia="宋体" w:cs="Times New Roman"/>
          <w:b/>
          <w:color w:val="auto"/>
          <w:sz w:val="32"/>
          <w:szCs w:val="32"/>
        </w:rPr>
        <w:t>日    期：二</w:t>
      </w:r>
      <w:r>
        <w:rPr>
          <w:rFonts w:hint="eastAsia" w:ascii="Times New Roman" w:eastAsia="宋体" w:cs="Times New Roman"/>
          <w:b/>
          <w:color w:val="auto"/>
          <w:sz w:val="32"/>
          <w:szCs w:val="32"/>
          <w:lang w:eastAsia="zh-CN"/>
        </w:rPr>
        <w:t>〇</w:t>
      </w:r>
      <w:r>
        <w:rPr>
          <w:rFonts w:hint="default" w:ascii="Times New Roman" w:hAnsi="Times New Roman" w:eastAsia="宋体" w:cs="Times New Roman"/>
          <w:b/>
          <w:color w:val="auto"/>
          <w:sz w:val="32"/>
          <w:szCs w:val="32"/>
        </w:rPr>
        <w:t>二六年</w:t>
      </w:r>
      <w:r>
        <w:rPr>
          <w:rFonts w:hint="default" w:ascii="Times New Roman" w:hAnsi="Times New Roman" w:eastAsia="宋体" w:cs="Times New Roman"/>
          <w:b/>
          <w:color w:val="auto"/>
          <w:sz w:val="32"/>
          <w:szCs w:val="32"/>
          <w:lang w:eastAsia="zh-CN"/>
        </w:rPr>
        <w:t>七</w:t>
      </w:r>
      <w:r>
        <w:rPr>
          <w:rFonts w:hint="default" w:ascii="Times New Roman" w:hAnsi="Times New Roman" w:eastAsia="宋体" w:cs="Times New Roman"/>
          <w:b/>
          <w:color w:val="auto"/>
          <w:sz w:val="32"/>
          <w:szCs w:val="32"/>
        </w:rPr>
        <w:t>月</w:t>
      </w:r>
    </w:p>
    <w:p w14:paraId="271B27D4">
      <w:pPr>
        <w:pStyle w:val="20"/>
        <w:spacing w:line="480" w:lineRule="auto"/>
        <w:rPr>
          <w:rFonts w:hint="default" w:ascii="Times New Roman" w:hAnsi="Times New Roman" w:cs="Times New Roman"/>
          <w:color w:val="auto"/>
        </w:rPr>
      </w:pPr>
      <w:r>
        <w:rPr>
          <w:rFonts w:hint="default" w:ascii="Times New Roman" w:hAnsi="Times New Roman" w:cs="Times New Roman"/>
          <w:color w:val="auto"/>
        </w:rPr>
        <w:t>目  录</w:t>
      </w:r>
    </w:p>
    <w:p w14:paraId="477DE5DA">
      <w:pPr>
        <w:pStyle w:val="19"/>
        <w:spacing w:line="480" w:lineRule="auto"/>
        <w:ind w:firstLine="640" w:firstLineChars="200"/>
        <w:rPr>
          <w:rFonts w:hint="default" w:ascii="Times New Roman" w:hAnsi="Times New Roman" w:eastAsia="宋体" w:cs="Times New Roman"/>
          <w:bCs/>
          <w:color w:val="auto"/>
          <w:sz w:val="32"/>
          <w:szCs w:val="32"/>
        </w:rPr>
      </w:pPr>
    </w:p>
    <w:p w14:paraId="781E6B71">
      <w:pPr>
        <w:pStyle w:val="19"/>
        <w:spacing w:line="480" w:lineRule="auto"/>
        <w:ind w:firstLine="640" w:firstLineChars="200"/>
        <w:rPr>
          <w:rFonts w:hint="default" w:ascii="Times New Roman" w:hAnsi="Times New Roman" w:eastAsia="宋体" w:cs="Times New Roman"/>
          <w:bCs/>
          <w:color w:val="auto"/>
          <w:sz w:val="32"/>
          <w:szCs w:val="32"/>
        </w:rPr>
      </w:pPr>
      <w:r>
        <w:rPr>
          <w:rFonts w:hint="default" w:ascii="Times New Roman" w:hAnsi="Times New Roman" w:eastAsia="宋体" w:cs="Times New Roman"/>
          <w:bCs/>
          <w:color w:val="auto"/>
          <w:sz w:val="32"/>
          <w:szCs w:val="32"/>
        </w:rPr>
        <w:t>第一章  招标公告</w:t>
      </w:r>
    </w:p>
    <w:p w14:paraId="1CF5BA4B">
      <w:pPr>
        <w:pStyle w:val="19"/>
        <w:spacing w:line="480" w:lineRule="auto"/>
        <w:ind w:firstLine="640" w:firstLineChars="200"/>
        <w:rPr>
          <w:rFonts w:hint="default" w:ascii="Times New Roman" w:hAnsi="Times New Roman" w:eastAsia="宋体" w:cs="Times New Roman"/>
          <w:bCs/>
          <w:color w:val="auto"/>
          <w:sz w:val="32"/>
          <w:szCs w:val="32"/>
        </w:rPr>
      </w:pPr>
      <w:r>
        <w:rPr>
          <w:rFonts w:hint="default" w:ascii="Times New Roman" w:hAnsi="Times New Roman" w:eastAsia="宋体" w:cs="Times New Roman"/>
          <w:bCs/>
          <w:color w:val="auto"/>
          <w:sz w:val="32"/>
          <w:szCs w:val="32"/>
        </w:rPr>
        <w:t>第二章  投标人须知</w:t>
      </w:r>
    </w:p>
    <w:p w14:paraId="59EC3192">
      <w:pPr>
        <w:pStyle w:val="19"/>
        <w:spacing w:line="480" w:lineRule="auto"/>
        <w:ind w:firstLine="640" w:firstLineChars="200"/>
        <w:rPr>
          <w:rFonts w:hint="default" w:ascii="Times New Roman" w:hAnsi="Times New Roman" w:eastAsia="宋体" w:cs="Times New Roman"/>
          <w:bCs/>
          <w:color w:val="auto"/>
          <w:sz w:val="32"/>
          <w:szCs w:val="32"/>
        </w:rPr>
      </w:pPr>
      <w:r>
        <w:rPr>
          <w:rFonts w:hint="default" w:ascii="Times New Roman" w:hAnsi="Times New Roman" w:eastAsia="宋体" w:cs="Times New Roman"/>
          <w:bCs/>
          <w:color w:val="auto"/>
          <w:sz w:val="32"/>
          <w:szCs w:val="32"/>
        </w:rPr>
        <w:t>第三章  项目需求</w:t>
      </w:r>
    </w:p>
    <w:p w14:paraId="27ABDBAF">
      <w:pPr>
        <w:pStyle w:val="19"/>
        <w:spacing w:line="480" w:lineRule="auto"/>
        <w:ind w:firstLine="640" w:firstLineChars="200"/>
        <w:rPr>
          <w:rFonts w:hint="default" w:ascii="Times New Roman" w:hAnsi="Times New Roman" w:eastAsia="宋体" w:cs="Times New Roman"/>
          <w:bCs/>
          <w:color w:val="auto"/>
          <w:sz w:val="32"/>
          <w:szCs w:val="32"/>
        </w:rPr>
      </w:pPr>
      <w:r>
        <w:rPr>
          <w:rFonts w:hint="default" w:ascii="Times New Roman" w:hAnsi="Times New Roman" w:eastAsia="宋体" w:cs="Times New Roman"/>
          <w:bCs/>
          <w:color w:val="auto"/>
          <w:sz w:val="32"/>
          <w:szCs w:val="32"/>
        </w:rPr>
        <w:t>第四章  评审方法和程序</w:t>
      </w:r>
    </w:p>
    <w:p w14:paraId="6D19580A">
      <w:pPr>
        <w:pStyle w:val="19"/>
        <w:spacing w:line="480" w:lineRule="auto"/>
        <w:ind w:firstLine="640" w:firstLineChars="200"/>
        <w:rPr>
          <w:rFonts w:hint="default" w:ascii="Times New Roman" w:hAnsi="Times New Roman" w:eastAsia="宋体" w:cs="Times New Roman"/>
          <w:bCs/>
          <w:color w:val="auto"/>
          <w:sz w:val="32"/>
          <w:szCs w:val="32"/>
        </w:rPr>
      </w:pPr>
      <w:r>
        <w:rPr>
          <w:rFonts w:hint="default" w:ascii="Times New Roman" w:hAnsi="Times New Roman" w:eastAsia="宋体" w:cs="Times New Roman"/>
          <w:bCs/>
          <w:color w:val="auto"/>
          <w:sz w:val="32"/>
          <w:szCs w:val="32"/>
        </w:rPr>
        <w:t>第五章  合同签订与验收付款</w:t>
      </w:r>
    </w:p>
    <w:p w14:paraId="76109356">
      <w:pPr>
        <w:pStyle w:val="19"/>
        <w:spacing w:line="480" w:lineRule="auto"/>
        <w:ind w:firstLine="640" w:firstLineChars="200"/>
        <w:rPr>
          <w:rFonts w:hint="default" w:ascii="Times New Roman" w:hAnsi="Times New Roman" w:eastAsia="宋体" w:cs="Times New Roman"/>
          <w:bCs/>
          <w:color w:val="auto"/>
          <w:sz w:val="32"/>
          <w:szCs w:val="32"/>
        </w:rPr>
      </w:pPr>
      <w:r>
        <w:rPr>
          <w:rFonts w:hint="default" w:ascii="Times New Roman" w:hAnsi="Times New Roman" w:eastAsia="宋体" w:cs="Times New Roman"/>
          <w:bCs/>
          <w:color w:val="auto"/>
          <w:sz w:val="32"/>
          <w:szCs w:val="32"/>
        </w:rPr>
        <w:t>第六章  合同授予</w:t>
      </w:r>
    </w:p>
    <w:p w14:paraId="640292CA">
      <w:pPr>
        <w:pStyle w:val="19"/>
        <w:spacing w:line="480" w:lineRule="auto"/>
        <w:ind w:firstLine="640" w:firstLineChars="200"/>
        <w:rPr>
          <w:rFonts w:hint="default" w:ascii="Times New Roman" w:hAnsi="Times New Roman" w:eastAsia="宋体" w:cs="Times New Roman"/>
          <w:bCs/>
          <w:color w:val="auto"/>
          <w:sz w:val="32"/>
          <w:szCs w:val="32"/>
        </w:rPr>
      </w:pPr>
      <w:r>
        <w:rPr>
          <w:rFonts w:hint="default" w:ascii="Times New Roman" w:hAnsi="Times New Roman" w:eastAsia="宋体" w:cs="Times New Roman"/>
          <w:bCs/>
          <w:color w:val="auto"/>
          <w:sz w:val="32"/>
          <w:szCs w:val="32"/>
        </w:rPr>
        <w:t>第七章  质疑与投诉</w:t>
      </w:r>
    </w:p>
    <w:p w14:paraId="6FB8FEB8">
      <w:pPr>
        <w:pStyle w:val="19"/>
        <w:spacing w:line="480" w:lineRule="auto"/>
        <w:ind w:firstLine="640" w:firstLineChars="200"/>
        <w:rPr>
          <w:rFonts w:hint="default" w:ascii="Times New Roman" w:hAnsi="Times New Roman" w:eastAsia="宋体" w:cs="Times New Roman"/>
          <w:bCs/>
          <w:color w:val="auto"/>
          <w:sz w:val="32"/>
          <w:szCs w:val="32"/>
        </w:rPr>
      </w:pPr>
      <w:r>
        <w:rPr>
          <w:rFonts w:hint="default" w:ascii="Times New Roman" w:hAnsi="Times New Roman" w:eastAsia="宋体" w:cs="Times New Roman"/>
          <w:bCs/>
          <w:color w:val="auto"/>
          <w:sz w:val="32"/>
          <w:szCs w:val="32"/>
        </w:rPr>
        <w:t>第八章  投标文件组成及格式</w:t>
      </w:r>
    </w:p>
    <w:p w14:paraId="3E6E7732">
      <w:pPr>
        <w:pStyle w:val="19"/>
        <w:spacing w:line="480" w:lineRule="auto"/>
        <w:ind w:firstLine="560" w:firstLineChars="200"/>
        <w:rPr>
          <w:rFonts w:hint="default" w:ascii="Times New Roman" w:hAnsi="Times New Roman" w:cs="Times New Roman"/>
          <w:color w:val="auto"/>
        </w:rPr>
      </w:pPr>
    </w:p>
    <w:p w14:paraId="6FDDC003">
      <w:pPr>
        <w:tabs>
          <w:tab w:val="left" w:pos="1050"/>
          <w:tab w:val="right" w:leader="dot" w:pos="9402"/>
        </w:tabs>
        <w:spacing w:line="360" w:lineRule="auto"/>
        <w:jc w:val="center"/>
        <w:outlineLvl w:val="0"/>
        <w:rPr>
          <w:rFonts w:hint="default" w:ascii="Times New Roman" w:hAnsi="Times New Roman" w:eastAsia="宋体" w:cs="Times New Roman"/>
          <w:b/>
          <w:color w:val="auto"/>
          <w:sz w:val="36"/>
          <w:szCs w:val="36"/>
        </w:rPr>
      </w:pPr>
      <w:bookmarkStart w:id="0" w:name="_Toc363573853"/>
    </w:p>
    <w:p w14:paraId="7496B0E6">
      <w:pPr>
        <w:tabs>
          <w:tab w:val="left" w:pos="1050"/>
          <w:tab w:val="right" w:leader="dot" w:pos="9402"/>
        </w:tabs>
        <w:spacing w:line="360" w:lineRule="auto"/>
        <w:jc w:val="center"/>
        <w:outlineLvl w:val="0"/>
        <w:rPr>
          <w:rFonts w:hint="default" w:ascii="Times New Roman" w:hAnsi="Times New Roman" w:eastAsia="宋体" w:cs="Times New Roman"/>
          <w:b/>
          <w:color w:val="auto"/>
          <w:sz w:val="36"/>
          <w:szCs w:val="36"/>
        </w:rPr>
      </w:pPr>
    </w:p>
    <w:p w14:paraId="21105185">
      <w:pPr>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6"/>
          <w:szCs w:val="36"/>
        </w:rPr>
        <w:br w:type="page"/>
      </w:r>
    </w:p>
    <w:p w14:paraId="404D2350">
      <w:pPr>
        <w:tabs>
          <w:tab w:val="left" w:pos="1050"/>
          <w:tab w:val="right" w:leader="dot" w:pos="9402"/>
        </w:tabs>
        <w:spacing w:line="360" w:lineRule="auto"/>
        <w:jc w:val="center"/>
        <w:outlineLvl w:val="0"/>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6"/>
          <w:szCs w:val="36"/>
        </w:rPr>
        <w:t>第一章  招标公告</w:t>
      </w:r>
      <w:bookmarkEnd w:id="0"/>
    </w:p>
    <w:p w14:paraId="03DF7C9D">
      <w:pPr>
        <w:tabs>
          <w:tab w:val="left" w:pos="1050"/>
          <w:tab w:val="right" w:leader="dot" w:pos="9402"/>
        </w:tabs>
        <w:spacing w:line="360" w:lineRule="auto"/>
        <w:jc w:val="center"/>
        <w:outlineLvl w:val="0"/>
        <w:rPr>
          <w:rFonts w:hint="default" w:ascii="Times New Roman" w:hAnsi="Times New Roman" w:eastAsia="宋体" w:cs="Times New Roman"/>
          <w:color w:val="auto"/>
          <w:sz w:val="24"/>
          <w:szCs w:val="24"/>
        </w:rPr>
      </w:pPr>
    </w:p>
    <w:p w14:paraId="07FCDE98">
      <w:pPr>
        <w:pBdr>
          <w:top w:val="single" w:color="000000" w:sz="4" w:space="1"/>
          <w:left w:val="single" w:color="000000" w:sz="4" w:space="4"/>
          <w:bottom w:val="single" w:color="000000" w:sz="4" w:space="1"/>
          <w:right w:val="single" w:color="000000" w:sz="4" w:space="4"/>
        </w:pBdr>
        <w:spacing w:line="360" w:lineRule="auto"/>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项目概况</w:t>
      </w:r>
    </w:p>
    <w:p w14:paraId="17DDC2E6">
      <w:pPr>
        <w:pBdr>
          <w:top w:val="single" w:color="000000" w:sz="4" w:space="1"/>
          <w:left w:val="single" w:color="000000" w:sz="4" w:space="4"/>
          <w:bottom w:val="single" w:color="000000" w:sz="4" w:space="1"/>
          <w:right w:val="single" w:color="000000" w:sz="4" w:space="4"/>
        </w:pBdr>
        <w:spacing w:line="360" w:lineRule="auto"/>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u w:val="single"/>
          <w:lang w:eastAsia="zh-CN"/>
        </w:rPr>
        <w:t>船舶结构设计软件（非线性结构有限元分析软件）</w:t>
      </w:r>
      <w:r>
        <w:rPr>
          <w:rFonts w:hint="default" w:ascii="Times New Roman" w:hAnsi="Times New Roman" w:eastAsia="宋体" w:cs="Times New Roman"/>
          <w:bCs/>
          <w:color w:val="auto"/>
          <w:sz w:val="24"/>
          <w:szCs w:val="24"/>
        </w:rPr>
        <w:t>的潜在投标人应在</w:t>
      </w:r>
      <w:r>
        <w:rPr>
          <w:rFonts w:hint="default" w:ascii="Times New Roman" w:hAnsi="Times New Roman" w:eastAsia="宋体" w:cs="Times New Roman"/>
          <w:bCs/>
          <w:color w:val="auto"/>
          <w:sz w:val="24"/>
          <w:szCs w:val="24"/>
          <w:u w:val="single"/>
        </w:rPr>
        <w:t>江苏政府采购网苏采云系统</w:t>
      </w:r>
      <w:r>
        <w:rPr>
          <w:rFonts w:hint="default" w:ascii="Times New Roman" w:hAnsi="Times New Roman" w:eastAsia="宋体" w:cs="Times New Roman"/>
          <w:bCs/>
          <w:color w:val="auto"/>
          <w:sz w:val="24"/>
          <w:szCs w:val="24"/>
        </w:rPr>
        <w:t>获取招标文件，并于</w:t>
      </w:r>
      <w:r>
        <w:rPr>
          <w:rFonts w:hint="eastAsia" w:eastAsia="宋体" w:cs="Times New Roman"/>
          <w:bCs/>
          <w:color w:val="auto"/>
          <w:sz w:val="24"/>
          <w:szCs w:val="24"/>
          <w:u w:val="single"/>
          <w:lang w:eastAsia="zh-CN"/>
        </w:rPr>
        <w:t>2026年08月13日</w:t>
      </w:r>
      <w:r>
        <w:rPr>
          <w:rFonts w:hint="default" w:ascii="Times New Roman" w:hAnsi="Times New Roman" w:eastAsia="宋体" w:cs="Times New Roman"/>
          <w:bCs/>
          <w:color w:val="auto"/>
          <w:sz w:val="24"/>
          <w:szCs w:val="24"/>
          <w:u w:val="single"/>
        </w:rPr>
        <w:t>09时30分</w:t>
      </w:r>
      <w:r>
        <w:rPr>
          <w:rFonts w:hint="default" w:ascii="Times New Roman" w:hAnsi="Times New Roman" w:eastAsia="宋体" w:cs="Times New Roman"/>
          <w:bCs/>
          <w:color w:val="auto"/>
          <w:sz w:val="24"/>
          <w:szCs w:val="24"/>
        </w:rPr>
        <w:t>（北京时间</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前递交投标文件。</w:t>
      </w:r>
    </w:p>
    <w:p w14:paraId="5592010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outlineLvl w:val="1"/>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一、</w:t>
      </w:r>
      <w:r>
        <w:rPr>
          <w:rFonts w:hint="default" w:ascii="Times New Roman" w:hAnsi="Times New Roman" w:eastAsia="宋体" w:cs="Times New Roman"/>
          <w:b/>
          <w:bCs/>
          <w:color w:val="auto"/>
          <w:sz w:val="24"/>
          <w:szCs w:val="24"/>
        </w:rPr>
        <w:t>项目基本情况</w:t>
      </w:r>
    </w:p>
    <w:p w14:paraId="015E1D00">
      <w:pPr>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项目编号：</w:t>
      </w:r>
      <w:r>
        <w:rPr>
          <w:rFonts w:hint="eastAsia" w:eastAsia="宋体" w:cs="Times New Roman"/>
          <w:color w:val="auto"/>
          <w:sz w:val="24"/>
          <w:szCs w:val="24"/>
          <w:lang w:eastAsia="zh-CN"/>
        </w:rPr>
        <w:t>JSZC-320690-NTJC-G2026-0012</w:t>
      </w:r>
    </w:p>
    <w:p w14:paraId="10A2BF73">
      <w:pPr>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项目名称：</w:t>
      </w:r>
      <w:r>
        <w:rPr>
          <w:rFonts w:hint="default" w:ascii="Times New Roman" w:hAnsi="Times New Roman" w:eastAsia="宋体" w:cs="Times New Roman"/>
          <w:color w:val="auto"/>
          <w:sz w:val="24"/>
          <w:szCs w:val="24"/>
          <w:lang w:eastAsia="zh-CN"/>
        </w:rPr>
        <w:t>船舶结构设计软件（非线性结构有限元分析软件）</w:t>
      </w:r>
    </w:p>
    <w:p w14:paraId="53F2636E">
      <w:pPr>
        <w:spacing w:line="360" w:lineRule="auto"/>
        <w:ind w:firstLine="480" w:firstLineChars="200"/>
        <w:jc w:val="left"/>
        <w:rPr>
          <w:rFonts w:hint="default" w:ascii="Times New Roman" w:hAnsi="Times New Roman" w:eastAsia="宋体" w:cs="Times New Roman"/>
          <w:color w:val="auto"/>
          <w:sz w:val="24"/>
          <w:szCs w:val="24"/>
        </w:rPr>
      </w:pPr>
      <w:bookmarkStart w:id="1" w:name="_Toc387526365"/>
      <w:bookmarkStart w:id="2" w:name="_Toc387526273"/>
      <w:bookmarkStart w:id="3" w:name="_Toc20597"/>
      <w:bookmarkStart w:id="4" w:name="_Toc387526169"/>
      <w:r>
        <w:rPr>
          <w:rFonts w:hint="default" w:ascii="Times New Roman" w:hAnsi="Times New Roman" w:eastAsia="宋体" w:cs="Times New Roman"/>
          <w:color w:val="auto"/>
          <w:sz w:val="24"/>
          <w:szCs w:val="24"/>
        </w:rPr>
        <w:t>项目类型：货物</w:t>
      </w:r>
    </w:p>
    <w:p w14:paraId="1808238F">
      <w:pPr>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预算金额：</w:t>
      </w:r>
      <w:r>
        <w:rPr>
          <w:rFonts w:hint="default" w:ascii="Times New Roman" w:hAnsi="Times New Roman" w:eastAsia="宋体" w:cs="Times New Roman"/>
          <w:color w:val="auto"/>
          <w:sz w:val="24"/>
          <w:szCs w:val="24"/>
          <w:lang w:eastAsia="zh-CN"/>
        </w:rPr>
        <w:t>160万元</w:t>
      </w:r>
    </w:p>
    <w:p w14:paraId="3523AAFF">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最高限价：</w:t>
      </w:r>
      <w:r>
        <w:rPr>
          <w:rFonts w:hint="default" w:ascii="Times New Roman" w:hAnsi="Times New Roman" w:eastAsia="宋体" w:cs="Times New Roman"/>
          <w:color w:val="auto"/>
          <w:sz w:val="24"/>
          <w:szCs w:val="24"/>
          <w:lang w:eastAsia="zh-CN"/>
        </w:rPr>
        <w:t>160万元</w:t>
      </w:r>
      <w:r>
        <w:rPr>
          <w:rFonts w:hint="default" w:ascii="Times New Roman" w:hAnsi="Times New Roman" w:eastAsia="宋体" w:cs="Times New Roman"/>
          <w:color w:val="auto"/>
          <w:sz w:val="24"/>
          <w:szCs w:val="24"/>
        </w:rPr>
        <w:t>，投标报价超过最高限价的为无效投标。</w:t>
      </w:r>
    </w:p>
    <w:p w14:paraId="3E24F453">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项目需求：</w:t>
      </w:r>
      <w:r>
        <w:rPr>
          <w:rFonts w:hint="default" w:ascii="Times New Roman" w:hAnsi="Times New Roman" w:eastAsia="宋体" w:cs="Times New Roman"/>
          <w:color w:val="auto"/>
          <w:sz w:val="24"/>
          <w:szCs w:val="24"/>
          <w:lang w:eastAsia="zh-CN"/>
        </w:rPr>
        <w:t>船舶结构设计软件（非线性结构有限元分析软件）</w:t>
      </w:r>
      <w:r>
        <w:rPr>
          <w:rFonts w:hint="default" w:ascii="Times New Roman" w:hAnsi="Times New Roman" w:eastAsia="宋体" w:cs="Times New Roman"/>
          <w:color w:val="auto"/>
          <w:sz w:val="24"/>
          <w:szCs w:val="24"/>
        </w:rPr>
        <w:t>，具体详见招标文件第三章项目需求。</w:t>
      </w:r>
    </w:p>
    <w:p w14:paraId="26A514A1">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合同履行期限：</w:t>
      </w:r>
      <w:bookmarkEnd w:id="1"/>
      <w:bookmarkEnd w:id="2"/>
      <w:bookmarkEnd w:id="3"/>
      <w:bookmarkEnd w:id="4"/>
      <w:r>
        <w:rPr>
          <w:rFonts w:hint="default" w:ascii="Times New Roman" w:hAnsi="Times New Roman" w:eastAsia="宋体" w:cs="Times New Roman"/>
          <w:color w:val="auto"/>
          <w:sz w:val="24"/>
          <w:szCs w:val="24"/>
        </w:rPr>
        <w:t>详见第三部分项目需求。</w:t>
      </w:r>
    </w:p>
    <w:p w14:paraId="7326B4C8">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本项目（是/否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接受联合体：否。</w:t>
      </w:r>
    </w:p>
    <w:p w14:paraId="7104F3BF">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二、申请人的资格要求：</w:t>
      </w:r>
    </w:p>
    <w:p w14:paraId="007E4D9F">
      <w:pPr>
        <w:spacing w:line="360" w:lineRule="auto"/>
        <w:ind w:firstLine="482"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（一</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满足《中华人民共和国政府采购法》第二十二条规定，并提供下列材料：</w:t>
      </w:r>
    </w:p>
    <w:p w14:paraId="249D636B">
      <w:pPr>
        <w:spacing w:line="360" w:lineRule="auto"/>
        <w:ind w:firstLine="480" w:firstLineChars="200"/>
        <w:jc w:val="left"/>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1.投标人符合《中华人民共和国政府采购法》第二十二条规定条件的声明函（格式参见附件</w:t>
      </w:r>
      <w:r>
        <w:rPr>
          <w:rFonts w:hint="default" w:ascii="Times New Roman" w:hAnsi="Times New Roman" w:eastAsia="宋体" w:cs="Times New Roman"/>
          <w:color w:val="auto"/>
          <w:sz w:val="24"/>
          <w:szCs w:val="24"/>
          <w:lang w:eastAsia="zh-CN"/>
        </w:rPr>
        <w:t>）</w:t>
      </w:r>
      <w:r>
        <w:rPr>
          <w:rFonts w:hint="eastAsia" w:eastAsia="宋体" w:cs="Times New Roman"/>
          <w:color w:val="auto"/>
          <w:sz w:val="24"/>
          <w:szCs w:val="24"/>
          <w:lang w:eastAsia="zh-CN"/>
        </w:rPr>
        <w:t>。</w:t>
      </w:r>
    </w:p>
    <w:p w14:paraId="1E6705C0">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2.提供法人或者其他组织的营业执照等证明文件，如供应商为自然人的，提供其身份证明。</w:t>
      </w:r>
    </w:p>
    <w:p w14:paraId="47FDC743">
      <w:pPr>
        <w:spacing w:line="360" w:lineRule="auto"/>
        <w:ind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落实政府采购政策需满足的资格要求：</w:t>
      </w:r>
      <w:r>
        <w:rPr>
          <w:rFonts w:hint="default" w:ascii="Times New Roman" w:hAnsi="Times New Roman" w:eastAsia="宋体" w:cs="Times New Roman"/>
          <w:b/>
          <w:color w:val="auto"/>
          <w:sz w:val="24"/>
          <w:szCs w:val="24"/>
          <w:u w:val="single"/>
          <w:lang w:val="en-US" w:eastAsia="zh-CN"/>
        </w:rPr>
        <w:t>本项目不专门面向中小企业采购</w:t>
      </w:r>
      <w:r>
        <w:rPr>
          <w:rFonts w:hint="default" w:ascii="Times New Roman" w:hAnsi="Times New Roman" w:eastAsia="宋体" w:cs="Times New Roman"/>
          <w:b/>
          <w:color w:val="auto"/>
          <w:sz w:val="24"/>
          <w:szCs w:val="24"/>
          <w:lang w:val="en-US" w:eastAsia="zh-CN"/>
        </w:rPr>
        <w:t>。</w:t>
      </w:r>
    </w:p>
    <w:p w14:paraId="1AE64C21">
      <w:pPr>
        <w:spacing w:line="360" w:lineRule="auto"/>
        <w:ind w:firstLine="482" w:firstLineChars="200"/>
        <w:contextualSpacing/>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项目的特定资格要求：</w:t>
      </w:r>
    </w:p>
    <w:p w14:paraId="4EF9D725">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1.未被“信用中国”网站（www.creditchina.gov.cn</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列入失信被执行人、重大税收违法案件当事人名单、政府采购严重失信行为记录名单。</w:t>
      </w:r>
    </w:p>
    <w:p w14:paraId="3EEA3C44">
      <w:pPr>
        <w:spacing w:line="360" w:lineRule="auto"/>
        <w:ind w:firstLine="480" w:firstLineChars="200"/>
        <w:contextualSpacing/>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w:t>
      </w:r>
      <w:r>
        <w:rPr>
          <w:rFonts w:hint="default" w:ascii="Times New Roman" w:hAnsi="Times New Roman" w:eastAsia="宋体" w:cs="Times New Roman"/>
          <w:color w:val="auto"/>
          <w:sz w:val="24"/>
          <w:szCs w:val="24"/>
          <w:lang w:eastAsia="zh-CN"/>
        </w:rPr>
        <w:t>。</w:t>
      </w:r>
    </w:p>
    <w:p w14:paraId="687FF852">
      <w:pPr>
        <w:spacing w:line="360" w:lineRule="auto"/>
        <w:ind w:firstLine="480" w:firstLineChars="200"/>
        <w:contextualSpacing/>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val="zh-CN"/>
        </w:rPr>
        <w:t>拒绝下述投标人参加本次采购活动：</w:t>
      </w:r>
    </w:p>
    <w:p w14:paraId="20A35395">
      <w:pPr>
        <w:spacing w:line="360" w:lineRule="auto"/>
        <w:ind w:firstLine="480" w:firstLineChars="200"/>
        <w:contextualSpacing/>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val="zh-CN"/>
        </w:rPr>
        <w:t>.1</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zh-CN"/>
        </w:rPr>
        <w:t>供应商单位负责人为同一人或者存在直接控股、管理关系的不同供应商，不得参加同一合同项下的政府采购活动；</w:t>
      </w:r>
    </w:p>
    <w:p w14:paraId="28506BE7">
      <w:pPr>
        <w:spacing w:line="360" w:lineRule="auto"/>
        <w:ind w:firstLine="480" w:firstLineChars="200"/>
        <w:contextualSpacing/>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val="zh-CN"/>
        </w:rPr>
        <w:t>.2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zh-CN"/>
        </w:rPr>
        <w:t>凡为采购项目提供整体设计、规范编制或者项目管理、监理、检测等服务的供应商，不得再参加本项目的采购活动。</w:t>
      </w:r>
    </w:p>
    <w:p w14:paraId="7F2CC490">
      <w:pPr>
        <w:spacing w:line="360" w:lineRule="auto"/>
        <w:ind w:firstLine="482"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zh-CN"/>
        </w:rPr>
        <w:t>注：以上所有资格要求条件必须在资格审查材料中逐条提供有效证明材料或相关承诺书并加盖公章，否则投标无效。</w:t>
      </w:r>
    </w:p>
    <w:p w14:paraId="00F0A4F2">
      <w:pPr>
        <w:spacing w:line="360" w:lineRule="auto"/>
        <w:ind w:firstLine="482"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具体资格要求详见第八章中的“资格审查文件”。</w:t>
      </w:r>
    </w:p>
    <w:p w14:paraId="547F6B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三、获取招标文件</w:t>
      </w:r>
    </w:p>
    <w:p w14:paraId="16B5FDF9">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1.时间：自本项目招标公告发布之日起5个工作日。</w:t>
      </w:r>
    </w:p>
    <w:p w14:paraId="1E143F55">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2.地点：网上注册登记成功后系统内免费下载。</w:t>
      </w:r>
    </w:p>
    <w:p w14:paraId="0DAA7DA8">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3.获取方式：本项目采用网上注册登记方式。</w:t>
      </w:r>
    </w:p>
    <w:p w14:paraId="73BD6D81">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3.1 潜在供应商访问电子招标响应交易平台的网络地址和方法：</w:t>
      </w:r>
    </w:p>
    <w:p w14:paraId="1145BD53">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“苏采云”系统用户注册--获取“CA数字证书”--CA绑定与登录--网上报名--下载采购文件（后缀名为“.kedt”</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--将后缀名为“.kedt”的采购文件导入政府采购客户端工具--制作响应文件--导出加密的响应文件（后缀名为zip</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--通过“苏采云”系统上传响应文件。具体见江苏政府采购网—资料下载中《江苏省政府采购管理交易系统（苏采云</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供应商操作手册》。</w:t>
      </w:r>
    </w:p>
    <w:p w14:paraId="25487675">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3.2 潜在供应商访问“苏采云”系统的网络地址和方法：“苏采云”系统的网址：http：//jszfcg.jsczt.cn/。</w:t>
      </w:r>
    </w:p>
    <w:p w14:paraId="399A7DFE">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3.3 “CA数字证书”的获取：</w:t>
      </w:r>
    </w:p>
    <w:p w14:paraId="4D3338D3">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供应商需办理“CA 数字证书”。“苏采云”系统目前仅支持政务CA、方正签章，省内各地区办理的用于“苏采云”平台的政务CA、方正签章全省通用。“CA数字证书”的办理方法详见江苏政府采购网—资料下载中《江苏省政府采购数字证书（供应商</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CA及电子签章办理指南》。</w:t>
      </w:r>
    </w:p>
    <w:p w14:paraId="38163F0E">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通过苏采云系统首页（http：//jszfcg.jscz.gov.cn/</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的“苏采云控件驱动下载”，选择“政务CA、方正签章控件驱动安装包及安装说明”下载安装，具体安装方法详见下载文件内的《安装说明》。</w:t>
      </w:r>
    </w:p>
    <w:p w14:paraId="0042AE00">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3.4 采购文件（后缀名为“.kedt”</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、供应商操作手册及政府采购客户端工具可通过“苏采云”系统--已报名项目--报名详情页面内相应链接进行下载。</w:t>
      </w:r>
    </w:p>
    <w:p w14:paraId="13A764A3">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3.5 采购人或招标代理机构（采购代理机构</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将数据电文形式的采购文件加载至“苏采云”系统，供潜在供应商下载或者查阅。</w:t>
      </w:r>
    </w:p>
    <w:p w14:paraId="571D9E70">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3.6 请潜在投标单位提前安装相应的控件（详见《江苏省政府采购管理交易系统（苏采云</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供应商操作手册》</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并使用谷歌浏览器登录“苏采云”系统参与不见面开评标。</w:t>
      </w:r>
    </w:p>
    <w:p w14:paraId="5908ACB1">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3.7 开评标全过程中，供应商一端参与交互的人员将均被视为是供应商的授权委托人或法定代表人，供应商不得以不承认交互人员的资格或身份等为借口抵赖推脱，供应商自行承担随意更换人员所导致的一切后果。为顺利实现本项目开评标的远程交互，建议供应商配置的硬件设施有：电脑或手机、高速稳定的网络、电源（不间断</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、音视频设备（话筒、耳麦、高清摄像头、音响</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等。为保证交互效果，建议供应商选择封闭安静的地点参与远程交互。因供应商自身软硬件问题而导致在交互过程中出现不稳定或中断等情况的，由供应商自身承担一切后果。</w:t>
      </w:r>
    </w:p>
    <w:p w14:paraId="5ECFEB5B">
      <w:pPr>
        <w:spacing w:line="360" w:lineRule="auto"/>
        <w:ind w:firstLine="482" w:firstLineChars="200"/>
        <w:jc w:val="lef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注：如潜在供应商未按上述要求操作，将自行承担所产生的风险。</w:t>
      </w:r>
    </w:p>
    <w:p w14:paraId="05DC97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四、提交投标文件截止时间、开标时间和地点</w:t>
      </w:r>
    </w:p>
    <w:p w14:paraId="2454AB08">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1.投标文件提交截止时间：</w:t>
      </w:r>
      <w:r>
        <w:rPr>
          <w:rFonts w:hint="eastAsia" w:eastAsia="宋体" w:cs="Times New Roman"/>
          <w:bCs/>
          <w:color w:val="auto"/>
          <w:sz w:val="24"/>
          <w:szCs w:val="24"/>
          <w:u w:val="single"/>
          <w:lang w:eastAsia="zh-CN"/>
        </w:rPr>
        <w:t>2026年08月13日</w:t>
      </w:r>
      <w:r>
        <w:rPr>
          <w:rFonts w:hint="default" w:ascii="Times New Roman" w:hAnsi="Times New Roman" w:eastAsia="宋体" w:cs="Times New Roman"/>
          <w:bCs/>
          <w:color w:val="auto"/>
          <w:sz w:val="24"/>
          <w:szCs w:val="24"/>
          <w:u w:val="single"/>
        </w:rPr>
        <w:t>09时30分</w:t>
      </w:r>
      <w:r>
        <w:rPr>
          <w:rFonts w:hint="default" w:ascii="Times New Roman" w:hAnsi="Times New Roman" w:eastAsia="宋体" w:cs="Times New Roman"/>
          <w:color w:val="auto"/>
          <w:sz w:val="24"/>
          <w:szCs w:val="24"/>
        </w:rPr>
        <w:t>（北京时间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。逾时，“苏采云”系统将拒绝接受上传响应文件电子文档。</w:t>
      </w:r>
    </w:p>
    <w:p w14:paraId="32B76505">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2.线上开标地点：“苏采云”系统（网址：http：//jszfcg.jsczt.cn/</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“开标大厅”。</w:t>
      </w:r>
    </w:p>
    <w:p w14:paraId="3F3200A7">
      <w:pPr>
        <w:spacing w:line="360" w:lineRule="auto"/>
        <w:ind w:firstLine="480" w:firstLineChars="200"/>
        <w:jc w:val="left"/>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3.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w:t>
      </w:r>
      <w:r>
        <w:rPr>
          <w:rFonts w:hint="default" w:ascii="Times New Roman" w:hAnsi="Times New Roman" w:eastAsia="宋体" w:cs="Times New Roman"/>
          <w:b/>
          <w:color w:val="auto"/>
          <w:sz w:val="24"/>
          <w:szCs w:val="24"/>
        </w:rPr>
        <w:t>投标供应商解密限定在开标后30分钟之内完成</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因采购人（或采购代理机构</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原因或网上招投标平台发生故障，导致无法按时完成响应文件解密或开、评标工作无法进行的，可根据实际情况相应延迟解密时间或调整开、评标时间。</w:t>
      </w:r>
    </w:p>
    <w:p w14:paraId="2D5CC520">
      <w:pPr>
        <w:spacing w:line="360" w:lineRule="auto"/>
        <w:ind w:firstLine="482" w:firstLineChars="200"/>
        <w:jc w:val="lef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注：各供应商请关注开标大厅交流区，在开标结束后，请勿离开开标大厅。</w:t>
      </w:r>
    </w:p>
    <w:p w14:paraId="7A21D907">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五、公告期限</w:t>
      </w:r>
    </w:p>
    <w:p w14:paraId="35F51D18">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自本公告发布之日起5个工作日。</w:t>
      </w:r>
    </w:p>
    <w:p w14:paraId="4756471E">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color w:val="auto"/>
          <w:sz w:val="24"/>
          <w:szCs w:val="24"/>
        </w:rPr>
        <w:t>六、其他补充事宜</w:t>
      </w:r>
    </w:p>
    <w:p w14:paraId="50282144">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1.投标保证金：免收；本项目招标文件中涉及投标保证金的事项，均按免收投标保证金执行。</w:t>
      </w:r>
    </w:p>
    <w:p w14:paraId="376D35F8">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2.项目开标活动模式：不见面远程投标模式，供应商在各自地点通过不见面交易系统参加开标会。</w:t>
      </w:r>
    </w:p>
    <w:p w14:paraId="4F9858F2">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3.项目演示、样品、答辩等（如有请描述</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eastAsia="zh-CN"/>
        </w:rPr>
        <w:t>无</w:t>
      </w:r>
      <w:r>
        <w:rPr>
          <w:rFonts w:hint="default" w:ascii="Times New Roman" w:hAnsi="Times New Roman" w:eastAsia="宋体" w:cs="Times New Roman"/>
          <w:bCs/>
          <w:color w:val="auto"/>
          <w:sz w:val="24"/>
          <w:szCs w:val="24"/>
        </w:rPr>
        <w:t>。</w:t>
      </w:r>
    </w:p>
    <w:p w14:paraId="222F503F">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4.对项目需求部分（投标人其他资格</w:t>
      </w:r>
      <w:r>
        <w:rPr>
          <w:rFonts w:hint="default" w:ascii="Times New Roman" w:hAnsi="Times New Roman" w:eastAsia="宋体" w:cs="Times New Roman"/>
          <w:color w:val="auto"/>
          <w:sz w:val="24"/>
          <w:szCs w:val="24"/>
        </w:rPr>
        <w:t>要求</w:t>
      </w:r>
      <w:r>
        <w:rPr>
          <w:rFonts w:hint="default" w:ascii="Times New Roman" w:hAnsi="Times New Roman" w:eastAsia="宋体" w:cs="Times New Roman"/>
          <w:bCs/>
          <w:color w:val="auto"/>
          <w:sz w:val="24"/>
          <w:szCs w:val="24"/>
        </w:rPr>
        <w:t>、项目需求、评分标准</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的询问、质疑请向</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提出，由</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负责答复；对项目招标文件其它部分的询问请向</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或招标代理提出。</w:t>
      </w:r>
    </w:p>
    <w:p w14:paraId="228730A7">
      <w:pPr>
        <w:spacing w:line="360" w:lineRule="auto"/>
        <w:ind w:firstLine="480" w:firstLineChars="20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5.投标人应依照规定提交各类声明函、承诺函，不再同时提供原件备查或提供有关部门出具的相关证明文件。但中标人应做好提交声明函、承诺函相应原件的核查准备；</w:t>
      </w:r>
      <w:bookmarkStart w:id="5" w:name="OLE_LINK5"/>
      <w:r>
        <w:rPr>
          <w:rFonts w:hint="default" w:ascii="Times New Roman" w:hAnsi="Times New Roman" w:eastAsia="宋体" w:cs="Times New Roman"/>
          <w:bCs/>
          <w:color w:val="auto"/>
          <w:sz w:val="24"/>
          <w:szCs w:val="24"/>
        </w:rPr>
        <w:t>核查后发现虚假或违背承诺的，依照相关法律法规规定处理。</w:t>
      </w:r>
      <w:bookmarkEnd w:id="5"/>
    </w:p>
    <w:p w14:paraId="55317E9A">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6.本次采购的有关信息将在江苏政府采购网上发布，敬请留意。</w:t>
      </w:r>
    </w:p>
    <w:p w14:paraId="3C7CFBC9">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7.请各投标人充分考虑项目周期，谨慎参与交易，中标后不得以任何理由放弃中标资格或不按规定履约。</w:t>
      </w:r>
    </w:p>
    <w:p w14:paraId="3111E2EA">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8.勘察现场或答疑：本次采购不组织集中勘察现场。投标人如对采购需求有疑问请与采购联系人沟通。</w:t>
      </w:r>
    </w:p>
    <w:p w14:paraId="4852F259">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七、对本次招标提出询问，请按以下方式联系。</w:t>
      </w:r>
    </w:p>
    <w:p w14:paraId="21469375">
      <w:pPr>
        <w:spacing w:line="360" w:lineRule="auto"/>
        <w:ind w:firstLine="480" w:firstLineChars="200"/>
        <w:rPr>
          <w:rFonts w:hint="default" w:ascii="Times New Roman" w:hAnsi="Times New Roman" w:eastAsia="宋体" w:cs="Times New Roman"/>
          <w:color w:val="auto"/>
          <w:sz w:val="24"/>
          <w:szCs w:val="24"/>
        </w:rPr>
      </w:pPr>
      <w:bookmarkStart w:id="6" w:name="_Toc363573854"/>
      <w:r>
        <w:rPr>
          <w:rFonts w:hint="default" w:ascii="Times New Roman" w:hAnsi="Times New Roman" w:eastAsia="宋体" w:cs="Times New Roman"/>
          <w:color w:val="auto"/>
          <w:sz w:val="24"/>
          <w:szCs w:val="24"/>
        </w:rPr>
        <w:t>1. 采购人信息</w:t>
      </w:r>
    </w:p>
    <w:p w14:paraId="4A01F02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名 称：江苏航运职业技术学院</w:t>
      </w:r>
    </w:p>
    <w:p w14:paraId="4E670651">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 址：江苏省南通市经济技术开发区通盛大道185号</w:t>
      </w:r>
    </w:p>
    <w:p w14:paraId="5D8FE2A3">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联系人：李老师</w:t>
      </w:r>
    </w:p>
    <w:p w14:paraId="6079ECDC">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联系方式：1304671938</w:t>
      </w:r>
      <w:r>
        <w:rPr>
          <w:rFonts w:hint="default" w:ascii="Times New Roman" w:hAnsi="Times New Roman" w:eastAsia="宋体" w:cs="Times New Roman"/>
          <w:color w:val="auto"/>
          <w:sz w:val="24"/>
          <w:szCs w:val="24"/>
          <w:lang w:val="en-US" w:eastAsia="zh-CN"/>
        </w:rPr>
        <w:t>3</w:t>
      </w:r>
    </w:p>
    <w:p w14:paraId="4EB8438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国有资产管理处：陆老师，0513-85960975</w:t>
      </w:r>
    </w:p>
    <w:p w14:paraId="33174E8A">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 采购代理机构信息</w:t>
      </w:r>
    </w:p>
    <w:p w14:paraId="0C3FBB1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名 称：南通建辰工程咨询有限公司</w:t>
      </w:r>
    </w:p>
    <w:p w14:paraId="4E6DBB9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 址：南通市红星路1号太阳鑫城1幢东单元6楼</w:t>
      </w:r>
    </w:p>
    <w:p w14:paraId="27492F8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联系方式：0513-89010636</w:t>
      </w:r>
    </w:p>
    <w:p w14:paraId="678F4000">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3.项目联系方式</w:t>
      </w:r>
    </w:p>
    <w:p w14:paraId="299A0AA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采购文件制作人：陆语石</w:t>
      </w:r>
    </w:p>
    <w:p w14:paraId="74BC6D0F">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 话：0513-89010636</w:t>
      </w:r>
    </w:p>
    <w:p w14:paraId="327B676B">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4.软件技术支持：0519-86722801</w:t>
      </w:r>
    </w:p>
    <w:bookmarkEnd w:id="6"/>
    <w:p w14:paraId="56DD7CEB">
      <w:pPr>
        <w:pStyle w:val="2"/>
        <w:pBdr>
          <w:top w:val="none" w:color="000000" w:sz="0" w:space="0"/>
          <w:left w:val="none" w:color="000000" w:sz="0" w:space="0"/>
          <w:bottom w:val="none" w:color="000000" w:sz="0" w:space="0"/>
          <w:right w:val="none" w:color="000000" w:sz="0" w:space="0"/>
        </w:pBdr>
        <w:spacing w:before="0" w:after="0" w:line="360" w:lineRule="auto"/>
        <w:ind w:firstLine="482" w:firstLineChars="200"/>
        <w:rPr>
          <w:rFonts w:hint="default" w:ascii="Times New Roman" w:hAnsi="Times New Roman" w:eastAsia="宋体" w:cs="Times New Roman"/>
          <w:b/>
          <w:color w:val="auto"/>
          <w:sz w:val="24"/>
          <w:szCs w:val="24"/>
        </w:rPr>
      </w:pPr>
    </w:p>
    <w:p w14:paraId="7CE44C7B">
      <w:pPr>
        <w:keepNext/>
        <w:keepLines/>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附件：</w:t>
      </w:r>
    </w:p>
    <w:p w14:paraId="5136A586">
      <w:pPr>
        <w:keepNext/>
        <w:keepLines/>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1.公开招标文件</w:t>
      </w:r>
    </w:p>
    <w:p w14:paraId="5E273C78">
      <w:pPr>
        <w:keepNext/>
        <w:keepLines/>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2.政府采购采购人信用承诺书</w:t>
      </w:r>
    </w:p>
    <w:p w14:paraId="3D2D0D74">
      <w:pPr>
        <w:keepNext/>
        <w:keepLines/>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3.公平竞争审查二维码</w:t>
      </w:r>
    </w:p>
    <w:p w14:paraId="2D9B594A">
      <w:pPr>
        <w:keepNext/>
        <w:keepLines/>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4.办理政采贷和履约保函（保险</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告知函</w:t>
      </w:r>
    </w:p>
    <w:p w14:paraId="6EC28EAE">
      <w:pPr>
        <w:rPr>
          <w:rFonts w:hint="default" w:ascii="Times New Roman" w:hAnsi="Times New Roman" w:cs="Times New Roman"/>
          <w:color w:val="auto"/>
        </w:rPr>
      </w:pPr>
    </w:p>
    <w:p w14:paraId="306C31AC">
      <w:pPr>
        <w:spacing w:line="360" w:lineRule="auto"/>
        <w:contextualSpacing/>
        <w:jc w:val="center"/>
        <w:rPr>
          <w:rFonts w:hint="default" w:ascii="Times New Roman" w:hAnsi="Times New Roman" w:eastAsia="宋体" w:cs="Times New Roman"/>
          <w:b/>
          <w:color w:val="auto"/>
          <w:sz w:val="36"/>
          <w:szCs w:val="36"/>
        </w:rPr>
      </w:pPr>
      <w:bookmarkStart w:id="7" w:name="_Toc13543213"/>
    </w:p>
    <w:p w14:paraId="2B4EBA2F">
      <w:pPr>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6"/>
          <w:szCs w:val="36"/>
        </w:rPr>
        <w:br w:type="page"/>
      </w:r>
    </w:p>
    <w:p w14:paraId="0BE4746A">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36"/>
          <w:szCs w:val="36"/>
        </w:rPr>
        <w:t>第二章  投标人须知</w:t>
      </w:r>
    </w:p>
    <w:p w14:paraId="181B54FD">
      <w:pPr>
        <w:spacing w:line="360" w:lineRule="auto"/>
        <w:ind w:firstLine="422" w:firstLineChars="200"/>
        <w:contextualSpacing/>
        <w:rPr>
          <w:rFonts w:hint="default" w:ascii="Times New Roman" w:hAnsi="Times New Roman" w:eastAsia="宋体" w:cs="Times New Roman"/>
          <w:b/>
          <w:color w:val="auto"/>
          <w:sz w:val="21"/>
          <w:szCs w:val="21"/>
        </w:rPr>
      </w:pPr>
    </w:p>
    <w:p w14:paraId="7D0C53F1">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一、总则</w:t>
      </w:r>
    </w:p>
    <w:p w14:paraId="3C22A263">
      <w:pPr>
        <w:spacing w:line="360" w:lineRule="auto"/>
        <w:ind w:firstLine="480"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1.招标方式</w:t>
      </w:r>
    </w:p>
    <w:p w14:paraId="19BE49CC">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 本次招标采取公开招标方式，本招标文件仅适用于招标公告中所述项目。</w:t>
      </w:r>
    </w:p>
    <w:p w14:paraId="00AFF504">
      <w:pPr>
        <w:spacing w:line="360" w:lineRule="auto"/>
        <w:ind w:firstLine="480"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2.合格的投标人</w:t>
      </w:r>
    </w:p>
    <w:p w14:paraId="5403E421">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 满足招标公告中投标人的资格要求的规定。</w:t>
      </w:r>
    </w:p>
    <w:p w14:paraId="654FA925">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 满足本文件实质性要求和条件的规定。</w:t>
      </w:r>
    </w:p>
    <w:p w14:paraId="6BF321FB">
      <w:pPr>
        <w:spacing w:line="360" w:lineRule="auto"/>
        <w:ind w:firstLine="480"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3.适用法律</w:t>
      </w:r>
    </w:p>
    <w:p w14:paraId="5007A597">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 本次招标及由此产生的合同受中华人民共和国有关的法律法规制约和保护。</w:t>
      </w:r>
    </w:p>
    <w:p w14:paraId="19BFDF0C">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4.投标费用</w:t>
      </w:r>
    </w:p>
    <w:p w14:paraId="1552329B">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4.1 投标人应自行承担所有与参加投标有关的费用，无论投标过程中的做法和结果如何，</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及代理机构在任何情况下均无义务和责任承担这些费用。</w:t>
      </w:r>
    </w:p>
    <w:p w14:paraId="03D82F46">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 采购人不收取任何费用。</w:t>
      </w:r>
    </w:p>
    <w:p w14:paraId="64CD51F4">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4.3 招标代理费：依据财政部《政府采购代理机构管理暂行办法》第十五条规定，约定由中标（成交</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供应商向招标代理机构支付代理服务费。代理服务费计取金额按照《江苏省政府采购代理常规服务收费指导价》列明的定额或差额定率分档累进费率和项目中标或者成交金额计算</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有分包的以一个项目计算</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结果的70%计（不足3</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00元按照3</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00元收取</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，此项费用含在投标报价中，并不单独列项，由中标（成交</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供应商在取得中标（成交</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通知书前，向招标代理机构一次付清。</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3"/>
        <w:gridCol w:w="2020"/>
      </w:tblGrid>
      <w:tr w14:paraId="1B1E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4353" w:type="dxa"/>
            <w:vAlign w:val="center"/>
          </w:tcPr>
          <w:p w14:paraId="75BBDB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中标或者成交金额</w:t>
            </w:r>
          </w:p>
        </w:tc>
        <w:tc>
          <w:tcPr>
            <w:tcW w:w="2020" w:type="dxa"/>
            <w:vAlign w:val="center"/>
          </w:tcPr>
          <w:p w14:paraId="2576E7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费率</w:t>
            </w:r>
          </w:p>
        </w:tc>
      </w:tr>
      <w:tr w14:paraId="3F13D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4353" w:type="dxa"/>
            <w:vAlign w:val="center"/>
          </w:tcPr>
          <w:p w14:paraId="7998CE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最低收费金额</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每个委托项目</w:t>
            </w:r>
            <w:r>
              <w:rPr>
                <w:rFonts w:hint="default" w:ascii="Times New Roman" w:hAnsi="Times New Roman" w:eastAsia="宋体" w:cs="Times New Roman"/>
                <w:color w:val="auto"/>
                <w:sz w:val="24"/>
                <w:szCs w:val="24"/>
                <w:lang w:eastAsia="zh-CN"/>
              </w:rPr>
              <w:t>）</w:t>
            </w:r>
          </w:p>
        </w:tc>
        <w:tc>
          <w:tcPr>
            <w:tcW w:w="2020" w:type="dxa"/>
            <w:vAlign w:val="center"/>
          </w:tcPr>
          <w:p w14:paraId="33E3DD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5000元</w:t>
            </w:r>
          </w:p>
        </w:tc>
      </w:tr>
      <w:tr w14:paraId="1CDC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4353" w:type="dxa"/>
            <w:vAlign w:val="center"/>
          </w:tcPr>
          <w:p w14:paraId="1C3B9C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50万元以下</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含50万元</w:t>
            </w:r>
            <w:r>
              <w:rPr>
                <w:rFonts w:hint="default" w:ascii="Times New Roman" w:hAnsi="Times New Roman" w:eastAsia="宋体" w:cs="Times New Roman"/>
                <w:color w:val="auto"/>
                <w:sz w:val="24"/>
                <w:szCs w:val="24"/>
                <w:lang w:eastAsia="zh-CN"/>
              </w:rPr>
              <w:t>）</w:t>
            </w:r>
          </w:p>
        </w:tc>
        <w:tc>
          <w:tcPr>
            <w:tcW w:w="2020" w:type="dxa"/>
            <w:vAlign w:val="center"/>
          </w:tcPr>
          <w:p w14:paraId="69E43B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w:t>
            </w:r>
          </w:p>
        </w:tc>
      </w:tr>
      <w:tr w14:paraId="3878D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4353" w:type="dxa"/>
            <w:vAlign w:val="center"/>
          </w:tcPr>
          <w:p w14:paraId="6ECF38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50-400万元</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含400万元</w:t>
            </w:r>
            <w:r>
              <w:rPr>
                <w:rFonts w:hint="default" w:ascii="Times New Roman" w:hAnsi="Times New Roman" w:eastAsia="宋体" w:cs="Times New Roman"/>
                <w:color w:val="auto"/>
                <w:sz w:val="24"/>
                <w:szCs w:val="24"/>
                <w:lang w:eastAsia="zh-CN"/>
              </w:rPr>
              <w:t>）</w:t>
            </w:r>
          </w:p>
        </w:tc>
        <w:tc>
          <w:tcPr>
            <w:tcW w:w="2020" w:type="dxa"/>
            <w:vAlign w:val="center"/>
          </w:tcPr>
          <w:p w14:paraId="0A8685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w:t>
            </w:r>
          </w:p>
        </w:tc>
      </w:tr>
    </w:tbl>
    <w:p w14:paraId="4A5C69F0">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采购代理服务费收取账户信息如下：</w:t>
      </w:r>
    </w:p>
    <w:p w14:paraId="7B5B1B78">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收款单位：南通建辰工程咨询有限公司；</w:t>
      </w:r>
    </w:p>
    <w:p w14:paraId="7D12E418">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开户行：上海浦东发展银行南通分行；</w:t>
      </w:r>
    </w:p>
    <w:p w14:paraId="06873C86">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账  号：88010154730000186。</w:t>
      </w:r>
    </w:p>
    <w:p w14:paraId="44BB39FA">
      <w:pPr>
        <w:spacing w:line="360" w:lineRule="auto"/>
        <w:ind w:firstLine="480"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5.招标文件的约束力</w:t>
      </w:r>
    </w:p>
    <w:p w14:paraId="4250BCB4">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5.1</w:t>
      </w:r>
      <w:r>
        <w:rPr>
          <w:rFonts w:hint="default" w:ascii="Times New Roman" w:hAnsi="Times New Roman" w:eastAsia="宋体" w:cs="Times New Roman"/>
          <w:color w:val="auto"/>
          <w:sz w:val="24"/>
          <w:szCs w:val="24"/>
        </w:rPr>
        <w:t xml:space="preserve"> 投标人一旦参加本项目采购活动，即被认为接受了本招标文件的规定和约束。</w:t>
      </w:r>
    </w:p>
    <w:p w14:paraId="165FBBC0">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6.招标文件的解释</w:t>
      </w:r>
    </w:p>
    <w:p w14:paraId="1D020500">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 xml:space="preserve">6.1 </w:t>
      </w:r>
      <w:r>
        <w:rPr>
          <w:rFonts w:hint="default" w:ascii="Times New Roman" w:hAnsi="Times New Roman" w:eastAsia="宋体" w:cs="Times New Roman"/>
          <w:color w:val="auto"/>
          <w:sz w:val="24"/>
          <w:szCs w:val="24"/>
        </w:rPr>
        <w:t>招标文件需求部分（投标人资格要求、项目需求、商务技术评分标准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由</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解释，其它部分由招标代理机构解释。</w:t>
      </w:r>
    </w:p>
    <w:p w14:paraId="476E906E">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二、招标文件</w:t>
      </w:r>
    </w:p>
    <w:p w14:paraId="4068A270">
      <w:pPr>
        <w:spacing w:line="360" w:lineRule="auto"/>
        <w:ind w:firstLine="480"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1.招标文件构成</w:t>
      </w:r>
    </w:p>
    <w:p w14:paraId="51B6A7CF">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1.1</w:t>
      </w:r>
      <w:r>
        <w:rPr>
          <w:rFonts w:hint="default" w:ascii="Times New Roman" w:hAnsi="Times New Roman" w:eastAsia="宋体" w:cs="Times New Roman"/>
          <w:color w:val="auto"/>
          <w:sz w:val="24"/>
          <w:szCs w:val="24"/>
        </w:rPr>
        <w:t xml:space="preserve"> 招标文件由以下部分组成：</w:t>
      </w:r>
    </w:p>
    <w:p w14:paraId="662FAD5C">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招标公告</w:t>
      </w:r>
    </w:p>
    <w:p w14:paraId="00F661D3">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投标人须知</w:t>
      </w:r>
    </w:p>
    <w:p w14:paraId="66668239">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项目需求</w:t>
      </w:r>
    </w:p>
    <w:p w14:paraId="466EF27D">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评审方法和程序</w:t>
      </w:r>
    </w:p>
    <w:p w14:paraId="08668BB2">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合同签订与验收付款</w:t>
      </w:r>
    </w:p>
    <w:p w14:paraId="48D636F1">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合同授予</w:t>
      </w:r>
    </w:p>
    <w:p w14:paraId="1534DAF7">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质疑与投诉</w:t>
      </w:r>
    </w:p>
    <w:p w14:paraId="5B9EBE4F">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投标文件组成及格式</w:t>
      </w:r>
    </w:p>
    <w:p w14:paraId="18CCFCE1">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请仔细检查招标文件是否齐全，如有缺漏请立即与</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或招标代理机构</w:t>
      </w:r>
      <w:r>
        <w:rPr>
          <w:rFonts w:hint="default" w:ascii="Times New Roman" w:hAnsi="Times New Roman" w:eastAsia="宋体" w:cs="Times New Roman"/>
          <w:color w:val="auto"/>
          <w:sz w:val="24"/>
          <w:szCs w:val="24"/>
        </w:rPr>
        <w:t>联系解决。</w:t>
      </w:r>
    </w:p>
    <w:p w14:paraId="2ABBB787">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 xml:space="preserve">1.2 </w:t>
      </w:r>
      <w:r>
        <w:rPr>
          <w:rFonts w:hint="default" w:ascii="Times New Roman" w:hAnsi="Times New Roman" w:eastAsia="宋体" w:cs="Times New Roman"/>
          <w:color w:val="auto"/>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B7505E5">
      <w:pPr>
        <w:spacing w:line="360" w:lineRule="auto"/>
        <w:ind w:firstLine="480"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2.招标文件的澄清</w:t>
      </w:r>
    </w:p>
    <w:p w14:paraId="691696DA">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 xml:space="preserve">2.1 </w:t>
      </w:r>
      <w:r>
        <w:rPr>
          <w:rFonts w:hint="default" w:ascii="Times New Roman" w:hAnsi="Times New Roman" w:eastAsia="宋体" w:cs="Times New Roman"/>
          <w:color w:val="auto"/>
          <w:sz w:val="24"/>
          <w:szCs w:val="24"/>
        </w:rPr>
        <w:t>任何要求对招标文件进行澄清的投标人，应在提交投标文件截止时间十日前按招标公告中的通讯地址，以书面形式通知</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或招标代理机构。</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或招标代理机构有权对发出的招标文件进行必要的澄清或修改。</w:t>
      </w:r>
    </w:p>
    <w:p w14:paraId="596CF632">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2.2 </w:t>
      </w:r>
      <w:r>
        <w:rPr>
          <w:rFonts w:hint="eastAsia" w:eastAsia="宋体" w:cs="Times New Roman"/>
          <w:bCs/>
          <w:color w:val="auto"/>
          <w:sz w:val="24"/>
          <w:szCs w:val="24"/>
          <w:lang w:eastAsia="zh-CN"/>
        </w:rPr>
        <w:t>采购人</w:t>
      </w:r>
      <w:r>
        <w:rPr>
          <w:rFonts w:hint="default" w:ascii="Times New Roman" w:hAnsi="Times New Roman" w:eastAsia="宋体" w:cs="Times New Roman"/>
          <w:color w:val="auto"/>
          <w:sz w:val="24"/>
          <w:szCs w:val="24"/>
        </w:rPr>
        <w:t>可以视采购项目的具体情况，组织投标人进行现场考察或召开答疑会，但不单独或分别组织只有一个投标人参加的现场考察和答疑会。</w:t>
      </w:r>
    </w:p>
    <w:p w14:paraId="5C3209CE">
      <w:pPr>
        <w:spacing w:line="360" w:lineRule="auto"/>
        <w:ind w:firstLine="480"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3.招标文件的修改</w:t>
      </w:r>
    </w:p>
    <w:p w14:paraId="096F142A">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3.1 在投标文件提交截止时间前，</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或招标代理机构可以对招标文件进行修改</w:t>
      </w:r>
      <w:r>
        <w:rPr>
          <w:rFonts w:hint="default" w:ascii="Times New Roman" w:hAnsi="Times New Roman" w:eastAsia="宋体" w:cs="Times New Roman"/>
          <w:color w:val="auto"/>
          <w:sz w:val="24"/>
          <w:szCs w:val="24"/>
        </w:rPr>
        <w:t>，澄清或者修改的内容作为招标文件的组成部分。</w:t>
      </w:r>
    </w:p>
    <w:p w14:paraId="7DCE5BFD">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 xml:space="preserve">3.2 </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或招标代理机构有权按照法定的要求推迟投标文件提交截止日期和开标日期。</w:t>
      </w:r>
    </w:p>
    <w:p w14:paraId="0EC1997C">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3.3 招标文件的修改将在江苏政府采购网公布，补充文件将作为招标文件的组成部分，并对投标人具有约束力</w:t>
      </w:r>
      <w:r>
        <w:rPr>
          <w:rFonts w:hint="default" w:ascii="Times New Roman" w:hAnsi="Times New Roman" w:eastAsia="宋体" w:cs="Times New Roman"/>
          <w:color w:val="auto"/>
          <w:sz w:val="24"/>
          <w:szCs w:val="24"/>
        </w:rPr>
        <w:t>。</w:t>
      </w:r>
    </w:p>
    <w:p w14:paraId="1532882C">
      <w:pPr>
        <w:spacing w:line="360" w:lineRule="auto"/>
        <w:ind w:firstLine="482" w:firstLineChars="200"/>
        <w:contextualSpacing/>
        <w:rPr>
          <w:rFonts w:hint="default" w:ascii="Times New Roman" w:hAnsi="Times New Roman" w:eastAsia="宋体" w:cs="Times New Roman"/>
          <w:b/>
          <w:bCs/>
          <w:color w:val="auto"/>
          <w:sz w:val="24"/>
          <w:szCs w:val="24"/>
          <w:u w:val="single"/>
        </w:rPr>
      </w:pPr>
      <w:r>
        <w:rPr>
          <w:rFonts w:hint="default" w:ascii="Times New Roman" w:hAnsi="Times New Roman" w:eastAsia="宋体" w:cs="Times New Roman"/>
          <w:b/>
          <w:bCs/>
          <w:color w:val="auto"/>
          <w:sz w:val="24"/>
          <w:szCs w:val="24"/>
          <w:u w:val="single"/>
        </w:rPr>
        <w:t>4.在投标文件提交截止日期，</w:t>
      </w:r>
      <w:r>
        <w:rPr>
          <w:rFonts w:hint="eastAsia" w:eastAsia="宋体" w:cs="Times New Roman"/>
          <w:b/>
          <w:bCs/>
          <w:color w:val="auto"/>
          <w:sz w:val="24"/>
          <w:szCs w:val="24"/>
          <w:u w:val="single"/>
          <w:lang w:eastAsia="zh-CN"/>
        </w:rPr>
        <w:t>采购人</w:t>
      </w:r>
      <w:r>
        <w:rPr>
          <w:rFonts w:hint="default" w:ascii="Times New Roman" w:hAnsi="Times New Roman" w:eastAsia="宋体" w:cs="Times New Roman"/>
          <w:b/>
          <w:bCs/>
          <w:color w:val="auto"/>
          <w:sz w:val="24"/>
          <w:szCs w:val="24"/>
          <w:u w:val="single"/>
        </w:rPr>
        <w:t>对招标文件进行澄清或者修改的，通过“苏采云”系统发布澄清公告或者修改的内容。澄清或者修改的内容以所发布的本项目的“更正（澄清</w:t>
      </w:r>
      <w:r>
        <w:rPr>
          <w:rFonts w:hint="default" w:ascii="Times New Roman" w:hAnsi="Times New Roman" w:eastAsia="宋体" w:cs="Times New Roman"/>
          <w:b/>
          <w:bCs/>
          <w:color w:val="auto"/>
          <w:sz w:val="24"/>
          <w:szCs w:val="24"/>
          <w:u w:val="single"/>
          <w:lang w:eastAsia="zh-CN"/>
        </w:rPr>
        <w:t>）</w:t>
      </w:r>
      <w:r>
        <w:rPr>
          <w:rFonts w:hint="default" w:ascii="Times New Roman" w:hAnsi="Times New Roman" w:eastAsia="宋体" w:cs="Times New Roman"/>
          <w:b/>
          <w:bCs/>
          <w:color w:val="auto"/>
          <w:sz w:val="24"/>
          <w:szCs w:val="24"/>
          <w:u w:val="single"/>
        </w:rPr>
        <w:t>公告”的形式通知所有获取招标文件的潜在投标人。发布本项目的“更正（澄清</w:t>
      </w:r>
      <w:r>
        <w:rPr>
          <w:rFonts w:hint="default" w:ascii="Times New Roman" w:hAnsi="Times New Roman" w:eastAsia="宋体" w:cs="Times New Roman"/>
          <w:b/>
          <w:bCs/>
          <w:color w:val="auto"/>
          <w:sz w:val="24"/>
          <w:szCs w:val="24"/>
          <w:u w:val="single"/>
          <w:lang w:eastAsia="zh-CN"/>
        </w:rPr>
        <w:t>）</w:t>
      </w:r>
      <w:r>
        <w:rPr>
          <w:rFonts w:hint="default" w:ascii="Times New Roman" w:hAnsi="Times New Roman" w:eastAsia="宋体" w:cs="Times New Roman"/>
          <w:b/>
          <w:bCs/>
          <w:color w:val="auto"/>
          <w:sz w:val="24"/>
          <w:szCs w:val="24"/>
          <w:u w:val="single"/>
        </w:rPr>
        <w:t>公告”后招标代理机构已尽通知义务。敬请各潜在投标人关注本项目的“更正（澄清</w:t>
      </w:r>
      <w:r>
        <w:rPr>
          <w:rFonts w:hint="default" w:ascii="Times New Roman" w:hAnsi="Times New Roman" w:eastAsia="宋体" w:cs="Times New Roman"/>
          <w:b/>
          <w:bCs/>
          <w:color w:val="auto"/>
          <w:sz w:val="24"/>
          <w:szCs w:val="24"/>
          <w:u w:val="single"/>
          <w:lang w:eastAsia="zh-CN"/>
        </w:rPr>
        <w:t>）</w:t>
      </w:r>
      <w:r>
        <w:rPr>
          <w:rFonts w:hint="default" w:ascii="Times New Roman" w:hAnsi="Times New Roman" w:eastAsia="宋体" w:cs="Times New Roman"/>
          <w:b/>
          <w:bCs/>
          <w:color w:val="auto"/>
          <w:sz w:val="24"/>
          <w:szCs w:val="24"/>
          <w:u w:val="single"/>
        </w:rPr>
        <w:t>公告”，并通过“苏采云”系统重新下载更正（澄清</w:t>
      </w:r>
      <w:r>
        <w:rPr>
          <w:rFonts w:hint="default" w:ascii="Times New Roman" w:hAnsi="Times New Roman" w:eastAsia="宋体" w:cs="Times New Roman"/>
          <w:b/>
          <w:bCs/>
          <w:color w:val="auto"/>
          <w:sz w:val="24"/>
          <w:szCs w:val="24"/>
          <w:u w:val="single"/>
          <w:lang w:eastAsia="zh-CN"/>
        </w:rPr>
        <w:t>）</w:t>
      </w:r>
      <w:r>
        <w:rPr>
          <w:rFonts w:hint="default" w:ascii="Times New Roman" w:hAnsi="Times New Roman" w:eastAsia="宋体" w:cs="Times New Roman"/>
          <w:b/>
          <w:bCs/>
          <w:color w:val="auto"/>
          <w:sz w:val="24"/>
          <w:szCs w:val="24"/>
          <w:u w:val="single"/>
        </w:rPr>
        <w:t>后的招标文件（后缀名为“.kedt”</w:t>
      </w:r>
      <w:r>
        <w:rPr>
          <w:rFonts w:hint="default" w:ascii="Times New Roman" w:hAnsi="Times New Roman" w:eastAsia="宋体" w:cs="Times New Roman"/>
          <w:b/>
          <w:bCs/>
          <w:color w:val="auto"/>
          <w:sz w:val="24"/>
          <w:szCs w:val="24"/>
          <w:u w:val="single"/>
          <w:lang w:eastAsia="zh-CN"/>
        </w:rPr>
        <w:t>）</w:t>
      </w:r>
      <w:r>
        <w:rPr>
          <w:rFonts w:hint="default" w:ascii="Times New Roman" w:hAnsi="Times New Roman" w:eastAsia="宋体" w:cs="Times New Roman"/>
          <w:b/>
          <w:bCs/>
          <w:color w:val="auto"/>
          <w:sz w:val="24"/>
          <w:szCs w:val="24"/>
          <w:u w:val="single"/>
        </w:rPr>
        <w:t>，离线编制投标文件，否则，将自行承担相应的风险。</w:t>
      </w:r>
    </w:p>
    <w:p w14:paraId="6DAFF1A8">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5.投标人对</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提供的招标文件所做出的推论、解释和结论，</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概不负责。投标人由于对招标文件的任何推论和误解以及</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对有关问题的口头解释所造成的后果，均由各潜在投标人自负。</w:t>
      </w:r>
    </w:p>
    <w:p w14:paraId="48586E0F">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三、投标文件的编制</w:t>
      </w:r>
    </w:p>
    <w:p w14:paraId="055159C5">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1.投标文件的语言及度量衡单位</w:t>
      </w:r>
    </w:p>
    <w:p w14:paraId="2666DE9D">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1.1 投标人提交的投标文件以及投标人与</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或招标代理机构就有关投标的所有来往通知、函件和文件均应使用简体中文。</w:t>
      </w:r>
    </w:p>
    <w:p w14:paraId="4EA8705C">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1.2 除技术性能另有规定外，投标文件所使用的度量衡单位，均须采用国家法定计量单位。</w:t>
      </w:r>
    </w:p>
    <w:p w14:paraId="1C92CF6F">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2.投标文件构成</w:t>
      </w:r>
    </w:p>
    <w:p w14:paraId="06A6CCA0">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2.1 投标人编写的投标文件应包括资格审查文件、符合性证明文件、投标分项报价表、技术要求响应及偏离表、商务要求响应及偏离表、其他证明文件、投标函、开标一览表等部分。投标人按“第八章 投标文件组成及格式”要求编写投标文件。</w:t>
      </w:r>
    </w:p>
    <w:p w14:paraId="2F26D262">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2.2 如标书制作工具中格式和内容与“江苏政府采购网”发布的招标文件不一致，请以“江苏政府采购网”发布的招标文件为准。</w:t>
      </w:r>
    </w:p>
    <w:p w14:paraId="37ED10EB">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3.证明投标人及投标标的符合招标文件规定的文件</w:t>
      </w:r>
    </w:p>
    <w:p w14:paraId="2EE809BE">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3.1 投标人应按照法律、法规、规章和规范性文件以及招标文件要求提交证明文件，证明其及投标标的符合招标文件规定。</w:t>
      </w:r>
    </w:p>
    <w:p w14:paraId="7D75AFB3">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3.2 招标文件对证明文件无明确形式要求的，证明文件可以以文字资料、图纸和数据等形式提交。</w:t>
      </w:r>
    </w:p>
    <w:p w14:paraId="3C8FD343">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4.投标分项报价表</w:t>
      </w:r>
    </w:p>
    <w:p w14:paraId="2483E440">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4.1 投标人应按照招标文件规定格式填报投标分项报价表。</w:t>
      </w:r>
    </w:p>
    <w:p w14:paraId="6981E6AA">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4.2 投标货币。投标文件中的单价和总价无特殊规定的采用人民币报价，以元为单位标注。招标文件中另有规定的按规定执行。</w:t>
      </w:r>
    </w:p>
    <w:p w14:paraId="4CAB9759">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5.技术要求响应及偏离表、商务要求响应及偏离表</w:t>
      </w:r>
    </w:p>
    <w:p w14:paraId="20F7C3B9">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5.1 投标人需对招标文件中的技术要求与商务要求逐项作出响应或偏离，并说明原因。</w:t>
      </w:r>
    </w:p>
    <w:p w14:paraId="74F82A64">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5.2 投标人可在投标文件中提供认为需要的其他技术文件或说明。</w:t>
      </w:r>
    </w:p>
    <w:p w14:paraId="320DDAE1">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6.投标函和开标一览表</w:t>
      </w:r>
    </w:p>
    <w:p w14:paraId="478674E0">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6.1 投标人应按照招标文件中提供的格式完整、正确填写投标函、开标一览表。</w:t>
      </w:r>
      <w:r>
        <w:rPr>
          <w:rFonts w:hint="default" w:ascii="Times New Roman" w:hAnsi="Times New Roman" w:eastAsia="宋体" w:cs="Times New Roman"/>
          <w:b/>
          <w:color w:val="auto"/>
          <w:sz w:val="24"/>
          <w:szCs w:val="24"/>
          <w:u w:val="single"/>
        </w:rPr>
        <w:t>*每项货物、服务等只允许有一个报价，任何有选择的报价将不予接受，将作为无效投标文件处理。</w:t>
      </w:r>
    </w:p>
    <w:p w14:paraId="2F51134D">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7.投标有效期</w:t>
      </w:r>
    </w:p>
    <w:p w14:paraId="5AAFA960">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7.1 投标有效期为招标文件规定的投标文件提交截止时间后</w:t>
      </w:r>
      <w:r>
        <w:rPr>
          <w:rFonts w:hint="default" w:ascii="Times New Roman" w:hAnsi="Times New Roman" w:eastAsia="宋体" w:cs="Times New Roman"/>
          <w:bCs/>
          <w:color w:val="auto"/>
          <w:sz w:val="24"/>
          <w:szCs w:val="24"/>
          <w:u w:val="single"/>
        </w:rPr>
        <w:t>六十（60</w:t>
      </w:r>
      <w:r>
        <w:rPr>
          <w:rFonts w:hint="default" w:ascii="Times New Roman" w:hAnsi="Times New Roman" w:eastAsia="宋体"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rPr>
        <w:t>天</w:t>
      </w:r>
      <w:r>
        <w:rPr>
          <w:rFonts w:hint="default" w:ascii="Times New Roman" w:hAnsi="Times New Roman" w:eastAsia="宋体" w:cs="Times New Roman"/>
          <w:bCs/>
          <w:color w:val="auto"/>
          <w:sz w:val="24"/>
          <w:szCs w:val="24"/>
        </w:rPr>
        <w:t>。投标有效期比规定短的将被视为非实质性响应而予以拒绝。</w:t>
      </w:r>
    </w:p>
    <w:p w14:paraId="53656D96">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8.投标有效期的延长</w:t>
      </w:r>
    </w:p>
    <w:p w14:paraId="16C3F596">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8.1 在特殊情况下，</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或招标代理机构于原投标有效期满之前，可向投标人提出延长投标有效期的要求。这种要求与答复均应采用书面形式。投标人可以拒绝</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或招标代理机构的这一要求而放弃投标，同意延长投标有效期的投标人既不能要求也不允许修改其投标文件，同时受投标有效期约束的所有权利与义务均延长至新的有效期。</w:t>
      </w:r>
    </w:p>
    <w:p w14:paraId="1FB4BE1E">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9.电子投标文件其他要求</w:t>
      </w:r>
    </w:p>
    <w:p w14:paraId="79FFA316">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9.1 电子招标投标交易平台（即“苏采云”系统</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相关要求是本招标文件的组成部分。</w:t>
      </w:r>
    </w:p>
    <w:p w14:paraId="4A9DDE3B">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9.2 投标人应对CA证书妥善保管，如被他人盗用投标，因此带来的结果均由投标人自行承担。</w:t>
      </w:r>
    </w:p>
    <w:p w14:paraId="7E0B6184">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9.3 投标人应当对招标文件提出的实质性要求和条件作出实质性响应，并在电子投标系统逐条应答。</w:t>
      </w:r>
    </w:p>
    <w:p w14:paraId="78646E91">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9.4 投标人应对要求提供的资格证明文件（如资质证书、资格证书</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、技术资料（如白皮书、彩页、手册、检测报告等</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 xml:space="preserve">扫描上传至投标系统。 </w:t>
      </w:r>
    </w:p>
    <w:p w14:paraId="21B81F37">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10.投标人应当在招标文件要求提交投标文件的截止时间前，将投标文件提交至“苏采云”系统，逾期提交的投标文件，“苏采云”系统将自动拒收。各投标人应在规定时间内凭CA证书进行网上解密。</w:t>
      </w:r>
    </w:p>
    <w:p w14:paraId="16692DC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四、投标文件的提交</w:t>
      </w:r>
    </w:p>
    <w:p w14:paraId="6364F086">
      <w:pPr>
        <w:spacing w:line="360" w:lineRule="auto"/>
        <w:ind w:firstLine="480"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bCs/>
          <w:color w:val="auto"/>
          <w:sz w:val="24"/>
          <w:szCs w:val="24"/>
        </w:rPr>
        <w:t>1.投标文件的提交</w:t>
      </w:r>
    </w:p>
    <w:p w14:paraId="3A7CE645">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1.1 线上提交与接收地点：投标人应当通过“苏采云”系统提交数据电文形式的投标文件（即电子投标</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，“苏采云”系统自动接收。</w:t>
      </w:r>
    </w:p>
    <w:p w14:paraId="42F06644">
      <w:pPr>
        <w:spacing w:line="360" w:lineRule="auto"/>
        <w:ind w:firstLine="482"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说明：电子投标文件应由其法定代表人或被授权人在规定的网上投标时间内，凭CA证书登录“苏采云”系统在线编制投标文件（电子数据</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，并在投标截止时间之前上传投标文件。投标人应在达到开标时间后，使用CA数字证书解密各自投标文件。</w:t>
      </w:r>
    </w:p>
    <w:p w14:paraId="161E80E4">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2.提交投标文件截止日期</w:t>
      </w:r>
    </w:p>
    <w:p w14:paraId="507DE07F">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2.1 投标人上传电子投标文件的时间不得迟于公开招标公告中规定的投标文件提交截止时间。</w:t>
      </w:r>
    </w:p>
    <w:p w14:paraId="19050DDB">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投标人应充分考虑到网络环境、网络带宽等风险因素，如因投标人自身原因造成的电子投标文件上传不成功由投标人自行承担全部责任。</w:t>
      </w:r>
    </w:p>
    <w:p w14:paraId="36688EFA">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 xml:space="preserve">2.2 </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或招标代理机构可以按照规定，通过修改投标文件酌情延长投标文件提交截止日期，在此情况下，投标人的所有权利和义务以及投标人受制的截止日期均应以延长后新的截止日期为准。</w:t>
      </w:r>
    </w:p>
    <w:p w14:paraId="17ED74B3">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3.投标文件的密封（加密</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要求：</w:t>
      </w:r>
    </w:p>
    <w:p w14:paraId="01F1B682">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3.1 投标人应当按照招标文件和“苏采云”系统的要求编制并加密投标文件。本项目投标人须通过“苏采云”系统提供的政府采购客户端工具（使用“CA数字证书”</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对其数据电文形式的投标文件加密。</w:t>
      </w:r>
    </w:p>
    <w:p w14:paraId="778683FC">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3.2 投标人须通过“苏采云”系统提供的政府采购客户端工具（使用“CA数字证书”</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加盖电子签章。</w:t>
      </w:r>
    </w:p>
    <w:p w14:paraId="316D15A3">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说明：投标人应在用CA数字证书以及自备的能够登录“苏采云”系统的电脑，在达到开标时间后，使用CA数字证书解密各自投标文件。</w:t>
      </w:r>
    </w:p>
    <w:p w14:paraId="104DE687">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3.3 投标人未按规定加密的投标文件，“苏采云”系统将拒收并提示。</w:t>
      </w:r>
    </w:p>
    <w:p w14:paraId="4FFB0A7E">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4.投标文件的拒收</w:t>
      </w:r>
    </w:p>
    <w:p w14:paraId="6E35748F">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4.1 招标代理机构拒绝接收在其规定的投标文件提交截止时间后上传的任何投标文件。</w:t>
      </w:r>
    </w:p>
    <w:p w14:paraId="75ECDE4F">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5.投标文件的撤回和修改</w:t>
      </w:r>
    </w:p>
    <w:p w14:paraId="0872E968">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5.1 投标文件的撤回</w:t>
      </w:r>
    </w:p>
    <w:p w14:paraId="407E59C5">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5.1.1 电子投标文件的撤回</w:t>
      </w:r>
    </w:p>
    <w:p w14:paraId="26298696">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投标人可在投标文件提交截止时间前，撤回其电子投标文件，具体操作方法见“苏采云”系统供应商操作手册。</w:t>
      </w:r>
    </w:p>
    <w:p w14:paraId="4A826B75">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5.1.2 投标人撤回电子投标文件，则认为其不再参与本项目投标活动。</w:t>
      </w:r>
    </w:p>
    <w:p w14:paraId="4A493E59">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5.2 投标文件的修改</w:t>
      </w:r>
    </w:p>
    <w:p w14:paraId="2C5F5DDF">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投标人可在投标文件提交截止时间前，对其电子投标文件进行修改。具体操作方法见“苏采云”系统供应商操作手册。</w:t>
      </w:r>
    </w:p>
    <w:p w14:paraId="20CEE1BA">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5.3 在投标文件提交截止时间之后，投标人不得对其电子投标文件作任何修改。</w:t>
      </w:r>
    </w:p>
    <w:p w14:paraId="0E750E20">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5.4 在投标文件提交截止时间至招标文件中规定的投标有效期满之间的这段时间内，投标人不得撤回其投标文件。</w:t>
      </w:r>
    </w:p>
    <w:p w14:paraId="77639B2E">
      <w:pPr>
        <w:spacing w:line="360" w:lineRule="auto"/>
        <w:ind w:firstLine="482"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6.投标文件线上格式要求</w:t>
      </w:r>
    </w:p>
    <w:p w14:paraId="0EDF9F36">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6.1 供应商应当通过“苏采云”系统提交数据电文形式的投标文件（即电子投标</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4E74CDD4">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6.2 通过“苏采云”系统提交政府采购客户端工具导出加密的投标文件（后缀名为zip</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。响应文件不得超过150M!</w:t>
      </w:r>
    </w:p>
    <w:p w14:paraId="2CC5DF52">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6.3 本项目采用线上投标，即供应商投标文件从政府采购客户端工具制作通过“苏采云”系统提交，未提供线上投标文件的，投标无效。</w:t>
      </w:r>
    </w:p>
    <w:p w14:paraId="706948EE">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五、开标与评标</w:t>
      </w:r>
    </w:p>
    <w:p w14:paraId="519147A9">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1.开标</w:t>
      </w:r>
    </w:p>
    <w:p w14:paraId="4F8E7406">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 xml:space="preserve">1.1 </w:t>
      </w:r>
      <w:r>
        <w:rPr>
          <w:rFonts w:hint="default" w:ascii="Times New Roman" w:hAnsi="Times New Roman" w:eastAsia="宋体" w:cs="Times New Roman"/>
          <w:b/>
          <w:color w:val="auto"/>
          <w:sz w:val="24"/>
          <w:szCs w:val="24"/>
        </w:rPr>
        <w:t>开标当天各投标人及时登录不见面开标大厅，响应文件提交截止时间后，招标代理机构将在系统内公布投标人名单，然后通过开标会议区发出响应文件解密的指令，投标人按规定时间自行实施远程解密，投标人解密限定在开标后30分钟之内完成。</w:t>
      </w:r>
    </w:p>
    <w:p w14:paraId="1B192AA1">
      <w:pPr>
        <w:spacing w:line="360" w:lineRule="auto"/>
        <w:ind w:firstLine="482" w:firstLineChars="200"/>
        <w:contextualSpacing/>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u w:val="single"/>
        </w:rPr>
        <w:t>因投标人网络与电源不稳定、未按操作手册要求配置软硬件、解密锁发生故障或用错、故意不在要求时限内完成解密等自身原因，导致投标文件在规定时间内未能解密、解密失败或解密超时，视为投标人撤销其投标文件，系统内投标文件将被退回；</w:t>
      </w:r>
      <w:r>
        <w:rPr>
          <w:rFonts w:hint="default" w:ascii="Times New Roman" w:hAnsi="Times New Roman" w:eastAsia="宋体" w:cs="Times New Roman"/>
          <w:b/>
          <w:color w:val="auto"/>
          <w:sz w:val="24"/>
          <w:szCs w:val="24"/>
        </w:rPr>
        <w:t>因</w:t>
      </w:r>
      <w:r>
        <w:rPr>
          <w:rFonts w:hint="eastAsia" w:eastAsia="宋体" w:cs="Times New Roman"/>
          <w:b/>
          <w:color w:val="auto"/>
          <w:sz w:val="24"/>
          <w:szCs w:val="24"/>
          <w:lang w:eastAsia="zh-CN"/>
        </w:rPr>
        <w:t>采购人</w:t>
      </w:r>
      <w:r>
        <w:rPr>
          <w:rFonts w:hint="default" w:ascii="Times New Roman" w:hAnsi="Times New Roman" w:eastAsia="宋体" w:cs="Times New Roman"/>
          <w:b/>
          <w:color w:val="auto"/>
          <w:sz w:val="24"/>
          <w:szCs w:val="24"/>
        </w:rPr>
        <w:t>（或招标代理机构</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原因或网上招投标平台发生故障，导致无法按时完成投标文件解密或开、评标工作无法进行的，可根据实际情况相应延迟解密时间或调整开、评标时间。</w:t>
      </w:r>
    </w:p>
    <w:p w14:paraId="592CFFC7">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 xml:space="preserve">1.2 </w:t>
      </w:r>
      <w:r>
        <w:rPr>
          <w:rFonts w:hint="default" w:ascii="Times New Roman" w:hAnsi="Times New Roman" w:eastAsia="宋体" w:cs="Times New Roman"/>
          <w:color w:val="auto"/>
          <w:sz w:val="24"/>
          <w:szCs w:val="24"/>
        </w:rPr>
        <w:t>开标仪式由</w:t>
      </w:r>
      <w:r>
        <w:rPr>
          <w:rFonts w:hint="default" w:ascii="Times New Roman" w:hAnsi="Times New Roman" w:eastAsia="宋体" w:cs="Times New Roman"/>
          <w:bCs/>
          <w:color w:val="auto"/>
          <w:sz w:val="24"/>
          <w:szCs w:val="24"/>
        </w:rPr>
        <w:t>招标代理机构</w:t>
      </w:r>
      <w:r>
        <w:rPr>
          <w:rFonts w:hint="default" w:ascii="Times New Roman" w:hAnsi="Times New Roman" w:eastAsia="宋体" w:cs="Times New Roman"/>
          <w:color w:val="auto"/>
          <w:sz w:val="24"/>
          <w:szCs w:val="24"/>
        </w:rPr>
        <w:t>组织。苏采云系统将自动对项目进行开标，并宣布各投标人名称和投标价格。</w:t>
      </w:r>
    </w:p>
    <w:p w14:paraId="3748FF47">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1.3 投标人在开标过程中涉及到的投标文件解密、开标结果确认等工作，应按照“苏采云”系统供应商操作手册规定执行。</w:t>
      </w:r>
    </w:p>
    <w:p w14:paraId="2AC68DB5">
      <w:pPr>
        <w:spacing w:line="360" w:lineRule="auto"/>
        <w:ind w:firstLine="480" w:firstLineChars="200"/>
        <w:contextualSpacing/>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rPr>
        <w:t>1.4 投标人如果对开标过程和开标记录有疑义，应当根据</w:t>
      </w:r>
      <w:r>
        <w:rPr>
          <w:rFonts w:hint="default" w:ascii="Times New Roman" w:hAnsi="Times New Roman" w:eastAsia="宋体" w:cs="Times New Roman"/>
          <w:bCs/>
          <w:color w:val="auto"/>
          <w:sz w:val="24"/>
          <w:szCs w:val="24"/>
        </w:rPr>
        <w:t>“苏采云”系统供应商操作手册</w:t>
      </w:r>
      <w:r>
        <w:rPr>
          <w:rFonts w:hint="default" w:ascii="Times New Roman" w:hAnsi="Times New Roman" w:eastAsia="宋体" w:cs="Times New Roman"/>
          <w:color w:val="auto"/>
          <w:sz w:val="24"/>
          <w:szCs w:val="24"/>
        </w:rPr>
        <w:t>规定提出，如苏采云系统中《开标记录表》宣布后5分钟内未提出的，视同认可开标结果。</w:t>
      </w:r>
    </w:p>
    <w:p w14:paraId="47621E43">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2.评标委员会</w:t>
      </w:r>
    </w:p>
    <w:p w14:paraId="0E28E45F">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 开标后，招标代理机构将立即组织评标委员会（以下简称评委会</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进行评审。</w:t>
      </w:r>
    </w:p>
    <w:p w14:paraId="7D295DA4">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 评委会由</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代表和有关技术、经济等方面的专家组成，且人员构成符合政府采购有关规定。</w:t>
      </w:r>
    </w:p>
    <w:p w14:paraId="3C50CEA5">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 评标委员会独立工作，负责评审所有投标文件并确定中标候选人。</w:t>
      </w:r>
    </w:p>
    <w:p w14:paraId="571DFCB9">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3.评审过程的保密与公正</w:t>
      </w:r>
    </w:p>
    <w:p w14:paraId="14FED674">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 评标委员会、</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或招标代理机构、相关监督人员等与评审工作有关的人员，对评审情况以及在评审过程中获悉的国家秘密、商业秘密负有保密责任。</w:t>
      </w:r>
    </w:p>
    <w:p w14:paraId="44A11A3E">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3.2 在评审过程中，投标人不得以任何行为影响评审过程，否则其投标文件将被作为无效投标文件。</w:t>
      </w:r>
    </w:p>
    <w:p w14:paraId="2EE221BF">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3.3 评标委员会成员应当按照客观、公正、审慎的原则，根据招标文件规定的评审程序、评审方法和评审标准进行独立评审。未实质性响应招标文件的投标文件按无效投标处理，评标委员会应当告知提交投标文件的投标人。</w:t>
      </w:r>
    </w:p>
    <w:p w14:paraId="505B52F3">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 凡是与审查、澄清、评价和比较投标的有关资料以及授标建议等，</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、评标委员会、招标代理机构均不得向投标人或与评标无关的其他人员透露。</w:t>
      </w:r>
    </w:p>
    <w:p w14:paraId="52AB8948">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 在评审期间，招标代理机构将设专门人员与投标人联系。</w:t>
      </w:r>
    </w:p>
    <w:p w14:paraId="228C85B0">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3.6 </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、招标代理机构和评标委员会不向未中标的投标人解释未中标原因，也不公布评审过程中的相关细节。</w:t>
      </w:r>
    </w:p>
    <w:p w14:paraId="2C15ED12">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3.7 采用综合评分法的项目，未中标的投标人可于中标结果公告期限届满之日起通过苏采云系统查看自己的评审得分及排序情况。</w:t>
      </w:r>
    </w:p>
    <w:p w14:paraId="2416277A">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4.投标文件的澄清</w:t>
      </w:r>
    </w:p>
    <w:p w14:paraId="0C78C1D3">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4.1 项目评审期间，评标委员会有权要求投标人对投标文件中含义不明确、同类问题表述不一致或者有明显文字和计算错误的内容等作出必要的澄清、说明或者更正。投标人的澄清、说明或者更正不得超出投标文件的范围或者改变投标文件的实质性内容。评标委员会并非对每个投标人都作澄清要求。</w:t>
      </w:r>
    </w:p>
    <w:p w14:paraId="723D73DA">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 需要投标人进行澄清、说明和更正的，评标委员会将通过苏采云系统向投标人发布“澄清要求函”，接到“澄清要求函”的投标人应当按照要求在苏采云系统中提交“澄清响应函”并加盖CA电子公章。澄清、说明和更正的内容作为投标文件的补充部分，具体操作方式见《操作手册》。</w:t>
      </w:r>
    </w:p>
    <w:p w14:paraId="35B4F5FA">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4.3 接到评标委员会澄清、说明和更正要求的投标人如未按规定做出澄清、说明和 更正，其风险由投标人自行承担。</w:t>
      </w:r>
    </w:p>
    <w:p w14:paraId="4E55B46E">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5.对投标文件的审查</w:t>
      </w:r>
    </w:p>
    <w:p w14:paraId="22F95E31">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5.1 投标文件初审分为资格性审查和符合性审查。</w:t>
      </w:r>
    </w:p>
    <w:p w14:paraId="71DF6B6D">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5.1.1 资格性检查：依据法律法规和招标文件的规定，由</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对投标文件中的资格证明文件进行审查。资格审查的结论，</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以书面形式向评委会进行反馈。</w:t>
      </w:r>
    </w:p>
    <w:p w14:paraId="35F1F517">
      <w:pPr>
        <w:spacing w:line="360" w:lineRule="auto"/>
        <w:ind w:firstLine="480" w:firstLineChars="200"/>
        <w:contextualSpacing/>
        <w:rPr>
          <w:rFonts w:hint="default" w:ascii="Times New Roman" w:hAnsi="Times New Roman" w:eastAsia="宋体" w:cs="Times New Roman"/>
          <w:bCs/>
          <w:color w:val="auto"/>
          <w:sz w:val="24"/>
          <w:szCs w:val="24"/>
        </w:rPr>
      </w:pP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在进行资格性审查的同时，将在“信用中国”网站查询投标人的信用记录，以确定投标人是否具备投标资格，查询结果留存并归档。</w:t>
      </w:r>
    </w:p>
    <w:p w14:paraId="311A7705">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接受联合体的项目，两个以上的自然人、法人或者其他组织组成一个联合体，以一个投标人的身份共同参加政府采购活动的，联合体成员中任何一方存在不良信用记录的，视同联合体存在不良应用记录。</w:t>
      </w:r>
    </w:p>
    <w:p w14:paraId="55C4C6A3">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5.1.2 符合性审查：依据招标文件的规定，由评标委员会从投标文件的有效性、完整性和对招标文件的响应程度进行审查，以确定是否对招标文件的实质性要求作出响应。</w:t>
      </w:r>
    </w:p>
    <w:p w14:paraId="1EB66364">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5.1.3 未通过资格审查或符合性审查的投标人，招标代理机构将在</w:t>
      </w:r>
      <w:r>
        <w:rPr>
          <w:rFonts w:hint="default" w:ascii="Times New Roman" w:hAnsi="Times New Roman" w:eastAsia="宋体" w:cs="Times New Roman"/>
          <w:color w:val="auto"/>
          <w:sz w:val="24"/>
          <w:szCs w:val="24"/>
        </w:rPr>
        <w:t>苏采云系统</w:t>
      </w:r>
      <w:r>
        <w:rPr>
          <w:rFonts w:hint="default" w:ascii="Times New Roman" w:hAnsi="Times New Roman" w:eastAsia="宋体" w:cs="Times New Roman"/>
          <w:bCs/>
          <w:color w:val="auto"/>
          <w:sz w:val="24"/>
          <w:szCs w:val="24"/>
        </w:rPr>
        <w:t>中告知未通过资格审查或符合性审查的原因，评审结束后，招标代理机构将不再告知未通过资格审查或符合性审查的原因。</w:t>
      </w:r>
    </w:p>
    <w:p w14:paraId="3044E9BE">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 xml:space="preserve">5.2 </w:t>
      </w:r>
      <w:r>
        <w:rPr>
          <w:rFonts w:hint="default" w:ascii="Times New Roman" w:hAnsi="Times New Roman" w:eastAsia="宋体" w:cs="Times New Roman"/>
          <w:color w:val="auto"/>
          <w:sz w:val="24"/>
          <w:szCs w:val="24"/>
        </w:rPr>
        <w:t>在详细评审之前</w:t>
      </w:r>
      <w:r>
        <w:rPr>
          <w:rFonts w:hint="default" w:ascii="Times New Roman" w:hAnsi="Times New Roman" w:eastAsia="宋体" w:cs="Times New Roman"/>
          <w:bCs/>
          <w:color w:val="auto"/>
          <w:sz w:val="24"/>
          <w:szCs w:val="24"/>
        </w:rPr>
        <w:t>，评标委员会将首先审查每份投标文件是否实质性响应了招标文件的要求。实质性响应的投标文件应该是与招标文件要求的全部条款、条件和规格相符，没有重大负偏离或保留。</w:t>
      </w:r>
    </w:p>
    <w:p w14:paraId="143EC9BD">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所谓重大负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w:t>
      </w:r>
      <w:r>
        <w:rPr>
          <w:rFonts w:hint="default" w:ascii="Times New Roman" w:hAnsi="Times New Roman" w:eastAsia="宋体" w:cs="Times New Roman"/>
          <w:color w:val="auto"/>
          <w:sz w:val="24"/>
          <w:szCs w:val="24"/>
        </w:rPr>
        <w:t>重大偏离的认定需经过评委会以少数服从多数的原则作出结论</w:t>
      </w:r>
      <w:r>
        <w:rPr>
          <w:rFonts w:hint="default" w:ascii="Times New Roman" w:hAnsi="Times New Roman" w:eastAsia="宋体" w:cs="Times New Roman"/>
          <w:bCs/>
          <w:color w:val="auto"/>
          <w:sz w:val="24"/>
          <w:szCs w:val="24"/>
        </w:rPr>
        <w:t>。评标委员会决定投标文件的响应性只根据投标文件本身的内容，而不寻求外部的证据。</w:t>
      </w:r>
    </w:p>
    <w:p w14:paraId="3B34B87E">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5.3 如果投标文件实质上没有响应招标文件的要求，评标委员会将予以拒绝，投标人不得通过修改或撤销不符合要求的偏离或保留而使其投标文件成为实质性响应的文件。</w:t>
      </w:r>
    </w:p>
    <w:p w14:paraId="7186D3F6">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5.4 评标委员会将对确定为实质性响应的文件进行进一步审核，看其是否有计算上或累加上的算术错误，修正错误的原则如下：</w:t>
      </w:r>
    </w:p>
    <w:p w14:paraId="7E5C6CDD">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投标文件中开标一览表内容与投标文件中相应内容不一致的，以开标一览表为准。</w:t>
      </w:r>
    </w:p>
    <w:p w14:paraId="0FA0765C">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大写金额和小写金额不一致的，以大写金额为准。</w:t>
      </w:r>
    </w:p>
    <w:p w14:paraId="3F432105">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单价金额小数点或者百分比有明显错位的，以开标一览表的总价为准，并修改单价。</w:t>
      </w:r>
    </w:p>
    <w:p w14:paraId="744176E9">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（4</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总价金额与按单价汇总金额不一致的，以单价金额计算结果为准。</w:t>
      </w:r>
    </w:p>
    <w:p w14:paraId="7F885CD1">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同时出现两种以上错误的，按照前款规定的顺序修正。</w:t>
      </w:r>
    </w:p>
    <w:p w14:paraId="5D989EC3">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5.5 评标委员会将按上述修正错误的方法调整投标文件中的报价，通过“苏采云系统”告知投标人，调整后的价格应对投标人具有约束力。如果投标人不接受修正后的价格，则其投标文件将被拒绝。</w:t>
      </w:r>
    </w:p>
    <w:p w14:paraId="4526D3D6">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5.6 评标委员会将允许修正投标文件中不构成重大偏离的、微小的、非正规的、不一致的或不规则的地方，但这些修改不能影响任何投标人相应的名次排列。</w:t>
      </w:r>
    </w:p>
    <w:p w14:paraId="10AC0658">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5.7 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确定一个参加评标的投标人，其他投标无效。</w:t>
      </w:r>
    </w:p>
    <w:p w14:paraId="1BDE5C3E">
      <w:pPr>
        <w:spacing w:line="360" w:lineRule="auto"/>
        <w:ind w:firstLine="482" w:firstLineChars="200"/>
        <w:contextualSpacing/>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确定一个中标候选人，其他同品牌投标人不作为中标候选人。</w:t>
      </w:r>
    </w:p>
    <w:p w14:paraId="3C6618D7">
      <w:pPr>
        <w:spacing w:line="360" w:lineRule="auto"/>
        <w:ind w:firstLine="482" w:firstLineChars="200"/>
        <w:contextualSpacing/>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非单一产品采购项目，招标文件中将载明其中的核心产品。多家投标人提供的核心产品品牌相同的，按前两款规定处理。</w:t>
      </w:r>
    </w:p>
    <w:p w14:paraId="1B5BD9EA">
      <w:pPr>
        <w:spacing w:line="360" w:lineRule="auto"/>
        <w:ind w:firstLine="482" w:firstLineChars="200"/>
        <w:contextualSpacing/>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5.8 评审委员会启动异常低价投标（响应</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审查的情形和具体要求：</w:t>
      </w:r>
    </w:p>
    <w:p w14:paraId="649EC987">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（一</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根据财政部财库〔2026〕2号《关于推动解决政府采购异常低价问题的通知》文件精神，评审中出现下列情形之一的，评审委员会应当启动异常低价投标（响应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审查程序：</w:t>
      </w:r>
    </w:p>
    <w:p w14:paraId="0ED2C86B">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报价低于全部通过符合性审查供应商投标（响应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报价平均值50%的，即投标（响应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报价&lt;全部通过符合性审查供应商投标（响应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报价平均值×50%；</w:t>
      </w:r>
    </w:p>
    <w:p w14:paraId="43EBA3A5">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报价低于通过符合性审查的次低报价供应商投标（响应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报价50%的，即投标（响应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报价&lt;通过符合性审查的次低报价供应商投标（响应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报价×50%；</w:t>
      </w:r>
    </w:p>
    <w:p w14:paraId="68DB67D6">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报价低于采购项目最高限价45%的，即投标（响应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报价&lt;采购项目最高限价×45%；</w:t>
      </w:r>
    </w:p>
    <w:p w14:paraId="2B83AE03">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4.评审委员会基于专业判断，认为供应商报价过低，有可能影响产品质量或者不能诚信履约的其他情形。</w:t>
      </w:r>
    </w:p>
    <w:p w14:paraId="3E2C1D86">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相关法律法规对供应商报价有规定的，从其规定。</w:t>
      </w:r>
    </w:p>
    <w:p w14:paraId="543C0F15">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（二</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评审委员会启动异常低价投标（响应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审查后，属于前述第1项至第4项情形的，应当要求相关供应商在评审现场合理的时间内对投标（响应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文件一并提交相关书面说明及必要的证明材料的，在评审现场可不再重复提交。</w:t>
      </w:r>
    </w:p>
    <w:p w14:paraId="1DF6BE69">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评审委员会依据专业经验，参考同类项目中标（成交</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价格、类似产品市场价格水平、行业人工费用标准、国家有关部门指导行业协会发布的行业平均成本等情况，对报价合理性进行判断。投标（响应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供应商不能提供书面说明、证明材料，或者提供的书面说明、证明材料不能证明其报价合理性的，评审委员会应当将其作为无效投标（响应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处理。</w:t>
      </w:r>
    </w:p>
    <w:p w14:paraId="65C6F097">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采购人、采购代理机构应当为评审委员会在评审现场及时获取同类项目中标（成交</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1FED0BC">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异常低价投标（响应</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审查的启动原因、审查意见和审查结果应当在评审报告中记录，并随供应商提供的相关书面说明及证明材料，以及评审委员会有关互联网浏览、查询历史一并归档。</w:t>
      </w:r>
    </w:p>
    <w:p w14:paraId="797DBBAF">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 投标人在开、评标全过程中应保持通讯畅通，及时登录苏采云系统查阅、答复相关信息</w:t>
      </w:r>
      <w:r>
        <w:rPr>
          <w:rFonts w:hint="default" w:ascii="Times New Roman" w:hAnsi="Times New Roman" w:eastAsia="宋体" w:cs="Times New Roman"/>
          <w:bCs/>
          <w:color w:val="auto"/>
          <w:sz w:val="24"/>
          <w:szCs w:val="24"/>
        </w:rPr>
        <w:t>，并安排专人与</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或招标代理机构及评标委员会联系</w:t>
      </w:r>
      <w:r>
        <w:rPr>
          <w:rFonts w:hint="default" w:ascii="Times New Roman" w:hAnsi="Times New Roman" w:eastAsia="宋体" w:cs="Times New Roman"/>
          <w:color w:val="auto"/>
          <w:sz w:val="24"/>
          <w:szCs w:val="24"/>
        </w:rPr>
        <w:t>。</w:t>
      </w:r>
    </w:p>
    <w:p w14:paraId="2EFDEF79">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六、无效投标条款</w:t>
      </w:r>
    </w:p>
    <w:p w14:paraId="2C76AA7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宋体"/>
          <w:bCs/>
          <w:color w:val="000000"/>
          <w:sz w:val="24"/>
          <w:szCs w:val="24"/>
          <w:lang w:eastAsia="zh-CN"/>
        </w:rPr>
      </w:pPr>
      <w:r>
        <w:rPr>
          <w:rFonts w:hint="eastAsia" w:eastAsia="宋体"/>
          <w:bCs/>
          <w:color w:val="000000"/>
          <w:sz w:val="24"/>
          <w:szCs w:val="24"/>
          <w:highlight w:val="none"/>
          <w:lang w:val="en-US" w:eastAsia="zh-CN"/>
        </w:rPr>
        <w:t>1.</w:t>
      </w:r>
      <w:r>
        <w:rPr>
          <w:rFonts w:hint="eastAsia" w:eastAsia="宋体"/>
          <w:bCs/>
          <w:color w:val="000000"/>
          <w:sz w:val="24"/>
          <w:szCs w:val="24"/>
          <w:highlight w:val="none"/>
        </w:rPr>
        <w:t>投标人在苏采云系统规定的时间内未成功解密电子投标文件的</w:t>
      </w:r>
      <w:r>
        <w:rPr>
          <w:rFonts w:hint="eastAsia" w:eastAsia="宋体"/>
          <w:bCs/>
          <w:color w:val="000000"/>
          <w:sz w:val="24"/>
          <w:szCs w:val="24"/>
          <w:highlight w:val="none"/>
          <w:lang w:eastAsia="zh-CN"/>
        </w:rPr>
        <w:t>；</w:t>
      </w:r>
    </w:p>
    <w:p w14:paraId="08B14C1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宋体"/>
          <w:bCs/>
          <w:color w:val="000000"/>
          <w:sz w:val="24"/>
          <w:szCs w:val="24"/>
        </w:rPr>
      </w:pPr>
      <w:r>
        <w:rPr>
          <w:rFonts w:hint="eastAsia" w:eastAsia="宋体"/>
          <w:bCs/>
          <w:color w:val="000000"/>
          <w:sz w:val="24"/>
          <w:szCs w:val="24"/>
          <w:lang w:val="en-US" w:eastAsia="zh-CN"/>
        </w:rPr>
        <w:t>2</w:t>
      </w:r>
      <w:r>
        <w:rPr>
          <w:rFonts w:hint="eastAsia" w:eastAsia="宋体"/>
          <w:bCs/>
          <w:color w:val="000000"/>
          <w:sz w:val="24"/>
          <w:szCs w:val="24"/>
        </w:rPr>
        <w:t>.投标人未按照采购文件要求上传电子投标文件</w:t>
      </w:r>
      <w:r>
        <w:rPr>
          <w:rFonts w:hint="eastAsia" w:eastAsia="宋体"/>
          <w:bCs/>
          <w:color w:val="000000"/>
          <w:sz w:val="24"/>
          <w:szCs w:val="24"/>
          <w:highlight w:val="none"/>
        </w:rPr>
        <w:t>，或上传的文件打不开的</w:t>
      </w:r>
      <w:r>
        <w:rPr>
          <w:rFonts w:hint="eastAsia" w:eastAsia="宋体"/>
          <w:bCs/>
          <w:color w:val="000000"/>
          <w:sz w:val="24"/>
          <w:szCs w:val="24"/>
        </w:rPr>
        <w:t>；</w:t>
      </w:r>
    </w:p>
    <w:p w14:paraId="6ADD285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val="en-US" w:eastAsia="zh-CN"/>
        </w:rPr>
        <w:t>3.</w:t>
      </w:r>
      <w:r>
        <w:rPr>
          <w:rFonts w:hint="eastAsia" w:eastAsia="宋体"/>
          <w:bCs/>
          <w:color w:val="000000"/>
          <w:sz w:val="24"/>
          <w:szCs w:val="24"/>
        </w:rPr>
        <w:t>投标文件未按招标文件要求签署、盖章的；</w:t>
      </w:r>
    </w:p>
    <w:p w14:paraId="4160B8E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val="en-US" w:eastAsia="zh-CN"/>
        </w:rPr>
        <w:t>4.</w:t>
      </w:r>
      <w:r>
        <w:rPr>
          <w:rFonts w:hint="eastAsia" w:eastAsia="宋体"/>
          <w:bCs/>
          <w:color w:val="000000"/>
          <w:sz w:val="24"/>
          <w:szCs w:val="24"/>
        </w:rPr>
        <w:t>同一投标人提交两个（含两个）以上不同的投标报价的；</w:t>
      </w:r>
    </w:p>
    <w:p w14:paraId="36A1DA4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val="en-US" w:eastAsia="zh-CN"/>
        </w:rPr>
        <w:t>5.</w:t>
      </w:r>
      <w:r>
        <w:rPr>
          <w:rFonts w:hint="eastAsia" w:eastAsia="宋体"/>
          <w:bCs/>
          <w:color w:val="000000"/>
          <w:sz w:val="24"/>
          <w:szCs w:val="24"/>
        </w:rPr>
        <w:t>投标人不具备招标文件中规定的资格要求或投标文件未按招标文件规定提供资格证明文件的；</w:t>
      </w:r>
    </w:p>
    <w:p w14:paraId="7A3F61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val="en-US" w:eastAsia="zh-CN"/>
        </w:rPr>
        <w:t>6.</w:t>
      </w:r>
      <w:r>
        <w:rPr>
          <w:rFonts w:hint="eastAsia" w:eastAsia="宋体"/>
          <w:bCs/>
          <w:color w:val="000000"/>
          <w:sz w:val="24"/>
          <w:szCs w:val="24"/>
        </w:rPr>
        <w:t>投标人的报价超过招标文件中规定的预算金额或者最高限价的；</w:t>
      </w:r>
    </w:p>
    <w:p w14:paraId="6C9CD1A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val="en-US" w:eastAsia="zh-CN"/>
        </w:rPr>
        <w:t>7.</w:t>
      </w:r>
      <w:r>
        <w:rPr>
          <w:rFonts w:hint="eastAsia" w:eastAsia="宋体"/>
          <w:bCs/>
          <w:color w:val="000000"/>
          <w:sz w:val="24"/>
          <w:szCs w:val="24"/>
        </w:rPr>
        <w:t>投标文件含有采购人不能接受的附加条件的；</w:t>
      </w:r>
    </w:p>
    <w:p w14:paraId="57231C8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lang w:val="en-US" w:eastAsia="zh-CN"/>
        </w:rPr>
        <w:t>8.</w:t>
      </w:r>
      <w:r>
        <w:rPr>
          <w:rFonts w:hint="eastAsia" w:eastAsia="宋体"/>
          <w:bCs/>
          <w:color w:val="000000"/>
          <w:sz w:val="24"/>
          <w:szCs w:val="24"/>
        </w:rPr>
        <w:t>未通过符合性审查的；</w:t>
      </w:r>
    </w:p>
    <w:p w14:paraId="7CBE3A1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9.不符合法律、法规及招标文件中规定的其他实质性要求的（本招标文件中实质性要求和条件包括但不限</w:t>
      </w:r>
      <w:r>
        <w:rPr>
          <w:rFonts w:hint="eastAsia" w:ascii="Times New Roman" w:hAnsi="Times New Roman" w:eastAsia="宋体" w:cs="Times New Roman"/>
          <w:bCs/>
          <w:color w:val="000000"/>
          <w:sz w:val="24"/>
          <w:szCs w:val="24"/>
        </w:rPr>
        <w:t>于加注“</w:t>
      </w:r>
      <w:r>
        <w:rPr>
          <w:rFonts w:hint="eastAsia" w:ascii="Times New Roman" w:hAnsi="Times New Roman" w:eastAsia="宋体" w:cs="Times New Roman"/>
          <w:b/>
          <w:bCs w:val="0"/>
          <w:color w:val="000000"/>
          <w:sz w:val="24"/>
          <w:szCs w:val="24"/>
        </w:rPr>
        <w:t>*</w:t>
      </w:r>
      <w:r>
        <w:rPr>
          <w:rFonts w:hint="eastAsia" w:ascii="Times New Roman" w:hAnsi="Times New Roman" w:eastAsia="宋体" w:cs="Times New Roman"/>
          <w:bCs/>
          <w:color w:val="000000"/>
          <w:sz w:val="24"/>
          <w:szCs w:val="24"/>
        </w:rPr>
        <w:t>”、“</w:t>
      </w:r>
      <w:r>
        <w:rPr>
          <w:rFonts w:hint="eastAsia" w:ascii="Times New Roman" w:hAnsi="Times New Roman" w:eastAsia="宋体" w:cs="Times New Roman"/>
          <w:b/>
          <w:bCs w:val="0"/>
          <w:color w:val="000000"/>
          <w:sz w:val="24"/>
          <w:szCs w:val="24"/>
          <w:lang w:eastAsia="zh-CN"/>
        </w:rPr>
        <w:t>☆</w:t>
      </w:r>
      <w:r>
        <w:rPr>
          <w:rFonts w:hint="eastAsia" w:ascii="Times New Roman" w:hAnsi="Times New Roman" w:eastAsia="宋体" w:cs="Times New Roman"/>
          <w:bCs/>
          <w:color w:val="000000"/>
          <w:sz w:val="24"/>
          <w:szCs w:val="24"/>
        </w:rPr>
        <w:t>”号部分或其</w:t>
      </w:r>
      <w:r>
        <w:rPr>
          <w:rFonts w:hint="eastAsia" w:eastAsia="宋体"/>
          <w:bCs/>
          <w:color w:val="000000"/>
          <w:sz w:val="24"/>
          <w:szCs w:val="24"/>
        </w:rPr>
        <w:t>他可能对本项目产生实质性影响的条款）；</w:t>
      </w:r>
    </w:p>
    <w:p w14:paraId="28C7967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10.投标人被 “信用中国”网站列入失信被执行人或重大税收违法案件当事人名单或政府采购严重失信行为记录名单。或查询“信用中国”网站后发现投标人存在其他不符合《中华人民共和国政府采购法》第二十二条规定条件的信用记录。</w:t>
      </w:r>
    </w:p>
    <w:p w14:paraId="0BE434D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11.投标人的商务技术部分得分相差悬殊，评委一致认为得分畸低者（即投标人的投标文件商务技术部分得分低于本采购文件商务技术部分总分值的50%）有可能影响产品质量或者不能诚信履约的；</w:t>
      </w:r>
    </w:p>
    <w:p w14:paraId="4CCCCFC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12.评标委员会认为投标人的报价明显低于其他通过符合性审查投标人的报价，有可能影响产品质量或者不能诚信履约的，将通过苏采云系统要求其在</w:t>
      </w:r>
      <w:r>
        <w:rPr>
          <w:rFonts w:hint="eastAsia" w:eastAsia="宋体"/>
          <w:b/>
          <w:color w:val="000000"/>
          <w:sz w:val="24"/>
          <w:szCs w:val="24"/>
        </w:rPr>
        <w:t>30</w:t>
      </w:r>
      <w:r>
        <w:rPr>
          <w:rFonts w:hint="eastAsia" w:eastAsia="宋体"/>
          <w:bCs/>
          <w:color w:val="000000"/>
          <w:sz w:val="24"/>
          <w:szCs w:val="24"/>
        </w:rPr>
        <w:t>分钟内提供书面说明，必要时提交相关证明材料；投标人不能证明其报价合理性的；</w:t>
      </w:r>
    </w:p>
    <w:p w14:paraId="684B3EA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13.本项目采购产品被财政部、国家发改委、生态环境部等列入“节能产品品目清单”、“环境标志产品品目清单”强制采购范围，而投标人所投标产品不在强制采购范围内的。（所投产品如属于政府强制采购节能产品品目清单范围内，投标文件中必须提供国家确定的认证机构出具的、处于有效期之内的该节能产品认证证书扫描件）。</w:t>
      </w:r>
    </w:p>
    <w:p w14:paraId="29AEC20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bCs/>
          <w:color w:val="000000"/>
          <w:sz w:val="24"/>
          <w:szCs w:val="24"/>
        </w:rPr>
      </w:pPr>
      <w:r>
        <w:rPr>
          <w:rFonts w:hint="eastAsia" w:eastAsia="宋体"/>
          <w:bCs/>
          <w:color w:val="000000"/>
          <w:sz w:val="24"/>
          <w:szCs w:val="24"/>
        </w:rPr>
        <w:t>14.不同的投标人投标文件制作机器码、文件创建标识码一致的。</w:t>
      </w:r>
    </w:p>
    <w:p w14:paraId="3056D6C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宋体" w:cs="宋体"/>
          <w:color w:val="000000"/>
          <w:sz w:val="24"/>
          <w:szCs w:val="24"/>
        </w:rPr>
      </w:pPr>
      <w:r>
        <w:rPr>
          <w:rFonts w:hint="eastAsia" w:eastAsia="宋体"/>
          <w:bCs/>
          <w:color w:val="000000"/>
          <w:sz w:val="24"/>
          <w:szCs w:val="24"/>
        </w:rPr>
        <w:t>15.其他法律、法规及本招标文件规定的属无效投标的情形</w:t>
      </w:r>
      <w:r>
        <w:rPr>
          <w:rFonts w:hint="eastAsia" w:eastAsia="宋体" w:cs="宋体"/>
          <w:color w:val="000000"/>
          <w:sz w:val="24"/>
          <w:szCs w:val="24"/>
        </w:rPr>
        <w:t>。</w:t>
      </w:r>
    </w:p>
    <w:p w14:paraId="0E7A14F1">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eastAsia="宋体"/>
          <w:bCs/>
          <w:color w:val="000000"/>
          <w:sz w:val="24"/>
          <w:szCs w:val="24"/>
        </w:rPr>
      </w:pPr>
      <w:r>
        <w:rPr>
          <w:rFonts w:hint="eastAsia" w:eastAsia="宋体"/>
          <w:b/>
          <w:color w:val="000000"/>
          <w:sz w:val="24"/>
          <w:szCs w:val="24"/>
        </w:rPr>
        <w:t>凡是投标文件中涉及供应商资信认证、人员证书、业绩荣誉等扫描件，和要求法定代表人或授权委托人签字，和以供应商名称落款并注明需要盖章的，均需相应盖章或签字。</w:t>
      </w:r>
    </w:p>
    <w:p w14:paraId="1AD1EB9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七、废标条款</w:t>
      </w:r>
    </w:p>
    <w:p w14:paraId="04534525">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1.符合专业条件的供应商或者对招标文件作实质响应的供应商不足三家的（含不同投标人提供的核心产品品牌不足三个的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65E467BB">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2.出现影响采购公正的违法、违规行为的。</w:t>
      </w:r>
    </w:p>
    <w:p w14:paraId="5C3379BF">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3.因重大变故，采购任务取消的。</w:t>
      </w:r>
    </w:p>
    <w:p w14:paraId="28DA2669">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4.评标委员会认定招标文件存在歧义、重大缺陷导致评审工作无法进行。</w:t>
      </w:r>
    </w:p>
    <w:p w14:paraId="6C389506">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5.因苏采云系统系统故障原因造成开标不成功的。</w:t>
      </w:r>
    </w:p>
    <w:p w14:paraId="5D28B04C">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6.投标截止时间结束后参加投标的供应商不足三家的处理：</w:t>
      </w:r>
    </w:p>
    <w:p w14:paraId="2605695E">
      <w:pPr>
        <w:spacing w:line="360" w:lineRule="auto"/>
        <w:ind w:firstLine="480"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rPr>
        <w:t>6.1如出现投标截止时间结束后参加投标的供应商或者在评标期间对招标文件做出实质响应的供应商不足三家情况，按政府采购相关规定执行。</w:t>
      </w:r>
    </w:p>
    <w:p w14:paraId="190EC45F">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八</w:t>
      </w:r>
      <w:r>
        <w:rPr>
          <w:rFonts w:hint="default" w:ascii="Times New Roman" w:hAnsi="Times New Roman" w:eastAsia="宋体" w:cs="Times New Roman"/>
          <w:b/>
          <w:bCs/>
          <w:color w:val="auto"/>
          <w:sz w:val="24"/>
          <w:szCs w:val="24"/>
          <w:lang w:val="zh-CN"/>
        </w:rPr>
        <w:t>、</w:t>
      </w:r>
      <w:r>
        <w:rPr>
          <w:rFonts w:hint="default" w:ascii="Times New Roman" w:hAnsi="Times New Roman" w:eastAsia="宋体" w:cs="Times New Roman"/>
          <w:b/>
          <w:bCs/>
          <w:color w:val="auto"/>
          <w:sz w:val="24"/>
          <w:szCs w:val="24"/>
        </w:rPr>
        <w:t>定标</w:t>
      </w:r>
    </w:p>
    <w:p w14:paraId="13752F88">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1.确定中标单位</w:t>
      </w:r>
    </w:p>
    <w:p w14:paraId="2ABF756F">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1.1 中标候选人的选取原则和数量见招标文件第四章规定。</w:t>
      </w:r>
    </w:p>
    <w:p w14:paraId="3E606BFD">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 xml:space="preserve">1.2 </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应根据评委会推荐的中标候选人确定中标人。</w:t>
      </w:r>
    </w:p>
    <w:p w14:paraId="46147AC5">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1.3 招标代理机构将在“江苏政府采购网”发布中标结果公告，公告期限为1个工作日。</w:t>
      </w:r>
    </w:p>
    <w:p w14:paraId="2D25EC12">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1.4 若有充分证据证明，中标人出现下列情况之一的，一经查实，将被取消中标资格：</w:t>
      </w:r>
    </w:p>
    <w:p w14:paraId="3B323B73">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1.4.1 提供虚假材料谋取中标的。</w:t>
      </w:r>
    </w:p>
    <w:p w14:paraId="2E87ACEA">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1.4.2 向</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或招标代理机构行贿或者评审专家提供其他不正当利益的。</w:t>
      </w:r>
    </w:p>
    <w:p w14:paraId="13A293E1">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1.4.3 恶意竞争，报价明显低于其自身合理成本且又无法提供证明的。</w:t>
      </w:r>
    </w:p>
    <w:p w14:paraId="3B839530">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1.4.4 属于本文件规定的无效条件，但在评审过程中又未被评标委员会发现的。</w:t>
      </w:r>
    </w:p>
    <w:p w14:paraId="5D3170B8">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1.4.5 与评审专家、</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、其他投标人或者招标代理机构工作人员恶意串通的。</w:t>
      </w:r>
    </w:p>
    <w:p w14:paraId="18B32DE8">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1.4.6 采取不正当手段诋毁、排挤其他投标人的。</w:t>
      </w:r>
    </w:p>
    <w:p w14:paraId="71EAFD03">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1.4.7 中标后无正当理由拒不与</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签订政府采购合同或者未按照招标文件确定的事项签订政府采购合同的。</w:t>
      </w:r>
    </w:p>
    <w:p w14:paraId="4195EB0C">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1.4.8 将政府采购合同转包的。</w:t>
      </w:r>
    </w:p>
    <w:p w14:paraId="6ADE1801">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1.5 有下列情形之一的，视为投标人串通参与投标，投标无效：</w:t>
      </w:r>
    </w:p>
    <w:p w14:paraId="63D307C7">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1.5.1 不同投标人的投标文件由同一单位或者个人编制；</w:t>
      </w:r>
    </w:p>
    <w:p w14:paraId="62997AA7">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1.5.2 不同投标人委托同一单位或者个人办理投标事宜；</w:t>
      </w:r>
    </w:p>
    <w:p w14:paraId="448839BB">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1.5.3 不同投标人的投标文件载明的项目管理成员或者联系人员为同一人；</w:t>
      </w:r>
    </w:p>
    <w:p w14:paraId="7220BBB4">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1.5.4 不同投标人的投标文件异常一致或者响应报价呈规律性差异；</w:t>
      </w:r>
    </w:p>
    <w:p w14:paraId="006A9A99">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1.5.5 不同投标人的投标文件相互混装。</w:t>
      </w:r>
    </w:p>
    <w:p w14:paraId="7F1EFA68">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2.质疑处理</w:t>
      </w:r>
    </w:p>
    <w:p w14:paraId="3AD5D599">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2.1 提出质疑的投标人应当是参与所质疑项目采购活动的投标人。潜在投标人依法获取其可质疑的招标文件的，可以对招标文件提出质疑。</w:t>
      </w:r>
    </w:p>
    <w:p w14:paraId="641565C8">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2.2 投标人认为招标文件、采购过程和采购结果使自己的权益受到损害的，可以在知道或应知其权益受到损害之日起七个工作日内，以书面形式向</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或招标代理机构提出质疑。上述应知其权益受到损害之日，是指：</w:t>
      </w:r>
    </w:p>
    <w:p w14:paraId="6B26E9B2">
      <w:pPr>
        <w:spacing w:line="360" w:lineRule="auto"/>
        <w:ind w:firstLine="482" w:firstLineChars="200"/>
        <w:contextualSpacing/>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2.2.1 对可以质疑的招标文件提出质疑的，为收到招标文件之日或者招标文件公告期限届满之日；</w:t>
      </w:r>
    </w:p>
    <w:p w14:paraId="521F63BC">
      <w:pPr>
        <w:spacing w:line="360" w:lineRule="auto"/>
        <w:ind w:firstLine="482" w:firstLineChars="200"/>
        <w:contextualSpacing/>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2.2.2 对采购过程提出质疑的，为各采购程序环节结束之日；</w:t>
      </w:r>
    </w:p>
    <w:p w14:paraId="078AB702">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2.2.3 对中标结果提出质疑的，为中标结果公告期限届满之日。</w:t>
      </w:r>
    </w:p>
    <w:p w14:paraId="2E8920B1">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投标人应当在法定质疑期内一次性提出针对同一采购程序环节的质疑。投标人如在法定期限内对同一采购程序环节提出多次质疑的，</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、招标代理机构将只对投标人第一次质疑作出答复。</w:t>
      </w:r>
    </w:p>
    <w:p w14:paraId="2778D3DF">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2.3 质疑函必须按照本招标文件中《质疑函范本》要求的格式和内容进行填写。投标人如组成联合体参加投标，则《质疑函范本》中要求签字、盖章、加盖公章之处，联合体各方均须按要求签字、盖章、加盖公章。</w:t>
      </w:r>
    </w:p>
    <w:p w14:paraId="2454CD7F">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2.4 质疑答复依据《政府采购质疑和投诉办法》（财政部令第94号</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3B5A5A9E">
      <w:pPr>
        <w:spacing w:line="360" w:lineRule="auto"/>
        <w:ind w:firstLine="480" w:firstLineChars="200"/>
        <w:contextualSpacing/>
        <w:rPr>
          <w:rFonts w:hint="default" w:ascii="Times New Roman" w:hAnsi="Times New Roman" w:eastAsia="宋体" w:cs="Times New Roman"/>
          <w:bCs/>
          <w:color w:val="auto"/>
          <w:sz w:val="24"/>
          <w:szCs w:val="24"/>
        </w:rPr>
      </w:pP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或招标代理机构质疑接收人及联系方式，见招标文件第一章。</w:t>
      </w:r>
    </w:p>
    <w:p w14:paraId="1EBBDBF5">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2.5 以下情形的质疑不予受理</w:t>
      </w:r>
    </w:p>
    <w:p w14:paraId="02D826E1">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2.5.1 内容不符合《政府采购质疑和投诉办法》第十二条规定的质疑。</w:t>
      </w:r>
    </w:p>
    <w:p w14:paraId="53116CF6">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2.5.2 超出政府采购法定期限的质疑。</w:t>
      </w:r>
    </w:p>
    <w:p w14:paraId="5592EB9B">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2.5.3 未参加投标活动的投标人或在投标活动中自身权益未受到损害的投标人所提出的质疑。</w:t>
      </w:r>
    </w:p>
    <w:p w14:paraId="71846C10">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2.5.4 投标人组成联合体参加投标，联合体中任何一方或多方未按要求签字、盖章、加盖公章的质疑。</w:t>
      </w:r>
    </w:p>
    <w:p w14:paraId="1D6ABB65">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2.6 投标人提出书面质疑必须有理、有据，不得捏造事实、提供虚假材料进行恶意质疑。否则，一经查实，</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或招标代理机构有权依据政府采购的有关规定，报请政府采购监管部门对该投标人进行相应的行政处罚和记录该投标人的失信信息。</w:t>
      </w:r>
    </w:p>
    <w:p w14:paraId="10B33D65">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九</w:t>
      </w:r>
      <w:r>
        <w:rPr>
          <w:rFonts w:hint="default" w:ascii="Times New Roman" w:hAnsi="Times New Roman" w:eastAsia="宋体" w:cs="Times New Roman"/>
          <w:b/>
          <w:bCs/>
          <w:color w:val="auto"/>
          <w:sz w:val="24"/>
          <w:szCs w:val="24"/>
          <w:lang w:val="zh-CN"/>
        </w:rPr>
        <w:t>、</w:t>
      </w:r>
      <w:r>
        <w:rPr>
          <w:rFonts w:hint="default" w:ascii="Times New Roman" w:hAnsi="Times New Roman" w:eastAsia="宋体" w:cs="Times New Roman"/>
          <w:b/>
          <w:bCs/>
          <w:color w:val="auto"/>
          <w:sz w:val="24"/>
          <w:szCs w:val="24"/>
        </w:rPr>
        <w:t>中标通知书</w:t>
      </w:r>
    </w:p>
    <w:p w14:paraId="3AFAD2EF">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1.中标结果确定后，</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或者招标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0273EB20">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2.中标通知书将是合同的一个组成部分。对</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和中标人均具有法律效力。中标通知书发出后，</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改变中标结果的，或者中标人放弃中标项目的，应当依法承担法律责任。</w:t>
      </w:r>
    </w:p>
    <w:p w14:paraId="42C62ECA">
      <w:pPr>
        <w:spacing w:line="360" w:lineRule="auto"/>
        <w:ind w:firstLine="482"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特别说明：中标人在下载或收到中标通知书后须提供3套加盖公章的系统内打印的纸质投标文件交给招标代理机构存档。</w:t>
      </w:r>
    </w:p>
    <w:p w14:paraId="6CDA91B2">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十、</w:t>
      </w:r>
      <w:r>
        <w:rPr>
          <w:rFonts w:hint="default" w:ascii="Times New Roman" w:hAnsi="Times New Roman" w:eastAsia="宋体" w:cs="Times New Roman"/>
          <w:b/>
          <w:bCs/>
          <w:color w:val="auto"/>
          <w:sz w:val="24"/>
          <w:szCs w:val="24"/>
          <w:lang w:val="zh-CN"/>
        </w:rPr>
        <w:t>履约保证金</w:t>
      </w:r>
    </w:p>
    <w:p w14:paraId="27DD19DF">
      <w:pPr>
        <w:spacing w:line="360" w:lineRule="auto"/>
        <w:ind w:firstLine="480" w:firstLineChars="200"/>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1.履约保证金是否收取：</w:t>
      </w:r>
      <w:r>
        <w:rPr>
          <w:rFonts w:hint="default" w:ascii="Times New Roman" w:hAnsi="Times New Roman" w:eastAsia="宋体" w:cs="Times New Roman"/>
          <w:color w:val="auto"/>
          <w:sz w:val="24"/>
          <w:szCs w:val="24"/>
          <w:u w:val="single"/>
        </w:rPr>
        <w:t>是</w:t>
      </w:r>
    </w:p>
    <w:p w14:paraId="27DCB4F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2.履约保证金的数额：本项目中标后的履约保证金为项目中标价的</w:t>
      </w:r>
      <w:r>
        <w:rPr>
          <w:rFonts w:hint="default" w:ascii="Times New Roman" w:hAnsi="Times New Roman" w:eastAsia="宋体" w:cs="Times New Roman"/>
          <w:color w:val="auto"/>
          <w:sz w:val="24"/>
          <w:szCs w:val="24"/>
          <w:u w:val="single"/>
        </w:rPr>
        <w:t xml:space="preserve"> 10%</w:t>
      </w:r>
      <w:r>
        <w:rPr>
          <w:rFonts w:hint="default" w:ascii="Times New Roman" w:hAnsi="Times New Roman" w:eastAsia="宋体" w:cs="Times New Roman"/>
          <w:color w:val="auto"/>
          <w:sz w:val="24"/>
          <w:szCs w:val="24"/>
        </w:rPr>
        <w:t>。</w:t>
      </w:r>
    </w:p>
    <w:p w14:paraId="3042F3C5">
      <w:pPr>
        <w:spacing w:line="360" w:lineRule="auto"/>
        <w:ind w:firstLine="480" w:firstLineChars="200"/>
        <w:rPr>
          <w:rFonts w:hint="default" w:ascii="Times New Roman" w:hAnsi="Times New Roman" w:eastAsia="宋体" w:cs="Times New Roman"/>
          <w:color w:val="auto"/>
          <w:sz w:val="24"/>
          <w:szCs w:val="24"/>
          <w:shd w:val="clear" w:color="auto" w:fill="FFFF00"/>
        </w:rPr>
      </w:pPr>
      <w:r>
        <w:rPr>
          <w:rFonts w:hint="default" w:ascii="Times New Roman" w:hAnsi="Times New Roman" w:eastAsia="宋体" w:cs="Times New Roman"/>
          <w:color w:val="auto"/>
          <w:sz w:val="24"/>
          <w:szCs w:val="24"/>
        </w:rPr>
        <w:t>3.缴纳履约保证金时间：中标供应商在中标通知书发出之日起</w:t>
      </w:r>
      <w:r>
        <w:rPr>
          <w:rFonts w:hint="default" w:ascii="Times New Roman" w:hAnsi="Times New Roman" w:eastAsia="宋体" w:cs="Times New Roman"/>
          <w:color w:val="auto"/>
          <w:sz w:val="24"/>
          <w:szCs w:val="24"/>
          <w:u w:val="single"/>
        </w:rPr>
        <w:t>1</w:t>
      </w:r>
      <w:r>
        <w:rPr>
          <w:rFonts w:hint="default" w:ascii="Times New Roman" w:hAnsi="Times New Roman" w:eastAsia="宋体" w:cs="Times New Roman"/>
          <w:color w:val="auto"/>
          <w:sz w:val="24"/>
          <w:szCs w:val="24"/>
          <w:u w:val="single"/>
          <w:lang w:val="en-US" w:eastAsia="zh-CN"/>
        </w:rPr>
        <w:t>0个工作</w:t>
      </w:r>
      <w:r>
        <w:rPr>
          <w:rFonts w:hint="default" w:ascii="Times New Roman" w:hAnsi="Times New Roman" w:eastAsia="宋体" w:cs="Times New Roman"/>
          <w:color w:val="auto"/>
          <w:sz w:val="24"/>
          <w:szCs w:val="24"/>
        </w:rPr>
        <w:t>日内。</w:t>
      </w:r>
    </w:p>
    <w:p w14:paraId="66751C8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4.缴纳履约保证金形式：</w:t>
      </w:r>
      <w:r>
        <w:rPr>
          <w:rFonts w:hint="default" w:ascii="Times New Roman" w:hAnsi="Times New Roman" w:eastAsia="宋体" w:cs="Times New Roman"/>
          <w:color w:val="auto"/>
          <w:sz w:val="24"/>
          <w:szCs w:val="24"/>
          <w:u w:val="single"/>
        </w:rPr>
        <w:t>支票、汇票、本票或者金融机构、担保机构出具的保函、履约保证金保险</w:t>
      </w:r>
      <w:r>
        <w:rPr>
          <w:rFonts w:hint="default" w:ascii="Times New Roman" w:hAnsi="Times New Roman" w:eastAsia="宋体" w:cs="Times New Roman"/>
          <w:color w:val="auto"/>
          <w:sz w:val="24"/>
          <w:szCs w:val="24"/>
        </w:rPr>
        <w:t>等非现金形式。如选择担保机构出具的保函、履约保证金保险等形式，有效期须与履约时间一致。</w:t>
      </w:r>
    </w:p>
    <w:p w14:paraId="6EDF44D1">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采购人的账户：</w:t>
      </w:r>
    </w:p>
    <w:p w14:paraId="5CD1F578">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单位名称：江苏航运职业技术学院；</w:t>
      </w:r>
    </w:p>
    <w:p w14:paraId="45A2C442">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开户行：中国建设银行南通经济技术开发区支行；</w:t>
      </w:r>
    </w:p>
    <w:p w14:paraId="31D9194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账号：32001642336052515609；</w:t>
      </w:r>
    </w:p>
    <w:p w14:paraId="56132D8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统一社会信用代码：123200004660042577。</w:t>
      </w:r>
    </w:p>
    <w:p w14:paraId="288059E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5.退还履约保证金时间：中标供应商全部履约合同义务，</w:t>
      </w:r>
      <w:r>
        <w:rPr>
          <w:rFonts w:hint="default" w:ascii="Times New Roman" w:hAnsi="Times New Roman" w:eastAsia="宋体" w:cs="Times New Roman"/>
          <w:color w:val="auto"/>
          <w:sz w:val="24"/>
          <w:szCs w:val="24"/>
          <w:lang w:eastAsia="zh-CN"/>
        </w:rPr>
        <w:t>验收合格、</w:t>
      </w:r>
      <w:r>
        <w:rPr>
          <w:rFonts w:hint="default" w:ascii="Times New Roman" w:hAnsi="Times New Roman" w:eastAsia="宋体" w:cs="Times New Roman"/>
          <w:color w:val="auto"/>
          <w:sz w:val="24"/>
          <w:szCs w:val="24"/>
        </w:rPr>
        <w:t>质保期满后无质量、进度等问题的，</w:t>
      </w:r>
      <w:r>
        <w:rPr>
          <w:rFonts w:hint="default" w:ascii="Times New Roman" w:hAnsi="Times New Roman" w:eastAsia="宋体"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val="en-US" w:eastAsia="zh-CN"/>
        </w:rPr>
        <w:t>凭</w:t>
      </w:r>
      <w:r>
        <w:rPr>
          <w:rFonts w:hint="default" w:ascii="Times New Roman" w:hAnsi="Times New Roman" w:eastAsia="宋体" w:cs="Times New Roman"/>
          <w:color w:val="auto"/>
          <w:sz w:val="24"/>
          <w:szCs w:val="24"/>
          <w:highlight w:val="none"/>
        </w:rPr>
        <w:t>中标供应商</w:t>
      </w:r>
      <w:r>
        <w:rPr>
          <w:rFonts w:hint="default" w:ascii="Times New Roman" w:hAnsi="Times New Roman" w:eastAsia="宋体" w:cs="Times New Roman"/>
          <w:color w:val="auto"/>
          <w:sz w:val="24"/>
          <w:szCs w:val="24"/>
          <w:highlight w:val="none"/>
          <w:lang w:val="en-US" w:eastAsia="zh-CN"/>
        </w:rPr>
        <w:t>提交的申请，</w:t>
      </w:r>
      <w:r>
        <w:rPr>
          <w:rFonts w:hint="default" w:ascii="Times New Roman" w:hAnsi="Times New Roman" w:eastAsia="宋体" w:cs="Times New Roman"/>
          <w:color w:val="auto"/>
          <w:sz w:val="24"/>
          <w:szCs w:val="24"/>
        </w:rPr>
        <w:t>在三十个工作日内一次性退还履约保证金（不计息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或者退还履约保证金保函，采购人若逾期退还履约保证金的，按照逾期部分的每日</w:t>
      </w:r>
      <w:r>
        <w:rPr>
          <w:rFonts w:hint="default" w:ascii="Times New Roman" w:hAnsi="Times New Roman" w:eastAsia="宋体" w:cs="Times New Roman"/>
          <w:color w:val="auto"/>
          <w:sz w:val="24"/>
          <w:szCs w:val="24"/>
          <w:u w:val="single"/>
        </w:rPr>
        <w:t>0.05%</w:t>
      </w:r>
      <w:r>
        <w:rPr>
          <w:rFonts w:hint="default" w:ascii="Times New Roman" w:hAnsi="Times New Roman" w:eastAsia="宋体" w:cs="Times New Roman"/>
          <w:color w:val="auto"/>
          <w:sz w:val="24"/>
          <w:szCs w:val="24"/>
        </w:rPr>
        <w:t xml:space="preserve">支付违约金。   </w:t>
      </w:r>
    </w:p>
    <w:p w14:paraId="738A709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6.退还履约保证金方式：同缴纳方式。   </w:t>
      </w:r>
    </w:p>
    <w:p w14:paraId="3E2F542D">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7.退还履约保证金条件：中标供应商全部履约合同义务，</w:t>
      </w:r>
      <w:r>
        <w:rPr>
          <w:rFonts w:hint="default" w:ascii="Times New Roman" w:hAnsi="Times New Roman" w:eastAsia="宋体" w:cs="Times New Roman"/>
          <w:color w:val="auto"/>
          <w:sz w:val="24"/>
          <w:szCs w:val="24"/>
          <w:lang w:eastAsia="zh-CN"/>
        </w:rPr>
        <w:t>验收合格、</w:t>
      </w:r>
      <w:r>
        <w:rPr>
          <w:rFonts w:hint="default" w:ascii="Times New Roman" w:hAnsi="Times New Roman" w:eastAsia="宋体" w:cs="Times New Roman"/>
          <w:color w:val="auto"/>
          <w:sz w:val="24"/>
          <w:szCs w:val="24"/>
        </w:rPr>
        <w:t>质保期满后无质量、进度等问题的，</w:t>
      </w:r>
      <w:r>
        <w:rPr>
          <w:rFonts w:hint="default" w:ascii="Times New Roman" w:hAnsi="Times New Roman" w:eastAsia="宋体"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lang w:val="en-US" w:eastAsia="zh-CN"/>
        </w:rPr>
        <w:t>凭</w:t>
      </w:r>
      <w:r>
        <w:rPr>
          <w:rFonts w:hint="default" w:ascii="Times New Roman" w:hAnsi="Times New Roman" w:eastAsia="宋体" w:cs="Times New Roman"/>
          <w:color w:val="auto"/>
          <w:sz w:val="24"/>
          <w:szCs w:val="24"/>
          <w:highlight w:val="none"/>
        </w:rPr>
        <w:t>中标供应商</w:t>
      </w:r>
      <w:r>
        <w:rPr>
          <w:rFonts w:hint="default" w:ascii="Times New Roman" w:hAnsi="Times New Roman" w:eastAsia="宋体" w:cs="Times New Roman"/>
          <w:color w:val="auto"/>
          <w:sz w:val="24"/>
          <w:szCs w:val="24"/>
          <w:highlight w:val="none"/>
          <w:lang w:val="en-US" w:eastAsia="zh-CN"/>
        </w:rPr>
        <w:t>提交的申请，</w:t>
      </w:r>
      <w:r>
        <w:rPr>
          <w:rFonts w:hint="default" w:ascii="Times New Roman" w:hAnsi="Times New Roman" w:eastAsia="宋体" w:cs="Times New Roman"/>
          <w:color w:val="auto"/>
          <w:sz w:val="24"/>
          <w:szCs w:val="24"/>
        </w:rPr>
        <w:t>在三十个工作日内一次性退还履约保证金（不计息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或者退还履约保证金保函。 </w:t>
      </w:r>
    </w:p>
    <w:p w14:paraId="0B8C0ADE">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8.不予退还履约保证金的情形：</w:t>
      </w:r>
    </w:p>
    <w:p w14:paraId="7A130696">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a.签订合同后，中标人不履行合同义务的，采购</w:t>
      </w:r>
      <w:r>
        <w:rPr>
          <w:rFonts w:hint="default" w:ascii="Times New Roman" w:hAnsi="Times New Roman" w:eastAsia="宋体" w:cs="Times New Roman"/>
          <w:color w:val="auto"/>
          <w:sz w:val="24"/>
          <w:szCs w:val="24"/>
          <w:lang w:eastAsia="zh-CN"/>
        </w:rPr>
        <w:t>人</w:t>
      </w:r>
      <w:r>
        <w:rPr>
          <w:rFonts w:hint="default" w:ascii="Times New Roman" w:hAnsi="Times New Roman" w:eastAsia="宋体" w:cs="Times New Roman"/>
          <w:color w:val="auto"/>
          <w:sz w:val="24"/>
          <w:szCs w:val="24"/>
        </w:rPr>
        <w:t>有权全额扣除履约保证金，全额不予退还，同时采购</w:t>
      </w:r>
      <w:r>
        <w:rPr>
          <w:rFonts w:hint="default" w:ascii="Times New Roman" w:hAnsi="Times New Roman" w:eastAsia="宋体" w:cs="Times New Roman"/>
          <w:color w:val="auto"/>
          <w:sz w:val="24"/>
          <w:szCs w:val="24"/>
          <w:lang w:eastAsia="zh-CN"/>
        </w:rPr>
        <w:t>人</w:t>
      </w:r>
      <w:r>
        <w:rPr>
          <w:rFonts w:hint="default" w:ascii="Times New Roman" w:hAnsi="Times New Roman" w:eastAsia="宋体" w:cs="Times New Roman"/>
          <w:color w:val="auto"/>
          <w:sz w:val="24"/>
          <w:szCs w:val="24"/>
        </w:rPr>
        <w:t>亦有权终止合同，中标人还须承担相应的法律赔偿责任。</w:t>
      </w:r>
    </w:p>
    <w:p w14:paraId="083E8631">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b.中标人在履约过程中发生违约行为，给采购人造成损失或者应承担违约金的，采购人有权在中标人缴纳的履约保证金中予以扣款或要求担保人按照保函约定向采购人无条件付款，不足的部分</w:t>
      </w:r>
      <w:r>
        <w:rPr>
          <w:rFonts w:hint="default" w:ascii="Times New Roman" w:hAnsi="Times New Roman" w:eastAsia="宋体" w:cs="Times New Roman"/>
          <w:color w:val="auto"/>
          <w:sz w:val="24"/>
          <w:szCs w:val="24"/>
          <w:lang w:eastAsia="zh-CN"/>
        </w:rPr>
        <w:t>中标人</w:t>
      </w:r>
      <w:r>
        <w:rPr>
          <w:rFonts w:hint="default" w:ascii="Times New Roman" w:hAnsi="Times New Roman" w:eastAsia="宋体" w:cs="Times New Roman"/>
          <w:color w:val="auto"/>
          <w:sz w:val="24"/>
          <w:szCs w:val="24"/>
        </w:rPr>
        <w:t>另外补齐。因</w:t>
      </w:r>
      <w:r>
        <w:rPr>
          <w:rFonts w:hint="default" w:ascii="Times New Roman" w:hAnsi="Times New Roman" w:eastAsia="宋体" w:cs="Times New Roman"/>
          <w:color w:val="auto"/>
          <w:sz w:val="24"/>
          <w:szCs w:val="24"/>
          <w:lang w:eastAsia="zh-CN"/>
        </w:rPr>
        <w:t>中标人</w:t>
      </w:r>
      <w:r>
        <w:rPr>
          <w:rFonts w:hint="default" w:ascii="Times New Roman" w:hAnsi="Times New Roman" w:eastAsia="宋体" w:cs="Times New Roman"/>
          <w:color w:val="auto"/>
          <w:sz w:val="24"/>
          <w:szCs w:val="24"/>
        </w:rPr>
        <w:t>违约导致</w:t>
      </w:r>
      <w:r>
        <w:rPr>
          <w:rFonts w:hint="default" w:ascii="Times New Roman" w:hAnsi="Times New Roman" w:eastAsia="宋体" w:cs="Times New Roman"/>
          <w:color w:val="auto"/>
          <w:sz w:val="24"/>
          <w:szCs w:val="24"/>
          <w:lang w:eastAsia="zh-CN"/>
        </w:rPr>
        <w:t>采购人</w:t>
      </w:r>
      <w:r>
        <w:rPr>
          <w:rFonts w:hint="default" w:ascii="Times New Roman" w:hAnsi="Times New Roman" w:eastAsia="宋体" w:cs="Times New Roman"/>
          <w:color w:val="auto"/>
          <w:sz w:val="24"/>
          <w:szCs w:val="24"/>
        </w:rPr>
        <w:t>解除本合同的，</w:t>
      </w:r>
      <w:r>
        <w:rPr>
          <w:rFonts w:hint="default" w:ascii="Times New Roman" w:hAnsi="Times New Roman" w:eastAsia="宋体" w:cs="Times New Roman"/>
          <w:color w:val="auto"/>
          <w:sz w:val="24"/>
          <w:szCs w:val="24"/>
          <w:lang w:eastAsia="zh-CN"/>
        </w:rPr>
        <w:t>采购人</w:t>
      </w:r>
      <w:r>
        <w:rPr>
          <w:rFonts w:hint="default" w:ascii="Times New Roman" w:hAnsi="Times New Roman" w:eastAsia="宋体" w:cs="Times New Roman"/>
          <w:color w:val="auto"/>
          <w:sz w:val="24"/>
          <w:szCs w:val="24"/>
        </w:rPr>
        <w:t>有权没收全部履约保证金或要求担保人按照保函约定向</w:t>
      </w:r>
      <w:r>
        <w:rPr>
          <w:rFonts w:hint="default" w:ascii="Times New Roman" w:hAnsi="Times New Roman" w:eastAsia="宋体" w:cs="Times New Roman"/>
          <w:color w:val="auto"/>
          <w:sz w:val="24"/>
          <w:szCs w:val="24"/>
          <w:lang w:eastAsia="zh-CN"/>
        </w:rPr>
        <w:t>采购人</w:t>
      </w:r>
      <w:r>
        <w:rPr>
          <w:rFonts w:hint="default" w:ascii="Times New Roman" w:hAnsi="Times New Roman" w:eastAsia="宋体" w:cs="Times New Roman"/>
          <w:color w:val="auto"/>
          <w:sz w:val="24"/>
          <w:szCs w:val="24"/>
        </w:rPr>
        <w:t>无条件付款。并且，</w:t>
      </w:r>
      <w:r>
        <w:rPr>
          <w:rFonts w:hint="default" w:ascii="Times New Roman" w:hAnsi="Times New Roman" w:eastAsia="宋体" w:cs="Times New Roman"/>
          <w:color w:val="auto"/>
          <w:sz w:val="24"/>
          <w:szCs w:val="24"/>
          <w:lang w:eastAsia="zh-CN"/>
        </w:rPr>
        <w:t>中标人</w:t>
      </w:r>
      <w:r>
        <w:rPr>
          <w:rFonts w:hint="default" w:ascii="Times New Roman" w:hAnsi="Times New Roman" w:eastAsia="宋体" w:cs="Times New Roman"/>
          <w:color w:val="auto"/>
          <w:sz w:val="24"/>
          <w:szCs w:val="24"/>
        </w:rPr>
        <w:t>还应承担本合同其他条款约定的违约责任。</w:t>
      </w:r>
    </w:p>
    <w:p w14:paraId="0313B0E2">
      <w:pPr>
        <w:spacing w:line="360" w:lineRule="auto"/>
        <w:ind w:firstLine="480" w:firstLineChars="200"/>
        <w:contextualSpacing/>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lang w:val="en-US" w:eastAsia="zh-CN"/>
        </w:rPr>
        <w:t>c</w:t>
      </w:r>
      <w:r>
        <w:rPr>
          <w:rFonts w:hint="default" w:ascii="Times New Roman" w:hAnsi="Times New Roman" w:eastAsia="宋体" w:cs="Times New Roman"/>
          <w:color w:val="auto"/>
          <w:sz w:val="24"/>
          <w:szCs w:val="24"/>
        </w:rPr>
        <w:t>.若</w:t>
      </w:r>
      <w:r>
        <w:rPr>
          <w:rFonts w:hint="default" w:ascii="Times New Roman" w:hAnsi="Times New Roman" w:eastAsia="宋体" w:cs="Times New Roman"/>
          <w:color w:val="auto"/>
          <w:sz w:val="24"/>
          <w:szCs w:val="24"/>
          <w:lang w:eastAsia="zh-CN"/>
        </w:rPr>
        <w:t>中标人</w:t>
      </w:r>
      <w:r>
        <w:rPr>
          <w:rFonts w:hint="default" w:ascii="Times New Roman" w:hAnsi="Times New Roman" w:eastAsia="宋体" w:cs="Times New Roman"/>
          <w:color w:val="auto"/>
          <w:sz w:val="24"/>
          <w:szCs w:val="24"/>
        </w:rPr>
        <w:t>以保函形式提供担保的，</w:t>
      </w:r>
      <w:r>
        <w:rPr>
          <w:rFonts w:hint="default" w:ascii="Times New Roman" w:hAnsi="Times New Roman" w:eastAsia="宋体" w:cs="Times New Roman"/>
          <w:color w:val="auto"/>
          <w:sz w:val="24"/>
          <w:szCs w:val="24"/>
          <w:lang w:eastAsia="zh-CN"/>
        </w:rPr>
        <w:t>中标人</w:t>
      </w:r>
      <w:r>
        <w:rPr>
          <w:rFonts w:hint="default" w:ascii="Times New Roman" w:hAnsi="Times New Roman" w:eastAsia="宋体" w:cs="Times New Roman"/>
          <w:color w:val="auto"/>
          <w:sz w:val="24"/>
          <w:szCs w:val="24"/>
        </w:rPr>
        <w:t>需将保函正本提交给</w:t>
      </w:r>
      <w:r>
        <w:rPr>
          <w:rFonts w:hint="default" w:ascii="Times New Roman" w:hAnsi="Times New Roman" w:eastAsia="宋体" w:cs="Times New Roman"/>
          <w:color w:val="auto"/>
          <w:sz w:val="24"/>
          <w:szCs w:val="24"/>
          <w:lang w:eastAsia="zh-CN"/>
        </w:rPr>
        <w:t>采购人</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中标人</w:t>
      </w:r>
      <w:r>
        <w:rPr>
          <w:rFonts w:hint="default" w:ascii="Times New Roman" w:hAnsi="Times New Roman" w:eastAsia="宋体" w:cs="Times New Roman"/>
          <w:color w:val="auto"/>
          <w:sz w:val="24"/>
          <w:szCs w:val="24"/>
        </w:rPr>
        <w:t>在履约过程中发生违约行为，</w:t>
      </w:r>
      <w:r>
        <w:rPr>
          <w:rFonts w:hint="default" w:ascii="Times New Roman" w:hAnsi="Times New Roman" w:eastAsia="宋体" w:cs="Times New Roman"/>
          <w:color w:val="auto"/>
          <w:sz w:val="24"/>
          <w:szCs w:val="24"/>
          <w:lang w:eastAsia="zh-CN"/>
        </w:rPr>
        <w:t>采购人</w:t>
      </w:r>
      <w:r>
        <w:rPr>
          <w:rFonts w:hint="default" w:ascii="Times New Roman" w:hAnsi="Times New Roman" w:eastAsia="宋体" w:cs="Times New Roman"/>
          <w:color w:val="auto"/>
          <w:sz w:val="24"/>
          <w:szCs w:val="24"/>
        </w:rPr>
        <w:t>有权要求担保人按照保函约定向</w:t>
      </w:r>
      <w:r>
        <w:rPr>
          <w:rFonts w:hint="default" w:ascii="Times New Roman" w:hAnsi="Times New Roman" w:eastAsia="宋体" w:cs="Times New Roman"/>
          <w:color w:val="auto"/>
          <w:sz w:val="24"/>
          <w:szCs w:val="24"/>
          <w:lang w:eastAsia="zh-CN"/>
        </w:rPr>
        <w:t>采购人</w:t>
      </w:r>
      <w:r>
        <w:rPr>
          <w:rFonts w:hint="default" w:ascii="Times New Roman" w:hAnsi="Times New Roman" w:eastAsia="宋体" w:cs="Times New Roman"/>
          <w:color w:val="auto"/>
          <w:sz w:val="24"/>
          <w:szCs w:val="24"/>
        </w:rPr>
        <w:t>无条件付款。满足本</w:t>
      </w:r>
      <w:r>
        <w:rPr>
          <w:rFonts w:hint="default" w:ascii="Times New Roman" w:hAnsi="Times New Roman" w:eastAsia="宋体" w:cs="Times New Roman"/>
          <w:color w:val="auto"/>
          <w:sz w:val="24"/>
          <w:szCs w:val="24"/>
          <w:lang w:eastAsia="zh-CN"/>
        </w:rPr>
        <w:t>条</w:t>
      </w:r>
      <w:r>
        <w:rPr>
          <w:rFonts w:hint="default" w:ascii="Times New Roman" w:hAnsi="Times New Roman" w:eastAsia="宋体" w:cs="Times New Roman"/>
          <w:color w:val="auto"/>
          <w:sz w:val="24"/>
          <w:szCs w:val="24"/>
        </w:rPr>
        <w:t>第</w:t>
      </w:r>
      <w:r>
        <w:rPr>
          <w:rFonts w:hint="default" w:ascii="Times New Roman" w:hAnsi="Times New Roman" w:eastAsia="宋体" w:cs="Times New Roman"/>
          <w:color w:val="auto"/>
          <w:sz w:val="24"/>
          <w:szCs w:val="24"/>
          <w:lang w:val="en-US" w:eastAsia="zh-CN"/>
        </w:rPr>
        <w:t>7点</w:t>
      </w:r>
      <w:r>
        <w:rPr>
          <w:rFonts w:hint="default" w:ascii="Times New Roman" w:hAnsi="Times New Roman" w:eastAsia="宋体" w:cs="Times New Roman"/>
          <w:color w:val="auto"/>
          <w:sz w:val="24"/>
          <w:szCs w:val="24"/>
        </w:rPr>
        <w:t>约定的条件时，</w:t>
      </w:r>
      <w:r>
        <w:rPr>
          <w:rFonts w:hint="default" w:ascii="Times New Roman" w:hAnsi="Times New Roman" w:eastAsia="宋体" w:cs="Times New Roman"/>
          <w:color w:val="auto"/>
          <w:sz w:val="24"/>
          <w:szCs w:val="24"/>
          <w:lang w:eastAsia="zh-CN"/>
        </w:rPr>
        <w:t>采购人</w:t>
      </w:r>
      <w:r>
        <w:rPr>
          <w:rFonts w:hint="default" w:ascii="Times New Roman" w:hAnsi="Times New Roman" w:eastAsia="宋体" w:cs="Times New Roman"/>
          <w:color w:val="auto"/>
          <w:sz w:val="24"/>
          <w:szCs w:val="24"/>
        </w:rPr>
        <w:t>将保函正本退还给</w:t>
      </w:r>
      <w:r>
        <w:rPr>
          <w:rFonts w:hint="default" w:ascii="Times New Roman" w:hAnsi="Times New Roman" w:eastAsia="宋体" w:cs="Times New Roman"/>
          <w:color w:val="auto"/>
          <w:sz w:val="24"/>
          <w:szCs w:val="24"/>
          <w:lang w:eastAsia="zh-CN"/>
        </w:rPr>
        <w:t>中标人</w:t>
      </w:r>
      <w:r>
        <w:rPr>
          <w:rFonts w:hint="default" w:ascii="Times New Roman" w:hAnsi="Times New Roman" w:eastAsia="宋体" w:cs="Times New Roman"/>
          <w:color w:val="auto"/>
          <w:sz w:val="24"/>
          <w:szCs w:val="24"/>
        </w:rPr>
        <w:t>。</w:t>
      </w:r>
    </w:p>
    <w:p w14:paraId="60EEE32F">
      <w:pPr>
        <w:spacing w:line="360" w:lineRule="auto"/>
        <w:ind w:firstLine="482" w:firstLineChars="200"/>
        <w:contextualSpacing/>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9.以履约保函（保险</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形式向采购人缴纳的，按照《关于在全省政府采购领域推行电子履约保函（保险</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的通知》，登录江苏政府采购网，选择“保险保函”模块，进行相关操作。供应商可登陆江苏政府采购网“资料下载”栏目下载“政府采购电子履约（保函</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保险操作手册（网址：www.ccgp-jiangsu.gov.cn/jisngsu/zlxz/</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p>
    <w:p w14:paraId="13CA3816">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十一、授予合同</w:t>
      </w:r>
    </w:p>
    <w:p w14:paraId="13C1205B">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1.签订合同</w:t>
      </w:r>
    </w:p>
    <w:p w14:paraId="1ED9A62A">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1.l 中标人应当在中标通知书发出之日起三十日内，按照招标文件确定的事项与</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签订政府采购合同。</w:t>
      </w:r>
    </w:p>
    <w:p w14:paraId="01DF3077">
      <w:pPr>
        <w:spacing w:line="360" w:lineRule="auto"/>
        <w:ind w:firstLine="482" w:firstLineChars="200"/>
        <w:contextualSpacing/>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签订合同时需做好提交</w:t>
      </w:r>
      <w:r>
        <w:rPr>
          <w:rFonts w:hint="default" w:ascii="Times New Roman" w:hAnsi="Times New Roman" w:eastAsia="宋体" w:cs="Times New Roman"/>
          <w:b/>
          <w:color w:val="auto"/>
          <w:sz w:val="24"/>
          <w:szCs w:val="24"/>
          <w:lang w:val="en-US" w:eastAsia="zh-CN"/>
        </w:rPr>
        <w:t>生产厂商授权书</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若中标人为代理商</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w:t>
      </w:r>
      <w:r>
        <w:rPr>
          <w:rFonts w:hint="default" w:ascii="Times New Roman" w:hAnsi="Times New Roman" w:eastAsia="宋体" w:cs="Times New Roman"/>
          <w:b/>
          <w:color w:val="auto"/>
          <w:sz w:val="24"/>
          <w:szCs w:val="24"/>
        </w:rPr>
        <w:t>各类声明函、承诺函、业绩证明、资质、职称证书等相应原件的核查准备；核查后发现虚假或违背承诺的，依照相关法律法规规定处理。</w:t>
      </w:r>
    </w:p>
    <w:p w14:paraId="5E693CFB">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1.2 招标文件、中标人的投标文件及投标过程中有关澄清、承诺文件均应作为合同附件。</w:t>
      </w:r>
    </w:p>
    <w:p w14:paraId="633A9A70">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1.3 签订合同后，</w:t>
      </w:r>
      <w:r>
        <w:rPr>
          <w:rFonts w:hint="default" w:ascii="Times New Roman" w:hAnsi="Times New Roman" w:eastAsia="宋体" w:cs="Times New Roman"/>
          <w:bCs/>
          <w:color w:val="auto"/>
          <w:sz w:val="24"/>
          <w:szCs w:val="24"/>
          <w:u w:val="single"/>
        </w:rPr>
        <w:t>中标人不得将合同标的进行转包</w:t>
      </w:r>
      <w:r>
        <w:rPr>
          <w:rFonts w:hint="default" w:ascii="Times New Roman" w:hAnsi="Times New Roman" w:eastAsia="宋体" w:cs="Times New Roman"/>
          <w:bCs/>
          <w:color w:val="auto"/>
          <w:sz w:val="24"/>
          <w:szCs w:val="24"/>
        </w:rPr>
        <w:t>。未经</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同意，中标人也不得采用分包形式履行合同，否则</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有权终止合同。转包或分包造成</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损失的，中标人应承担相应赔偿责任。</w:t>
      </w:r>
    </w:p>
    <w:p w14:paraId="4C2B8642">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2.标的物的追加</w:t>
      </w:r>
    </w:p>
    <w:p w14:paraId="5FAD4135">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2.1 政府采购合同履行中，</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需追加与合同标的相同的货物、服务（包含与货物相关的服务及与服务相关的货物</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的，在不改变合同其他条款的前提下，可以与中标人协商签订补充合同，但所有补充合同的采购金额不超过原合同金额10%。</w:t>
      </w:r>
    </w:p>
    <w:p w14:paraId="46EBF83C">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2.2 采购结束后，</w:t>
      </w:r>
      <w:r>
        <w:rPr>
          <w:rFonts w:hint="eastAsia" w:eastAsia="宋体" w:cs="Times New Roman"/>
          <w:bCs/>
          <w:color w:val="auto"/>
          <w:sz w:val="24"/>
          <w:szCs w:val="24"/>
          <w:lang w:eastAsia="zh-CN"/>
        </w:rPr>
        <w:t>采购人</w:t>
      </w:r>
      <w:r>
        <w:rPr>
          <w:rFonts w:hint="default" w:ascii="Times New Roman" w:hAnsi="Times New Roman" w:eastAsia="宋体" w:cs="Times New Roman"/>
          <w:bCs/>
          <w:color w:val="auto"/>
          <w:sz w:val="24"/>
          <w:szCs w:val="24"/>
        </w:rPr>
        <w:t>若由于各种客观原因，必须对采购项目所牵涉的货物和服务进行适当的减少时，在双方协商一致的前提下，可以按照招标采购时的价格水平做相应的调减，并据此签订补充合同。</w:t>
      </w:r>
    </w:p>
    <w:p w14:paraId="4BFECF1C">
      <w:pPr>
        <w:spacing w:line="360" w:lineRule="auto"/>
        <w:ind w:firstLine="482"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 政府采购合同信用融资扶持政策</w:t>
      </w:r>
    </w:p>
    <w:p w14:paraId="3A222CE4">
      <w:pPr>
        <w:spacing w:line="360" w:lineRule="auto"/>
        <w:ind w:firstLine="482" w:firstLineChars="200"/>
        <w:contextualSpacing/>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根据《关于深入开展南通市政府采购线上合同信用融资工作的通知》（通财购〔2022〕68号</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对政府采购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成交供应商如需获得合同信用融资支持，可凭政府采购合同办理“政采贷”融资贷款，详情请见江苏省政府采购网-政采贷专栏。</w:t>
      </w:r>
    </w:p>
    <w:p w14:paraId="01DB17B8">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十二、验收</w:t>
      </w:r>
    </w:p>
    <w:p w14:paraId="29F053CB">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A12F42D">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2.采购人可以邀请参加本项目的其他投标人或者第三方机构参与验收。参与验收的投标人或者第三方机构的意见作为验收书的参考资料一并存档。</w:t>
      </w:r>
    </w:p>
    <w:p w14:paraId="72C1A93A">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7748029">
      <w:pPr>
        <w:spacing w:line="360" w:lineRule="auto"/>
        <w:ind w:firstLine="480" w:firstLineChars="200"/>
        <w:contextualSpacing/>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B88832D">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十三、电子招标投标交易平台</w:t>
      </w:r>
    </w:p>
    <w:p w14:paraId="1E22A077">
      <w:pPr>
        <w:spacing w:line="360" w:lineRule="auto"/>
        <w:ind w:firstLine="480" w:firstLineChars="20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电子招标投标交易平台（即“苏采云”系统，网址：</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"http://jszfcg.jsczt.cn/）相关要求是本招标文件的组成部分。" \o "http://jszfcg.jsczt.cn/）相关要求是本招标文件的组成部分。" </w:instrText>
      </w:r>
      <w:r>
        <w:rPr>
          <w:rFonts w:hint="default" w:ascii="Times New Roman" w:hAnsi="Times New Roman" w:cs="Times New Roman"/>
          <w:color w:val="auto"/>
        </w:rPr>
        <w:fldChar w:fldCharType="separate"/>
      </w:r>
      <w:r>
        <w:rPr>
          <w:rStyle w:val="21"/>
          <w:rFonts w:hint="default" w:ascii="Times New Roman" w:hAnsi="Times New Roman" w:eastAsia="宋体" w:cs="Times New Roman"/>
          <w:bCs/>
          <w:color w:val="auto"/>
          <w:sz w:val="24"/>
          <w:szCs w:val="24"/>
        </w:rPr>
        <w:t>http：//jszfcg.jsczt.cn/）相关要求是本招标文件的组成部分。</w:t>
      </w:r>
      <w:r>
        <w:rPr>
          <w:rStyle w:val="21"/>
          <w:rFonts w:hint="default" w:ascii="Times New Roman" w:hAnsi="Times New Roman" w:eastAsia="宋体" w:cs="Times New Roman"/>
          <w:bCs/>
          <w:color w:val="auto"/>
          <w:sz w:val="24"/>
          <w:szCs w:val="24"/>
        </w:rPr>
        <w:fldChar w:fldCharType="end"/>
      </w:r>
    </w:p>
    <w:p w14:paraId="603B62F6">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十四、未尽事宜</w:t>
      </w:r>
    </w:p>
    <w:p w14:paraId="1BCB6043">
      <w:pPr>
        <w:spacing w:line="360" w:lineRule="auto"/>
        <w:ind w:firstLine="480" w:firstLineChars="200"/>
        <w:contextualSpacing/>
        <w:jc w:val="left"/>
        <w:rPr>
          <w:rFonts w:hint="default" w:ascii="Times New Roman" w:hAnsi="Times New Roman" w:eastAsia="宋体" w:cs="Times New Roman"/>
          <w:b/>
          <w:bCs/>
          <w:color w:val="auto"/>
          <w:sz w:val="21"/>
          <w:szCs w:val="21"/>
        </w:rPr>
        <w:sectPr>
          <w:headerReference r:id="rId8" w:type="default"/>
          <w:pgSz w:w="11906" w:h="16838"/>
          <w:pgMar w:top="1588" w:right="1418" w:bottom="1418" w:left="1701" w:header="851" w:footer="850" w:gutter="0"/>
          <w:pgBorders>
            <w:top w:val="none" w:sz="0" w:space="0"/>
            <w:left w:val="none" w:sz="0" w:space="0"/>
            <w:bottom w:val="none" w:sz="0" w:space="0"/>
            <w:right w:val="none" w:sz="0" w:space="0"/>
          </w:pgBorders>
          <w:cols w:space="1701" w:num="1"/>
          <w:docGrid w:linePitch="360" w:charSpace="0"/>
        </w:sectPr>
      </w:pPr>
      <w:r>
        <w:rPr>
          <w:rFonts w:hint="default" w:ascii="Times New Roman" w:hAnsi="Times New Roman" w:eastAsia="宋体" w:cs="Times New Roman"/>
          <w:color w:val="auto"/>
          <w:sz w:val="24"/>
          <w:szCs w:val="24"/>
        </w:rPr>
        <w:t>按《中华人民共和国政府采购法》及其他有关法律法规的规定执行。</w:t>
      </w:r>
    </w:p>
    <w:p w14:paraId="23D3FC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6"/>
          <w:szCs w:val="36"/>
        </w:rPr>
        <w:t>第三章  项目需求</w:t>
      </w:r>
    </w:p>
    <w:p w14:paraId="349B8025">
      <w:pPr>
        <w:pStyle w:val="22"/>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b w:val="0"/>
          <w:color w:val="auto"/>
          <w:sz w:val="24"/>
          <w:szCs w:val="24"/>
          <w:lang w:val="zh-CN"/>
        </w:rPr>
      </w:pPr>
      <w:bookmarkStart w:id="8" w:name="_Toc182848996"/>
    </w:p>
    <w:p w14:paraId="022EDCF0">
      <w:pPr>
        <w:pStyle w:val="22"/>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val="0"/>
          <w:color w:val="auto"/>
          <w:sz w:val="24"/>
          <w:szCs w:val="24"/>
        </w:rPr>
      </w:pPr>
      <w:r>
        <w:rPr>
          <w:rFonts w:hint="default" w:ascii="Times New Roman" w:hAnsi="Times New Roman" w:eastAsia="宋体" w:cs="Times New Roman"/>
          <w:b w:val="0"/>
          <w:color w:val="auto"/>
          <w:sz w:val="24"/>
          <w:szCs w:val="24"/>
          <w:lang w:val="zh-CN"/>
        </w:rPr>
        <w:t>供应商在制作投标文件时仔细研究项目需求说明。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14:paraId="2AAA809A">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val="0"/>
          <w:color w:val="auto"/>
          <w:sz w:val="24"/>
          <w:szCs w:val="24"/>
        </w:rPr>
      </w:pPr>
      <w:r>
        <w:rPr>
          <w:rFonts w:hint="default" w:ascii="Times New Roman" w:hAnsi="Times New Roman" w:eastAsia="宋体" w:cs="Times New Roman"/>
          <w:b w:val="0"/>
          <w:color w:val="auto"/>
          <w:sz w:val="24"/>
          <w:szCs w:val="24"/>
          <w:lang w:val="zh-CN"/>
        </w:rPr>
        <w:t>供应商不能简单照搬照抄采购文件项目需求说明中的技术、商务要求，必须作实事求是的响应。如供应商提供的货物和服务同采购人提出的项目需求说明中的技术、商务要求不同的，必须在进行必要的说明。</w:t>
      </w:r>
    </w:p>
    <w:p w14:paraId="0C40C7A2">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一、需求总则</w:t>
      </w:r>
    </w:p>
    <w:p w14:paraId="19359C45">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1.关于优先采购：</w:t>
      </w:r>
    </w:p>
    <w:p w14:paraId="710F9183">
      <w:pPr>
        <w:pageBreakBefore w:val="0"/>
        <w:widowControl w:val="0"/>
        <w:kinsoku/>
        <w:wordWrap/>
        <w:overflowPunct/>
        <w:topLinePunct w:val="0"/>
        <w:bidi w:val="0"/>
        <w:snapToGrid/>
        <w:spacing w:line="360" w:lineRule="auto"/>
        <w:ind w:firstLine="482" w:firstLineChars="200"/>
        <w:contextualSpacing/>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（1</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政府采购优先采购节能产品和环境标志产品。节能产品是指列入财政部、国家发展和改革委员会制定的《节能产品政府采购清单》。环境标志产品是指财政部、国家环保总局制定的《环境标志产品政府采购清单》。</w:t>
      </w:r>
    </w:p>
    <w:p w14:paraId="5365067A">
      <w:pPr>
        <w:pageBreakBefore w:val="0"/>
        <w:widowControl w:val="0"/>
        <w:kinsoku/>
        <w:wordWrap/>
        <w:overflowPunct/>
        <w:topLinePunct w:val="0"/>
        <w:bidi w:val="0"/>
        <w:snapToGrid/>
        <w:spacing w:line="360" w:lineRule="auto"/>
        <w:ind w:firstLine="482"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color w:val="auto"/>
          <w:sz w:val="24"/>
          <w:szCs w:val="24"/>
        </w:rPr>
        <w:t>（2</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本次招标采购涉及产品如列入节能产品、环境标志产品实施品目清单的，各公开招标响应供应商应提供国家确定的认证机构出具的、处于有效期之内的节能产品、环境标志产品认证证书。</w:t>
      </w:r>
    </w:p>
    <w:p w14:paraId="1C493589">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2.绿色采购</w:t>
      </w:r>
    </w:p>
    <w:p w14:paraId="11F53783">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1.本次采购需切实履行绿色采购。</w:t>
      </w:r>
    </w:p>
    <w:p w14:paraId="6031114E">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1.1商品包装环保要求：应当按《关于印发〈商品包装政府采购需求标准（试行</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〉、〈快递包装政府采购需求标准（试行</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〉的通知》（财办库〔2020〕123号</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文件执行。</w:t>
      </w:r>
    </w:p>
    <w:p w14:paraId="6A72964A">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商品包装层数不得超过 3 层，空隙率不大于40%；</w:t>
      </w:r>
    </w:p>
    <w:p w14:paraId="54F98625">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商品包装尽可能使用单一材质的包装材料，如因功能需求必需使用不同材质，不同材质间应便于分离；</w:t>
      </w:r>
    </w:p>
    <w:p w14:paraId="4C242D32">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商品包装中铅、汞、镉、六价铬的总含量应不大于100mg/kg；</w:t>
      </w:r>
    </w:p>
    <w:p w14:paraId="69C04DB3">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（4</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商品包装印刷使用的油墨中挥发性有机化合物</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VOCs</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含量应不大于 5%（以重量计</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5083224F">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塑料材质商品包装上呈现的印刷颜色不得超过 6 色；</w:t>
      </w:r>
    </w:p>
    <w:p w14:paraId="0DD617E3">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（6</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纸质商品包装应使用 75%以上的可再生纤维原料生产；</w:t>
      </w:r>
    </w:p>
    <w:p w14:paraId="0A9441CD">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（7</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木质商品包装的原料应来源于可持续性森林。</w:t>
      </w:r>
    </w:p>
    <w:p w14:paraId="6309DF99">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1.2快递包装环保要求：</w:t>
      </w:r>
    </w:p>
    <w:p w14:paraId="2C175191">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快递包装中重金属（铅、汞、镉、六价铬</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总量应不大于 100mg/kg；</w:t>
      </w:r>
    </w:p>
    <w:p w14:paraId="5B6012D7">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快递包装印刷使用的油墨中不应添加邻苯二甲酸酯，其挥发性有机化合物</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VOCs</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含量应不大于5%（以重量计</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7B0D6E40">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快递包装中使用纸基材的包装材料，纸基材中的有机氯的含量应不大于 150 mg/kg；</w:t>
      </w:r>
    </w:p>
    <w:p w14:paraId="79A030D7">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（4</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快递包装中使用塑料基材的包装材料不得使用邻苯二甲酸二异壬酯、邻苯二甲酸二正辛酯、邻苯二甲酸二</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2-乙基</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己酯、邻苯二甲酸二异癸酯、邻苯二甲酸丁基苄基酯、邻苯二甲酸二丁酯等作为增塑剂；</w:t>
      </w:r>
    </w:p>
    <w:p w14:paraId="737B462B">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快递中使用的塑料包装袋不得使用聚氯乙烯作为原料，且原料应为单一材质制成，生物分解率大于60%；</w:t>
      </w:r>
    </w:p>
    <w:p w14:paraId="4171FC19">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（6</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快递中使用的充气类填充物不得使用聚氯乙烯作为原料，且原料为单一材质制成，生物分解率大于60%；</w:t>
      </w:r>
    </w:p>
    <w:p w14:paraId="2B091680">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（7</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快递中使用的集装袋应为单一材质制成，其重复使用次数应不小于 80 次；</w:t>
      </w:r>
    </w:p>
    <w:p w14:paraId="7AE1B735">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（8</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快递中应使用幅宽不大于45mm 的生物降解胶带；</w:t>
      </w:r>
    </w:p>
    <w:p w14:paraId="2A608149">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（9</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快递包装中不得使用溶剂型胶粘剂；</w:t>
      </w:r>
    </w:p>
    <w:p w14:paraId="2FAACE8F">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（10</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快递应使用电子面单；</w:t>
      </w:r>
    </w:p>
    <w:p w14:paraId="050FCA75">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（11</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直接使用商品包装作为快递包装的商品，其商品包装满足《商品包装政府采购需求标准（试行</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》即可；</w:t>
      </w:r>
    </w:p>
    <w:p w14:paraId="08B3EB01">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（12</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快递包装产品质量和封装方式应符合相关国家或行业标准技术指标要求。</w:t>
      </w:r>
    </w:p>
    <w:p w14:paraId="524DBCBE">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3.关于招标项目涉及产品：</w:t>
      </w:r>
    </w:p>
    <w:p w14:paraId="501FB485">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Cs/>
          <w:color w:val="auto"/>
          <w:sz w:val="24"/>
          <w:szCs w:val="24"/>
        </w:rPr>
        <w:t>（1</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3025B0DE">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若竞标产品涉及政府采购协议供货目录内的产品则必须选择目录内产品（型号及参数</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，产品报价不得超过江苏省省级或南通市最新一期的政府采购协议供货价格。</w:t>
      </w:r>
    </w:p>
    <w:p w14:paraId="0DF4805F">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Cs/>
          <w:color w:val="auto"/>
          <w:sz w:val="24"/>
          <w:szCs w:val="24"/>
        </w:rPr>
        <w:t>（3</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本项目采购不接受全套进口设备的投标。进口产品的定义为：指通过中国海关报关验收进入中国境内且产自境外的产品，具体按照苏财购〔2008〕14号江苏省财政厅转发财政部办公厅关于政府采购进口产品管理有关问题的通知的规定。</w:t>
      </w:r>
    </w:p>
    <w:p w14:paraId="4CA7648B">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二、项目公开招标响应说明</w:t>
      </w:r>
    </w:p>
    <w:p w14:paraId="56AB4928">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公开招标响应供应商不能简单照搬照抄招标项目需求说明中的技术要求，必须作实事求是的响应：</w:t>
      </w:r>
    </w:p>
    <w:p w14:paraId="056D6730">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1.照搬照抄项目需求说明中的技术要求，一旦中标，在与采购人签订合同和履约环节中不得提出异议，一切后果和损失由中标人承担。</w:t>
      </w:r>
    </w:p>
    <w:p w14:paraId="3B24A96B">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2.公开招标响应供应商提供的货物和服务与采购人提出的项目需求说明中的技术要求不同，必</w:t>
      </w:r>
      <w:bookmarkStart w:id="9" w:name="_Hlk69896050"/>
      <w:r>
        <w:rPr>
          <w:rFonts w:hint="default" w:ascii="Times New Roman" w:hAnsi="Times New Roman" w:eastAsia="宋体" w:cs="Times New Roman"/>
          <w:bCs/>
          <w:color w:val="auto"/>
          <w:sz w:val="24"/>
          <w:szCs w:val="24"/>
        </w:rPr>
        <w:t>须在逐一逐条响应的《技术条款响应正负偏离表》上明示偏离的部分。</w:t>
      </w:r>
      <w:bookmarkEnd w:id="9"/>
    </w:p>
    <w:p w14:paraId="734F3006">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三、采购标的数量、采购项目交付或者实施的时间和地点</w:t>
      </w:r>
    </w:p>
    <w:p w14:paraId="099F3C4A">
      <w:pPr>
        <w:pageBreakBefore w:val="0"/>
        <w:widowControl w:val="0"/>
        <w:kinsoku/>
        <w:wordWrap/>
        <w:overflowPunct/>
        <w:topLinePunct w:val="0"/>
        <w:bidi w:val="0"/>
        <w:snapToGrid/>
        <w:spacing w:line="360" w:lineRule="auto"/>
        <w:ind w:firstLine="482" w:firstLineChars="200"/>
        <w:contextualSpacing/>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（一</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采购标的需实现的功能或者目标，以及为落实政府采购政策需满足的要求</w:t>
      </w:r>
    </w:p>
    <w:p w14:paraId="1511AB0F">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本项目采购</w:t>
      </w:r>
      <w:r>
        <w:rPr>
          <w:rFonts w:hint="default" w:ascii="Times New Roman" w:hAnsi="Times New Roman" w:eastAsia="宋体" w:cs="Times New Roman"/>
          <w:bCs/>
          <w:color w:val="auto"/>
          <w:sz w:val="24"/>
          <w:szCs w:val="24"/>
          <w:lang w:val="en-US" w:eastAsia="zh-CN"/>
        </w:rPr>
        <w:t>非线性结构有限元分析软件1套（至少5个用户并发）</w:t>
      </w:r>
      <w:r>
        <w:rPr>
          <w:rFonts w:hint="default" w:ascii="Times New Roman" w:hAnsi="Times New Roman" w:eastAsia="宋体" w:cs="Times New Roman"/>
          <w:bCs/>
          <w:color w:val="auto"/>
          <w:sz w:val="24"/>
          <w:szCs w:val="24"/>
          <w:lang w:eastAsia="zh-CN"/>
        </w:rPr>
        <w:t>，包括模块：显式求解器（</w:t>
      </w:r>
      <w:r>
        <w:rPr>
          <w:rFonts w:hint="default" w:ascii="Times New Roman" w:hAnsi="Times New Roman" w:eastAsia="宋体" w:cs="Times New Roman"/>
          <w:bCs/>
          <w:color w:val="auto"/>
          <w:sz w:val="24"/>
          <w:szCs w:val="24"/>
          <w:lang w:val="en-US" w:eastAsia="zh-CN"/>
        </w:rPr>
        <w:t>专用于高度非线性瞬态问题，如冲击、跌落、爆炸及材料失效演化</w:t>
      </w:r>
      <w:r>
        <w:rPr>
          <w:rFonts w:hint="default" w:ascii="Times New Roman" w:hAnsi="Times New Roman" w:eastAsia="宋体" w:cs="Times New Roman"/>
          <w:bCs/>
          <w:color w:val="auto"/>
          <w:sz w:val="24"/>
          <w:szCs w:val="24"/>
          <w:lang w:eastAsia="zh-CN"/>
        </w:rPr>
        <w:t>）；隐式求解器（具备领先的非线性接触、材料与几何非线性收敛能力）；CAE前后处理模块</w:t>
      </w:r>
      <w:r>
        <w:rPr>
          <w:rFonts w:hint="default" w:ascii="Times New Roman" w:hAnsi="Times New Roman" w:eastAsia="宋体" w:cs="Times New Roman"/>
          <w:bCs/>
          <w:color w:val="auto"/>
          <w:sz w:val="24"/>
          <w:szCs w:val="24"/>
          <w:lang w:val="en-US" w:eastAsia="zh-CN"/>
        </w:rPr>
        <w:t>（原生支持软件分析流程，不可替换第三方通用前处理）</w:t>
      </w:r>
      <w:r>
        <w:rPr>
          <w:rFonts w:hint="default" w:ascii="Times New Roman" w:hAnsi="Times New Roman" w:eastAsia="宋体" w:cs="Times New Roman"/>
          <w:bCs/>
          <w:color w:val="auto"/>
          <w:sz w:val="24"/>
          <w:szCs w:val="24"/>
          <w:lang w:eastAsia="zh-CN"/>
        </w:rPr>
        <w:t>、疲劳</w:t>
      </w:r>
      <w:r>
        <w:rPr>
          <w:rFonts w:hint="default" w:ascii="Times New Roman" w:hAnsi="Times New Roman" w:eastAsia="宋体" w:cs="Times New Roman"/>
          <w:bCs/>
          <w:color w:val="auto"/>
          <w:sz w:val="24"/>
          <w:szCs w:val="24"/>
          <w:lang w:val="en-US" w:eastAsia="zh-CN"/>
        </w:rPr>
        <w:t>分析</w:t>
      </w:r>
      <w:r>
        <w:rPr>
          <w:rFonts w:hint="default" w:ascii="Times New Roman" w:hAnsi="Times New Roman" w:eastAsia="宋体" w:cs="Times New Roman"/>
          <w:bCs/>
          <w:color w:val="auto"/>
          <w:sz w:val="24"/>
          <w:szCs w:val="24"/>
          <w:lang w:eastAsia="zh-CN"/>
        </w:rPr>
        <w:t>模块（</w:t>
      </w:r>
      <w:r>
        <w:rPr>
          <w:rFonts w:hint="default" w:ascii="Times New Roman" w:hAnsi="Times New Roman" w:eastAsia="宋体" w:cs="Times New Roman"/>
          <w:bCs/>
          <w:color w:val="auto"/>
          <w:sz w:val="24"/>
          <w:szCs w:val="24"/>
          <w:lang w:val="en-US" w:eastAsia="zh-CN"/>
        </w:rPr>
        <w:t>对</w:t>
      </w:r>
      <w:r>
        <w:rPr>
          <w:rFonts w:hint="default" w:ascii="Times New Roman" w:hAnsi="Times New Roman" w:eastAsia="宋体" w:cs="Times New Roman"/>
          <w:bCs/>
          <w:color w:val="auto"/>
          <w:sz w:val="24"/>
          <w:szCs w:val="24"/>
          <w:lang w:eastAsia="zh-CN"/>
        </w:rPr>
        <w:t>应力应变结果进行高精度多轴疲劳寿命预测进）；</w:t>
      </w:r>
      <w:r>
        <w:rPr>
          <w:rFonts w:hint="default" w:ascii="Times New Roman" w:hAnsi="Times New Roman" w:eastAsia="宋体" w:cs="Times New Roman"/>
          <w:bCs/>
          <w:color w:val="auto"/>
          <w:sz w:val="24"/>
          <w:szCs w:val="24"/>
          <w:lang w:val="en-US" w:eastAsia="zh-CN"/>
        </w:rPr>
        <w:t>结构</w:t>
      </w:r>
      <w:r>
        <w:rPr>
          <w:rFonts w:hint="default" w:ascii="Times New Roman" w:hAnsi="Times New Roman" w:eastAsia="宋体" w:cs="Times New Roman"/>
          <w:bCs/>
          <w:color w:val="auto"/>
          <w:sz w:val="24"/>
          <w:szCs w:val="24"/>
          <w:lang w:eastAsia="zh-CN"/>
        </w:rPr>
        <w:t>优化模块（</w:t>
      </w:r>
      <w:r>
        <w:rPr>
          <w:rFonts w:hint="default" w:ascii="Times New Roman" w:hAnsi="Times New Roman" w:eastAsia="宋体" w:cs="Times New Roman"/>
          <w:bCs/>
          <w:color w:val="auto"/>
          <w:sz w:val="24"/>
          <w:szCs w:val="24"/>
          <w:lang w:val="en-US" w:eastAsia="zh-CN"/>
        </w:rPr>
        <w:t>与软件求解器深度集成</w:t>
      </w:r>
      <w:r>
        <w:rPr>
          <w:rFonts w:hint="default" w:ascii="Times New Roman" w:hAnsi="Times New Roman" w:eastAsia="宋体" w:cs="Times New Roman"/>
          <w:bCs/>
          <w:color w:val="auto"/>
          <w:sz w:val="24"/>
          <w:szCs w:val="24"/>
          <w:lang w:eastAsia="zh-CN"/>
        </w:rPr>
        <w:t>，支持拓扑、形状、条纹优化）；多学科多</w:t>
      </w:r>
      <w:r>
        <w:rPr>
          <w:rFonts w:hint="default" w:ascii="Times New Roman" w:hAnsi="Times New Roman" w:eastAsia="宋体" w:cs="Times New Roman"/>
          <w:bCs/>
          <w:color w:val="auto"/>
          <w:sz w:val="24"/>
          <w:szCs w:val="24"/>
          <w:lang w:val="en-US" w:eastAsia="zh-CN"/>
        </w:rPr>
        <w:t>目标</w:t>
      </w:r>
      <w:r>
        <w:rPr>
          <w:rFonts w:hint="default" w:ascii="Times New Roman" w:hAnsi="Times New Roman" w:eastAsia="宋体" w:cs="Times New Roman"/>
          <w:bCs/>
          <w:color w:val="auto"/>
          <w:sz w:val="24"/>
          <w:szCs w:val="24"/>
          <w:lang w:eastAsia="zh-CN"/>
        </w:rPr>
        <w:t>优化模块（</w:t>
      </w:r>
      <w:r>
        <w:rPr>
          <w:rFonts w:hint="default" w:ascii="Times New Roman" w:hAnsi="Times New Roman" w:eastAsia="宋体" w:cs="Times New Roman"/>
          <w:bCs/>
          <w:color w:val="auto"/>
          <w:sz w:val="24"/>
          <w:szCs w:val="24"/>
          <w:lang w:val="en-US" w:eastAsia="zh-CN"/>
        </w:rPr>
        <w:t>与软件</w:t>
      </w:r>
      <w:r>
        <w:rPr>
          <w:rFonts w:hint="default" w:ascii="Times New Roman" w:hAnsi="Times New Roman" w:eastAsia="宋体" w:cs="Times New Roman"/>
          <w:bCs/>
          <w:color w:val="auto"/>
          <w:sz w:val="24"/>
          <w:szCs w:val="24"/>
          <w:lang w:eastAsia="zh-CN"/>
        </w:rPr>
        <w:t>无缝耦合，实现参数化仿真优化流程）。</w:t>
      </w:r>
    </w:p>
    <w:p w14:paraId="75C3BF44">
      <w:pPr>
        <w:pageBreakBefore w:val="0"/>
        <w:widowControl w:val="0"/>
        <w:kinsoku/>
        <w:wordWrap/>
        <w:overflowPunct/>
        <w:topLinePunct w:val="0"/>
        <w:bidi w:val="0"/>
        <w:snapToGrid/>
        <w:spacing w:line="360" w:lineRule="auto"/>
        <w:ind w:firstLine="482" w:firstLineChars="200"/>
        <w:contextualSpacing/>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采购标的需执行的国家相关标准、行业标准、地方标准或者其他标准、规范</w:t>
      </w:r>
    </w:p>
    <w:p w14:paraId="1088D1B7">
      <w:pPr>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本采购标的需执行的技术标准按国家标准执行，无国家标准的，按行业标准执行，无国家和行业标准的，按企业标准执行。</w:t>
      </w:r>
    </w:p>
    <w:p w14:paraId="60C754DE">
      <w:pPr>
        <w:pageBreakBefore w:val="0"/>
        <w:widowControl w:val="0"/>
        <w:kinsoku/>
        <w:wordWrap/>
        <w:overflowPunct/>
        <w:topLinePunct w:val="0"/>
        <w:bidi w:val="0"/>
        <w:snapToGrid/>
        <w:spacing w:line="360" w:lineRule="auto"/>
        <w:ind w:firstLine="482" w:firstLineChars="200"/>
        <w:contextualSpacing/>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（三</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采购</w:t>
      </w:r>
      <w:r>
        <w:rPr>
          <w:rFonts w:hint="default" w:ascii="Times New Roman" w:hAnsi="Times New Roman" w:eastAsia="宋体" w:cs="Times New Roman"/>
          <w:b/>
          <w:bCs/>
          <w:color w:val="auto"/>
          <w:sz w:val="24"/>
          <w:szCs w:val="24"/>
        </w:rPr>
        <w:t>标的</w:t>
      </w:r>
      <w:r>
        <w:rPr>
          <w:rFonts w:hint="default" w:ascii="Times New Roman" w:hAnsi="Times New Roman" w:eastAsia="宋体" w:cs="Times New Roman"/>
          <w:b/>
          <w:bCs/>
          <w:color w:val="auto"/>
          <w:sz w:val="24"/>
          <w:szCs w:val="24"/>
          <w:highlight w:val="none"/>
        </w:rPr>
        <w:t>需满足的质量、安全、技术规格、物理特性等要求</w:t>
      </w:r>
    </w:p>
    <w:p w14:paraId="6A860AE6">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highlight w:val="none"/>
        </w:rPr>
        <w:t>1.</w:t>
      </w:r>
      <w:r>
        <w:rPr>
          <w:rFonts w:hint="default" w:ascii="Times New Roman" w:hAnsi="Times New Roman" w:eastAsia="宋体" w:cs="Times New Roman"/>
          <w:b/>
          <w:color w:val="auto"/>
          <w:sz w:val="24"/>
          <w:szCs w:val="24"/>
          <w:highlight w:val="none"/>
        </w:rPr>
        <w:t>功能要求：</w:t>
      </w:r>
      <w:bookmarkStart w:id="10" w:name="_Toc172730552"/>
    </w:p>
    <w:p w14:paraId="2BD11BE2">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1.1 CAE前后处理模块功能</w:t>
      </w:r>
      <w:bookmarkEnd w:id="10"/>
      <w:bookmarkStart w:id="11" w:name="_Toc172730553"/>
    </w:p>
    <w:p w14:paraId="296FE51B">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支持Windows系列和Linux系列操作系统，具有良好的操作界面。</w:t>
      </w:r>
      <w:bookmarkEnd w:id="11"/>
    </w:p>
    <w:p w14:paraId="53F92C0E">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具备分析模型建立、分析结果可视化、云图显示、曲线生成/编辑、场变量创建/编辑等各项常规前后处理功能。</w:t>
      </w:r>
    </w:p>
    <w:p w14:paraId="371E1794">
      <w:pPr>
        <w:pStyle w:val="34"/>
        <w:pageBreakBefore w:val="0"/>
        <w:widowControl w:val="0"/>
        <w:numPr>
          <w:ilvl w:val="0"/>
          <w:numId w:val="0"/>
        </w:numPr>
        <w:kinsoku/>
        <w:wordWrap/>
        <w:overflowPunct/>
        <w:topLinePunct w:val="0"/>
        <w:bidi w:val="0"/>
        <w:snapToGrid/>
        <w:spacing w:before="0" w:after="0" w:line="360" w:lineRule="auto"/>
        <w:ind w:firstLine="480" w:firstLineChars="200"/>
        <w:jc w:val="left"/>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统一的前后处理界面：结构分析、热分析、动力学分析、流体分析及各种耦合场分析，方便工程师熟悉各类操作。</w:t>
      </w:r>
    </w:p>
    <w:p w14:paraId="278DA69A">
      <w:pPr>
        <w:pStyle w:val="34"/>
        <w:pageBreakBefore w:val="0"/>
        <w:widowControl w:val="0"/>
        <w:numPr>
          <w:ilvl w:val="0"/>
          <w:numId w:val="0"/>
        </w:numPr>
        <w:kinsoku/>
        <w:wordWrap/>
        <w:overflowPunct/>
        <w:topLinePunct w:val="0"/>
        <w:bidi w:val="0"/>
        <w:snapToGrid/>
        <w:spacing w:before="0" w:after="0" w:line="360" w:lineRule="auto"/>
        <w:ind w:firstLine="480" w:firstLineChars="200"/>
        <w:jc w:val="left"/>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草图绘制：绘制CAD模型中草图模型时，可以实现参数化建模、自动约束并更新实体模型的功能，并能将草图进行导入导出等操作。</w:t>
      </w:r>
    </w:p>
    <w:p w14:paraId="1F1A1459">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CAD建模功能：创建CAD的模型包括了点、线、面、体等特征，并能被转换成有限元分析中的连接单元、壳单元和实体单元。</w:t>
      </w:r>
    </w:p>
    <w:p w14:paraId="151C9661">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vertAlign w:val="superscript"/>
          <w:lang w:val="en-US" w:eastAsia="zh-CN"/>
        </w:rPr>
        <w:t>18-1</w:t>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支持Pro/E、SolidWorks、AutoCAD、CATIA、NX</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UG</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等</w:t>
      </w:r>
      <w:r>
        <w:rPr>
          <w:rFonts w:hint="default" w:ascii="Times New Roman" w:hAnsi="Times New Roman" w:eastAsia="宋体" w:cs="Times New Roman"/>
          <w:color w:val="auto"/>
          <w:sz w:val="24"/>
          <w:szCs w:val="24"/>
          <w:highlight w:val="none"/>
          <w:lang w:val="en-US" w:eastAsia="zh-CN"/>
        </w:rPr>
        <w:t>8种</w:t>
      </w:r>
      <w:r>
        <w:rPr>
          <w:rFonts w:hint="default" w:ascii="Times New Roman" w:hAnsi="Times New Roman" w:eastAsia="宋体" w:cs="Times New Roman"/>
          <w:color w:val="auto"/>
          <w:sz w:val="24"/>
          <w:szCs w:val="24"/>
          <w:highlight w:val="none"/>
        </w:rPr>
        <w:t>主流三维设计软件的数据传输，可实现几何数据的快速、无损传递。</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2415578A">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支持将多个模型文件中的不同零件（包含网格</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导入到同一模型文件中，无节点编号影响，并且可以实现自由装配、镜像和排列。各零件之间可设置装配关系，对装配体进行分析。</w:t>
      </w:r>
    </w:p>
    <w:p w14:paraId="107AFA8D">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b/>
          <w:bCs/>
          <w:color w:val="auto"/>
          <w:sz w:val="24"/>
          <w:szCs w:val="24"/>
          <w:highlight w:val="none"/>
          <w:u w:val="single"/>
          <w:lang w:eastAsia="zh-CN"/>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vertAlign w:val="superscript"/>
          <w:lang w:val="en-US" w:eastAsia="zh-CN"/>
        </w:rPr>
        <w:t>18-</w:t>
      </w:r>
      <w:r>
        <w:rPr>
          <w:rFonts w:hint="eastAsia" w:ascii="Times New Roman" w:hAnsi="Times New Roman" w:eastAsia="宋体" w:cs="Times New Roman"/>
          <w:b/>
          <w:bCs/>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rPr>
        <w:t>（8</w:t>
      </w:r>
      <w:r>
        <w:rPr>
          <w:rFonts w:hint="default" w:ascii="Times New Roman" w:hAnsi="Times New Roman" w:eastAsia="宋体" w:cs="Times New Roman"/>
          <w:color w:val="auto"/>
          <w:sz w:val="24"/>
          <w:szCs w:val="24"/>
          <w:highlight w:val="none"/>
          <w:lang w:eastAsia="zh-CN"/>
        </w:rPr>
        <w:t>）具备4种网格划分技术，</w:t>
      </w:r>
      <w:r>
        <w:rPr>
          <w:rFonts w:hint="default" w:ascii="Times New Roman" w:hAnsi="Times New Roman" w:eastAsia="宋体" w:cs="Times New Roman"/>
          <w:color w:val="auto"/>
          <w:sz w:val="24"/>
          <w:szCs w:val="24"/>
          <w:highlight w:val="none"/>
        </w:rPr>
        <w:t>可进行参数化的网格剖分，可实现六面体、五面体、四面体、四边形、三角形等各类单元的自动化剖分，支持流体网格剖分；具备结构化、扫掠与Bottom-up等多种网格自动生成功能，并提供了网格单元的手动调整功能</w:t>
      </w:r>
      <w:r>
        <w:rPr>
          <w:rFonts w:hint="default" w:ascii="Times New Roman" w:hAnsi="Times New Roman" w:eastAsia="宋体" w:cs="Times New Roman"/>
          <w:b/>
          <w:bCs/>
          <w:color w:val="auto"/>
          <w:sz w:val="24"/>
          <w:szCs w:val="24"/>
          <w:highlight w:val="none"/>
          <w:u w:val="none"/>
          <w:lang w:eastAsia="zh-CN"/>
        </w:rPr>
        <w:t>。</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1144BA68">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前后处理模块支持命令流功能，可方便的进行命令流的录制、重载等操作；命令流基于开放的语言，具有良好的可读性与可扩展性，实现各类复杂的数据处理功能。</w:t>
      </w:r>
    </w:p>
    <w:p w14:paraId="306B77B2">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前后处理模块提供开放的图形界面开发平台，可方便的进行用户图形界面定制。</w:t>
      </w:r>
    </w:p>
    <w:p w14:paraId="0AC4B436">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color w:val="auto"/>
          <w:sz w:val="24"/>
          <w:szCs w:val="24"/>
          <w:highlight w:val="none"/>
        </w:rPr>
        <w:t>（11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可进行精确的接触分析，支持全局自动接触（General</w:t>
      </w:r>
      <w:r>
        <w:rPr>
          <w:rFonts w:hint="default" w:ascii="Times New Roman" w:hAnsi="Times New Roman" w:eastAsia="宋体" w:cs="Times New Roman"/>
          <w:color w:val="auto"/>
          <w:sz w:val="24"/>
          <w:szCs w:val="24"/>
          <w:highlight w:val="none"/>
        </w:rPr>
        <w:noBreakHyphen/>
      </w:r>
      <w:r>
        <w:rPr>
          <w:rFonts w:hint="default" w:ascii="Times New Roman" w:hAnsi="Times New Roman" w:eastAsia="宋体" w:cs="Times New Roman"/>
          <w:color w:val="auto"/>
          <w:sz w:val="24"/>
          <w:szCs w:val="24"/>
          <w:highlight w:val="none"/>
        </w:rPr>
        <w:t>Contact）：一键识别实体</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壳</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薄膜</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自接触，</w:t>
      </w:r>
      <w:r>
        <w:rPr>
          <w:rFonts w:hint="default" w:ascii="Times New Roman" w:hAnsi="Times New Roman" w:eastAsia="宋体" w:cs="Times New Roman"/>
          <w:sz w:val="24"/>
          <w:szCs w:val="24"/>
        </w:rPr>
        <w:t>不匹配网格、板材堆叠、边角接触自动搜寻</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color w:val="auto"/>
          <w:sz w:val="24"/>
          <w:szCs w:val="24"/>
          <w:highlight w:val="none"/>
        </w:rPr>
        <w:t>对于具有复杂接触关系的装配体，无论结构静力分析或动力学分析，无需定义接触对，可由求解器自动进行接触运算</w:t>
      </w:r>
      <w:r>
        <w:rPr>
          <w:rFonts w:hint="default" w:ascii="Times New Roman" w:hAnsi="Times New Roman" w:eastAsia="宋体" w:cs="Times New Roman"/>
          <w:sz w:val="24"/>
          <w:szCs w:val="24"/>
        </w:rPr>
        <w:t>；求解器自动切换罚函数</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增广拉格朗日</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拉格朗日算法；摩擦系数可随压力、速度、温度变化；接触压力、滑移量、摩擦功作为状态变量和损伤、温度双向迭代耦合。</w:t>
      </w:r>
      <w:r>
        <w:rPr>
          <w:rFonts w:hint="default" w:ascii="Times New Roman" w:hAnsi="Times New Roman" w:eastAsia="宋体" w:cs="Times New Roman"/>
          <w:sz w:val="24"/>
          <w:szCs w:val="24"/>
          <w:lang w:eastAsia="zh-CN"/>
        </w:rPr>
        <w:t>可以处理超过10万个接触的模型</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1A9B910D">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虚拓扑功能：提供的自动合并小的面、线等，去掉小的倒角等多种虚拟拓扑操作，可以根据边界、面及角度实现一键化自动虚拟拓扑，同时也可以根据需要进行手动虚拟拓扑。具备超过8种几何清理功能。</w:t>
      </w:r>
    </w:p>
    <w:p w14:paraId="61476794">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单元可以方便植入实体单元，无需共节点或者节点间建立约束关系，即可实现梁单元植入实体单元，实现梁单元和实体单元的共同作用，可用于导线嵌入分析。</w:t>
      </w:r>
    </w:p>
    <w:p w14:paraId="42086901">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可以根据螺栓的拧入量和直接施加螺栓截面的预紧力两种方式产生螺栓预紧力。</w:t>
      </w:r>
    </w:p>
    <w:p w14:paraId="6DFBC249">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可根据空间系列坐标点对应的温度值映射到结构体面上，获得结构体面上的温度值。可以处理兼容网格和不兼容网格两种类型。</w:t>
      </w:r>
    </w:p>
    <w:p w14:paraId="41546FF3">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云图和向量图显示结构切面的应力、应变、变形等计算结果。</w:t>
      </w:r>
    </w:p>
    <w:p w14:paraId="6115C4D2">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（17</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与其它三方软件或插件有较好的接口，可以适应某些特殊结构或功能的扩展应用。</w:t>
      </w:r>
    </w:p>
    <w:p w14:paraId="0AF090B8">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highlight w:val="none"/>
          <w:shd w:val="clear"/>
          <w:vertAlign w:val="superscript"/>
          <w:lang w:val="en-US" w:eastAsia="zh-CN"/>
        </w:rPr>
        <w:t>18-</w:t>
      </w:r>
      <w:r>
        <w:rPr>
          <w:rFonts w:hint="eastAsia" w:ascii="Times New Roman" w:hAnsi="Times New Roman" w:eastAsia="宋体" w:cs="Times New Roman"/>
          <w:b/>
          <w:bCs/>
          <w:color w:val="auto"/>
          <w:sz w:val="24"/>
          <w:szCs w:val="24"/>
          <w:highlight w:val="none"/>
          <w:shd w:val="clear"/>
          <w:vertAlign w:val="superscript"/>
          <w:lang w:val="en-US" w:eastAsia="zh-CN"/>
        </w:rPr>
        <w:t>3</w:t>
      </w:r>
      <w:r>
        <w:rPr>
          <w:rFonts w:hint="default" w:ascii="Times New Roman" w:hAnsi="Times New Roman" w:eastAsia="宋体" w:cs="Times New Roman"/>
          <w:color w:val="auto"/>
          <w:sz w:val="24"/>
          <w:szCs w:val="24"/>
          <w:highlight w:val="none"/>
        </w:rPr>
        <w:t>（18</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具备声-固耦合分析功能，可以进行噪声及声传播分析，提供声学无反射边界和声学无限元，可以方便地模拟声音向无限广域的传播。能够分析结构噪声问题。</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53E1945A">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highlight w:val="none"/>
          <w:shd w:val="clear"/>
          <w:vertAlign w:val="superscript"/>
          <w:lang w:val="en-US" w:eastAsia="zh-CN"/>
        </w:rPr>
        <w:t>18-</w:t>
      </w:r>
      <w:r>
        <w:rPr>
          <w:rFonts w:hint="eastAsia" w:ascii="Times New Roman" w:hAnsi="Times New Roman" w:eastAsia="宋体" w:cs="Times New Roman"/>
          <w:b/>
          <w:bCs/>
          <w:color w:val="auto"/>
          <w:sz w:val="24"/>
          <w:szCs w:val="24"/>
          <w:highlight w:val="none"/>
          <w:shd w:val="clear"/>
          <w:vertAlign w:val="superscript"/>
          <w:lang w:val="en-US" w:eastAsia="zh-CN"/>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19</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具备动态中断和重启动分析功能，包括：a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现有作业中断后的重启动；b</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重启动后执行新的计算。允许显式与隐式之间任意次序的接续分析；允许当前作业继承已完成的多个作业的计算结果。</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032AF919">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具备断裂力学分析能力，XFEM</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VCCT</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Cohesive 全套方案：多条裂纹分叉、裂纹面摩擦、疲劳裂纹扩展、0 厚度内聚力单元实现分层</w:t>
      </w:r>
      <w:r>
        <w:rPr>
          <w:rFonts w:hint="default" w:ascii="Times New Roman" w:hAnsi="Times New Roman" w:eastAsia="宋体" w:cs="Times New Roman"/>
          <w:color w:val="auto"/>
          <w:sz w:val="24"/>
          <w:szCs w:val="24"/>
          <w:highlight w:val="none"/>
        </w:rPr>
        <w:noBreakHyphen/>
      </w:r>
      <w:r>
        <w:rPr>
          <w:rFonts w:hint="default" w:ascii="Times New Roman" w:hAnsi="Times New Roman" w:eastAsia="宋体" w:cs="Times New Roman"/>
          <w:color w:val="auto"/>
          <w:sz w:val="24"/>
          <w:szCs w:val="24"/>
          <w:highlight w:val="none"/>
        </w:rPr>
        <w:t>基体开裂双向耦合；包括能够计算应力强度因子、J积分等，支持虚拟裂纹闭合技术（VCCT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支持以扩展有限元算法（XFEM</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求解裂纹的萌生和开展过程，可预置或不预置初始裂纹，可考虑开裂面之间的接触。</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0FAADAE3">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highlight w:val="none"/>
          <w:shd w:val="clear"/>
          <w:vertAlign w:val="superscript"/>
          <w:lang w:val="en-US" w:eastAsia="zh-CN"/>
        </w:rPr>
        <w:t>18-5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支持针对超弹性材料的分析，有成熟的解决方案和应用。具有多种超弹性材料本构模型，涵盖基于唯象理论和基于细观力学两种类型；能够考虑材料老化的Mullins效应；能够处理超弹性材料的大应变和大变形；能够基于实验数据拟合出超弹性材料的本构参数或直接采用实验数据进行计算模拟。</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00F36EEC">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b/>
          <w:bCs/>
          <w:color w:val="auto"/>
          <w:sz w:val="24"/>
          <w:szCs w:val="24"/>
          <w:highlight w:val="cyan"/>
          <w:u w:val="single"/>
          <w:lang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备复合材料分析功能。隐式和显式求解器均支持以实体单元、壳单元、实体壳单元等多种单元形式定义复合材料，具备传统的复合材料失效准则，能够模拟层间失效，具备单元和接触两种方式模拟层间失效，内置完整经过试验标定的高级本构：高阶 Ogden 超弹性、Hill 各向异性塑性、Johnson</w:t>
      </w:r>
      <w:r>
        <w:rPr>
          <w:rFonts w:hint="default" w:ascii="Times New Roman" w:hAnsi="Times New Roman" w:eastAsia="宋体" w:cs="Times New Roman"/>
          <w:color w:val="auto"/>
          <w:sz w:val="24"/>
          <w:szCs w:val="24"/>
          <w:highlight w:val="none"/>
        </w:rPr>
        <w:noBreakHyphen/>
      </w:r>
      <w:r>
        <w:rPr>
          <w:rFonts w:hint="default" w:ascii="Times New Roman" w:hAnsi="Times New Roman" w:eastAsia="宋体" w:cs="Times New Roman"/>
          <w:color w:val="auto"/>
          <w:sz w:val="24"/>
          <w:szCs w:val="24"/>
          <w:highlight w:val="none"/>
        </w:rPr>
        <w:t>Cook、Prony 粘弹性、Hashin</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Puck</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LaRC</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05 复合材料失效准则</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可考虑纤维屈曲、扭曲，纤维断裂，基体断裂以及基体压溃等失效模式。</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15933F93">
      <w:pPr>
        <w:pageBreakBefore w:val="0"/>
        <w:widowControl w:val="0"/>
        <w:kinsoku/>
        <w:wordWrap/>
        <w:overflowPunct/>
        <w:topLinePunct w:val="0"/>
        <w:bidi w:val="0"/>
        <w:snapToGrid/>
        <w:spacing w:line="360" w:lineRule="auto"/>
        <w:ind w:firstLine="482" w:firstLineChars="200"/>
        <w:textAlignment w:val="auto"/>
        <w:outlineLvl w:val="9"/>
        <w:rPr>
          <w:rFonts w:hint="eastAsia" w:ascii="Times New Roman" w:hAnsi="Times New Roman" w:eastAsia="宋体" w:cs="Times New Roman"/>
          <w:b/>
          <w:bCs/>
          <w:color w:val="auto"/>
          <w:sz w:val="24"/>
          <w:szCs w:val="24"/>
          <w:highlight w:val="cyan"/>
          <w:u w:val="single"/>
          <w:lang w:eastAsia="zh-CN"/>
        </w:rPr>
      </w:pPr>
      <w:r>
        <w:rPr>
          <w:rFonts w:hint="default"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仿真结果</w:t>
      </w:r>
      <w:r>
        <w:rPr>
          <w:rFonts w:hint="eastAsia" w:ascii="Times New Roman" w:hAnsi="Times New Roman" w:eastAsia="宋体" w:cs="Times New Roman"/>
          <w:color w:val="auto"/>
          <w:sz w:val="24"/>
          <w:szCs w:val="24"/>
          <w:highlight w:val="none"/>
          <w:lang w:val="en-US" w:eastAsia="zh-CN"/>
        </w:rPr>
        <w:t>被</w:t>
      </w:r>
      <w:r>
        <w:rPr>
          <w:rFonts w:hint="default" w:ascii="Times New Roman" w:hAnsi="Times New Roman" w:eastAsia="宋体" w:cs="Times New Roman"/>
          <w:color w:val="auto"/>
          <w:sz w:val="24"/>
          <w:szCs w:val="24"/>
          <w:highlight w:val="none"/>
        </w:rPr>
        <w:t>CCS、DNV</w:t>
      </w:r>
      <w:r>
        <w:rPr>
          <w:rFonts w:hint="default" w:ascii="Times New Roman" w:hAnsi="Times New Roman" w:eastAsia="宋体" w:cs="Times New Roman"/>
          <w:color w:val="auto"/>
          <w:sz w:val="24"/>
          <w:szCs w:val="24"/>
          <w:highlight w:val="none"/>
        </w:rPr>
        <w:noBreakHyphen/>
      </w:r>
      <w:r>
        <w:rPr>
          <w:rFonts w:hint="default" w:ascii="Times New Roman" w:hAnsi="Times New Roman" w:eastAsia="宋体" w:cs="Times New Roman"/>
          <w:color w:val="auto"/>
          <w:sz w:val="24"/>
          <w:szCs w:val="24"/>
          <w:highlight w:val="none"/>
        </w:rPr>
        <w:t>GL、LR、</w:t>
      </w:r>
      <w:r>
        <w:rPr>
          <w:rFonts w:hint="eastAsia" w:ascii="Times New Roman" w:hAnsi="Times New Roman" w:eastAsia="宋体" w:cs="Times New Roman"/>
          <w:color w:val="auto"/>
          <w:sz w:val="24"/>
          <w:szCs w:val="24"/>
          <w:highlight w:val="none"/>
          <w:lang w:val="en-US" w:eastAsia="zh-CN"/>
        </w:rPr>
        <w:t>ABS、RINA、BV</w:t>
      </w:r>
      <w:r>
        <w:rPr>
          <w:rFonts w:hint="default" w:ascii="Times New Roman" w:hAnsi="Times New Roman" w:eastAsia="宋体" w:cs="Times New Roman"/>
          <w:color w:val="auto"/>
          <w:sz w:val="24"/>
          <w:szCs w:val="24"/>
          <w:highlight w:val="none"/>
        </w:rPr>
        <w:t>等</w:t>
      </w:r>
      <w:r>
        <w:rPr>
          <w:rFonts w:hint="eastAsia" w:ascii="Times New Roman" w:hAnsi="Times New Roman" w:eastAsia="宋体" w:cs="Times New Roman"/>
          <w:color w:val="auto"/>
          <w:sz w:val="24"/>
          <w:szCs w:val="24"/>
          <w:highlight w:val="none"/>
          <w:lang w:val="en-US" w:eastAsia="zh-CN"/>
        </w:rPr>
        <w:t>船级社</w:t>
      </w:r>
      <w:r>
        <w:rPr>
          <w:rFonts w:hint="default" w:ascii="Times New Roman" w:hAnsi="Times New Roman" w:eastAsia="宋体" w:cs="Times New Roman"/>
          <w:color w:val="auto"/>
          <w:sz w:val="24"/>
          <w:szCs w:val="24"/>
          <w:highlight w:val="none"/>
        </w:rPr>
        <w:t>官方认可</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仿真结果可</w:t>
      </w:r>
      <w:r>
        <w:rPr>
          <w:rFonts w:hint="default" w:ascii="Times New Roman" w:hAnsi="Times New Roman" w:eastAsia="宋体" w:cs="Times New Roman"/>
          <w:color w:val="auto"/>
          <w:sz w:val="24"/>
          <w:szCs w:val="24"/>
          <w:highlight w:val="none"/>
        </w:rPr>
        <w:t>独立作为强度校核依据</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112BB381">
      <w:pPr>
        <w:pStyle w:val="34"/>
        <w:pageBreakBefore w:val="0"/>
        <w:widowControl w:val="0"/>
        <w:numPr>
          <w:ilvl w:val="1"/>
          <w:numId w:val="0"/>
        </w:numPr>
        <w:kinsoku/>
        <w:wordWrap/>
        <w:overflowPunct/>
        <w:topLinePunct w:val="0"/>
        <w:bidi w:val="0"/>
        <w:snapToGrid/>
        <w:spacing w:before="0" w:after="0" w:line="360" w:lineRule="auto"/>
        <w:ind w:firstLine="482" w:firstLineChars="200"/>
        <w:jc w:val="left"/>
        <w:textAlignment w:val="auto"/>
        <w:outlineLvl w:val="9"/>
        <w:rPr>
          <w:rFonts w:hint="default" w:ascii="Times New Roman" w:hAnsi="Times New Roman" w:eastAsia="宋体" w:cs="Times New Roman"/>
          <w:b/>
          <w:color w:val="auto"/>
          <w:sz w:val="24"/>
          <w:szCs w:val="24"/>
          <w:highlight w:val="none"/>
        </w:rPr>
      </w:pPr>
      <w:bookmarkStart w:id="12" w:name="_Toc172730554"/>
      <w:r>
        <w:rPr>
          <w:rFonts w:hint="default" w:ascii="Times New Roman" w:hAnsi="Times New Roman" w:eastAsia="宋体" w:cs="Times New Roman"/>
          <w:b/>
          <w:color w:val="auto"/>
          <w:sz w:val="24"/>
          <w:szCs w:val="24"/>
          <w:highlight w:val="none"/>
        </w:rPr>
        <w:t>1.2</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隐式求解器模块功能</w:t>
      </w:r>
      <w:bookmarkEnd w:id="12"/>
    </w:p>
    <w:p w14:paraId="48578812">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rPr>
        <w:t>（1</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具备</w:t>
      </w:r>
      <w:r>
        <w:rPr>
          <w:rFonts w:hint="default" w:ascii="Times New Roman" w:hAnsi="Times New Roman" w:eastAsia="宋体" w:cs="Times New Roman"/>
          <w:color w:val="auto"/>
          <w:sz w:val="24"/>
          <w:szCs w:val="24"/>
          <w:highlight w:val="none"/>
        </w:rPr>
        <w:t>静力学、复杂接触、断裂失效等类型的隐式求解分析能力。</w:t>
      </w:r>
    </w:p>
    <w:p w14:paraId="2226D391">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具有优越的非线性分析能力，包括几何非线性、材料非线性以及接触非线性问题。全自动自适应牛顿</w:t>
      </w:r>
      <w:r>
        <w:rPr>
          <w:rFonts w:hint="default" w:ascii="Times New Roman" w:hAnsi="Times New Roman" w:eastAsia="宋体" w:cs="Times New Roman"/>
          <w:color w:val="auto"/>
          <w:sz w:val="24"/>
          <w:szCs w:val="24"/>
          <w:highlight w:val="none"/>
        </w:rPr>
        <w:noBreakHyphen/>
      </w:r>
      <w:r>
        <w:rPr>
          <w:rFonts w:hint="default" w:ascii="Times New Roman" w:hAnsi="Times New Roman" w:eastAsia="宋体" w:cs="Times New Roman"/>
          <w:color w:val="auto"/>
          <w:sz w:val="24"/>
          <w:szCs w:val="24"/>
          <w:highlight w:val="none"/>
        </w:rPr>
        <w:t>拉夫森迭代：自动调整增量步、刚度更新频率、数值阻尼、接触罚系数；模型网格较差、初始接触不合理也可自动完成迭代，人工干预少；成熟 Riks 弧长法+自适应粘性阻尼：完整求解后屈曲、负刚度段、薄板坍塌、舱壁失稳下降段；隐显式无损数据传递：螺栓预紧、塑性应变、接触压力、残余应力全部完整继承到显式求解器；千万级自由度+数百组接触对下稀疏矩阵专用预处理，大规模并行效率衰减可控。</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334EE0F4">
      <w:pPr>
        <w:pageBreakBefore w:val="0"/>
        <w:widowControl w:val="0"/>
        <w:numPr>
          <w:ilvl w:val="0"/>
          <w:numId w:val="3"/>
        </w:numPr>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能够分别进行固体、耦合分析。</w:t>
      </w:r>
    </w:p>
    <w:p w14:paraId="1D4F1A74">
      <w:pPr>
        <w:pageBreakBefore w:val="0"/>
        <w:widowControl w:val="0"/>
        <w:numPr>
          <w:ilvl w:val="0"/>
          <w:numId w:val="3"/>
        </w:numPr>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具有</w:t>
      </w:r>
      <w:r>
        <w:rPr>
          <w:rFonts w:hint="default" w:ascii="Times New Roman" w:hAnsi="Times New Roman" w:eastAsia="宋体" w:cs="Times New Roman"/>
          <w:color w:val="auto"/>
          <w:sz w:val="24"/>
          <w:szCs w:val="24"/>
          <w:highlight w:val="none"/>
          <w:lang w:val="en-US" w:eastAsia="zh-CN"/>
        </w:rPr>
        <w:t>不少于25种</w:t>
      </w:r>
      <w:r>
        <w:rPr>
          <w:rFonts w:hint="default" w:ascii="Times New Roman" w:hAnsi="Times New Roman" w:eastAsia="宋体" w:cs="Times New Roman"/>
          <w:color w:val="auto"/>
          <w:sz w:val="24"/>
          <w:szCs w:val="24"/>
          <w:highlight w:val="none"/>
        </w:rPr>
        <w:t>材料本构模型以满足橡胶轮胎常用材料模型的求解分析，如适用于刚性材料、塑性材料、高分子材料、超弹性材料、粘弹性材料等流体材料的本构模型。</w:t>
      </w:r>
    </w:p>
    <w:p w14:paraId="07502B31">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highlight w:val="none"/>
          <w:shd w:val="clear"/>
          <w:vertAlign w:val="superscript"/>
          <w:lang w:val="en-US" w:eastAsia="zh-CN"/>
        </w:rPr>
        <w:t>18-</w:t>
      </w:r>
      <w:r>
        <w:rPr>
          <w:rFonts w:hint="eastAsia" w:ascii="Times New Roman" w:hAnsi="Times New Roman" w:eastAsia="宋体" w:cs="Times New Roman"/>
          <w:b/>
          <w:bCs/>
          <w:color w:val="auto"/>
          <w:sz w:val="24"/>
          <w:szCs w:val="24"/>
          <w:highlight w:val="none"/>
          <w:shd w:val="clear"/>
          <w:vertAlign w:val="superscript"/>
          <w:lang w:val="en-US" w:eastAsia="zh-CN"/>
        </w:rPr>
        <w:t>6</w:t>
      </w:r>
      <w:r>
        <w:rPr>
          <w:rFonts w:hint="default" w:ascii="Times New Roman" w:hAnsi="Times New Roman" w:eastAsia="宋体" w:cs="Times New Roman"/>
          <w:color w:val="auto"/>
          <w:kern w:val="2"/>
          <w:sz w:val="24"/>
          <w:szCs w:val="24"/>
          <w:highlight w:val="none"/>
        </w:rPr>
        <w:t>（5</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具有高效的（</w:t>
      </w:r>
      <w:r>
        <w:rPr>
          <w:rFonts w:hint="default" w:ascii="Times New Roman" w:hAnsi="Times New Roman" w:eastAsia="宋体" w:cs="Times New Roman"/>
          <w:color w:val="auto"/>
          <w:sz w:val="24"/>
          <w:szCs w:val="24"/>
          <w:highlight w:val="none"/>
          <w:lang w:val="en-US" w:eastAsia="zh-CN"/>
        </w:rPr>
        <w:t>不少于</w:t>
      </w:r>
      <w:r>
        <w:rPr>
          <w:rFonts w:hint="default" w:ascii="Times New Roman" w:hAnsi="Times New Roman" w:eastAsia="宋体" w:cs="Times New Roman"/>
          <w:color w:val="auto"/>
          <w:sz w:val="24"/>
          <w:szCs w:val="24"/>
          <w:highlight w:val="none"/>
        </w:rPr>
        <w:t>8核</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并行计算能力，可实现单节点多核并行、多节点并行高效计算；具有GPU加速功能。</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2E74D718">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highlight w:val="none"/>
          <w:shd w:val="clear"/>
          <w:vertAlign w:val="superscript"/>
          <w:lang w:val="en-US" w:eastAsia="zh-CN"/>
        </w:rPr>
        <w:t>18-</w:t>
      </w:r>
      <w:r>
        <w:rPr>
          <w:rFonts w:hint="eastAsia" w:ascii="Times New Roman" w:hAnsi="Times New Roman" w:eastAsia="宋体" w:cs="Times New Roman"/>
          <w:b/>
          <w:bCs/>
          <w:color w:val="auto"/>
          <w:sz w:val="24"/>
          <w:szCs w:val="24"/>
          <w:highlight w:val="none"/>
          <w:shd w:val="clear"/>
          <w:vertAlign w:val="superscript"/>
          <w:lang w:val="en-US" w:eastAsia="zh-CN"/>
        </w:rPr>
        <w:t>7</w:t>
      </w:r>
      <w:r>
        <w:rPr>
          <w:rFonts w:hint="default" w:ascii="Times New Roman" w:hAnsi="Times New Roman" w:eastAsia="宋体" w:cs="Times New Roman"/>
          <w:color w:val="auto"/>
          <w:kern w:val="2"/>
          <w:sz w:val="24"/>
          <w:szCs w:val="24"/>
          <w:highlight w:val="none"/>
        </w:rPr>
        <w:t>（6</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可以实现稳态热传导分析、热应力分析、热疲劳分析、瞬态热传导分析、绝热分析、完全热固耦合、对流散热分析、热结触分析、顺序热固耦合、热辐射分析、热电耦合等几乎所有与热传导及热应力相关的分析。</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0DE782BA">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highlight w:val="none"/>
          <w:shd w:val="clear"/>
          <w:vertAlign w:val="superscript"/>
          <w:lang w:val="en-US" w:eastAsia="zh-CN"/>
        </w:rPr>
        <w:t>18-</w:t>
      </w:r>
      <w:r>
        <w:rPr>
          <w:rFonts w:hint="eastAsia" w:ascii="Times New Roman" w:hAnsi="Times New Roman" w:eastAsia="宋体" w:cs="Times New Roman"/>
          <w:b/>
          <w:bCs/>
          <w:color w:val="auto"/>
          <w:sz w:val="24"/>
          <w:szCs w:val="24"/>
          <w:highlight w:val="none"/>
          <w:shd w:val="clear"/>
          <w:vertAlign w:val="superscript"/>
          <w:lang w:val="en-US" w:eastAsia="zh-CN"/>
        </w:rPr>
        <w:t>8</w:t>
      </w:r>
      <w:r>
        <w:rPr>
          <w:rFonts w:hint="default" w:ascii="Times New Roman" w:hAnsi="Times New Roman" w:eastAsia="宋体" w:cs="Times New Roman"/>
          <w:color w:val="auto"/>
          <w:kern w:val="2"/>
          <w:sz w:val="24"/>
          <w:szCs w:val="24"/>
          <w:highlight w:val="none"/>
        </w:rPr>
        <w:t>（7</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网格自适应功能：结构受力变形过大，部分单元会发生奇异，激活网格自适应功能将会使节点位置重新调整，让单元始终保持比较好的性状，避免由于单元变形过大引起的精度下降或者单元奇异。</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3D68CA3C">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rPr>
        <w:t>（8</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网格自适应加密功能：根据计算结果自动在应力梯度变化比较大区域进行网格自动加密，并根据定误差准则自动完成多次求解。</w:t>
      </w:r>
    </w:p>
    <w:p w14:paraId="6D25836A">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highlight w:val="none"/>
          <w:shd w:val="clear"/>
          <w:vertAlign w:val="superscript"/>
          <w:lang w:val="en-US" w:eastAsia="zh-CN"/>
        </w:rPr>
        <w:t>18-</w:t>
      </w:r>
      <w:r>
        <w:rPr>
          <w:rFonts w:hint="eastAsia" w:ascii="Times New Roman" w:hAnsi="Times New Roman" w:eastAsia="宋体" w:cs="Times New Roman"/>
          <w:b/>
          <w:bCs/>
          <w:color w:val="auto"/>
          <w:sz w:val="24"/>
          <w:szCs w:val="24"/>
          <w:highlight w:val="none"/>
          <w:shd w:val="clear"/>
          <w:vertAlign w:val="superscript"/>
          <w:lang w:val="en-US" w:eastAsia="zh-CN"/>
        </w:rPr>
        <w:t>9</w:t>
      </w:r>
      <w:r>
        <w:rPr>
          <w:rFonts w:hint="default" w:ascii="Times New Roman" w:hAnsi="Times New Roman" w:eastAsia="宋体" w:cs="Times New Roman"/>
          <w:color w:val="auto"/>
          <w:kern w:val="2"/>
          <w:sz w:val="24"/>
          <w:szCs w:val="24"/>
          <w:highlight w:val="none"/>
        </w:rPr>
        <w:t>（</w:t>
      </w:r>
      <w:r>
        <w:rPr>
          <w:rFonts w:hint="eastAsia" w:ascii="Times New Roman" w:hAnsi="Times New Roman" w:eastAsia="宋体" w:cs="Times New Roman"/>
          <w:color w:val="auto"/>
          <w:kern w:val="2"/>
          <w:sz w:val="24"/>
          <w:szCs w:val="24"/>
          <w:highlight w:val="none"/>
          <w:lang w:val="en-US" w:eastAsia="zh-CN"/>
        </w:rPr>
        <w:t>9</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无需指定单元的初始断裂位置及后续的断裂方向，断裂面可以穿透单元，无需过密网格就能模拟结构的断裂失效问题。</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033E970B">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对于粘结结构，若发生粘结面破坏，可以在粘结面处定义接触，当结构受力发生剪切或者拉升到一定程度后界面会自动分离，界面之间不再传递力。</w:t>
      </w:r>
    </w:p>
    <w:p w14:paraId="41662C90">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darkYellow"/>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非线性子结构+非线性子模型：整机粗模型把塑性、损伤、接触压力传递到局部精细模型；超单元缩减整机求解规模；不管是结构静力学分析还是瞬态动力学分析都具有基于面或节点的子模型功能，且为多级子模型功能。并且子模型可以在隐式和显式求解算法之间数据交换，即整体模型是隐式或显式算法，子模型可以是显式或隐式算法。</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0E187F70">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2"/>
          <w:sz w:val="24"/>
          <w:szCs w:val="24"/>
          <w:highlight w:val="none"/>
        </w:rPr>
        <w:t>（1</w:t>
      </w:r>
      <w:r>
        <w:rPr>
          <w:rFonts w:hint="eastAsia" w:ascii="Times New Roman" w:hAnsi="Times New Roman" w:eastAsia="宋体" w:cs="Times New Roman"/>
          <w:color w:val="auto"/>
          <w:kern w:val="2"/>
          <w:sz w:val="24"/>
          <w:szCs w:val="24"/>
          <w:highlight w:val="none"/>
          <w:lang w:val="en-US" w:eastAsia="zh-CN"/>
        </w:rPr>
        <w:t>2</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多重子结构模态求解器功能。</w:t>
      </w:r>
      <w:r>
        <w:rPr>
          <w:rFonts w:hint="default" w:ascii="Times New Roman" w:hAnsi="Times New Roman" w:eastAsia="宋体" w:cs="Times New Roman"/>
          <w:color w:val="auto"/>
          <w:sz w:val="24"/>
          <w:szCs w:val="24"/>
          <w:highlight w:val="none"/>
          <w:lang w:val="en-US" w:eastAsia="zh-CN"/>
        </w:rPr>
        <w:t xml:space="preserve">   </w:t>
      </w:r>
    </w:p>
    <w:p w14:paraId="567F6123">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darkYellow"/>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vertAlign w:val="superscript"/>
          <w:lang w:val="en-US" w:eastAsia="zh-CN"/>
        </w:rPr>
        <w:t>18-</w:t>
      </w:r>
      <w:r>
        <w:rPr>
          <w:rFonts w:hint="eastAsia" w:ascii="Times New Roman" w:hAnsi="Times New Roman" w:eastAsia="宋体" w:cs="Times New Roman"/>
          <w:b/>
          <w:bCs/>
          <w:color w:val="auto"/>
          <w:sz w:val="24"/>
          <w:szCs w:val="24"/>
          <w:vertAlign w:val="superscript"/>
          <w:lang w:val="en-US" w:eastAsia="zh-CN"/>
        </w:rPr>
        <w:t>10</w:t>
      </w:r>
      <w:r>
        <w:rPr>
          <w:rFonts w:hint="default" w:ascii="Times New Roman" w:hAnsi="Times New Roman" w:eastAsia="宋体" w:cs="Times New Roman"/>
          <w:color w:val="auto"/>
          <w:sz w:val="24"/>
          <w:szCs w:val="24"/>
          <w:lang w:eastAsia="zh-CN"/>
        </w:rPr>
        <w:t>（1</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）具备频域动力学分析功能、线性动力学分析功能：线性动力学分析中能考虑接触、预载荷效应，并且具有AMS频率求解技术。具备3种特征值求解器（Lanczos、AMS、Subspace Iteration）。</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7C098450">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rPr>
        <w:t>（1</w:t>
      </w:r>
      <w:r>
        <w:rPr>
          <w:rFonts w:hint="eastAsia" w:ascii="Times New Roman" w:hAnsi="Times New Roman" w:eastAsia="宋体" w:cs="Times New Roman"/>
          <w:color w:val="auto"/>
          <w:kern w:val="2"/>
          <w:sz w:val="24"/>
          <w:szCs w:val="24"/>
          <w:highlight w:val="none"/>
          <w:lang w:val="en-US" w:eastAsia="zh-CN"/>
        </w:rPr>
        <w:t>4</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据定义参数的范围进行该参数的敏感度分析，获得该参数对结果的影响程度，为优化设计提供导向。</w:t>
      </w:r>
    </w:p>
    <w:p w14:paraId="65368F1A">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lang w:val="en-US" w:eastAsia="zh-CN" w:bidi="ar-SA"/>
        </w:rPr>
        <w:t>▲</w:t>
      </w:r>
      <w:r>
        <w:rPr>
          <w:rFonts w:hint="default" w:ascii="Times New Roman" w:hAnsi="Times New Roman" w:eastAsia="宋体" w:cs="Times New Roman"/>
          <w:b/>
          <w:bCs/>
          <w:color w:val="auto"/>
          <w:sz w:val="24"/>
          <w:szCs w:val="24"/>
          <w:highlight w:val="none"/>
          <w:shd w:val="clear"/>
          <w:vertAlign w:val="superscript"/>
          <w:lang w:val="en-US" w:eastAsia="zh-CN"/>
        </w:rPr>
        <w:t>18-1</w:t>
      </w:r>
      <w:r>
        <w:rPr>
          <w:rFonts w:hint="eastAsia" w:ascii="Times New Roman" w:hAnsi="Times New Roman" w:eastAsia="宋体" w:cs="Times New Roman"/>
          <w:b/>
          <w:bCs/>
          <w:color w:val="auto"/>
          <w:sz w:val="24"/>
          <w:szCs w:val="24"/>
          <w:highlight w:val="none"/>
          <w:shd w:val="clear"/>
          <w:vertAlign w:val="superscript"/>
          <w:lang w:val="en-US" w:eastAsia="zh-CN"/>
        </w:rPr>
        <w:t>1</w:t>
      </w:r>
      <w:r>
        <w:rPr>
          <w:rFonts w:hint="default" w:ascii="Times New Roman" w:hAnsi="Times New Roman" w:eastAsia="宋体" w:cs="Times New Roman"/>
          <w:color w:val="auto"/>
          <w:kern w:val="2"/>
          <w:sz w:val="24"/>
          <w:szCs w:val="24"/>
          <w:highlight w:val="none"/>
        </w:rPr>
        <w:t>（1</w:t>
      </w:r>
      <w:r>
        <w:rPr>
          <w:rFonts w:hint="eastAsia" w:ascii="Times New Roman" w:hAnsi="Times New Roman" w:eastAsia="宋体" w:cs="Times New Roman"/>
          <w:color w:val="auto"/>
          <w:kern w:val="2"/>
          <w:sz w:val="24"/>
          <w:szCs w:val="24"/>
          <w:highlight w:val="none"/>
          <w:lang w:val="en-US" w:eastAsia="zh-CN"/>
        </w:rPr>
        <w:t>5</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螺纹连接可以通过接触定义输入螺纹内外径、螺纹升角等螺纹参数，无需建立螺纹的具体细节，但能考虑这些因素的影响。</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66DF7A8D">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magenta"/>
        </w:rPr>
      </w:pPr>
      <w:r>
        <w:rPr>
          <w:rFonts w:hint="default" w:ascii="Times New Roman" w:hAnsi="Times New Roman" w:eastAsia="宋体" w:cs="Times New Roman"/>
          <w:b/>
          <w:bCs/>
          <w:color w:val="auto"/>
          <w:sz w:val="24"/>
          <w:szCs w:val="24"/>
          <w:lang w:val="en-US" w:eastAsia="zh-CN" w:bidi="ar-SA"/>
        </w:rPr>
        <w:t>▲</w:t>
      </w:r>
      <w:r>
        <w:rPr>
          <w:rFonts w:hint="default" w:ascii="Times New Roman" w:hAnsi="Times New Roman" w:eastAsia="宋体" w:cs="Times New Roman"/>
          <w:b/>
          <w:bCs/>
          <w:color w:val="auto"/>
          <w:sz w:val="24"/>
          <w:szCs w:val="24"/>
          <w:highlight w:val="none"/>
          <w:shd w:val="clear"/>
          <w:vertAlign w:val="superscript"/>
          <w:lang w:val="en-US" w:eastAsia="zh-CN"/>
        </w:rPr>
        <w:t>18-1</w:t>
      </w:r>
      <w:r>
        <w:rPr>
          <w:rFonts w:hint="eastAsia" w:ascii="Times New Roman" w:hAnsi="Times New Roman" w:eastAsia="宋体" w:cs="Times New Roman"/>
          <w:b/>
          <w:bCs/>
          <w:color w:val="auto"/>
          <w:sz w:val="24"/>
          <w:szCs w:val="24"/>
          <w:highlight w:val="none"/>
          <w:shd w:val="clear"/>
          <w:vertAlign w:val="superscript"/>
          <w:lang w:val="en-US" w:eastAsia="zh-CN"/>
        </w:rPr>
        <w:t>2</w:t>
      </w:r>
      <w:r>
        <w:rPr>
          <w:rFonts w:hint="default" w:ascii="Times New Roman" w:hAnsi="Times New Roman" w:eastAsia="宋体" w:cs="Times New Roman"/>
          <w:color w:val="auto"/>
          <w:kern w:val="2"/>
          <w:sz w:val="24"/>
          <w:szCs w:val="24"/>
          <w:highlight w:val="none"/>
        </w:rPr>
        <w:t>（1</w:t>
      </w:r>
      <w:r>
        <w:rPr>
          <w:rFonts w:hint="eastAsia" w:ascii="Times New Roman" w:hAnsi="Times New Roman" w:eastAsia="宋体" w:cs="Times New Roman"/>
          <w:color w:val="auto"/>
          <w:kern w:val="2"/>
          <w:sz w:val="24"/>
          <w:szCs w:val="24"/>
          <w:highlight w:val="none"/>
          <w:lang w:val="en-US" w:eastAsia="zh-CN"/>
        </w:rPr>
        <w:t>6</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具有基于非线性的刚柔解决的机构运动分析功能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具备</w:t>
      </w:r>
      <w:r>
        <w:rPr>
          <w:rFonts w:hint="default" w:ascii="Times New Roman" w:hAnsi="Times New Roman" w:eastAsia="宋体" w:cs="Times New Roman"/>
          <w:color w:val="auto"/>
          <w:sz w:val="24"/>
          <w:szCs w:val="24"/>
          <w:highlight w:val="none"/>
          <w:lang w:val="en-US" w:eastAsia="zh-CN"/>
        </w:rPr>
        <w:t>不少于</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种连接器属性，可以模拟各种类型的运动副。</w:t>
      </w:r>
      <w:r>
        <w:rPr>
          <w:rFonts w:hint="default" w:ascii="Times New Roman" w:hAnsi="Times New Roman" w:eastAsia="宋体" w:cs="Times New Roman"/>
          <w:b/>
          <w:bCs/>
          <w:color w:val="auto"/>
          <w:sz w:val="24"/>
          <w:szCs w:val="24"/>
          <w:highlight w:val="none"/>
          <w:u w:val="single"/>
          <w:lang w:eastAsia="zh-CN"/>
        </w:rPr>
        <w:t>【需提供制造商公开发布的软件说明或白皮书或承诺书，并加盖投标人公章。】</w:t>
      </w:r>
    </w:p>
    <w:p w14:paraId="12D1E0BB">
      <w:pPr>
        <w:pStyle w:val="34"/>
        <w:pageBreakBefore w:val="0"/>
        <w:widowControl w:val="0"/>
        <w:numPr>
          <w:ilvl w:val="0"/>
          <w:numId w:val="0"/>
        </w:numPr>
        <w:kinsoku/>
        <w:wordWrap/>
        <w:overflowPunct/>
        <w:topLinePunct w:val="0"/>
        <w:bidi w:val="0"/>
        <w:snapToGrid/>
        <w:spacing w:before="0" w:after="0" w:line="360" w:lineRule="auto"/>
        <w:ind w:firstLine="482" w:firstLineChars="200"/>
        <w:jc w:val="left"/>
        <w:textAlignment w:val="auto"/>
        <w:outlineLvl w:val="9"/>
        <w:rPr>
          <w:rFonts w:hint="default" w:ascii="Times New Roman" w:hAnsi="Times New Roman" w:eastAsia="宋体" w:cs="Times New Roman"/>
          <w:b/>
          <w:color w:val="auto"/>
          <w:sz w:val="24"/>
          <w:szCs w:val="24"/>
          <w:highlight w:val="none"/>
        </w:rPr>
      </w:pPr>
      <w:bookmarkStart w:id="13" w:name="_Toc172730555"/>
      <w:r>
        <w:rPr>
          <w:rFonts w:hint="default" w:ascii="Times New Roman" w:hAnsi="Times New Roman" w:eastAsia="宋体" w:cs="Times New Roman"/>
          <w:b/>
          <w:color w:val="auto"/>
          <w:sz w:val="24"/>
          <w:szCs w:val="24"/>
          <w:highlight w:val="none"/>
        </w:rPr>
        <w:t>1.3 显式求解器模块功能</w:t>
      </w:r>
      <w:bookmarkEnd w:id="13"/>
    </w:p>
    <w:p w14:paraId="1A754740">
      <w:pPr>
        <w:pStyle w:val="35"/>
        <w:spacing w:line="360" w:lineRule="auto"/>
        <w:ind w:left="0"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kern w:val="2"/>
          <w:sz w:val="24"/>
          <w:szCs w:val="24"/>
          <w:highlight w:val="none"/>
        </w:rPr>
        <w:t>（1</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提供动力学求解器可以对大变形、大位移以及冲击跌落问题进行分析，求解器需有全积分单元，对单元积分方式可进行选择。支持30种以上的材料本构模型。</w:t>
      </w:r>
      <w:r>
        <w:rPr>
          <w:rFonts w:hint="default" w:ascii="Times New Roman" w:hAnsi="Times New Roman" w:eastAsia="宋体" w:cs="Times New Roman"/>
          <w:b/>
          <w:bCs/>
          <w:color w:val="auto"/>
          <w:sz w:val="24"/>
          <w:szCs w:val="24"/>
          <w:highlight w:val="none"/>
          <w:u w:val="single"/>
          <w:lang w:val="en-US" w:eastAsia="zh-CN" w:bidi="ar-SA"/>
        </w:rPr>
        <w:t>【需提供制造商公开发布的软件说明或白皮书或承诺书，并加盖投标人公章。】</w:t>
      </w:r>
    </w:p>
    <w:p w14:paraId="1445DA62">
      <w:pPr>
        <w:pStyle w:val="35"/>
        <w:pageBreakBefore w:val="0"/>
        <w:widowControl w:val="0"/>
        <w:kinsoku/>
        <w:wordWrap/>
        <w:overflowPunct/>
        <w:topLinePunct w:val="0"/>
        <w:bidi w:val="0"/>
        <w:snapToGrid/>
        <w:spacing w:line="360" w:lineRule="auto"/>
        <w:ind w:left="0" w:firstLine="480" w:firstLineChars="200"/>
        <w:contextualSpacing w:val="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rPr>
        <w:t>（2</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结构分析求解器可与动力学分析求解器无缝集成，二者分析结果可以互导，仅通过简单操作即可完成。静力结构分析的结果可以导入动力学分析中，作为动力学分析的初始条件。</w:t>
      </w:r>
    </w:p>
    <w:p w14:paraId="783D0EF3">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lang w:val="en-US" w:eastAsia="zh-CN" w:bidi="ar-SA"/>
        </w:rPr>
        <w:t>▲</w:t>
      </w:r>
      <w:r>
        <w:rPr>
          <w:rFonts w:hint="default" w:ascii="Times New Roman" w:hAnsi="Times New Roman" w:eastAsia="宋体" w:cs="Times New Roman"/>
          <w:b/>
          <w:bCs/>
          <w:color w:val="auto"/>
          <w:sz w:val="24"/>
          <w:szCs w:val="24"/>
          <w:highlight w:val="none"/>
          <w:shd w:val="clear"/>
          <w:vertAlign w:val="superscript"/>
          <w:lang w:val="en-US" w:eastAsia="zh-CN"/>
        </w:rPr>
        <w:t>18-13</w:t>
      </w:r>
      <w:r>
        <w:rPr>
          <w:rFonts w:hint="default" w:ascii="Times New Roman" w:hAnsi="Times New Roman" w:eastAsia="宋体" w:cs="Times New Roman"/>
          <w:color w:val="auto"/>
          <w:kern w:val="2"/>
          <w:sz w:val="24"/>
          <w:szCs w:val="24"/>
          <w:highlight w:val="none"/>
        </w:rPr>
        <w:t>（3</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提供磨损分析功能，可以根据磨损速率让表面节点自动向内部移动，实现材料的减少，即磨损。结合网格自适应可以解决磨损量过大导致整个单元被抹掉出现的单元畸变。</w:t>
      </w:r>
      <w:r>
        <w:rPr>
          <w:rFonts w:hint="default" w:ascii="Times New Roman" w:hAnsi="Times New Roman" w:eastAsia="宋体" w:cs="Times New Roman"/>
          <w:b/>
          <w:bCs/>
          <w:color w:val="auto"/>
          <w:sz w:val="24"/>
          <w:szCs w:val="24"/>
          <w:highlight w:val="none"/>
          <w:u w:val="single"/>
          <w:lang w:val="en-US" w:eastAsia="zh-CN" w:bidi="ar-SA"/>
        </w:rPr>
        <w:t>【需提供制造商公开发布的软件说明或白皮书或承诺书，并加盖投标人公章。】</w:t>
      </w:r>
    </w:p>
    <w:p w14:paraId="5BEF728B">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b/>
          <w:bCs/>
          <w:color w:val="auto"/>
          <w:sz w:val="24"/>
          <w:szCs w:val="24"/>
          <w:highlight w:val="none"/>
          <w:u w:val="single"/>
          <w:lang w:val="en-US" w:eastAsia="zh-CN" w:bidi="ar-SA"/>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具有高效的（8核</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并行计算能力，可实现单节点多核并行、多节点并行高效计算；具有GPU加速功能</w:t>
      </w:r>
      <w:r>
        <w:rPr>
          <w:rFonts w:hint="default" w:ascii="Times New Roman" w:hAnsi="Times New Roman" w:eastAsia="宋体" w:cs="Times New Roman"/>
          <w:b w:val="0"/>
          <w:bCs w:val="0"/>
          <w:color w:val="auto"/>
          <w:sz w:val="24"/>
          <w:szCs w:val="24"/>
          <w:highlight w:val="none"/>
          <w:u w:val="none"/>
          <w:lang w:val="en-US" w:eastAsia="zh-CN" w:bidi="ar-SA"/>
        </w:rPr>
        <w:t>。</w:t>
      </w:r>
      <w:r>
        <w:rPr>
          <w:rFonts w:hint="default" w:ascii="Times New Roman" w:hAnsi="Times New Roman" w:eastAsia="宋体" w:cs="Times New Roman"/>
          <w:b/>
          <w:bCs/>
          <w:color w:val="auto"/>
          <w:sz w:val="24"/>
          <w:szCs w:val="24"/>
          <w:highlight w:val="none"/>
          <w:u w:val="single"/>
          <w:lang w:val="en-US" w:eastAsia="zh-CN" w:bidi="ar-SA"/>
        </w:rPr>
        <w:t>【需提供制造商公开发布的软件说明或白皮书或承诺书，并加盖投标人公章。】</w:t>
      </w:r>
    </w:p>
    <w:p w14:paraId="37713888">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lang w:val="en-US" w:eastAsia="zh-CN" w:bidi="ar-SA"/>
        </w:rPr>
        <w:t>▲</w:t>
      </w:r>
      <w:r>
        <w:rPr>
          <w:rFonts w:hint="default" w:ascii="Times New Roman" w:hAnsi="Times New Roman" w:eastAsia="宋体" w:cs="Times New Roman"/>
          <w:b/>
          <w:bCs/>
          <w:color w:val="auto"/>
          <w:sz w:val="24"/>
          <w:szCs w:val="24"/>
          <w:highlight w:val="none"/>
          <w:shd w:val="clear"/>
          <w:vertAlign w:val="superscript"/>
          <w:lang w:val="en-US" w:eastAsia="zh-CN"/>
        </w:rPr>
        <w:t>18-1</w:t>
      </w:r>
      <w:r>
        <w:rPr>
          <w:rFonts w:hint="eastAsia" w:ascii="Times New Roman" w:hAnsi="Times New Roman" w:eastAsia="宋体" w:cs="Times New Roman"/>
          <w:b/>
          <w:bCs/>
          <w:color w:val="auto"/>
          <w:sz w:val="24"/>
          <w:szCs w:val="24"/>
          <w:highlight w:val="none"/>
          <w:shd w:val="clear"/>
          <w:vertAlign w:val="superscript"/>
          <w:lang w:val="en-US" w:eastAsia="zh-CN"/>
        </w:rPr>
        <w:t>4</w:t>
      </w:r>
      <w:r>
        <w:rPr>
          <w:rFonts w:hint="default" w:ascii="Times New Roman" w:hAnsi="Times New Roman" w:eastAsia="宋体" w:cs="Times New Roman"/>
          <w:color w:val="auto"/>
          <w:kern w:val="2"/>
          <w:sz w:val="24"/>
          <w:szCs w:val="24"/>
          <w:highlight w:val="none"/>
        </w:rPr>
        <w:t>（5</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基于单元网格不动，材料可以在单元网格中流动的CEL技术，用以解决结构的大变形及流体力学问题。</w:t>
      </w:r>
      <w:r>
        <w:rPr>
          <w:rFonts w:hint="default" w:ascii="Times New Roman" w:hAnsi="Times New Roman" w:eastAsia="宋体" w:cs="Times New Roman"/>
          <w:b/>
          <w:bCs/>
          <w:color w:val="auto"/>
          <w:sz w:val="24"/>
          <w:szCs w:val="24"/>
          <w:highlight w:val="none"/>
          <w:u w:val="single"/>
          <w:lang w:val="en-US" w:eastAsia="zh-CN" w:bidi="ar-SA"/>
        </w:rPr>
        <w:t>【需提供制造商公开发布的软件说明或白皮书或承诺书，并加盖投标人公章。】</w:t>
      </w:r>
    </w:p>
    <w:p w14:paraId="68F10274">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bidi="ar-SA"/>
        </w:rPr>
        <w:t>▲</w:t>
      </w:r>
      <w:r>
        <w:rPr>
          <w:rFonts w:hint="default" w:ascii="Times New Roman" w:hAnsi="Times New Roman" w:eastAsia="宋体" w:cs="Times New Roman"/>
          <w:b/>
          <w:bCs/>
          <w:color w:val="auto"/>
          <w:sz w:val="24"/>
          <w:szCs w:val="24"/>
          <w:highlight w:val="none"/>
          <w:shd w:val="clear"/>
          <w:vertAlign w:val="superscript"/>
          <w:lang w:val="en-US" w:eastAsia="zh-CN"/>
        </w:rPr>
        <w:t>18-1</w:t>
      </w:r>
      <w:r>
        <w:rPr>
          <w:rFonts w:hint="eastAsia" w:ascii="Times New Roman" w:hAnsi="Times New Roman" w:eastAsia="宋体" w:cs="Times New Roman"/>
          <w:b/>
          <w:bCs/>
          <w:color w:val="auto"/>
          <w:sz w:val="24"/>
          <w:szCs w:val="24"/>
          <w:highlight w:val="none"/>
          <w:shd w:val="clear"/>
          <w:vertAlign w:val="superscript"/>
          <w:lang w:val="en-US" w:eastAsia="zh-CN"/>
        </w:rPr>
        <w:t>5</w:t>
      </w:r>
      <w:r>
        <w:rPr>
          <w:rFonts w:hint="default" w:ascii="Times New Roman" w:hAnsi="Times New Roman" w:eastAsia="宋体" w:cs="Times New Roman"/>
          <w:color w:val="auto"/>
          <w:kern w:val="2"/>
          <w:sz w:val="24"/>
          <w:szCs w:val="24"/>
        </w:rPr>
        <w:t>（6</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lang w:val="en-US" w:eastAsia="zh-CN"/>
        </w:rPr>
        <w:t>子</w:t>
      </w:r>
      <w:r>
        <w:rPr>
          <w:rFonts w:hint="default" w:ascii="Times New Roman" w:hAnsi="Times New Roman" w:eastAsia="宋体" w:cs="Times New Roman"/>
          <w:color w:val="auto"/>
          <w:sz w:val="24"/>
          <w:szCs w:val="24"/>
        </w:rPr>
        <w:t>循环功能，某些结构由于特殊原因无法划分比较粗的网格，但其它部分可以划分比较粗的网格，则在这个区域可以采用次循环技术，不同的区域可以采用不同的时间增量步，以提高计算精度和计算速度。</w:t>
      </w:r>
      <w:r>
        <w:rPr>
          <w:rFonts w:hint="default" w:ascii="Times New Roman" w:hAnsi="Times New Roman" w:eastAsia="宋体" w:cs="Times New Roman"/>
          <w:b/>
          <w:bCs/>
          <w:color w:val="auto"/>
          <w:sz w:val="24"/>
          <w:szCs w:val="24"/>
          <w:highlight w:val="none"/>
          <w:u w:val="single"/>
          <w:lang w:val="en-US" w:eastAsia="zh-CN" w:bidi="ar-SA"/>
        </w:rPr>
        <w:t>【需提供制造商公开发布的软件说明或白皮书或承诺书，并加盖投标人公章。】</w:t>
      </w:r>
    </w:p>
    <w:p w14:paraId="1EC2DD6D">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（7</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具有光顺粒子流方法，支持光顺粒子流及无网格法。</w:t>
      </w:r>
    </w:p>
    <w:p w14:paraId="42A43197">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bidi="ar-SA"/>
        </w:rPr>
        <w:t>▲</w:t>
      </w:r>
      <w:r>
        <w:rPr>
          <w:rFonts w:hint="default" w:ascii="Times New Roman" w:hAnsi="Times New Roman" w:eastAsia="宋体" w:cs="Times New Roman"/>
          <w:b/>
          <w:bCs/>
          <w:color w:val="auto"/>
          <w:sz w:val="24"/>
          <w:szCs w:val="24"/>
          <w:highlight w:val="none"/>
          <w:shd w:val="clear"/>
          <w:vertAlign w:val="superscript"/>
          <w:lang w:val="en-US" w:eastAsia="zh-CN"/>
        </w:rPr>
        <w:t>18-1</w:t>
      </w:r>
      <w:r>
        <w:rPr>
          <w:rFonts w:hint="eastAsia" w:ascii="Times New Roman" w:hAnsi="Times New Roman" w:eastAsia="宋体" w:cs="Times New Roman"/>
          <w:b/>
          <w:bCs/>
          <w:color w:val="auto"/>
          <w:sz w:val="24"/>
          <w:szCs w:val="24"/>
          <w:highlight w:val="none"/>
          <w:shd w:val="clear"/>
          <w:vertAlign w:val="superscript"/>
          <w:lang w:val="en-US" w:eastAsia="zh-CN"/>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支持同一模型同一次计算中结合显式、隐式求解器进行耦合求解，即可以将单一模型分成两个部分，显式求解器和隐式求解器分别求解两个部分，通过公共区域进行变量的传递。</w:t>
      </w:r>
      <w:r>
        <w:rPr>
          <w:rFonts w:hint="default" w:ascii="Times New Roman" w:hAnsi="Times New Roman" w:eastAsia="宋体" w:cs="Times New Roman"/>
          <w:b/>
          <w:bCs/>
          <w:color w:val="auto"/>
          <w:sz w:val="24"/>
          <w:szCs w:val="24"/>
          <w:highlight w:val="none"/>
          <w:u w:val="single"/>
          <w:lang w:val="en-US" w:eastAsia="zh-CN" w:bidi="ar-SA"/>
        </w:rPr>
        <w:t>【需提供制造商公开发布的软件说明或白皮书或承诺书，并加盖投标人公章。】</w:t>
      </w:r>
    </w:p>
    <w:p w14:paraId="4F36E302">
      <w:pPr>
        <w:pStyle w:val="34"/>
        <w:pageBreakBefore w:val="0"/>
        <w:widowControl w:val="0"/>
        <w:numPr>
          <w:ilvl w:val="0"/>
          <w:numId w:val="0"/>
        </w:numPr>
        <w:kinsoku/>
        <w:wordWrap/>
        <w:overflowPunct/>
        <w:topLinePunct w:val="0"/>
        <w:bidi w:val="0"/>
        <w:snapToGrid/>
        <w:spacing w:before="0" w:after="0" w:line="360" w:lineRule="auto"/>
        <w:ind w:firstLine="482" w:firstLineChars="200"/>
        <w:jc w:val="left"/>
        <w:textAlignment w:val="auto"/>
        <w:outlineLvl w:val="9"/>
        <w:rPr>
          <w:rFonts w:hint="default" w:ascii="Times New Roman" w:hAnsi="Times New Roman" w:eastAsia="宋体" w:cs="Times New Roman"/>
          <w:b/>
          <w:color w:val="auto"/>
          <w:sz w:val="24"/>
          <w:szCs w:val="24"/>
        </w:rPr>
      </w:pPr>
      <w:bookmarkStart w:id="14" w:name="_Toc172730556"/>
      <w:r>
        <w:rPr>
          <w:rFonts w:hint="default" w:ascii="Times New Roman" w:hAnsi="Times New Roman" w:eastAsia="宋体" w:cs="Times New Roman"/>
          <w:b/>
          <w:color w:val="auto"/>
          <w:sz w:val="24"/>
          <w:szCs w:val="24"/>
        </w:rPr>
        <w:t>1.4 疲劳分析模块功能</w:t>
      </w:r>
      <w:bookmarkEnd w:id="14"/>
    </w:p>
    <w:p w14:paraId="2B50E212">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（1</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支持Windows系列和Linux系列操作系统平台，具有良好的操作界面。</w:t>
      </w:r>
    </w:p>
    <w:p w14:paraId="05CE9C1A">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（2</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可交互式操作完成疲劳求解的各种输入设置和输出设置，并对计算结果进行处理。</w:t>
      </w:r>
    </w:p>
    <w:p w14:paraId="6C2DCF22">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（3</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与当前主流CAE软件具有无缝接口，可以直接进行数据的导入和导出。</w:t>
      </w:r>
    </w:p>
    <w:p w14:paraId="42B448F0">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（4</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能够满足高周疲劳的分析。</w:t>
      </w:r>
    </w:p>
    <w:p w14:paraId="7C6409F4">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能够满足多种材料的疲劳分析。</w:t>
      </w:r>
    </w:p>
    <w:p w14:paraId="077426EA">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（6</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能够满足复杂载荷情况。</w:t>
      </w:r>
    </w:p>
    <w:p w14:paraId="23955397">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（7</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能够给出疲劳寿命预估。</w:t>
      </w:r>
    </w:p>
    <w:p w14:paraId="3A3FEFD3">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软件至少提供6种多轴应力算法和4种多轴应变算法，以及多种平均应力修正方法。</w:t>
      </w:r>
      <w:r>
        <w:rPr>
          <w:rFonts w:hint="default" w:ascii="Times New Roman" w:hAnsi="Times New Roman" w:eastAsia="宋体" w:cs="Times New Roman"/>
          <w:b/>
          <w:bCs/>
          <w:color w:val="auto"/>
          <w:sz w:val="24"/>
          <w:szCs w:val="24"/>
          <w:highlight w:val="none"/>
          <w:u w:val="single"/>
          <w:lang w:val="en-US" w:eastAsia="zh-CN" w:bidi="ar-SA"/>
        </w:rPr>
        <w:t>【需提供制造商公开发布的软件说明或白皮书或承诺书，并加盖投标人公章。】</w:t>
      </w:r>
    </w:p>
    <w:p w14:paraId="76C875B4">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（9</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具有时域和频域分析功能。</w:t>
      </w:r>
    </w:p>
    <w:p w14:paraId="552D5666">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（10</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支持时域载荷谱曲线的多通道处理，至少同时支持4000通道以上的时域载荷谱曲线。</w:t>
      </w:r>
    </w:p>
    <w:p w14:paraId="08FADE14">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（11</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软件应支持基于实验采集的应变数据进行疲劳分析，支持多种工业标准数据文件格式，至少支持4000个通道数据的读入。</w:t>
      </w:r>
    </w:p>
    <w:p w14:paraId="455C541C">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（12</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拥有频域载荷谱曲线处理和分析方法，拥有SSD 和 PSD处理和分析方法。</w:t>
      </w:r>
    </w:p>
    <w:p w14:paraId="5471B07E">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（13</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可基于至少200000个顺序应力状态，进行疲劳寿命分析。</w:t>
      </w:r>
    </w:p>
    <w:p w14:paraId="6DD80AB3">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（14</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可将冲压、装配或铸造中产生的残余应力映射到疲劳软件中，进行疲劳寿命分析。</w:t>
      </w:r>
    </w:p>
    <w:p w14:paraId="663D5047">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bidi="ar-SA"/>
        </w:rPr>
        <w:t>▲</w:t>
      </w:r>
      <w:r>
        <w:rPr>
          <w:rFonts w:hint="default" w:ascii="Times New Roman" w:hAnsi="Times New Roman" w:eastAsia="宋体" w:cs="Times New Roman"/>
          <w:b/>
          <w:bCs/>
          <w:color w:val="auto"/>
          <w:sz w:val="24"/>
          <w:szCs w:val="24"/>
          <w:highlight w:val="none"/>
          <w:shd w:val="clear"/>
          <w:vertAlign w:val="superscript"/>
          <w:lang w:val="en-US" w:eastAsia="zh-CN"/>
        </w:rPr>
        <w:t>18-1</w:t>
      </w:r>
      <w:r>
        <w:rPr>
          <w:rFonts w:hint="eastAsia" w:ascii="Times New Roman" w:hAnsi="Times New Roman" w:eastAsia="宋体" w:cs="Times New Roman"/>
          <w:b/>
          <w:bCs/>
          <w:color w:val="auto"/>
          <w:sz w:val="24"/>
          <w:szCs w:val="24"/>
          <w:highlight w:val="none"/>
          <w:shd w:val="clear"/>
          <w:vertAlign w:val="superscript"/>
          <w:lang w:val="en-US" w:eastAsia="zh-CN"/>
        </w:rPr>
        <w:t>7</w:t>
      </w:r>
      <w:r>
        <w:rPr>
          <w:rFonts w:hint="default" w:ascii="Times New Roman" w:hAnsi="Times New Roman" w:eastAsia="宋体" w:cs="Times New Roman"/>
          <w:color w:val="auto"/>
          <w:kern w:val="2"/>
          <w:sz w:val="24"/>
          <w:szCs w:val="24"/>
        </w:rPr>
        <w:t>（15</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最少提供300种以上通用疲劳材料数据库，包含钢铁、铝合金和铸铁材料等。</w:t>
      </w:r>
      <w:r>
        <w:rPr>
          <w:rFonts w:hint="default" w:ascii="Times New Roman" w:hAnsi="Times New Roman" w:eastAsia="宋体" w:cs="Times New Roman"/>
          <w:b/>
          <w:bCs/>
          <w:color w:val="auto"/>
          <w:sz w:val="24"/>
          <w:szCs w:val="24"/>
          <w:highlight w:val="none"/>
          <w:u w:val="single"/>
          <w:lang w:val="en-US" w:eastAsia="zh-CN" w:bidi="ar-SA"/>
        </w:rPr>
        <w:t>【需提供制造商公开发布的软件说明或白皮书或承诺书，并加盖投标人公章。】</w:t>
      </w:r>
    </w:p>
    <w:p w14:paraId="76928713">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（16</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单节点多核并行功能，无核数限制，并且无需额外费用。</w:t>
      </w:r>
    </w:p>
    <w:p w14:paraId="0B513EF4">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（17</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对于输入和输出的超大文件，无文件大小限制要求。</w:t>
      </w:r>
    </w:p>
    <w:p w14:paraId="20F906EA">
      <w:pPr>
        <w:pStyle w:val="34"/>
        <w:pageBreakBefore w:val="0"/>
        <w:widowControl w:val="0"/>
        <w:numPr>
          <w:ilvl w:val="0"/>
          <w:numId w:val="0"/>
        </w:numPr>
        <w:kinsoku/>
        <w:wordWrap/>
        <w:overflowPunct/>
        <w:topLinePunct w:val="0"/>
        <w:bidi w:val="0"/>
        <w:snapToGrid/>
        <w:spacing w:before="0" w:after="0" w:line="360" w:lineRule="auto"/>
        <w:ind w:firstLine="482" w:firstLineChars="200"/>
        <w:jc w:val="both"/>
        <w:textAlignment w:val="auto"/>
        <w:outlineLvl w:val="9"/>
        <w:rPr>
          <w:rFonts w:hint="default" w:ascii="Times New Roman" w:hAnsi="Times New Roman" w:eastAsia="宋体" w:cs="Times New Roman"/>
          <w:b/>
          <w:color w:val="auto"/>
          <w:sz w:val="24"/>
          <w:szCs w:val="24"/>
        </w:rPr>
      </w:pPr>
      <w:bookmarkStart w:id="15" w:name="_Toc172730557"/>
      <w:r>
        <w:rPr>
          <w:rFonts w:hint="default" w:ascii="Times New Roman" w:hAnsi="Times New Roman" w:eastAsia="宋体" w:cs="Times New Roman"/>
          <w:b/>
          <w:color w:val="auto"/>
          <w:sz w:val="24"/>
          <w:szCs w:val="24"/>
        </w:rPr>
        <w:t>1.5 结构优化模块功能</w:t>
      </w:r>
      <w:bookmarkEnd w:id="15"/>
    </w:p>
    <w:p w14:paraId="614E362C">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（1</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支持Windows系列和Linux系列操作系统平台，具有良好的操作界面。</w:t>
      </w:r>
    </w:p>
    <w:p w14:paraId="4921C80A">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（2</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软件功能涵盖优化前后处理和优化功能，并支持多样化的前后处理环境。</w:t>
      </w:r>
    </w:p>
    <w:p w14:paraId="1E79E6E5">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（3</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软件系统必须保持开放性，可调用ANSYS/NASTRAN/ABAQUS等工业标准的有限元软件联合开展结构优化；</w:t>
      </w:r>
    </w:p>
    <w:p w14:paraId="76ED9F1A">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软件必须支持结构优化，能为概念设计和详细设计提供丰富的优化方法，包括拓扑优化、起筋优化、尺寸优化、形状优化</w:t>
      </w:r>
      <w:bookmarkStart w:id="16" w:name="_Toc194343132"/>
      <w:r>
        <w:rPr>
          <w:rFonts w:hint="default" w:ascii="Times New Roman" w:hAnsi="Times New Roman" w:eastAsia="宋体" w:cs="Times New Roman"/>
          <w:color w:val="auto"/>
          <w:sz w:val="24"/>
          <w:szCs w:val="24"/>
        </w:rPr>
        <w:t>等。</w:t>
      </w:r>
      <w:r>
        <w:rPr>
          <w:rFonts w:hint="default" w:ascii="Times New Roman" w:hAnsi="Times New Roman" w:eastAsia="宋体" w:cs="Times New Roman"/>
          <w:b/>
          <w:bCs/>
          <w:color w:val="auto"/>
          <w:sz w:val="24"/>
          <w:szCs w:val="24"/>
          <w:highlight w:val="none"/>
          <w:u w:val="single"/>
          <w:lang w:val="en-US" w:eastAsia="zh-CN" w:bidi="ar-SA"/>
        </w:rPr>
        <w:t>【需提供制造商公开发布的软件说明或白皮书或承诺书，并加盖投标人公章。】</w:t>
      </w:r>
    </w:p>
    <w:bookmarkEnd w:id="16"/>
    <w:p w14:paraId="366D809A">
      <w:pPr>
        <w:pStyle w:val="34"/>
        <w:pageBreakBefore w:val="0"/>
        <w:widowControl w:val="0"/>
        <w:numPr>
          <w:ilvl w:val="0"/>
          <w:numId w:val="0"/>
        </w:numPr>
        <w:kinsoku/>
        <w:wordWrap/>
        <w:overflowPunct/>
        <w:topLinePunct w:val="0"/>
        <w:bidi w:val="0"/>
        <w:snapToGrid/>
        <w:spacing w:before="0" w:after="0" w:line="360" w:lineRule="auto"/>
        <w:ind w:firstLine="482" w:firstLineChars="200"/>
        <w:jc w:val="both"/>
        <w:textAlignment w:val="auto"/>
        <w:outlineLvl w:val="9"/>
        <w:rPr>
          <w:rFonts w:hint="default" w:ascii="Times New Roman" w:hAnsi="Times New Roman" w:eastAsia="宋体" w:cs="Times New Roman"/>
          <w:b/>
          <w:color w:val="auto"/>
          <w:sz w:val="24"/>
          <w:szCs w:val="24"/>
        </w:rPr>
      </w:pPr>
      <w:bookmarkStart w:id="17" w:name="_Toc172730558"/>
      <w:r>
        <w:rPr>
          <w:rFonts w:hint="default" w:ascii="Times New Roman" w:hAnsi="Times New Roman" w:eastAsia="宋体" w:cs="Times New Roman"/>
          <w:b/>
          <w:color w:val="auto"/>
          <w:sz w:val="24"/>
          <w:szCs w:val="24"/>
        </w:rPr>
        <w:t>1.6 多学科多目标优化模块功能</w:t>
      </w:r>
      <w:bookmarkEnd w:id="17"/>
    </w:p>
    <w:p w14:paraId="50EFC9C3">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（1</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能够方便的集成商业软件、自研工具以及经验公式和小程序；能够实现跨平台性，不仅执行环境跨平台性，而且不同平台上设计的模型不行要任何修改能够在高性能计算服务器上顺利执行。</w:t>
      </w:r>
    </w:p>
    <w:p w14:paraId="23F5BA08">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（2</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软件在国内要有原厂商强大的专业技术支持。</w:t>
      </w:r>
    </w:p>
    <w:p w14:paraId="3FE84BEA">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（3</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软件要能够与LDAP认证系统进行集成，形成统一的用户认证管理。</w:t>
      </w:r>
    </w:p>
    <w:p w14:paraId="0FBE6690">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（4</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软件要能够实现，用户间的模型数据是安全隔离的。</w:t>
      </w:r>
    </w:p>
    <w:p w14:paraId="27471C49">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（5</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多模型同时执行服务器端要能够协调模型之间的执行和CAE工具软件的调用。</w:t>
      </w:r>
    </w:p>
    <w:p w14:paraId="2D2CCA2E">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（6</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需要能够支持商业数据库进行模型数据的管理。</w:t>
      </w:r>
    </w:p>
    <w:p w14:paraId="32BE40FF">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（7</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计算服务端要能够与LSF/PBS进行无缝集成。</w:t>
      </w:r>
    </w:p>
    <w:p w14:paraId="6776408B">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（8</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软件需采用基于面向对象的集成方式；图形化操作，拖拉式的集成操作；组件式的流程模型搭建方式。</w:t>
      </w:r>
    </w:p>
    <w:p w14:paraId="491313A4">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专业集成分析要求：软件优化分析模型分为仿真流和数据流向分离的方式，仿真流程和数据流程分开在不同的界面中操作与展示、确保界面干净，分类清晰；</w:t>
      </w:r>
    </w:p>
    <w:p w14:paraId="57E34C41">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软件要支持多专业分析之间的数据传递与映射，支持连续变量和离散型变量、支持参数单位量纲的标注、以及参数含义的标注；</w:t>
      </w:r>
    </w:p>
    <w:p w14:paraId="55F7F8A2">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软件要支持多维数组类型 </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一维、二维、三维、四维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 ，同时软件也有支持集合类型参数；</w:t>
      </w:r>
    </w:p>
    <w:p w14:paraId="0975BD07">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软件要支持定义文件参数，支持文件在仿真流程中进行自动化传递；</w:t>
      </w:r>
    </w:p>
    <w:p w14:paraId="442A2E54">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软件支持文本格式文件解析、支持XLM格式文件直接解析；</w:t>
      </w:r>
    </w:p>
    <w:p w14:paraId="65577FFB">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软件需支持将定义好的组件接口或流程保存到数据库中，支持从数据库中对组件或流程进行加载重用；</w:t>
      </w:r>
    </w:p>
    <w:p w14:paraId="008026B8">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软件需支持计算任务数据库，用户可以查询过去提交的任务，重新加载提交或查看结果；</w:t>
      </w:r>
    </w:p>
    <w:p w14:paraId="20251131">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软件支持仿真输入输出的大文件解析；</w:t>
      </w:r>
    </w:p>
    <w:p w14:paraId="624660F8">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color w:val="auto"/>
          <w:sz w:val="24"/>
          <w:szCs w:val="24"/>
          <w:highlight w:val="darkYellow"/>
        </w:rPr>
      </w:pPr>
      <w:r>
        <w:rPr>
          <w:rFonts w:hint="default" w:ascii="Times New Roman" w:hAnsi="Times New Roman" w:eastAsia="宋体" w:cs="Times New Roman"/>
          <w:b/>
          <w:bCs/>
          <w:color w:val="auto"/>
          <w:sz w:val="24"/>
          <w:szCs w:val="24"/>
          <w:lang w:val="en-US" w:eastAsia="zh-CN" w:bidi="ar-SA"/>
        </w:rPr>
        <w:t>▲</w:t>
      </w:r>
      <w:r>
        <w:rPr>
          <w:rFonts w:hint="default" w:ascii="Times New Roman" w:hAnsi="Times New Roman" w:eastAsia="宋体" w:cs="Times New Roman"/>
          <w:b/>
          <w:bCs/>
          <w:color w:val="auto"/>
          <w:sz w:val="24"/>
          <w:szCs w:val="24"/>
          <w:highlight w:val="none"/>
          <w:shd w:val="clear"/>
          <w:vertAlign w:val="superscript"/>
          <w:lang w:val="en-US" w:eastAsia="zh-CN"/>
        </w:rPr>
        <w:t>18</w:t>
      </w:r>
      <w:r>
        <w:rPr>
          <w:rFonts w:hint="default" w:ascii="Times New Roman" w:hAnsi="Times New Roman" w:eastAsia="宋体" w:cs="Times New Roman"/>
          <w:b/>
          <w:bCs/>
          <w:color w:val="auto"/>
          <w:sz w:val="24"/>
          <w:szCs w:val="24"/>
          <w:vertAlign w:val="superscript"/>
          <w:lang w:val="en-US" w:eastAsia="zh-CN"/>
        </w:rPr>
        <w:t>-1</w:t>
      </w:r>
      <w:r>
        <w:rPr>
          <w:rFonts w:hint="eastAsia" w:ascii="Times New Roman" w:hAnsi="Times New Roman" w:eastAsia="宋体" w:cs="Times New Roman"/>
          <w:b/>
          <w:bCs/>
          <w:color w:val="auto"/>
          <w:sz w:val="24"/>
          <w:szCs w:val="24"/>
          <w:vertAlign w:val="superscript"/>
          <w:lang w:val="en-US" w:eastAsia="zh-CN"/>
        </w:rPr>
        <w:t>8</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需</w:t>
      </w:r>
      <w:r>
        <w:rPr>
          <w:rFonts w:hint="default" w:ascii="Times New Roman" w:hAnsi="Times New Roman" w:eastAsia="宋体" w:cs="Times New Roman"/>
          <w:color w:val="auto"/>
          <w:sz w:val="24"/>
        </w:rPr>
        <w:t>要提供Adams Car、Adams chassis、ANSA、Ansys、Ansys Workbench、Catia、CATIA V5、Data Matching、Femap、Gt-Power、LS-DYNA、MADYMO、Mathcad、MSC.adams、MSC.Nastran、MSC.Patran、NEINastran、NXNastran、PAMCRASH、Pro/E、Solidworks、Unigraphics、AVL AST、FE-safe、Flux、Star-CCM+等商业接口。</w:t>
      </w:r>
      <w:r>
        <w:rPr>
          <w:rFonts w:hint="default" w:ascii="Times New Roman" w:hAnsi="Times New Roman" w:eastAsia="宋体" w:cs="Times New Roman"/>
          <w:b/>
          <w:bCs/>
          <w:color w:val="auto"/>
          <w:sz w:val="24"/>
          <w:szCs w:val="24"/>
          <w:highlight w:val="none"/>
          <w:u w:val="single"/>
          <w:lang w:val="en-US" w:eastAsia="zh-CN" w:bidi="ar-SA"/>
        </w:rPr>
        <w:t>【需提供制造商公开发布的软件说明或白皮书或承诺书，并加盖投标人公章。】</w:t>
      </w:r>
    </w:p>
    <w:p w14:paraId="015306F8">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软件需提供软件需提供如下后处理分析功能：主效应分析、交换效应分析、前沿解</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Pareto</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分析、过程分析、参数频率分析、2聚类分析、3降维分析、线性分析、归一化分析、拟合分析、决策分析、模型精度分析、工程数据挖掘。</w:t>
      </w:r>
    </w:p>
    <w:p w14:paraId="39B742FD">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19</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仿真流程定义中需支持加入逻辑判断条件。</w:t>
      </w:r>
    </w:p>
    <w:p w14:paraId="5309F948">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仿真流程支持多层嵌套。</w:t>
      </w:r>
    </w:p>
    <w:p w14:paraId="7DB830CA">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软件需通用接口，支持用户通过文本输入输出条件的方式集成自编软件，商业程序等。</w:t>
      </w:r>
    </w:p>
    <w:p w14:paraId="45E0E7D8">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对设计矩阵要能够按提供的过滤条件对设计矩阵进行过滤。</w:t>
      </w:r>
    </w:p>
    <w:p w14:paraId="386A56ED">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软件需提供专用组件，能直接对比两条曲线</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如仿真曲线，实验曲线</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功能，无需客户编程，能可视化实现数据拟合。</w:t>
      </w:r>
    </w:p>
    <w:p w14:paraId="0B1348CB">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使用最小二乘的方法获取响应面近似模型，可以支持构造线性，二阶，三阶，四阶模型。</w:t>
      </w:r>
    </w:p>
    <w:p w14:paraId="59926D56">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支持实验数据与模型计算结果对比，分析它们之间的差异，采用优化技术，调整模型参数，来修正计算模型，从而保证计算模型的计算结果与实验结果的差异在允许的范围内；进而探索分析输入变量的性质与变化规律。</w:t>
      </w:r>
    </w:p>
    <w:p w14:paraId="698CEBC9">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软件要能够按照用户的格式要求至少要提供两种格式Word和html自动生成相关分析报告。结果报告可集成于流程中，在分析完成后自动生成,保证报告总是最新的，并且及时送达指定人员。</w:t>
      </w:r>
    </w:p>
    <w:p w14:paraId="0CA19A53">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仿真和优化过程数据可以自动保存到数据库中.</w:t>
      </w:r>
    </w:p>
    <w:p w14:paraId="4E756856">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任务分为运行中的任务和已经运行完毕的任务；正在运行中的任务提供监控的功能。已运行完毕的任务将整个任务过程中的相关数据保存指定的数据库中.</w:t>
      </w:r>
    </w:p>
    <w:p w14:paraId="66DB0DFB">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软件自身均有良好的跨平台性；Linux和Windows均可良好运行，两个平台上搭建的模型要能够互相在对方的平台上顺利执行。</w:t>
      </w:r>
    </w:p>
    <w:p w14:paraId="49E6A033">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集成的软件支持跨平台，跨机器分布式调用。</w:t>
      </w:r>
    </w:p>
    <w:p w14:paraId="1E052F1F">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软件的扩展功能：允许用户自己扩展开发自定义组件接口、优化算法、实验设计算法、稳健设计算法接口。</w:t>
      </w:r>
    </w:p>
    <w:p w14:paraId="55829FD0">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能进行断点续算,支持在断电, 计算机关机等异常情况下进行优化续算。</w:t>
      </w:r>
    </w:p>
    <w:p w14:paraId="02869D40">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提供内外循环控制策略来验证近似模型的精度，保证优化的最终收敛。</w:t>
      </w:r>
    </w:p>
    <w:p w14:paraId="0B9C3E13">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支持仿真流程模型企业内权限控制下进行共享。</w:t>
      </w:r>
    </w:p>
    <w:p w14:paraId="418EDEB4">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提供工具帮助系统管理员监控仿真流程的执行和优化任务的执行状况。</w:t>
      </w:r>
    </w:p>
    <w:p w14:paraId="04FD0375">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支持优化任务根据计算服务器CPU数目自动提交计算任务的数目，实现计算资源的均衡负荷。</w:t>
      </w:r>
    </w:p>
    <w:p w14:paraId="1894FD25">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需要提供组件库，组件库中要能够存放不同版本的CAE工具接口，来访问不同版本的CAE分析工具。</w:t>
      </w:r>
    </w:p>
    <w:p w14:paraId="072A0142">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在库管理中要能够存放客户存放的典型模板模型，以便后续使用。</w:t>
      </w:r>
    </w:p>
    <w:p w14:paraId="7538D1BD">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需要能够提供对历史模型执行记录的查询。</w:t>
      </w:r>
    </w:p>
    <w:p w14:paraId="082F412D">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40</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需要能够支持访问文件服务器减少大模型在服务器之间的传输。</w:t>
      </w:r>
    </w:p>
    <w:p w14:paraId="377DE58D">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41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需要支持数组类型的文件参数配置与传递，满足多学科多目标优化仿真的需要。</w:t>
      </w:r>
    </w:p>
    <w:p w14:paraId="1B34D618">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1.7 软件版权要求：</w:t>
      </w:r>
    </w:p>
    <w:p w14:paraId="337285C8">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承诺中标后提供</w:t>
      </w:r>
      <w:r>
        <w:rPr>
          <w:rFonts w:hint="default" w:ascii="Times New Roman" w:hAnsi="Times New Roman" w:eastAsia="宋体" w:cs="Times New Roman"/>
          <w:color w:val="auto"/>
          <w:sz w:val="24"/>
          <w:szCs w:val="24"/>
        </w:rPr>
        <w:t>软件</w:t>
      </w:r>
      <w:r>
        <w:rPr>
          <w:rFonts w:hint="default" w:ascii="Times New Roman" w:hAnsi="Times New Roman" w:eastAsia="宋体" w:cs="Times New Roman"/>
          <w:color w:val="auto"/>
          <w:sz w:val="24"/>
          <w:szCs w:val="24"/>
          <w:lang w:val="en-US" w:eastAsia="zh-CN"/>
        </w:rPr>
        <w:t>制造商的</w:t>
      </w:r>
      <w:r>
        <w:rPr>
          <w:rFonts w:hint="default" w:ascii="Times New Roman" w:hAnsi="Times New Roman" w:eastAsia="宋体" w:cs="Times New Roman"/>
          <w:color w:val="auto"/>
          <w:sz w:val="24"/>
          <w:szCs w:val="24"/>
        </w:rPr>
        <w:t>销售授权。</w:t>
      </w:r>
    </w:p>
    <w:p w14:paraId="0817221B">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b/>
          <w:bCs/>
          <w:color w:val="auto"/>
          <w:sz w:val="24"/>
          <w:szCs w:val="24"/>
        </w:rPr>
      </w:pPr>
    </w:p>
    <w:p w14:paraId="3522A23F">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2.产品要求</w:t>
      </w:r>
    </w:p>
    <w:p w14:paraId="4F5FD9A5">
      <w:pPr>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2.1 </w:t>
      </w:r>
      <w:r>
        <w:rPr>
          <w:rFonts w:hint="default" w:ascii="Times New Roman" w:hAnsi="Times New Roman" w:eastAsia="宋体" w:cs="Times New Roman"/>
          <w:b/>
          <w:bCs/>
          <w:color w:val="auto"/>
          <w:sz w:val="24"/>
          <w:szCs w:val="24"/>
          <w:lang w:eastAsia="zh-CN"/>
        </w:rPr>
        <w:t>非线性结构有限元分析软件</w:t>
      </w:r>
    </w:p>
    <w:p w14:paraId="39533449">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包括模块：</w:t>
      </w:r>
    </w:p>
    <w:p w14:paraId="5C95FC98">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①显式求解器</w:t>
      </w:r>
    </w:p>
    <w:p w14:paraId="65DEEA5F">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②隐式求解器</w:t>
      </w:r>
    </w:p>
    <w:p w14:paraId="136BEF97">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③CAE前后处理模块</w:t>
      </w:r>
    </w:p>
    <w:p w14:paraId="73C8430C">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④疲劳</w:t>
      </w:r>
      <w:r>
        <w:rPr>
          <w:rFonts w:hint="default" w:ascii="Times New Roman" w:hAnsi="Times New Roman" w:eastAsia="宋体" w:cs="Times New Roman"/>
          <w:color w:val="auto"/>
          <w:sz w:val="24"/>
          <w:szCs w:val="24"/>
          <w:lang w:val="en-US" w:eastAsia="zh-CN"/>
        </w:rPr>
        <w:t>分析</w:t>
      </w:r>
      <w:r>
        <w:rPr>
          <w:rFonts w:hint="default" w:ascii="Times New Roman" w:hAnsi="Times New Roman" w:eastAsia="宋体" w:cs="Times New Roman"/>
          <w:color w:val="auto"/>
          <w:sz w:val="24"/>
          <w:szCs w:val="24"/>
        </w:rPr>
        <w:t>模块</w:t>
      </w:r>
    </w:p>
    <w:p w14:paraId="305637B8">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⑤多学科多</w:t>
      </w:r>
      <w:r>
        <w:rPr>
          <w:rFonts w:hint="default" w:ascii="Times New Roman" w:hAnsi="Times New Roman" w:eastAsia="宋体" w:cs="Times New Roman"/>
          <w:color w:val="auto"/>
          <w:sz w:val="24"/>
          <w:szCs w:val="24"/>
          <w:lang w:val="en-US" w:eastAsia="zh-CN"/>
        </w:rPr>
        <w:t>目标</w:t>
      </w:r>
      <w:r>
        <w:rPr>
          <w:rFonts w:hint="default" w:ascii="Times New Roman" w:hAnsi="Times New Roman" w:eastAsia="宋体" w:cs="Times New Roman"/>
          <w:color w:val="auto"/>
          <w:sz w:val="24"/>
          <w:szCs w:val="24"/>
        </w:rPr>
        <w:t>优化模块</w:t>
      </w:r>
    </w:p>
    <w:p w14:paraId="78898A78">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⑥</w:t>
      </w:r>
      <w:r>
        <w:rPr>
          <w:rFonts w:hint="default" w:ascii="Times New Roman" w:hAnsi="Times New Roman" w:eastAsia="宋体" w:cs="Times New Roman"/>
          <w:color w:val="auto"/>
          <w:sz w:val="24"/>
          <w:szCs w:val="24"/>
          <w:lang w:val="en-US" w:eastAsia="zh-CN"/>
        </w:rPr>
        <w:t>结构</w:t>
      </w:r>
      <w:r>
        <w:rPr>
          <w:rFonts w:hint="default" w:ascii="Times New Roman" w:hAnsi="Times New Roman" w:eastAsia="宋体" w:cs="Times New Roman"/>
          <w:color w:val="auto"/>
          <w:sz w:val="24"/>
          <w:szCs w:val="24"/>
        </w:rPr>
        <w:t>优化模块</w:t>
      </w:r>
    </w:p>
    <w:p w14:paraId="1A39BE6B">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⑦多核并行计算</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支持8核并行求解</w:t>
      </w:r>
      <w:r>
        <w:rPr>
          <w:rFonts w:hint="default" w:ascii="Times New Roman" w:hAnsi="Times New Roman" w:eastAsia="宋体" w:cs="Times New Roman"/>
          <w:color w:val="auto"/>
          <w:sz w:val="24"/>
          <w:szCs w:val="24"/>
          <w:lang w:eastAsia="zh-CN"/>
        </w:rPr>
        <w:t>）</w:t>
      </w:r>
    </w:p>
    <w:p w14:paraId="11615A4D">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⑧</w:t>
      </w:r>
      <w:r>
        <w:rPr>
          <w:rFonts w:hint="default" w:ascii="Times New Roman" w:hAnsi="Times New Roman" w:eastAsia="宋体" w:cs="Times New Roman"/>
          <w:color w:val="auto"/>
          <w:sz w:val="24"/>
          <w:szCs w:val="24"/>
          <w:lang w:eastAsia="zh-CN"/>
        </w:rPr>
        <w:t>自验收合格之日起</w:t>
      </w:r>
      <w:r>
        <w:rPr>
          <w:rFonts w:hint="default" w:ascii="Times New Roman" w:hAnsi="Times New Roman" w:eastAsia="宋体" w:cs="Times New Roman"/>
          <w:color w:val="auto"/>
          <w:sz w:val="24"/>
          <w:szCs w:val="24"/>
        </w:rPr>
        <w:t>三年内软件免费维护，技术支持；</w:t>
      </w:r>
    </w:p>
    <w:p w14:paraId="5E33E1F8">
      <w:pPr>
        <w:pageBreakBefore w:val="0"/>
        <w:widowControl w:val="0"/>
        <w:kinsoku/>
        <w:wordWrap/>
        <w:overflowPunct/>
        <w:topLinePunct w:val="0"/>
        <w:bidi w:val="0"/>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⑨培训服务</w:t>
      </w:r>
    </w:p>
    <w:p w14:paraId="59D4192C">
      <w:pPr>
        <w:pageBreakBefore w:val="0"/>
        <w:widowControl w:val="0"/>
        <w:kinsoku/>
        <w:wordWrap w:val="0"/>
        <w:overflowPunct/>
        <w:topLinePunct w:val="0"/>
        <w:bidi w:val="0"/>
        <w:snapToGrid/>
        <w:spacing w:line="360" w:lineRule="auto"/>
        <w:ind w:firstLine="482" w:firstLineChars="200"/>
        <w:jc w:val="left"/>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（四</w:t>
      </w:r>
      <w:r>
        <w:rPr>
          <w:rFonts w:hint="default" w:ascii="Times New Roman" w:hAnsi="Times New Roman" w:eastAsia="宋体" w:cs="Times New Roman"/>
          <w:b/>
          <w:bCs/>
          <w:color w:val="auto"/>
          <w:kern w:val="2"/>
          <w:sz w:val="24"/>
          <w:szCs w:val="24"/>
          <w:lang w:eastAsia="zh-CN"/>
        </w:rPr>
        <w:t>）</w:t>
      </w:r>
      <w:r>
        <w:rPr>
          <w:rFonts w:hint="default" w:ascii="Times New Roman" w:hAnsi="Times New Roman" w:eastAsia="宋体" w:cs="Times New Roman"/>
          <w:b/>
          <w:bCs/>
          <w:color w:val="auto"/>
          <w:kern w:val="2"/>
          <w:sz w:val="24"/>
          <w:szCs w:val="24"/>
        </w:rPr>
        <w:t>采购标的数量、采购项目交付或者实施的时间和地点</w:t>
      </w:r>
    </w:p>
    <w:p w14:paraId="4D0EA260">
      <w:pPr>
        <w:pageBreakBefore w:val="0"/>
        <w:widowControl w:val="0"/>
        <w:kinsoku/>
        <w:wordWrap w:val="0"/>
        <w:overflowPunct/>
        <w:topLinePunct w:val="0"/>
        <w:bidi w:val="0"/>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1.采购标的的数量：</w:t>
      </w:r>
    </w:p>
    <w:tbl>
      <w:tblPr>
        <w:tblStyle w:val="1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253"/>
        <w:gridCol w:w="945"/>
        <w:gridCol w:w="1110"/>
        <w:gridCol w:w="1981"/>
      </w:tblGrid>
      <w:tr w14:paraId="73FC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7" w:type="dxa"/>
            <w:vAlign w:val="center"/>
          </w:tcPr>
          <w:p w14:paraId="0F13DC5B">
            <w:pPr>
              <w:widowControl/>
              <w:adjustRightInd w:val="0"/>
              <w:snapToGrid w:val="0"/>
              <w:spacing w:line="28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序号</w:t>
            </w:r>
          </w:p>
        </w:tc>
        <w:tc>
          <w:tcPr>
            <w:tcW w:w="4253" w:type="dxa"/>
            <w:vAlign w:val="center"/>
          </w:tcPr>
          <w:p w14:paraId="2709ABF9">
            <w:pPr>
              <w:widowControl/>
              <w:adjustRightInd w:val="0"/>
              <w:snapToGrid w:val="0"/>
              <w:spacing w:line="28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名称</w:t>
            </w:r>
          </w:p>
        </w:tc>
        <w:tc>
          <w:tcPr>
            <w:tcW w:w="945" w:type="dxa"/>
            <w:vAlign w:val="center"/>
          </w:tcPr>
          <w:p w14:paraId="5A282D6B">
            <w:pPr>
              <w:widowControl/>
              <w:adjustRightInd w:val="0"/>
              <w:snapToGrid w:val="0"/>
              <w:spacing w:line="28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数量</w:t>
            </w:r>
          </w:p>
        </w:tc>
        <w:tc>
          <w:tcPr>
            <w:tcW w:w="1110" w:type="dxa"/>
            <w:vAlign w:val="center"/>
          </w:tcPr>
          <w:p w14:paraId="0796D9E8">
            <w:pPr>
              <w:widowControl/>
              <w:adjustRightInd w:val="0"/>
              <w:snapToGrid w:val="0"/>
              <w:spacing w:line="28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单位</w:t>
            </w:r>
          </w:p>
        </w:tc>
        <w:tc>
          <w:tcPr>
            <w:tcW w:w="1981" w:type="dxa"/>
            <w:vAlign w:val="center"/>
          </w:tcPr>
          <w:p w14:paraId="6EDB0420">
            <w:pPr>
              <w:widowControl/>
              <w:adjustRightInd w:val="0"/>
              <w:snapToGrid w:val="0"/>
              <w:spacing w:line="28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备注</w:t>
            </w:r>
          </w:p>
        </w:tc>
      </w:tr>
      <w:tr w14:paraId="4061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07" w:type="dxa"/>
            <w:vAlign w:val="center"/>
          </w:tcPr>
          <w:p w14:paraId="4628870D">
            <w:pPr>
              <w:widowControl/>
              <w:adjustRightInd w:val="0"/>
              <w:snapToGrid w:val="0"/>
              <w:spacing w:line="280" w:lineRule="exact"/>
              <w:jc w:val="center"/>
              <w:textAlignment w:val="center"/>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w:t>
            </w:r>
          </w:p>
        </w:tc>
        <w:tc>
          <w:tcPr>
            <w:tcW w:w="4253" w:type="dxa"/>
            <w:vAlign w:val="center"/>
          </w:tcPr>
          <w:p w14:paraId="05A2B4AE">
            <w:pPr>
              <w:widowControl/>
              <w:adjustRightInd w:val="0"/>
              <w:snapToGrid w:val="0"/>
              <w:spacing w:line="280" w:lineRule="exact"/>
              <w:jc w:val="left"/>
              <w:textAlignment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船舶结构设计软件（</w:t>
            </w:r>
            <w:r>
              <w:rPr>
                <w:rFonts w:hint="default" w:ascii="Times New Roman" w:hAnsi="Times New Roman" w:eastAsia="宋体" w:cs="Times New Roman"/>
                <w:color w:val="auto"/>
                <w:sz w:val="24"/>
                <w:szCs w:val="24"/>
                <w:lang w:eastAsia="zh-CN"/>
              </w:rPr>
              <w:t>非线性结构有限元分析软件）</w:t>
            </w:r>
          </w:p>
        </w:tc>
        <w:tc>
          <w:tcPr>
            <w:tcW w:w="945" w:type="dxa"/>
            <w:vAlign w:val="center"/>
          </w:tcPr>
          <w:p w14:paraId="132150E0">
            <w:pPr>
              <w:widowControl/>
              <w:adjustRightInd w:val="0"/>
              <w:snapToGrid w:val="0"/>
              <w:spacing w:line="2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110" w:type="dxa"/>
            <w:vAlign w:val="center"/>
          </w:tcPr>
          <w:p w14:paraId="2C4F217B">
            <w:pPr>
              <w:widowControl/>
              <w:adjustRightInd w:val="0"/>
              <w:snapToGrid w:val="0"/>
              <w:spacing w:line="28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套</w:t>
            </w:r>
          </w:p>
        </w:tc>
        <w:tc>
          <w:tcPr>
            <w:tcW w:w="1981" w:type="dxa"/>
            <w:vAlign w:val="center"/>
          </w:tcPr>
          <w:p w14:paraId="19F259C5">
            <w:pPr>
              <w:widowControl/>
              <w:adjustRightInd w:val="0"/>
              <w:snapToGrid w:val="0"/>
              <w:spacing w:line="280" w:lineRule="exact"/>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科研版</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5个用户并发</w:t>
            </w:r>
            <w:r>
              <w:rPr>
                <w:rFonts w:hint="default" w:ascii="Times New Roman" w:hAnsi="Times New Roman" w:eastAsia="宋体" w:cs="Times New Roman"/>
                <w:color w:val="auto"/>
                <w:sz w:val="24"/>
                <w:szCs w:val="24"/>
                <w:lang w:eastAsia="zh-CN"/>
              </w:rPr>
              <w:t>）</w:t>
            </w:r>
          </w:p>
        </w:tc>
      </w:tr>
    </w:tbl>
    <w:p w14:paraId="296B756A">
      <w:pPr>
        <w:keepNext w:val="0"/>
        <w:keepLines w:val="0"/>
        <w:pageBreakBefore w:val="0"/>
        <w:widowControl w:val="0"/>
        <w:kinsoku/>
        <w:wordWrap w:val="0"/>
        <w:overflowPunct/>
        <w:topLinePunct w:val="0"/>
        <w:autoSpaceDE/>
        <w:autoSpaceDN/>
        <w:bidi w:val="0"/>
        <w:adjustRightInd/>
        <w:spacing w:line="360" w:lineRule="auto"/>
        <w:ind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特别说明（适用于本项目整体</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p>
    <w:p w14:paraId="5B9C5BDC">
      <w:pPr>
        <w:keepNext w:val="0"/>
        <w:keepLines w:val="0"/>
        <w:pageBreakBefore w:val="0"/>
        <w:widowControl w:val="0"/>
        <w:kinsoku/>
        <w:wordWrap w:val="0"/>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①为全面实现项目建设目标，投标人须充分理解项目需求，将实现项目建设目标所必须配套投入的软硬件设备纳入投标设备（或服务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清单，并标注说明。</w:t>
      </w:r>
    </w:p>
    <w:p w14:paraId="5D1959CE">
      <w:pPr>
        <w:keepNext w:val="0"/>
        <w:keepLines w:val="0"/>
        <w:pageBreakBefore w:val="0"/>
        <w:widowControl w:val="0"/>
        <w:kinsoku/>
        <w:wordWrap w:val="0"/>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2.采购项目交付时间：</w:t>
      </w:r>
      <w:r>
        <w:rPr>
          <w:rFonts w:hint="default" w:ascii="Times New Roman" w:hAnsi="Times New Roman" w:eastAsia="宋体" w:cs="Times New Roman"/>
          <w:color w:val="auto"/>
          <w:sz w:val="24"/>
          <w:szCs w:val="24"/>
          <w:u w:val="single"/>
        </w:rPr>
        <w:t>中标人于合同签订后并收到</w:t>
      </w:r>
      <w:r>
        <w:rPr>
          <w:rFonts w:hint="default" w:ascii="Times New Roman" w:hAnsi="Times New Roman" w:eastAsia="宋体" w:cs="Times New Roman"/>
          <w:color w:val="auto"/>
          <w:sz w:val="24"/>
          <w:szCs w:val="24"/>
          <w:u w:val="single"/>
          <w:lang w:val="en-US" w:eastAsia="zh-CN"/>
        </w:rPr>
        <w:t>3</w:t>
      </w:r>
      <w:r>
        <w:rPr>
          <w:rFonts w:hint="default" w:ascii="Times New Roman" w:hAnsi="Times New Roman" w:eastAsia="宋体" w:cs="Times New Roman"/>
          <w:color w:val="auto"/>
          <w:sz w:val="24"/>
          <w:szCs w:val="24"/>
          <w:u w:val="single"/>
        </w:rPr>
        <w:t>0%首付款后的15个工作日内交付软件密钥（License Key</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rPr>
        <w:t>。</w:t>
      </w:r>
    </w:p>
    <w:p w14:paraId="4087B0E8">
      <w:pPr>
        <w:keepNext w:val="0"/>
        <w:keepLines w:val="0"/>
        <w:pageBreakBefore w:val="0"/>
        <w:widowControl w:val="0"/>
        <w:kinsoku/>
        <w:wordWrap w:val="0"/>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.采购项目交付地点：</w:t>
      </w:r>
      <w:r>
        <w:rPr>
          <w:rFonts w:hint="default" w:ascii="Times New Roman" w:hAnsi="Times New Roman" w:eastAsia="宋体" w:cs="Times New Roman"/>
          <w:color w:val="auto"/>
          <w:sz w:val="24"/>
          <w:szCs w:val="24"/>
          <w:u w:val="single"/>
        </w:rPr>
        <w:t>江苏航运职业技术学院，具体按采购人指定地点</w:t>
      </w:r>
      <w:r>
        <w:rPr>
          <w:rFonts w:hint="default" w:ascii="Times New Roman" w:hAnsi="Times New Roman" w:eastAsia="宋体" w:cs="Times New Roman"/>
          <w:color w:val="auto"/>
          <w:sz w:val="24"/>
          <w:szCs w:val="24"/>
        </w:rPr>
        <w:t>。</w:t>
      </w:r>
    </w:p>
    <w:p w14:paraId="6C93739B">
      <w:pPr>
        <w:pStyle w:val="7"/>
        <w:keepNext w:val="0"/>
        <w:keepLines w:val="0"/>
        <w:pageBreakBefore w:val="0"/>
        <w:widowControl w:val="0"/>
        <w:tabs>
          <w:tab w:val="left" w:pos="0"/>
        </w:tabs>
        <w:kinsoku/>
        <w:wordWrap/>
        <w:overflowPunct/>
        <w:topLinePunct w:val="0"/>
        <w:autoSpaceDE/>
        <w:autoSpaceDN/>
        <w:bidi w:val="0"/>
        <w:adjustRightInd/>
        <w:snapToGrid w:val="0"/>
        <w:spacing w:before="120" w:after="120" w:line="360" w:lineRule="auto"/>
        <w:ind w:firstLine="482" w:firstLineChars="200"/>
        <w:textAlignment w:val="auto"/>
        <w:outlineLvl w:val="1"/>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四、采购标的需满足的服务标准、期限、效率等要求</w:t>
      </w:r>
    </w:p>
    <w:p w14:paraId="44DA7475">
      <w:pPr>
        <w:keepNext w:val="0"/>
        <w:keepLines w:val="0"/>
        <w:pageBreakBefore w:val="0"/>
        <w:widowControl w:val="0"/>
        <w:kinsoku/>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1.合同签订期</w:t>
      </w:r>
    </w:p>
    <w:p w14:paraId="171613D2">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中标</w:t>
      </w:r>
      <w:r>
        <w:rPr>
          <w:rFonts w:hint="default" w:ascii="Times New Roman" w:hAnsi="Times New Roman" w:eastAsia="宋体" w:cs="Times New Roman"/>
          <w:color w:val="auto"/>
          <w:sz w:val="24"/>
          <w:szCs w:val="24"/>
        </w:rPr>
        <w:t>通知书发出之日起10个工作日内。</w:t>
      </w:r>
    </w:p>
    <w:p w14:paraId="7A5A6311">
      <w:pPr>
        <w:keepNext w:val="0"/>
        <w:keepLines w:val="0"/>
        <w:pageBreakBefore w:val="0"/>
        <w:widowControl w:val="0"/>
        <w:kinsoku/>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b/>
          <w:bCs/>
          <w:color w:val="auto"/>
          <w:sz w:val="24"/>
          <w:szCs w:val="24"/>
          <w:lang w:eastAsia="zh-CN"/>
        </w:rPr>
        <w:t>免费质保期</w:t>
      </w:r>
    </w:p>
    <w:p w14:paraId="514476C5">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b/>
          <w:bCs/>
          <w:color w:val="auto"/>
          <w:sz w:val="24"/>
          <w:szCs w:val="24"/>
          <w:highlight w:val="none"/>
          <w:u w:val="single"/>
          <w:lang w:val="en-US" w:eastAsia="zh-CN" w:bidi="ar-SA"/>
        </w:rPr>
      </w:pPr>
      <w:r>
        <w:rPr>
          <w:rFonts w:hint="default" w:ascii="Times New Roman" w:hAnsi="Times New Roman" w:eastAsia="宋体" w:cs="Times New Roman"/>
          <w:color w:val="auto"/>
          <w:sz w:val="24"/>
          <w:szCs w:val="24"/>
          <w:lang w:eastAsia="zh-CN"/>
        </w:rPr>
        <w:t>自验收合格交付之日起</w:t>
      </w:r>
      <w:r>
        <w:rPr>
          <w:rFonts w:hint="default" w:ascii="Times New Roman" w:hAnsi="Times New Roman" w:eastAsia="宋体" w:cs="Times New Roman"/>
          <w:color w:val="auto"/>
          <w:sz w:val="24"/>
          <w:szCs w:val="24"/>
          <w:lang w:val="en-US" w:eastAsia="zh-CN"/>
        </w:rPr>
        <w:t>三年。</w:t>
      </w:r>
      <w:r>
        <w:rPr>
          <w:rFonts w:hint="default" w:ascii="Times New Roman" w:hAnsi="Times New Roman" w:eastAsia="宋体" w:cs="Times New Roman"/>
          <w:color w:val="auto"/>
          <w:sz w:val="24"/>
          <w:szCs w:val="24"/>
          <w:lang w:eastAsia="zh-CN"/>
        </w:rPr>
        <w:t>中标供应商提供的产品在质保期内因产品本身的质量问题发生故障，中标供应商应负责免费更换。并</w:t>
      </w:r>
      <w:r>
        <w:rPr>
          <w:rFonts w:hint="default" w:ascii="Times New Roman" w:hAnsi="Times New Roman" w:eastAsia="宋体" w:cs="Times New Roman"/>
          <w:color w:val="auto"/>
          <w:sz w:val="24"/>
          <w:szCs w:val="24"/>
          <w:lang w:val="en-US" w:eastAsia="zh-CN"/>
        </w:rPr>
        <w:t>承诺质保期满后，年度维护费用不超过中标价5%。</w:t>
      </w:r>
      <w:r>
        <w:rPr>
          <w:rFonts w:hint="default" w:ascii="Times New Roman" w:hAnsi="Times New Roman" w:eastAsia="宋体" w:cs="Times New Roman"/>
          <w:b/>
          <w:bCs/>
          <w:color w:val="auto"/>
          <w:sz w:val="24"/>
          <w:szCs w:val="24"/>
          <w:highlight w:val="none"/>
          <w:u w:val="single"/>
          <w:lang w:val="en-US" w:eastAsia="zh-CN" w:bidi="ar-SA"/>
        </w:rPr>
        <w:t>【需提供承诺书，并加盖投标人公章。】</w:t>
      </w:r>
    </w:p>
    <w:p w14:paraId="0BB0A5F6">
      <w:pPr>
        <w:keepNext w:val="0"/>
        <w:keepLines w:val="0"/>
        <w:pageBreakBefore w:val="0"/>
        <w:widowControl w:val="0"/>
        <w:shd w:val="clear"/>
        <w:kinsoku/>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售后服务</w:t>
      </w:r>
    </w:p>
    <w:p w14:paraId="4619BC27">
      <w:pPr>
        <w:keepNext w:val="0"/>
        <w:keepLines w:val="0"/>
        <w:pageBreakBefore w:val="0"/>
        <w:widowControl w:val="0"/>
        <w:shd w:val="clear"/>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cyan"/>
          <w:lang w:val="en-US" w:eastAsia="zh-CN"/>
        </w:rPr>
      </w:pPr>
      <w:r>
        <w:rPr>
          <w:rFonts w:hint="default" w:ascii="Times New Roman" w:hAnsi="Times New Roman" w:eastAsia="宋体" w:cs="Times New Roman"/>
          <w:color w:val="auto"/>
          <w:sz w:val="24"/>
          <w:szCs w:val="24"/>
        </w:rPr>
        <w:t>中标供应商所提供的产品要求包含</w:t>
      </w:r>
      <w:r>
        <w:rPr>
          <w:rFonts w:hint="default" w:ascii="Times New Roman" w:hAnsi="Times New Roman" w:eastAsia="宋体" w:cs="Times New Roman"/>
          <w:color w:val="auto"/>
          <w:sz w:val="24"/>
          <w:szCs w:val="24"/>
          <w:lang w:eastAsia="zh-CN"/>
        </w:rPr>
        <w:t>三</w:t>
      </w:r>
      <w:r>
        <w:rPr>
          <w:rFonts w:hint="default" w:ascii="Times New Roman" w:hAnsi="Times New Roman" w:eastAsia="宋体" w:cs="Times New Roman"/>
          <w:color w:val="auto"/>
          <w:sz w:val="24"/>
          <w:szCs w:val="24"/>
        </w:rPr>
        <w:t>年的软件维护及技术支持服务。</w:t>
      </w:r>
    </w:p>
    <w:p w14:paraId="7E5E59F3">
      <w:pPr>
        <w:keepNext w:val="0"/>
        <w:keepLines w:val="0"/>
        <w:pageBreakBefore w:val="0"/>
        <w:widowControl w:val="0"/>
        <w:kinsoku/>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.故障响应时间要求</w:t>
      </w:r>
    </w:p>
    <w:p w14:paraId="1EA55189">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中标供应商在接到采购人故障报修后2小时内安排技术人员跟进解决；故障的最终修复从报修时间算起不能超过72小时。</w:t>
      </w:r>
    </w:p>
    <w:p w14:paraId="25E6BEC0">
      <w:pPr>
        <w:keepNext w:val="0"/>
        <w:keepLines w:val="0"/>
        <w:pageBreakBefore w:val="0"/>
        <w:widowControl w:val="0"/>
        <w:kinsoku/>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.软件安装迁移服务</w:t>
      </w:r>
    </w:p>
    <w:p w14:paraId="6F8E7C95">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如采购人后续有软件迁移安装需求，中标供应商应负责相应的迁移安装服务。</w:t>
      </w:r>
    </w:p>
    <w:p w14:paraId="39B5D880">
      <w:pPr>
        <w:pStyle w:val="7"/>
        <w:keepNext w:val="0"/>
        <w:keepLines w:val="0"/>
        <w:pageBreakBefore w:val="0"/>
        <w:widowControl w:val="0"/>
        <w:tabs>
          <w:tab w:val="left" w:pos="0"/>
        </w:tabs>
        <w:kinsoku/>
        <w:wordWrap/>
        <w:overflowPunct/>
        <w:topLinePunct w:val="0"/>
        <w:autoSpaceDE/>
        <w:autoSpaceDN/>
        <w:bidi w:val="0"/>
        <w:adjustRightInd/>
        <w:snapToGrid w:val="0"/>
        <w:spacing w:before="120" w:after="120" w:line="360" w:lineRule="auto"/>
        <w:ind w:firstLine="482" w:firstLineChars="200"/>
        <w:textAlignment w:val="auto"/>
        <w:outlineLvl w:val="1"/>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五、采购标的包装、运输、交货、验收标准</w:t>
      </w:r>
    </w:p>
    <w:p w14:paraId="12878C0A">
      <w:pPr>
        <w:pStyle w:val="7"/>
        <w:keepNext w:val="0"/>
        <w:keepLines w:val="0"/>
        <w:pageBreakBefore w:val="0"/>
        <w:widowControl w:val="0"/>
        <w:tabs>
          <w:tab w:val="left" w:pos="0"/>
        </w:tabs>
        <w:kinsoku/>
        <w:overflowPunct/>
        <w:topLinePunct w:val="0"/>
        <w:autoSpaceDE/>
        <w:autoSpaceDN/>
        <w:bidi w:val="0"/>
        <w:adjustRightInd/>
        <w:snapToGrid w:val="0"/>
        <w:spacing w:before="120" w:after="120" w:line="360" w:lineRule="auto"/>
        <w:ind w:firstLine="48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1.商品包装环保要求：</w:t>
      </w:r>
      <w:r>
        <w:rPr>
          <w:rFonts w:hint="default" w:ascii="Times New Roman" w:hAnsi="Times New Roman" w:eastAsia="宋体" w:cs="Times New Roman"/>
          <w:color w:val="auto"/>
          <w:sz w:val="24"/>
          <w:szCs w:val="24"/>
        </w:rPr>
        <w:t>应当按《关于印发〈商品包装政府采购需求标准（试行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〉、〈快递包装政府采购需求标准（试行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〉的通知》（财办库〔2020〕123号</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文件执行。</w:t>
      </w:r>
    </w:p>
    <w:p w14:paraId="03657CC6">
      <w:pPr>
        <w:pStyle w:val="7"/>
        <w:keepNext w:val="0"/>
        <w:keepLines w:val="0"/>
        <w:pageBreakBefore w:val="0"/>
        <w:widowControl w:val="0"/>
        <w:tabs>
          <w:tab w:val="left" w:pos="0"/>
        </w:tabs>
        <w:kinsoku/>
        <w:overflowPunct/>
        <w:topLinePunct w:val="0"/>
        <w:autoSpaceDE/>
        <w:autoSpaceDN/>
        <w:bidi w:val="0"/>
        <w:adjustRightInd/>
        <w:snapToGrid w:val="0"/>
        <w:spacing w:before="120" w:after="120"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节能环保产品：依据财政部、发展改革委发布的《节能产品政府采购品目清单》，本项目中有政府强制采购节能产品的（属于清单中打★品目的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5AAF7FDA">
      <w:pPr>
        <w:pStyle w:val="7"/>
        <w:keepNext w:val="0"/>
        <w:keepLines w:val="0"/>
        <w:pageBreakBefore w:val="0"/>
        <w:widowControl w:val="0"/>
        <w:tabs>
          <w:tab w:val="left" w:pos="0"/>
        </w:tabs>
        <w:kinsoku/>
        <w:overflowPunct/>
        <w:topLinePunct w:val="0"/>
        <w:autoSpaceDE/>
        <w:autoSpaceDN/>
        <w:bidi w:val="0"/>
        <w:adjustRightInd/>
        <w:snapToGrid w:val="0"/>
        <w:spacing w:before="120" w:after="120" w:line="360" w:lineRule="auto"/>
        <w:ind w:firstLine="48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2.运输：</w:t>
      </w:r>
      <w:r>
        <w:rPr>
          <w:rFonts w:hint="default" w:ascii="Times New Roman" w:hAnsi="Times New Roman" w:eastAsia="宋体" w:cs="Times New Roman"/>
          <w:color w:val="auto"/>
          <w:sz w:val="24"/>
          <w:szCs w:val="24"/>
        </w:rPr>
        <w:t>货物的运输及风险由中标人负责，运输费用及运输保险费用包含在合同价款中，采购人对此不负任何责任。</w:t>
      </w:r>
    </w:p>
    <w:p w14:paraId="16C6E0ED">
      <w:pPr>
        <w:pStyle w:val="7"/>
        <w:keepNext w:val="0"/>
        <w:keepLines w:val="0"/>
        <w:pageBreakBefore w:val="0"/>
        <w:widowControl w:val="0"/>
        <w:tabs>
          <w:tab w:val="left" w:pos="0"/>
        </w:tabs>
        <w:kinsoku/>
        <w:overflowPunct/>
        <w:topLinePunct w:val="0"/>
        <w:autoSpaceDE/>
        <w:autoSpaceDN/>
        <w:bidi w:val="0"/>
        <w:adjustRightInd/>
        <w:snapToGrid w:val="0"/>
        <w:spacing w:before="120" w:after="120" w:line="360" w:lineRule="auto"/>
        <w:ind w:firstLine="48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3.交货、安装：</w:t>
      </w:r>
      <w:r>
        <w:rPr>
          <w:rFonts w:hint="default" w:ascii="Times New Roman" w:hAnsi="Times New Roman" w:eastAsia="宋体" w:cs="Times New Roman"/>
          <w:color w:val="auto"/>
          <w:sz w:val="24"/>
          <w:szCs w:val="24"/>
        </w:rPr>
        <w:t>交货方式为中标人送货至采购人指定地点，除不可抗力因素外，中标供应商必须按合同规定的时间、地点安排交货并安装。</w:t>
      </w:r>
    </w:p>
    <w:p w14:paraId="5288BB1F">
      <w:pPr>
        <w:pStyle w:val="7"/>
        <w:keepNext w:val="0"/>
        <w:keepLines w:val="0"/>
        <w:pageBreakBefore w:val="0"/>
        <w:widowControl w:val="0"/>
        <w:tabs>
          <w:tab w:val="left" w:pos="0"/>
        </w:tabs>
        <w:kinsoku/>
        <w:overflowPunct/>
        <w:topLinePunct w:val="0"/>
        <w:autoSpaceDE/>
        <w:autoSpaceDN/>
        <w:bidi w:val="0"/>
        <w:adjustRightInd/>
        <w:snapToGrid w:val="0"/>
        <w:spacing w:before="120" w:after="120"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4.验收标准：</w:t>
      </w:r>
    </w:p>
    <w:p w14:paraId="78626F0B">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中标供应商按照合同文件约定提供软件下载地址及软件正版授权码License。采购人收到中标供应商按照招标文件约定所交付</w:t>
      </w:r>
      <w:r>
        <w:rPr>
          <w:rFonts w:hint="default" w:ascii="Times New Roman" w:hAnsi="Times New Roman" w:eastAsia="宋体" w:cs="Times New Roman"/>
          <w:color w:val="auto"/>
          <w:sz w:val="24"/>
          <w:szCs w:val="24"/>
          <w:lang w:val="en-US" w:eastAsia="zh-CN"/>
        </w:rPr>
        <w:t>的软件</w:t>
      </w:r>
      <w:r>
        <w:rPr>
          <w:rFonts w:hint="default" w:ascii="Times New Roman" w:hAnsi="Times New Roman" w:eastAsia="宋体" w:cs="Times New Roman"/>
          <w:color w:val="auto"/>
          <w:sz w:val="24"/>
          <w:szCs w:val="24"/>
        </w:rPr>
        <w:t>下载地址及授权码（加密锁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之日起两个工作日内应立即检查，如果发现软件的下载地址及授权码（加密锁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非采购人原因发生毁损的，须在签收之日起48小时内通知中标供应商，中标供应商核对无误后应负责更换。</w:t>
      </w:r>
      <w:r>
        <w:rPr>
          <w:rFonts w:hint="default" w:ascii="Times New Roman" w:hAnsi="Times New Roman" w:eastAsia="宋体" w:cs="Times New Roman"/>
          <w:color w:val="auto"/>
          <w:sz w:val="24"/>
          <w:szCs w:val="24"/>
          <w:lang w:val="en-US" w:eastAsia="zh-CN"/>
        </w:rPr>
        <w:t xml:space="preserve">  </w:t>
      </w:r>
    </w:p>
    <w:p w14:paraId="0B9BF634">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 xml:space="preserve">4.2 </w:t>
      </w:r>
      <w:r>
        <w:rPr>
          <w:rFonts w:hint="default" w:ascii="Times New Roman" w:hAnsi="Times New Roman" w:eastAsia="宋体" w:cs="Times New Roman"/>
          <w:color w:val="auto"/>
          <w:sz w:val="24"/>
          <w:szCs w:val="24"/>
        </w:rPr>
        <w:t>验收条件：供货内容应完整无缺</w:t>
      </w:r>
      <w:r>
        <w:rPr>
          <w:rFonts w:hint="eastAsia" w:ascii="宋体" w:hAnsi="宋体" w:eastAsia="宋体" w:cs="宋体"/>
          <w:sz w:val="24"/>
          <w:szCs w:val="24"/>
          <w:shd w:val="clear"/>
        </w:rPr>
        <w:t>，特别是带“</w:t>
      </w:r>
      <w:r>
        <w:rPr>
          <w:rFonts w:hint="default" w:ascii="Times New Roman" w:hAnsi="Times New Roman" w:eastAsia="宋体" w:cs="Times New Roman"/>
          <w:b/>
          <w:bCs/>
          <w:color w:val="auto"/>
          <w:sz w:val="24"/>
          <w:szCs w:val="24"/>
          <w:shd w:val="clear"/>
          <w:lang w:eastAsia="zh-CN"/>
        </w:rPr>
        <w:t>☆</w:t>
      </w:r>
      <w:r>
        <w:rPr>
          <w:rFonts w:hint="eastAsia" w:ascii="宋体" w:hAnsi="宋体" w:eastAsia="宋体" w:cs="宋体"/>
          <w:sz w:val="24"/>
          <w:szCs w:val="24"/>
          <w:shd w:val="clear"/>
        </w:rPr>
        <w:t>”、“</w:t>
      </w:r>
      <w:r>
        <w:rPr>
          <w:rFonts w:hint="eastAsia" w:ascii="宋体" w:hAnsi="宋体" w:eastAsia="宋体" w:cs="宋体"/>
          <w:b/>
          <w:bCs/>
          <w:sz w:val="24"/>
          <w:szCs w:val="24"/>
          <w:shd w:val="clear"/>
        </w:rPr>
        <w:t>▲</w:t>
      </w:r>
      <w:r>
        <w:rPr>
          <w:rFonts w:hint="eastAsia" w:ascii="宋体" w:hAnsi="宋体" w:eastAsia="宋体" w:cs="宋体"/>
          <w:sz w:val="24"/>
          <w:szCs w:val="24"/>
          <w:shd w:val="clear"/>
        </w:rPr>
        <w:t>”标记的关键技术指标；</w:t>
      </w:r>
      <w:r>
        <w:rPr>
          <w:rFonts w:hint="default" w:ascii="Times New Roman" w:hAnsi="Times New Roman" w:eastAsia="宋体" w:cs="Times New Roman"/>
          <w:color w:val="auto"/>
          <w:sz w:val="24"/>
          <w:szCs w:val="24"/>
          <w:shd w:val="clear"/>
        </w:rPr>
        <w:t>提供的授权模块、并发 Token 数量、</w:t>
      </w:r>
      <w:r>
        <w:rPr>
          <w:rFonts w:hint="default" w:ascii="Times New Roman" w:hAnsi="Times New Roman" w:eastAsia="宋体" w:cs="Times New Roman"/>
          <w:color w:val="auto"/>
          <w:sz w:val="24"/>
          <w:szCs w:val="24"/>
        </w:rPr>
        <w:t>使用年限应符合购买合同规定内容</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中标供应商在</w:t>
      </w:r>
      <w:r>
        <w:rPr>
          <w:rFonts w:hint="default" w:ascii="Times New Roman" w:hAnsi="Times New Roman" w:eastAsia="宋体" w:cs="Times New Roman"/>
          <w:color w:val="auto"/>
          <w:sz w:val="24"/>
          <w:szCs w:val="24"/>
          <w:lang w:val="en-US" w:eastAsia="zh-CN"/>
        </w:rPr>
        <w:t>采购</w:t>
      </w:r>
      <w:r>
        <w:rPr>
          <w:rFonts w:hint="eastAsia" w:eastAsia="宋体" w:cs="Times New Roman"/>
          <w:color w:val="auto"/>
          <w:sz w:val="24"/>
          <w:szCs w:val="24"/>
          <w:lang w:eastAsia="zh-CN"/>
        </w:rPr>
        <w:t>人</w:t>
      </w:r>
      <w:r>
        <w:rPr>
          <w:rFonts w:hint="default" w:ascii="Times New Roman" w:hAnsi="Times New Roman" w:eastAsia="宋体" w:cs="Times New Roman"/>
          <w:color w:val="auto"/>
          <w:sz w:val="24"/>
          <w:szCs w:val="24"/>
        </w:rPr>
        <w:t>指定的地方安装软件，确保软件安装后正确运行，完成License服务器部署调试，应能实现License的浮动管理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并对算例进行计算并考核</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软件</w:t>
      </w:r>
      <w:r>
        <w:rPr>
          <w:rFonts w:hint="default" w:ascii="Times New Roman" w:hAnsi="Times New Roman" w:eastAsia="宋体" w:cs="Times New Roman"/>
          <w:color w:val="auto"/>
          <w:sz w:val="24"/>
          <w:szCs w:val="24"/>
        </w:rPr>
        <w:t>72 小时连续稳定运行，峰值并发达到合同限额</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中标供应商完成约定课时线下实操培训；维保响应时效满足合同承诺。中标供应商</w:t>
      </w:r>
      <w:r>
        <w:rPr>
          <w:rFonts w:hint="eastAsia" w:ascii="Times New Roman" w:hAnsi="Times New Roman" w:eastAsia="宋体" w:cs="Times New Roman"/>
          <w:color w:val="auto"/>
          <w:sz w:val="24"/>
          <w:szCs w:val="24"/>
          <w:lang w:val="en-US" w:eastAsia="zh-CN"/>
        </w:rPr>
        <w:t>应对投标时提供承诺书的技术条款进行逐项演示，</w:t>
      </w:r>
      <w:r>
        <w:rPr>
          <w:rFonts w:hint="default" w:ascii="Times New Roman" w:hAnsi="Times New Roman" w:eastAsia="宋体" w:cs="Times New Roman"/>
          <w:color w:val="auto"/>
          <w:sz w:val="24"/>
          <w:szCs w:val="24"/>
        </w:rPr>
        <w:t>任一指标与承诺书不符，视为验收不合格</w:t>
      </w:r>
      <w:r>
        <w:rPr>
          <w:rFonts w:hint="eastAsia" w:ascii="Times New Roman" w:hAnsi="Times New Roman" w:eastAsia="宋体" w:cs="Times New Roman"/>
          <w:color w:val="auto"/>
          <w:sz w:val="24"/>
          <w:szCs w:val="24"/>
          <w:lang w:eastAsia="zh-CN"/>
        </w:rPr>
        <w:t>。</w:t>
      </w:r>
    </w:p>
    <w:p w14:paraId="3FECC989">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4.3 在规定时间内完成交货、验收，并经采购人确认。</w:t>
      </w:r>
    </w:p>
    <w:p w14:paraId="71E903A8">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4.4 中标供应</w:t>
      </w:r>
      <w:r>
        <w:rPr>
          <w:rFonts w:hint="default" w:ascii="Times New Roman" w:hAnsi="Times New Roman" w:eastAsia="宋体" w:cs="Times New Roman"/>
          <w:color w:val="auto"/>
          <w:sz w:val="24"/>
          <w:szCs w:val="24"/>
        </w:rPr>
        <w:t>商提供的软件未达到</w:t>
      </w:r>
      <w:r>
        <w:rPr>
          <w:rFonts w:hint="default" w:ascii="Times New Roman" w:hAnsi="Times New Roman" w:eastAsia="宋体" w:cs="Times New Roman"/>
          <w:color w:val="auto"/>
          <w:sz w:val="24"/>
          <w:szCs w:val="24"/>
          <w:lang w:eastAsia="zh-CN"/>
        </w:rPr>
        <w:t>采购文件</w:t>
      </w:r>
      <w:r>
        <w:rPr>
          <w:rFonts w:hint="default" w:ascii="Times New Roman" w:hAnsi="Times New Roman" w:eastAsia="宋体" w:cs="Times New Roman"/>
          <w:color w:val="auto"/>
          <w:sz w:val="24"/>
          <w:szCs w:val="24"/>
        </w:rPr>
        <w:t>规定要求，且对采购人造成损失的，由中标供应商承担一切责任，并赔偿所造成的损失。</w:t>
      </w:r>
    </w:p>
    <w:p w14:paraId="4A6F1252">
      <w:pPr>
        <w:pStyle w:val="7"/>
        <w:keepNext w:val="0"/>
        <w:keepLines w:val="0"/>
        <w:pageBreakBefore w:val="0"/>
        <w:widowControl w:val="0"/>
        <w:tabs>
          <w:tab w:val="left" w:pos="0"/>
        </w:tabs>
        <w:kinsoku/>
        <w:wordWrap/>
        <w:overflowPunct/>
        <w:topLinePunct w:val="0"/>
        <w:autoSpaceDE/>
        <w:autoSpaceDN/>
        <w:bidi w:val="0"/>
        <w:adjustRightInd/>
        <w:snapToGrid w:val="0"/>
        <w:spacing w:before="120" w:after="120" w:line="360" w:lineRule="auto"/>
        <w:ind w:firstLine="482" w:firstLineChars="200"/>
        <w:textAlignment w:val="auto"/>
        <w:outlineLvl w:val="1"/>
        <w:rPr>
          <w:rFonts w:hint="default" w:ascii="Times New Roman" w:hAnsi="Times New Roman" w:eastAsia="宋体" w:cs="Times New Roman"/>
          <w:b/>
          <w:bCs/>
          <w:color w:val="auto"/>
          <w:kern w:val="2"/>
          <w:sz w:val="24"/>
          <w:szCs w:val="24"/>
          <w:lang w:eastAsia="zh-CN"/>
        </w:rPr>
      </w:pPr>
      <w:r>
        <w:rPr>
          <w:rFonts w:hint="default" w:ascii="Times New Roman" w:hAnsi="Times New Roman" w:eastAsia="宋体" w:cs="Times New Roman"/>
          <w:b/>
          <w:bCs/>
          <w:color w:val="auto"/>
          <w:kern w:val="2"/>
          <w:sz w:val="24"/>
          <w:szCs w:val="24"/>
        </w:rPr>
        <w:t>六、采购需求中必须满足的实质性要求和条件（请单独列出</w:t>
      </w:r>
      <w:r>
        <w:rPr>
          <w:rFonts w:hint="default" w:ascii="Times New Roman" w:hAnsi="Times New Roman" w:eastAsia="宋体" w:cs="Times New Roman"/>
          <w:b/>
          <w:bCs/>
          <w:color w:val="auto"/>
          <w:kern w:val="2"/>
          <w:sz w:val="24"/>
          <w:szCs w:val="24"/>
          <w:lang w:eastAsia="zh-CN"/>
        </w:rPr>
        <w:t>）</w:t>
      </w:r>
    </w:p>
    <w:p w14:paraId="627521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投标人拟投本项目所有标注“</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”的为设备技术参数须实质性响应本采购文件技术参数要求，不接受负偏离产品应标。提供《</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技术条款响应正负偏离表》，须根据清单中“</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”的技术参数要求逐条进行应答；未提供或有遗漏或有负偏离均视为未实质性响应，作废标处</w:t>
      </w:r>
      <w:r>
        <w:rPr>
          <w:rFonts w:hint="default" w:ascii="Times New Roman" w:hAnsi="Times New Roman" w:eastAsia="宋体" w:cs="Times New Roman"/>
          <w:b/>
          <w:bCs/>
          <w:color w:val="auto"/>
          <w:sz w:val="24"/>
          <w:szCs w:val="24"/>
          <w:lang w:val="en-US" w:eastAsia="zh-CN"/>
        </w:rPr>
        <w:t>理。对本项目能够作为技术参数证明材料的文件如：制造商公开发布的软件说明或白皮书或盖有投标人公章的承</w:t>
      </w:r>
      <w:r>
        <w:rPr>
          <w:rFonts w:hint="default" w:ascii="Times New Roman" w:hAnsi="Times New Roman" w:eastAsia="宋体" w:cs="Times New Roman"/>
          <w:b/>
          <w:bCs/>
          <w:color w:val="auto"/>
          <w:sz w:val="24"/>
          <w:szCs w:val="24"/>
        </w:rPr>
        <w:t>诺书等。</w:t>
      </w:r>
    </w:p>
    <w:p w14:paraId="7FD8D2FA">
      <w:pPr>
        <w:pStyle w:val="7"/>
        <w:keepNext w:val="0"/>
        <w:keepLines w:val="0"/>
        <w:pageBreakBefore w:val="0"/>
        <w:widowControl w:val="0"/>
        <w:tabs>
          <w:tab w:val="left" w:pos="0"/>
        </w:tabs>
        <w:kinsoku/>
        <w:wordWrap/>
        <w:overflowPunct/>
        <w:topLinePunct w:val="0"/>
        <w:autoSpaceDE/>
        <w:autoSpaceDN/>
        <w:bidi w:val="0"/>
        <w:adjustRightInd/>
        <w:snapToGrid w:val="0"/>
        <w:spacing w:before="120" w:after="120" w:line="360" w:lineRule="auto"/>
        <w:ind w:firstLine="482" w:firstLineChars="200"/>
        <w:textAlignment w:val="auto"/>
        <w:outlineLvl w:val="1"/>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七、采购标的付款方式</w:t>
      </w:r>
    </w:p>
    <w:p w14:paraId="73CD58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1.付款方式</w:t>
      </w:r>
    </w:p>
    <w:p w14:paraId="3168F6B1">
      <w:pPr>
        <w:pStyle w:val="7"/>
        <w:keepNext w:val="0"/>
        <w:keepLines w:val="0"/>
        <w:pageBreakBefore w:val="0"/>
        <w:widowControl w:val="0"/>
        <w:tabs>
          <w:tab w:val="left" w:pos="0"/>
        </w:tabs>
        <w:kinsoku/>
        <w:overflowPunct/>
        <w:topLinePunct w:val="0"/>
        <w:autoSpaceDE/>
        <w:autoSpaceDN/>
        <w:bidi w:val="0"/>
        <w:adjustRightInd/>
        <w:snapToGrid w:val="0"/>
        <w:spacing w:before="120" w:after="120"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项目预付款：采购人于合同签订之日起1</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个工作日内向中标</w:t>
      </w:r>
      <w:r>
        <w:rPr>
          <w:rFonts w:hint="default" w:ascii="Times New Roman" w:hAnsi="Times New Roman" w:eastAsia="宋体" w:cs="Times New Roman"/>
          <w:color w:val="auto"/>
          <w:sz w:val="24"/>
          <w:szCs w:val="24"/>
          <w:lang w:val="en-US" w:eastAsia="zh-CN"/>
        </w:rPr>
        <w:t>人</w:t>
      </w:r>
      <w:r>
        <w:rPr>
          <w:rFonts w:hint="default" w:ascii="Times New Roman" w:hAnsi="Times New Roman" w:eastAsia="宋体" w:cs="Times New Roman"/>
          <w:color w:val="auto"/>
          <w:sz w:val="24"/>
          <w:szCs w:val="24"/>
        </w:rPr>
        <w:t>支付合同金额的30%作为项目实施预付款（中标</w:t>
      </w:r>
      <w:r>
        <w:rPr>
          <w:rFonts w:hint="default" w:ascii="Times New Roman" w:hAnsi="Times New Roman" w:eastAsia="宋体" w:cs="Times New Roman"/>
          <w:color w:val="auto"/>
          <w:sz w:val="24"/>
          <w:szCs w:val="24"/>
          <w:lang w:val="en-US" w:eastAsia="zh-CN"/>
        </w:rPr>
        <w:t>人</w:t>
      </w:r>
      <w:r>
        <w:rPr>
          <w:rFonts w:hint="default" w:ascii="Times New Roman" w:hAnsi="Times New Roman" w:eastAsia="宋体" w:cs="Times New Roman"/>
          <w:color w:val="auto"/>
          <w:sz w:val="24"/>
          <w:szCs w:val="24"/>
        </w:rPr>
        <w:t>需先行提供同等金额的预付款保函，预付款保函须由中标</w:t>
      </w:r>
      <w:r>
        <w:rPr>
          <w:rFonts w:hint="default" w:ascii="Times New Roman" w:hAnsi="Times New Roman" w:eastAsia="宋体" w:cs="Times New Roman"/>
          <w:color w:val="auto"/>
          <w:sz w:val="24"/>
          <w:szCs w:val="24"/>
          <w:lang w:val="en-US" w:eastAsia="zh-CN"/>
        </w:rPr>
        <w:t>人</w:t>
      </w:r>
      <w:r>
        <w:rPr>
          <w:rFonts w:hint="default" w:ascii="Times New Roman" w:hAnsi="Times New Roman" w:eastAsia="宋体" w:cs="Times New Roman"/>
          <w:color w:val="auto"/>
          <w:sz w:val="24"/>
          <w:szCs w:val="24"/>
        </w:rPr>
        <w:t>基本户开户银行出具）。</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　　</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项目款项支付：项目安装调试完毕</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项目整体运行稳定，且</w:t>
      </w:r>
      <w:r>
        <w:rPr>
          <w:rFonts w:hint="default" w:ascii="Times New Roman" w:hAnsi="Times New Roman" w:eastAsia="宋体" w:cs="Times New Roman"/>
          <w:color w:val="auto"/>
          <w:sz w:val="24"/>
          <w:szCs w:val="24"/>
          <w:lang w:val="en-US" w:eastAsia="zh-CN"/>
        </w:rPr>
        <w:t>培训</w:t>
      </w:r>
      <w:r>
        <w:rPr>
          <w:rFonts w:hint="default" w:ascii="Times New Roman" w:hAnsi="Times New Roman" w:eastAsia="宋体" w:cs="Times New Roman"/>
          <w:color w:val="auto"/>
          <w:sz w:val="24"/>
          <w:szCs w:val="24"/>
        </w:rPr>
        <w:t>服务符合</w:t>
      </w:r>
      <w:r>
        <w:rPr>
          <w:rFonts w:hint="default" w:ascii="Times New Roman" w:hAnsi="Times New Roman" w:eastAsia="宋体" w:cs="Times New Roman"/>
          <w:color w:val="auto"/>
          <w:sz w:val="24"/>
          <w:szCs w:val="24"/>
          <w:lang w:val="en-US" w:eastAsia="zh-CN"/>
        </w:rPr>
        <w:t>合同</w:t>
      </w:r>
      <w:r>
        <w:rPr>
          <w:rFonts w:hint="default" w:ascii="Times New Roman" w:hAnsi="Times New Roman" w:eastAsia="宋体" w:cs="Times New Roman"/>
          <w:color w:val="auto"/>
          <w:sz w:val="24"/>
          <w:szCs w:val="24"/>
        </w:rPr>
        <w:t>要求</w:t>
      </w:r>
      <w:r>
        <w:rPr>
          <w:rFonts w:hint="default" w:ascii="Times New Roman" w:hAnsi="Times New Roman" w:eastAsia="宋体" w:cs="Times New Roman"/>
          <w:color w:val="auto"/>
          <w:sz w:val="24"/>
          <w:szCs w:val="24"/>
          <w:lang w:eastAsia="zh-CN"/>
        </w:rPr>
        <w:t>，经</w:t>
      </w:r>
      <w:r>
        <w:rPr>
          <w:rFonts w:hint="default" w:ascii="Times New Roman" w:hAnsi="Times New Roman" w:eastAsia="宋体" w:cs="Times New Roman"/>
          <w:color w:val="auto"/>
          <w:sz w:val="24"/>
          <w:szCs w:val="24"/>
        </w:rPr>
        <w:t>甲方</w:t>
      </w:r>
      <w:r>
        <w:rPr>
          <w:rFonts w:hint="default" w:ascii="Times New Roman" w:hAnsi="Times New Roman" w:eastAsia="宋体" w:cs="Times New Roman"/>
          <w:color w:val="auto"/>
          <w:sz w:val="24"/>
          <w:szCs w:val="24"/>
          <w:lang w:eastAsia="zh-CN"/>
        </w:rPr>
        <w:t>根据合同条款正式验收合格</w:t>
      </w:r>
      <w:r>
        <w:rPr>
          <w:rFonts w:hint="default" w:ascii="Times New Roman" w:hAnsi="Times New Roman" w:eastAsia="宋体" w:cs="Times New Roman"/>
          <w:color w:val="auto"/>
          <w:sz w:val="24"/>
          <w:szCs w:val="24"/>
          <w:lang w:val="en-US" w:eastAsia="zh-CN"/>
        </w:rPr>
        <w:t>结束后30个工作日</w:t>
      </w:r>
      <w:r>
        <w:rPr>
          <w:rFonts w:hint="default" w:ascii="Times New Roman" w:hAnsi="Times New Roman" w:eastAsia="宋体" w:cs="Times New Roman"/>
          <w:color w:val="auto"/>
          <w:sz w:val="24"/>
          <w:szCs w:val="24"/>
          <w:lang w:eastAsia="zh-CN"/>
        </w:rPr>
        <w:t>内，</w:t>
      </w:r>
      <w:r>
        <w:rPr>
          <w:rFonts w:hint="default" w:ascii="Times New Roman" w:hAnsi="Times New Roman" w:eastAsia="宋体" w:cs="Times New Roman"/>
          <w:color w:val="auto"/>
          <w:sz w:val="24"/>
          <w:szCs w:val="24"/>
        </w:rPr>
        <w:t>向乙</w:t>
      </w:r>
      <w:r>
        <w:rPr>
          <w:rFonts w:hint="default" w:ascii="Times New Roman" w:hAnsi="Times New Roman" w:eastAsia="宋体" w:cs="Times New Roman"/>
          <w:color w:val="auto"/>
          <w:sz w:val="24"/>
          <w:szCs w:val="24"/>
          <w:lang w:val="en-US" w:eastAsia="zh-CN"/>
        </w:rPr>
        <w:t>方</w:t>
      </w:r>
      <w:r>
        <w:rPr>
          <w:rFonts w:hint="default" w:ascii="Times New Roman" w:hAnsi="Times New Roman" w:eastAsia="宋体" w:cs="Times New Roman"/>
          <w:color w:val="auto"/>
          <w:sz w:val="24"/>
          <w:szCs w:val="24"/>
        </w:rPr>
        <w:t>支付项目审计决算后的项目余款 (不计息）。</w:t>
      </w:r>
      <w:r>
        <w:rPr>
          <w:rFonts w:hint="default" w:ascii="Times New Roman" w:hAnsi="Times New Roman" w:eastAsia="宋体" w:cs="Times New Roman"/>
          <w:color w:val="auto"/>
          <w:sz w:val="24"/>
          <w:szCs w:val="24"/>
          <w:lang w:val="en-US" w:eastAsia="zh-CN"/>
        </w:rPr>
        <w:t xml:space="preserve"> </w:t>
      </w:r>
    </w:p>
    <w:p w14:paraId="4B7A96F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2.中标人凭以下文件资料申请支付合同款 </w:t>
      </w:r>
    </w:p>
    <w:p w14:paraId="17EFC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采购合同； </w:t>
      </w:r>
    </w:p>
    <w:p w14:paraId="7E92A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中标通知书复印件或扫描件； </w:t>
      </w:r>
    </w:p>
    <w:p w14:paraId="35A2D8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中标人开具的国家税务机关监制的</w:t>
      </w:r>
      <w:r>
        <w:rPr>
          <w:rFonts w:hint="default" w:ascii="Times New Roman" w:hAnsi="Times New Roman" w:eastAsia="宋体" w:cs="Times New Roman"/>
          <w:color w:val="auto"/>
          <w:sz w:val="24"/>
          <w:szCs w:val="24"/>
          <w:lang w:eastAsia="zh-CN"/>
        </w:rPr>
        <w:t>采购人认可的</w:t>
      </w:r>
      <w:r>
        <w:rPr>
          <w:rFonts w:hint="default" w:ascii="Times New Roman" w:hAnsi="Times New Roman" w:eastAsia="宋体" w:cs="Times New Roman"/>
          <w:color w:val="auto"/>
          <w:sz w:val="24"/>
          <w:szCs w:val="24"/>
        </w:rPr>
        <w:t>正式增值税专用发票；</w:t>
      </w:r>
    </w:p>
    <w:p w14:paraId="07A7CE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采购人已收讫货物的验收凭证；</w:t>
      </w:r>
    </w:p>
    <w:p w14:paraId="491F60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采购人签发的验收合格文件。 </w:t>
      </w:r>
    </w:p>
    <w:p w14:paraId="32702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3.因采购人使用的是财政资金，采购人在前款规定的付款时间为向政府采购支付部门提出办理财政支付申请手续的时间（不含政府财政支付部门审核的时间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，在规定时间内提出支付申请手续后即视为采购人是按期支付。</w:t>
      </w:r>
    </w:p>
    <w:p w14:paraId="79FDBF03">
      <w:pPr>
        <w:pStyle w:val="7"/>
        <w:keepNext w:val="0"/>
        <w:keepLines w:val="0"/>
        <w:pageBreakBefore w:val="0"/>
        <w:widowControl w:val="0"/>
        <w:tabs>
          <w:tab w:val="left" w:pos="0"/>
        </w:tabs>
        <w:kinsoku/>
        <w:wordWrap/>
        <w:overflowPunct/>
        <w:topLinePunct w:val="0"/>
        <w:autoSpaceDE/>
        <w:autoSpaceDN/>
        <w:bidi w:val="0"/>
        <w:adjustRightInd/>
        <w:snapToGrid w:val="0"/>
        <w:spacing w:before="120" w:after="120" w:line="360" w:lineRule="auto"/>
        <w:ind w:firstLine="482" w:firstLineChars="200"/>
        <w:textAlignment w:val="auto"/>
        <w:outlineLvl w:val="1"/>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sz w:val="24"/>
          <w:szCs w:val="24"/>
        </w:rPr>
        <w:t>八、违约责任</w:t>
      </w:r>
    </w:p>
    <w:p w14:paraId="269EAC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1.采购人无正当理由未按合同规定的期限向中标人支付货款的，每逾期1天采购人向中标人支付该批次货款总额的0.04%滞纳金，批次累计滞纳金总额不超过批次欠款总额的0.6%。</w:t>
      </w:r>
    </w:p>
    <w:p w14:paraId="524A88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2.中标人逾期交付货物的，每逾期1天，中标人向采购人偿付支付该批次货款总额的0.04%滞纳金，批次累计滞纳金总额不超过批次总额的0.6%。</w:t>
      </w:r>
    </w:p>
    <w:p w14:paraId="1563D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中标人所交付的货物品种、型号、规格不符合合同规定，中标人需在收到书面通知15日内解决退换货问题，因退换货造成逾期交付的，中标人需交纳逾期滞纳金，逾期滞纳金按原收货截止日次日起计至合格货物收到之日止，每逾期1天，按本批次货款总额的0.04%计算。若中标人在15日退换货期限内不能完成供货，除每日按本批次货款总额的0.04%计算滞纳金外，还应支付每日1万元罚款，直至供货日止。若中标人在以上合计60天期限内仍不能完成供货，将被处以此批货款30%的罚款，同时处罚履约保证金的50%，采购人可采取必要的补救措施，但由此引发的风险和费用将由中标人承担。</w:t>
      </w:r>
    </w:p>
    <w:p w14:paraId="1593F0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4.中标人未按合同规定的和“服务承诺”提供的售后服务的，应按合同总价款的8%向采购人承担违约责任。</w:t>
      </w:r>
    </w:p>
    <w:p w14:paraId="6F78F8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九、本项目不接受进口产品投标</w:t>
      </w:r>
    </w:p>
    <w:p w14:paraId="0BECBA1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color w:val="auto"/>
        </w:rPr>
      </w:pPr>
      <w:r>
        <w:rPr>
          <w:rFonts w:hint="default" w:ascii="Times New Roman" w:hAnsi="Times New Roman" w:eastAsia="宋体" w:cs="Times New Roman"/>
          <w:b/>
          <w:color w:val="auto"/>
          <w:sz w:val="36"/>
          <w:szCs w:val="36"/>
        </w:rPr>
        <w:br w:type="page" w:clear="all"/>
      </w:r>
      <w:r>
        <w:rPr>
          <w:rFonts w:hint="default" w:ascii="Times New Roman" w:hAnsi="Times New Roman" w:eastAsia="宋体" w:cs="Times New Roman"/>
          <w:b/>
          <w:color w:val="auto"/>
          <w:sz w:val="36"/>
          <w:szCs w:val="36"/>
        </w:rPr>
        <w:t>第四章  评审方法和程序</w:t>
      </w:r>
      <w:bookmarkEnd w:id="8"/>
    </w:p>
    <w:p w14:paraId="7B5805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rPr>
      </w:pPr>
    </w:p>
    <w:p w14:paraId="339AC2A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w:t>
      </w:r>
      <w:r>
        <w:rPr>
          <w:rFonts w:hint="eastAsia" w:eastAsia="宋体" w:cs="Times New Roman"/>
          <w:b/>
          <w:color w:val="auto"/>
          <w:sz w:val="24"/>
          <w:szCs w:val="24"/>
          <w:lang w:eastAsia="zh-CN"/>
        </w:rPr>
        <w:t>采购人</w:t>
      </w:r>
      <w:r>
        <w:rPr>
          <w:rFonts w:hint="default" w:ascii="Times New Roman" w:hAnsi="Times New Roman" w:eastAsia="宋体" w:cs="Times New Roman"/>
          <w:b/>
          <w:color w:val="auto"/>
          <w:sz w:val="24"/>
          <w:szCs w:val="24"/>
        </w:rPr>
        <w:t>委托招标代理机构组织招标</w:t>
      </w:r>
    </w:p>
    <w:p w14:paraId="146DA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1.成立评标委员会小组，评标委员会由</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代表和评审专家组成，成员人数应当为</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color w:val="auto"/>
          <w:sz w:val="24"/>
          <w:szCs w:val="24"/>
        </w:rPr>
        <w:t>人以上单数，其中评审专家不得少于成员总数的三分之二。</w:t>
      </w:r>
    </w:p>
    <w:p w14:paraId="75AFE4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二、开标</w:t>
      </w:r>
    </w:p>
    <w:p w14:paraId="4C8F53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1.不见面远程开标模式：开标当天各投标人在各自地点通过苏采云系统及时登录不见面开标大厅，参加投标活动。</w:t>
      </w:r>
    </w:p>
    <w:p w14:paraId="5E0CBD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2.招标代理机构主持开标并记录，及时处理投标人代表提出的询问或者回避申请。</w:t>
      </w:r>
    </w:p>
    <w:p w14:paraId="2BD41B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3.投标人不足3家的不得开标。</w:t>
      </w:r>
    </w:p>
    <w:p w14:paraId="2CCE2B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三、资格审查</w:t>
      </w:r>
    </w:p>
    <w:p w14:paraId="728D01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1.开标后，</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及其委托的采购代理机构依据相关法律政策的规定，根据招标文件载明的资格审查要求，对投标人的资格进行审查。</w:t>
      </w:r>
    </w:p>
    <w:p w14:paraId="06799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2.资格审查合格的投标人进入评标。</w:t>
      </w:r>
    </w:p>
    <w:p w14:paraId="220C58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3.合格投标人不足3家的，不得评标。</w:t>
      </w:r>
    </w:p>
    <w:p w14:paraId="27A1D581">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outlineLvl w:val="1"/>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四、评标</w:t>
      </w:r>
    </w:p>
    <w:p w14:paraId="0CB15A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1.评标时间：</w:t>
      </w:r>
      <w:r>
        <w:rPr>
          <w:rFonts w:hint="default" w:ascii="Times New Roman" w:hAnsi="Times New Roman" w:eastAsia="宋体" w:cs="Times New Roman"/>
          <w:b/>
          <w:bCs/>
          <w:color w:val="auto"/>
          <w:sz w:val="24"/>
          <w:szCs w:val="24"/>
        </w:rPr>
        <w:t>资格审查结束以后</w:t>
      </w:r>
      <w:r>
        <w:rPr>
          <w:rFonts w:hint="default" w:ascii="Times New Roman" w:hAnsi="Times New Roman" w:eastAsia="宋体" w:cs="Times New Roman"/>
          <w:color w:val="auto"/>
          <w:sz w:val="24"/>
          <w:szCs w:val="24"/>
        </w:rPr>
        <w:t>。</w:t>
      </w:r>
    </w:p>
    <w:p w14:paraId="7E88A9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2.招标代理机构负责组织评标工作，并履行下列职责：</w:t>
      </w:r>
    </w:p>
    <w:p w14:paraId="41179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核对评审专家身份和</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代表授权函，对评审专家在招标采购活动中的职责履行情况予以记录，并及时将有关违法违规行为向相关部门报告。</w:t>
      </w:r>
    </w:p>
    <w:p w14:paraId="1BF6B8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宣布评标纪律。</w:t>
      </w:r>
    </w:p>
    <w:p w14:paraId="15C01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公布投标人名单，告知评审专家应当回避的情形。</w:t>
      </w:r>
    </w:p>
    <w:p w14:paraId="35C082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组织评标委员会推选评标组长，</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代表不得担任组长。</w:t>
      </w:r>
    </w:p>
    <w:p w14:paraId="5CDE36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在评标期间采取必要的通讯管理措施，保证评标活动不受外界干扰；除</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代表、评标现场组织人员外，</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的其他工作人员以及与评标工作无关的人员不得进入评标现场。</w:t>
      </w:r>
    </w:p>
    <w:p w14:paraId="2ECDB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根据评标委员会的要求介绍采购相关政策法规、招标文件。</w:t>
      </w:r>
    </w:p>
    <w:p w14:paraId="12582A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维护评标秩序，监督评标委员会依照招标文件规定的评标程序、方法和标准进行独立评审，及时制止和纠正</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代表、评审专家的倾向性言论或者违法违规行为；</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可以在评标前说明项目背景和采购需求，说明内容不得含有歧视性、倾向性意见，不得超出招标文件所述范围。说明应当提交书面材料，并随招标文件一并存档。</w:t>
      </w:r>
    </w:p>
    <w:p w14:paraId="37E0C3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核对评标结果，有下列规定情形的，要求评标委员会复核或者书面说明理由，评标委员会拒绝的，则予以书面记录并向本级相关部门报告：</w:t>
      </w:r>
    </w:p>
    <w:p w14:paraId="515321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①分值汇总计算错误的；</w:t>
      </w:r>
    </w:p>
    <w:p w14:paraId="13359E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②分项评分超出评分标准范围的；</w:t>
      </w:r>
    </w:p>
    <w:p w14:paraId="62BBD1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③评标委员会成员对客观评审因素评分不一致的；</w:t>
      </w:r>
    </w:p>
    <w:p w14:paraId="2A039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④经评标委员会认定评分畸高、畸低的。</w:t>
      </w:r>
    </w:p>
    <w:p w14:paraId="1544B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评审工作完成后，按照规定向评审专家支付劳务报酬和异地评审差旅费，不得向评审专家以外的其他人员支付评审劳务报酬；</w:t>
      </w:r>
    </w:p>
    <w:p w14:paraId="5DE1A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处理与评标有关的其他事项。</w:t>
      </w:r>
    </w:p>
    <w:p w14:paraId="7DFAA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3.评标委员会负责具体评标事务：</w:t>
      </w:r>
    </w:p>
    <w:p w14:paraId="2D50B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24CCA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330697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评标委员会发现招标文件存在歧义、重大缺陷导致评标工作无法进行，或者招标文件内容违反国家有关强制性规定的，应当停止评标工作，与</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或者招标代理机构沟通并作书面记录。</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或者招标代理机构确认后，应当修改招标文件，重新组织采购活动。</w:t>
      </w:r>
    </w:p>
    <w:p w14:paraId="487AE5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4.评标委员会成员独立履行以下职责与义务：</w:t>
      </w:r>
    </w:p>
    <w:p w14:paraId="210FB8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遵纪守法，客观、公正、廉洁地履行职责；</w:t>
      </w:r>
    </w:p>
    <w:p w14:paraId="55C08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审查合格投标人的投标文件是否实质性响应招标文件要求，并做出评价；</w:t>
      </w:r>
    </w:p>
    <w:p w14:paraId="59B209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按照招标文件规定的评标办法和评标标准进行评标，对评审意见承担个人责任；</w:t>
      </w:r>
    </w:p>
    <w:p w14:paraId="4877F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可以要求投标人对投标文件有关事项做出解释或澄清；</w:t>
      </w:r>
    </w:p>
    <w:p w14:paraId="75643A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对评标过程和结果，以及投标人的商业秘密保密；</w:t>
      </w:r>
    </w:p>
    <w:p w14:paraId="02DEA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配合相关部门的投诉处理工作；</w:t>
      </w:r>
    </w:p>
    <w:p w14:paraId="37F1E4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配合</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或招标代理机构答复投标人提出的质疑。</w:t>
      </w:r>
    </w:p>
    <w:p w14:paraId="18A715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5.除</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代表、评标现场组织人员外，</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的其他工作人员以及与评标工作无关的人员不得进入评标现场；有关人员对评标情况以及在评标过程中获悉的国家秘密、商业秘密负有保密责任。</w:t>
      </w:r>
    </w:p>
    <w:p w14:paraId="0C9DA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6.开标后直到公告项目中标结果发出中标通知书并授予中标人合同为止，凡属于评审、澄清、评价和比较投标的所有资料及有关授予合同等的相关信息，都不应向投标人或与评标无关的其他人泄露。</w:t>
      </w:r>
    </w:p>
    <w:p w14:paraId="30CEEA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7.评审期间，合格投标人的投标文件仍有可能被评标委员会根据规定判为无效投标。</w:t>
      </w:r>
    </w:p>
    <w:p w14:paraId="3016EB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8.在投标文件的评审、澄清、评价和比较以及授予合同的过程中，投标人对</w:t>
      </w:r>
      <w:r>
        <w:rPr>
          <w:rFonts w:hint="eastAsia" w:eastAsia="宋体" w:cs="Times New Roman"/>
          <w:color w:val="auto"/>
          <w:sz w:val="24"/>
          <w:szCs w:val="24"/>
          <w:lang w:eastAsia="zh-CN"/>
        </w:rPr>
        <w:t>采购人</w:t>
      </w:r>
      <w:r>
        <w:rPr>
          <w:rFonts w:hint="default" w:ascii="Times New Roman" w:hAnsi="Times New Roman" w:eastAsia="宋体" w:cs="Times New Roman"/>
          <w:color w:val="auto"/>
          <w:sz w:val="24"/>
          <w:szCs w:val="24"/>
        </w:rPr>
        <w:t>和评标委员会成员有施加影响的任何行为，都将取消其可能的中标资格。</w:t>
      </w:r>
    </w:p>
    <w:p w14:paraId="723142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五、评审原则</w:t>
      </w:r>
    </w:p>
    <w:p w14:paraId="4D160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1.本项目采用</w:t>
      </w:r>
      <w:r>
        <w:rPr>
          <w:rFonts w:hint="default" w:ascii="Times New Roman" w:hAnsi="Times New Roman" w:eastAsia="宋体" w:cs="Times New Roman"/>
          <w:b/>
          <w:bCs/>
          <w:color w:val="auto"/>
          <w:sz w:val="24"/>
          <w:szCs w:val="24"/>
          <w:u w:val="single"/>
        </w:rPr>
        <w:t>综合评分法</w:t>
      </w:r>
      <w:r>
        <w:rPr>
          <w:rFonts w:hint="default" w:ascii="Times New Roman" w:hAnsi="Times New Roman" w:eastAsia="宋体" w:cs="Times New Roman"/>
          <w:color w:val="auto"/>
          <w:sz w:val="24"/>
          <w:szCs w:val="24"/>
        </w:rPr>
        <w:t>，即指投标文件满足本项目招标文件全部实质性要求，且按照评审因素的量化指标，经评审后得分最高的投标人推荐为中标人的评标方法。</w:t>
      </w:r>
    </w:p>
    <w:p w14:paraId="5879F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评标委员会成员：对符合资格的投标人的投标文件进行符合性审查，以确定其是否满足招标文件的实质性要求；按照招标文件中规定的评标方法和标准，对符合性审查合格的投标文件进行价格和商务技术评估，综合比较与评价。</w:t>
      </w:r>
    </w:p>
    <w:p w14:paraId="6EFFAC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3.评标委员会严格按照招标文件规定的要求、条件、评分标准，对投标人所提供的完整计划标的物的科学性、可行性、产品质量、服务质量的保证及承诺等实质性响应内容进行比较评价。</w:t>
      </w:r>
    </w:p>
    <w:p w14:paraId="2583DF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4.对投标文件的评审判定，只依据投标文件内容本身，不依靠开标后任何外来证明文件。</w:t>
      </w:r>
    </w:p>
    <w:p w14:paraId="4AE421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六、评审方法</w:t>
      </w:r>
    </w:p>
    <w:p w14:paraId="24FD8A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1.评标程序：</w:t>
      </w:r>
    </w:p>
    <w:p w14:paraId="4B660A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资格符合性评审——商务技术标评审——价格标评审——确定中标候选人。</w:t>
      </w:r>
    </w:p>
    <w:p w14:paraId="55714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本次资格审查采用资格后审，各投标人资格审查通过后方能进入商务技术标的开标。先开商务技术标，商务技术标打分结束后再开价格标。</w:t>
      </w:r>
    </w:p>
    <w:p w14:paraId="60B9D4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2.评标委员会将仅对按本招标文件载明的方法与规定，为实质上响应招标文件要求的投标文件评审并进行评价和比较。</w:t>
      </w:r>
    </w:p>
    <w:p w14:paraId="63FC4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3.本次项目的商务技术标和价格标评审总分值为100分。两部分评审因素比重如下：</w:t>
      </w:r>
    </w:p>
    <w:p w14:paraId="1B36A3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商务技术标分值占总分值的比重为</w:t>
      </w:r>
      <w:r>
        <w:rPr>
          <w:rFonts w:hint="default" w:ascii="Times New Roman" w:hAnsi="Times New Roman" w:eastAsia="宋体" w:cs="Times New Roman"/>
          <w:b/>
          <w:bCs/>
          <w:color w:val="auto"/>
          <w:sz w:val="24"/>
          <w:szCs w:val="24"/>
          <w:u w:val="single"/>
        </w:rPr>
        <w:t>70%</w:t>
      </w:r>
      <w:r>
        <w:rPr>
          <w:rFonts w:hint="default" w:ascii="Times New Roman" w:hAnsi="Times New Roman" w:eastAsia="宋体" w:cs="Times New Roman"/>
          <w:b/>
          <w:bCs/>
          <w:color w:val="auto"/>
          <w:sz w:val="24"/>
          <w:szCs w:val="24"/>
        </w:rPr>
        <w:t>（权重</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sz w:val="24"/>
          <w:szCs w:val="24"/>
        </w:rPr>
        <w:t>（计算结果均四舍五入保留两位小数</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499A37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价格标分值占总分值的比重为</w:t>
      </w:r>
      <w:r>
        <w:rPr>
          <w:rFonts w:hint="default" w:ascii="Times New Roman" w:hAnsi="Times New Roman" w:eastAsia="宋体" w:cs="Times New Roman"/>
          <w:b/>
          <w:bCs/>
          <w:color w:val="auto"/>
          <w:sz w:val="24"/>
          <w:szCs w:val="24"/>
          <w:u w:val="single"/>
        </w:rPr>
        <w:t>30%</w:t>
      </w:r>
      <w:r>
        <w:rPr>
          <w:rFonts w:hint="default" w:ascii="Times New Roman" w:hAnsi="Times New Roman" w:eastAsia="宋体" w:cs="Times New Roman"/>
          <w:b/>
          <w:bCs/>
          <w:color w:val="auto"/>
          <w:sz w:val="24"/>
          <w:szCs w:val="24"/>
        </w:rPr>
        <w:t>（权重</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sz w:val="24"/>
          <w:szCs w:val="24"/>
        </w:rPr>
        <w:t>（计算结果均四舍五入保留两位小数</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 </w:t>
      </w:r>
    </w:p>
    <w:p w14:paraId="7354BD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4.评标委员会严格按照招标文件的要求、条件、评分标准，对投标人所提供服务的先进性、可靠性、售后服务承诺、质量保证承诺等实质性响应内容进行比较。</w:t>
      </w:r>
    </w:p>
    <w:p w14:paraId="115E99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5.评标专家确定方式：在专家库中随机抽取。评标委员会各成员独立对每个进入打分程序的有效投标人的投标文件的商务技术部分以打分的形式进行评审和评价。</w:t>
      </w:r>
    </w:p>
    <w:p w14:paraId="39FFBF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6.商务技术分按评委的算术平均值计算（计算结果均四舍五入保留两位小数</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1307B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7.开启投标人的价格报价标，现场唱标后由投标人代表在苏采云系统确认。</w:t>
      </w:r>
    </w:p>
    <w:p w14:paraId="6EDF4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8.投标人的价格标评审得分直接计算取得，并与其商务技术标得分相加为该投标人的综合得分（计算结果均四舍五入保留两位小数</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25C42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评标结果按评审后得分由高到低顺序排列。得分相同的，按投标报价由低到高顺序排列。得分且投标报价均相同时则通过抽签方式随机确定排名顺序。投标文件满足招标文件全部实质性要求，且按照评审因素的量化指标评审得分最高的投标人为排名第一的中标候选人。</w:t>
      </w:r>
    </w:p>
    <w:p w14:paraId="7B4C2A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七、关于投标价格评审</w:t>
      </w:r>
    </w:p>
    <w:p w14:paraId="3273C0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1.针对投标价格实质响应的评审</w:t>
      </w:r>
    </w:p>
    <w:p w14:paraId="0D2A7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评标委员会将审查每份投标文件的报价是否实质上响应了招标文件的要求。实质上响应的投标应该是与招标文件要求的全部条款、条件和规格相符，没有重大偏离或保留。所谓重大偏离或保留是指实质上影响合同的服务范围，或者实质上与招标文件的要求不一致。纠正这些偏离或保留将会对其他实质上响应要求的投标人的竞争地位产生不公正的影响。如未实质上响应，则按无效投标处理。 </w:t>
      </w:r>
    </w:p>
    <w:p w14:paraId="438BC2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2.针对投标价格合理性的评审</w:t>
      </w:r>
    </w:p>
    <w:p w14:paraId="67F93A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评标委员会认为投标人的报价明显低于其他通过符合性审查投标人的报价，有可能影响产品质量或者不能诚信履约的，应当要求其在30分钟内提供书面说明，必要时提交相关证明材料；投标人不能证明其报价合理性的，评标委员会应当将其作为无效投标处理。</w:t>
      </w:r>
    </w:p>
    <w:p w14:paraId="70CC8F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八、评审评分项 </w:t>
      </w:r>
    </w:p>
    <w:p w14:paraId="575984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rPr>
        <w:t>（一</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商务技术标评分：（70分</w:t>
      </w:r>
      <w:r>
        <w:rPr>
          <w:rFonts w:hint="default" w:ascii="Times New Roman" w:hAnsi="Times New Roman" w:eastAsia="宋体" w:cs="Times New Roman"/>
          <w:b/>
          <w:bCs/>
          <w:color w:val="auto"/>
          <w:sz w:val="24"/>
          <w:szCs w:val="24"/>
          <w:lang w:eastAsia="zh-CN"/>
        </w:rPr>
        <w:t>）</w:t>
      </w:r>
    </w:p>
    <w:tbl>
      <w:tblPr>
        <w:tblStyle w:val="1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227"/>
        <w:gridCol w:w="6012"/>
        <w:gridCol w:w="612"/>
        <w:gridCol w:w="792"/>
      </w:tblGrid>
      <w:tr w14:paraId="0F72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35" w:type="dxa"/>
            <w:vAlign w:val="center"/>
          </w:tcPr>
          <w:p w14:paraId="2EBA66C6">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227" w:type="dxa"/>
            <w:vAlign w:val="center"/>
          </w:tcPr>
          <w:p w14:paraId="610EB266">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评分因素</w:t>
            </w:r>
          </w:p>
        </w:tc>
        <w:tc>
          <w:tcPr>
            <w:tcW w:w="6012" w:type="dxa"/>
            <w:vAlign w:val="center"/>
          </w:tcPr>
          <w:p w14:paraId="51C8D24B">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评审细则</w:t>
            </w:r>
          </w:p>
        </w:tc>
        <w:tc>
          <w:tcPr>
            <w:tcW w:w="612" w:type="dxa"/>
            <w:vAlign w:val="center"/>
          </w:tcPr>
          <w:p w14:paraId="5AE429C7">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分值</w:t>
            </w:r>
          </w:p>
        </w:tc>
        <w:tc>
          <w:tcPr>
            <w:tcW w:w="792" w:type="dxa"/>
            <w:vAlign w:val="center"/>
          </w:tcPr>
          <w:p w14:paraId="02785D4C">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主/客观分</w:t>
            </w:r>
          </w:p>
        </w:tc>
      </w:tr>
      <w:tr w14:paraId="6DE5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78" w:type="dxa"/>
            <w:gridSpan w:val="5"/>
            <w:vAlign w:val="center"/>
          </w:tcPr>
          <w:p w14:paraId="12C681F0">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一、技术部分</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49分</w:t>
            </w:r>
            <w:r>
              <w:rPr>
                <w:rFonts w:hint="default" w:ascii="Times New Roman" w:hAnsi="Times New Roman" w:eastAsia="宋体" w:cs="Times New Roman"/>
                <w:b/>
                <w:bCs/>
                <w:color w:val="auto"/>
                <w:sz w:val="21"/>
                <w:szCs w:val="21"/>
                <w:lang w:eastAsia="zh-CN"/>
              </w:rPr>
              <w:t>）</w:t>
            </w:r>
          </w:p>
        </w:tc>
      </w:tr>
      <w:tr w14:paraId="68C7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1" w:hRule="atLeast"/>
          <w:jc w:val="center"/>
        </w:trPr>
        <w:tc>
          <w:tcPr>
            <w:tcW w:w="535" w:type="dxa"/>
            <w:vAlign w:val="center"/>
          </w:tcPr>
          <w:p w14:paraId="25B20C5A">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w:t>
            </w:r>
          </w:p>
        </w:tc>
        <w:tc>
          <w:tcPr>
            <w:tcW w:w="1227" w:type="dxa"/>
            <w:vAlign w:val="center"/>
          </w:tcPr>
          <w:p w14:paraId="38160731">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技术条款</w:t>
            </w:r>
          </w:p>
        </w:tc>
        <w:tc>
          <w:tcPr>
            <w:tcW w:w="6012" w:type="dxa"/>
            <w:vAlign w:val="center"/>
          </w:tcPr>
          <w:p w14:paraId="133C62D5">
            <w:pPr>
              <w:keepNext w:val="0"/>
              <w:keepLines w:val="0"/>
              <w:pageBreakBefore w:val="0"/>
              <w:widowControl/>
              <w:shd w:val="clear"/>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shd w:val="clear"/>
                <w:lang w:val="en-US" w:eastAsia="zh-CN"/>
              </w:rPr>
              <w:t>1.标“</w:t>
            </w:r>
            <w:r>
              <w:rPr>
                <w:rFonts w:hint="default" w:ascii="Times New Roman" w:hAnsi="Times New Roman" w:eastAsia="宋体" w:cs="Times New Roman"/>
                <w:b/>
                <w:bCs/>
                <w:color w:val="auto"/>
                <w:sz w:val="21"/>
                <w:szCs w:val="21"/>
                <w:shd w:val="clear"/>
                <w:lang w:val="en-US" w:eastAsia="zh-CN"/>
              </w:rPr>
              <w:t>▲</w:t>
            </w:r>
            <w:r>
              <w:rPr>
                <w:rFonts w:hint="default" w:ascii="Times New Roman" w:hAnsi="Times New Roman" w:eastAsia="宋体" w:cs="Times New Roman"/>
                <w:color w:val="auto"/>
                <w:sz w:val="21"/>
                <w:szCs w:val="21"/>
                <w:shd w:val="clear"/>
                <w:lang w:val="en-US" w:eastAsia="zh-CN"/>
              </w:rPr>
              <w:t>”项技术参数为重要指标，投标人提供满足或优于招标文件要求的相关证明材料并加盖投标人公章，</w:t>
            </w:r>
            <w:r>
              <w:rPr>
                <w:rFonts w:hint="default" w:ascii="Times New Roman" w:hAnsi="Times New Roman" w:eastAsia="宋体" w:cs="Times New Roman"/>
                <w:color w:val="auto"/>
                <w:sz w:val="21"/>
                <w:szCs w:val="21"/>
                <w:shd w:val="clear"/>
                <w:lang w:val="zh-CN"/>
              </w:rPr>
              <w:t>根据投标人所投产品的“</w:t>
            </w:r>
            <w:r>
              <w:rPr>
                <w:rFonts w:hint="default" w:ascii="Times New Roman" w:hAnsi="Times New Roman" w:eastAsia="宋体" w:cs="Times New Roman"/>
                <w:b/>
                <w:bCs/>
                <w:color w:val="auto"/>
                <w:sz w:val="21"/>
                <w:szCs w:val="21"/>
                <w:shd w:val="clear"/>
                <w:lang w:val="zh-CN"/>
              </w:rPr>
              <w:t>▲</w:t>
            </w:r>
            <w:r>
              <w:rPr>
                <w:rFonts w:hint="default" w:ascii="Times New Roman" w:hAnsi="Times New Roman" w:eastAsia="宋体" w:cs="Times New Roman"/>
                <w:color w:val="auto"/>
                <w:sz w:val="21"/>
                <w:szCs w:val="21"/>
                <w:shd w:val="clear"/>
                <w:lang w:val="zh-CN"/>
              </w:rPr>
              <w:t>”号技术参数响应程度进行评审，</w:t>
            </w:r>
            <w:r>
              <w:rPr>
                <w:rFonts w:hint="default" w:ascii="Times New Roman" w:hAnsi="Times New Roman" w:eastAsia="宋体" w:cs="Times New Roman"/>
                <w:color w:val="auto"/>
                <w:sz w:val="21"/>
                <w:szCs w:val="21"/>
                <w:shd w:val="clear"/>
                <w:lang w:val="en-US" w:eastAsia="zh-CN"/>
              </w:rPr>
              <w:t>共计18项</w:t>
            </w:r>
            <w:r>
              <w:rPr>
                <w:rFonts w:hint="default" w:ascii="Times New Roman" w:hAnsi="Times New Roman" w:eastAsia="宋体" w:cs="Times New Roman"/>
                <w:color w:val="auto"/>
                <w:sz w:val="21"/>
                <w:szCs w:val="21"/>
                <w:shd w:val="clear"/>
                <w:lang w:val="zh-CN"/>
              </w:rPr>
              <w:t>，完全满足，得</w:t>
            </w:r>
            <w:r>
              <w:rPr>
                <w:rFonts w:hint="default" w:ascii="Times New Roman" w:hAnsi="Times New Roman" w:eastAsia="宋体" w:cs="Times New Roman"/>
                <w:color w:val="auto"/>
                <w:sz w:val="21"/>
                <w:szCs w:val="21"/>
                <w:shd w:val="clear"/>
                <w:lang w:val="en-US" w:eastAsia="zh-CN"/>
              </w:rPr>
              <w:t>36分</w:t>
            </w:r>
            <w:r>
              <w:rPr>
                <w:rFonts w:hint="default" w:ascii="Times New Roman" w:hAnsi="Times New Roman" w:eastAsia="宋体" w:cs="Times New Roman"/>
                <w:color w:val="auto"/>
                <w:sz w:val="21"/>
                <w:szCs w:val="21"/>
                <w:shd w:val="clear"/>
                <w:lang w:val="zh-CN"/>
              </w:rPr>
              <w:t>；每有一项带“</w:t>
            </w:r>
            <w:r>
              <w:rPr>
                <w:rFonts w:hint="default" w:ascii="Times New Roman" w:hAnsi="Times New Roman" w:eastAsia="宋体" w:cs="Times New Roman"/>
                <w:b/>
                <w:bCs/>
                <w:color w:val="auto"/>
                <w:sz w:val="21"/>
                <w:szCs w:val="21"/>
                <w:shd w:val="clear"/>
                <w:lang w:val="zh-CN"/>
              </w:rPr>
              <w:t>▲</w:t>
            </w:r>
            <w:r>
              <w:rPr>
                <w:rFonts w:hint="default" w:ascii="Times New Roman" w:hAnsi="Times New Roman" w:eastAsia="宋体" w:cs="Times New Roman"/>
                <w:color w:val="auto"/>
                <w:sz w:val="21"/>
                <w:szCs w:val="21"/>
                <w:shd w:val="clear"/>
                <w:lang w:val="zh-CN"/>
              </w:rPr>
              <w:t>”号参数负偏离扣</w:t>
            </w:r>
            <w:r>
              <w:rPr>
                <w:rFonts w:hint="default" w:ascii="Times New Roman" w:hAnsi="Times New Roman" w:eastAsia="宋体" w:cs="Times New Roman"/>
                <w:color w:val="auto"/>
                <w:sz w:val="21"/>
                <w:szCs w:val="21"/>
                <w:shd w:val="clear"/>
                <w:lang w:val="en-US" w:eastAsia="zh-CN"/>
              </w:rPr>
              <w:t>2</w:t>
            </w:r>
            <w:r>
              <w:rPr>
                <w:rFonts w:hint="default" w:ascii="Times New Roman" w:hAnsi="Times New Roman" w:eastAsia="宋体" w:cs="Times New Roman"/>
                <w:color w:val="auto"/>
                <w:sz w:val="21"/>
                <w:szCs w:val="21"/>
                <w:shd w:val="clear"/>
                <w:lang w:val="zh-CN"/>
              </w:rPr>
              <w:t xml:space="preserve">分，扣完为止。 </w:t>
            </w:r>
          </w:p>
          <w:p w14:paraId="49B006B4">
            <w:pPr>
              <w:keepNext w:val="0"/>
              <w:keepLines w:val="0"/>
              <w:pageBreakBefore w:val="0"/>
              <w:widowControl/>
              <w:shd w:val="clear"/>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2.根据非“</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color w:val="auto"/>
                <w:sz w:val="21"/>
                <w:szCs w:val="21"/>
                <w:lang w:val="en-US" w:eastAsia="zh-CN"/>
              </w:rPr>
              <w:t>”和非“</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color w:val="auto"/>
                <w:sz w:val="21"/>
                <w:szCs w:val="21"/>
                <w:lang w:val="en-US" w:eastAsia="zh-CN"/>
              </w:rPr>
              <w:t>”一般条款的全部内容响应情况进行评审：完全满足，得13分；有1项不能响应或负偏离扣0.5分，本项分值扣完为止。</w:t>
            </w:r>
          </w:p>
          <w:p w14:paraId="19D142E2">
            <w:pPr>
              <w:keepNext w:val="0"/>
              <w:keepLines w:val="0"/>
              <w:pageBreakBefore w:val="0"/>
              <w:widowControl/>
              <w:kinsoku/>
              <w:wordWrap/>
              <w:overflowPunct/>
              <w:topLinePunct w:val="0"/>
              <w:autoSpaceDE/>
              <w:autoSpaceDN/>
              <w:bidi w:val="0"/>
              <w:adjustRightInd w:val="0"/>
              <w:snapToGrid w:val="0"/>
              <w:spacing w:line="300" w:lineRule="exact"/>
              <w:ind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注：</w:t>
            </w:r>
          </w:p>
          <w:p w14:paraId="7FA68C5E">
            <w:pPr>
              <w:keepNext w:val="0"/>
              <w:keepLines w:val="0"/>
              <w:pageBreakBefore w:val="0"/>
              <w:widowControl/>
              <w:kinsoku/>
              <w:wordWrap/>
              <w:overflowPunct/>
              <w:topLinePunct w:val="0"/>
              <w:autoSpaceDE/>
              <w:autoSpaceDN/>
              <w:bidi w:val="0"/>
              <w:adjustRightInd w:val="0"/>
              <w:snapToGrid w:val="0"/>
              <w:spacing w:line="300" w:lineRule="exact"/>
              <w:ind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eastAsia="zh-CN"/>
              </w:rPr>
              <w:t>①</w:t>
            </w:r>
            <w:r>
              <w:rPr>
                <w:rFonts w:hint="default" w:ascii="Times New Roman" w:hAnsi="Times New Roman" w:eastAsia="宋体" w:cs="Times New Roman"/>
                <w:b/>
                <w:bCs/>
                <w:color w:val="auto"/>
                <w:sz w:val="21"/>
                <w:szCs w:val="21"/>
              </w:rPr>
              <w:t>带“</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”的为实质性参数要求不参与评分，任意1条不满足即视为投标无效。</w:t>
            </w:r>
          </w:p>
          <w:p w14:paraId="05C33F4A">
            <w:pPr>
              <w:keepNext w:val="0"/>
              <w:keepLines w:val="0"/>
              <w:pageBreakBefore w:val="0"/>
              <w:widowControl/>
              <w:kinsoku/>
              <w:wordWrap/>
              <w:overflowPunct/>
              <w:topLinePunct w:val="0"/>
              <w:autoSpaceDE/>
              <w:autoSpaceDN/>
              <w:bidi w:val="0"/>
              <w:adjustRightInd w:val="0"/>
              <w:snapToGrid w:val="0"/>
              <w:spacing w:line="300" w:lineRule="exact"/>
              <w:ind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②</w:t>
            </w:r>
            <w:r>
              <w:rPr>
                <w:rFonts w:hint="default" w:ascii="Times New Roman" w:hAnsi="Times New Roman" w:eastAsia="宋体" w:cs="Times New Roman"/>
                <w:b/>
                <w:bCs/>
                <w:color w:val="auto"/>
                <w:sz w:val="21"/>
                <w:szCs w:val="21"/>
              </w:rPr>
              <w:t>凡标有最低一级序号的指标项即为一项技术条款，无论是否隶属于上一级编号。</w:t>
            </w:r>
          </w:p>
          <w:p w14:paraId="7BC8BBB4">
            <w:pPr>
              <w:keepNext w:val="0"/>
              <w:keepLines w:val="0"/>
              <w:pageBreakBefore w:val="0"/>
              <w:widowControl/>
              <w:kinsoku/>
              <w:wordWrap/>
              <w:overflowPunct/>
              <w:topLinePunct w:val="0"/>
              <w:autoSpaceDE/>
              <w:autoSpaceDN/>
              <w:bidi w:val="0"/>
              <w:adjustRightInd w:val="0"/>
              <w:snapToGrid w:val="0"/>
              <w:spacing w:line="300" w:lineRule="exact"/>
              <w:ind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③</w:t>
            </w:r>
            <w:r>
              <w:rPr>
                <w:rFonts w:hint="default" w:ascii="Times New Roman" w:hAnsi="Times New Roman" w:eastAsia="宋体" w:cs="Times New Roman"/>
                <w:b/>
                <w:bCs/>
                <w:color w:val="auto"/>
                <w:sz w:val="21"/>
                <w:szCs w:val="21"/>
              </w:rPr>
              <w:t>如采购需求中有明确提供证明资料的，则以采购需求要求为准，未按要求提供证明材料或证明材料不满足参数要求则不得分；如采购需求中无明确证明材料的，以投标人的投标文件</w:t>
            </w:r>
            <w:r>
              <w:rPr>
                <w:rFonts w:hint="default" w:ascii="Times New Roman" w:hAnsi="Times New Roman" w:eastAsia="宋体" w:cs="Times New Roman"/>
                <w:b/>
                <w:bCs/>
                <w:color w:val="auto"/>
                <w:sz w:val="21"/>
                <w:szCs w:val="21"/>
                <w:shd w:val="clear"/>
              </w:rPr>
              <w:t>《技术条款响应正负偏离表》</w:t>
            </w:r>
            <w:r>
              <w:rPr>
                <w:rFonts w:hint="default" w:ascii="Times New Roman" w:hAnsi="Times New Roman" w:eastAsia="宋体" w:cs="Times New Roman"/>
                <w:b/>
                <w:bCs/>
                <w:color w:val="auto"/>
                <w:sz w:val="21"/>
                <w:szCs w:val="21"/>
              </w:rPr>
              <w:t>中的响应情况填写内容为准，未填写或不满足的视为负偏离。</w:t>
            </w:r>
          </w:p>
        </w:tc>
        <w:tc>
          <w:tcPr>
            <w:tcW w:w="612" w:type="dxa"/>
            <w:vAlign w:val="center"/>
          </w:tcPr>
          <w:p w14:paraId="4808ACB2">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49</w:t>
            </w:r>
          </w:p>
        </w:tc>
        <w:tc>
          <w:tcPr>
            <w:tcW w:w="792" w:type="dxa"/>
            <w:vAlign w:val="center"/>
          </w:tcPr>
          <w:p w14:paraId="3A1F491E">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客观</w:t>
            </w:r>
          </w:p>
        </w:tc>
      </w:tr>
      <w:tr w14:paraId="1061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178" w:type="dxa"/>
            <w:gridSpan w:val="5"/>
            <w:vAlign w:val="center"/>
          </w:tcPr>
          <w:p w14:paraId="3060676B">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二、商务部分</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21分</w:t>
            </w:r>
            <w:r>
              <w:rPr>
                <w:rFonts w:hint="default" w:ascii="Times New Roman" w:hAnsi="Times New Roman" w:eastAsia="宋体" w:cs="Times New Roman"/>
                <w:b/>
                <w:bCs/>
                <w:color w:val="auto"/>
                <w:sz w:val="21"/>
                <w:szCs w:val="21"/>
                <w:lang w:eastAsia="zh-CN"/>
              </w:rPr>
              <w:t>）</w:t>
            </w:r>
          </w:p>
        </w:tc>
      </w:tr>
      <w:tr w14:paraId="0B00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535" w:type="dxa"/>
            <w:vAlign w:val="center"/>
          </w:tcPr>
          <w:p w14:paraId="3CCB3E8D">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1</w:t>
            </w:r>
          </w:p>
        </w:tc>
        <w:tc>
          <w:tcPr>
            <w:tcW w:w="1227" w:type="dxa"/>
            <w:vAlign w:val="center"/>
          </w:tcPr>
          <w:p w14:paraId="26950A7A">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企业业绩</w:t>
            </w:r>
          </w:p>
        </w:tc>
        <w:tc>
          <w:tcPr>
            <w:tcW w:w="6012" w:type="dxa"/>
            <w:vAlign w:val="center"/>
          </w:tcPr>
          <w:p w14:paraId="6048FFF9">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rPr>
              <w:t>投标供应商</w:t>
            </w:r>
            <w:r>
              <w:rPr>
                <w:rFonts w:hint="default" w:ascii="Times New Roman" w:hAnsi="Times New Roman" w:eastAsia="宋体" w:cs="Times New Roman"/>
                <w:color w:val="auto"/>
                <w:sz w:val="21"/>
                <w:szCs w:val="21"/>
              </w:rPr>
              <w:t>自202</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年01月01日以来（以合同签订时间为准</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具有</w:t>
            </w:r>
            <w:r>
              <w:rPr>
                <w:rFonts w:hint="default" w:ascii="Times New Roman" w:hAnsi="Times New Roman" w:eastAsia="宋体" w:cs="Times New Roman"/>
                <w:color w:val="auto"/>
                <w:sz w:val="21"/>
                <w:szCs w:val="21"/>
                <w:lang w:val="en-US" w:eastAsia="zh-CN"/>
              </w:rPr>
              <w:t>类似</w:t>
            </w:r>
            <w:r>
              <w:rPr>
                <w:rFonts w:hint="default" w:ascii="Times New Roman" w:hAnsi="Times New Roman" w:eastAsia="宋体" w:cs="Times New Roman"/>
                <w:color w:val="auto"/>
                <w:sz w:val="21"/>
                <w:szCs w:val="21"/>
              </w:rPr>
              <w:t>产品销售的业绩，每提供1个得</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分，最多得</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分。</w:t>
            </w:r>
          </w:p>
          <w:p w14:paraId="7AE0A547">
            <w:pPr>
              <w:keepNext w:val="0"/>
              <w:keepLines w:val="0"/>
              <w:pageBreakBefore w:val="0"/>
              <w:widowControl/>
              <w:kinsoku/>
              <w:wordWrap/>
              <w:overflowPunct/>
              <w:topLinePunct w:val="0"/>
              <w:autoSpaceDE/>
              <w:autoSpaceDN/>
              <w:bidi w:val="0"/>
              <w:adjustRightInd w:val="0"/>
              <w:snapToGrid w:val="0"/>
              <w:spacing w:line="300" w:lineRule="exact"/>
              <w:ind w:firstLine="422"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证明材料：提供合同关键页扫描件（关键页包括：合同首页、签订时间、项目名称、双方盖章、产品信息等</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验收报告</w:t>
            </w:r>
            <w:r>
              <w:rPr>
                <w:rFonts w:hint="default" w:ascii="Times New Roman" w:hAnsi="Times New Roman" w:eastAsia="宋体" w:cs="Times New Roman"/>
                <w:b/>
                <w:bCs/>
                <w:color w:val="auto"/>
                <w:sz w:val="21"/>
                <w:szCs w:val="21"/>
              </w:rPr>
              <w:t>并加盖公章，否则不得分。</w:t>
            </w:r>
          </w:p>
        </w:tc>
        <w:tc>
          <w:tcPr>
            <w:tcW w:w="612" w:type="dxa"/>
            <w:vAlign w:val="center"/>
          </w:tcPr>
          <w:p w14:paraId="20520FC5">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6</w:t>
            </w:r>
          </w:p>
        </w:tc>
        <w:tc>
          <w:tcPr>
            <w:tcW w:w="792" w:type="dxa"/>
            <w:vAlign w:val="center"/>
          </w:tcPr>
          <w:p w14:paraId="07745CF3">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客观</w:t>
            </w:r>
          </w:p>
        </w:tc>
      </w:tr>
      <w:tr w14:paraId="2296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jc w:val="center"/>
        </w:trPr>
        <w:tc>
          <w:tcPr>
            <w:tcW w:w="535" w:type="dxa"/>
            <w:vAlign w:val="center"/>
          </w:tcPr>
          <w:p w14:paraId="19706978">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2</w:t>
            </w:r>
          </w:p>
        </w:tc>
        <w:tc>
          <w:tcPr>
            <w:tcW w:w="1227" w:type="dxa"/>
            <w:vAlign w:val="center"/>
          </w:tcPr>
          <w:p w14:paraId="1D56A73D">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实施方案</w:t>
            </w:r>
          </w:p>
        </w:tc>
        <w:tc>
          <w:tcPr>
            <w:tcW w:w="6012" w:type="dxa"/>
            <w:vAlign w:val="center"/>
          </w:tcPr>
          <w:p w14:paraId="76D54450">
            <w:pPr>
              <w:keepNext w:val="0"/>
              <w:keepLines w:val="0"/>
              <w:pageBreakBefore w:val="0"/>
              <w:widowControl/>
              <w:kinsoku/>
              <w:wordWrap/>
              <w:overflowPunct/>
              <w:topLinePunct w:val="0"/>
              <w:autoSpaceDE/>
              <w:autoSpaceDN/>
              <w:bidi w:val="0"/>
              <w:adjustRightInd w:val="0"/>
              <w:snapToGrid w:val="0"/>
              <w:spacing w:line="300" w:lineRule="exact"/>
              <w:ind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项目</w:t>
            </w:r>
            <w:r>
              <w:rPr>
                <w:rFonts w:hint="default" w:ascii="Times New Roman" w:hAnsi="Times New Roman" w:eastAsia="宋体" w:cs="Times New Roman"/>
                <w:b/>
                <w:bCs/>
                <w:color w:val="auto"/>
                <w:sz w:val="21"/>
                <w:szCs w:val="21"/>
              </w:rPr>
              <w:t>实施方案，</w:t>
            </w:r>
            <w:r>
              <w:rPr>
                <w:rFonts w:hint="default" w:ascii="Times New Roman" w:hAnsi="Times New Roman" w:eastAsia="宋体" w:cs="Times New Roman"/>
                <w:b/>
                <w:bCs/>
                <w:color w:val="auto"/>
                <w:sz w:val="21"/>
                <w:szCs w:val="21"/>
                <w:lang w:val="en-US" w:eastAsia="zh-CN"/>
              </w:rPr>
              <w:t>应包括进度安排、人员安排、供货、</w:t>
            </w:r>
            <w:r>
              <w:rPr>
                <w:rFonts w:hint="default" w:ascii="Times New Roman" w:hAnsi="Times New Roman" w:eastAsia="宋体" w:cs="Times New Roman"/>
                <w:b/>
                <w:bCs/>
                <w:color w:val="auto"/>
                <w:sz w:val="21"/>
                <w:szCs w:val="21"/>
              </w:rPr>
              <w:t>产品安装和调试方案、验收</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售后</w:t>
            </w:r>
            <w:r>
              <w:rPr>
                <w:rFonts w:hint="default" w:ascii="Times New Roman" w:hAnsi="Times New Roman" w:eastAsia="宋体" w:cs="Times New Roman"/>
                <w:b/>
                <w:bCs/>
                <w:color w:val="auto"/>
                <w:sz w:val="21"/>
                <w:szCs w:val="21"/>
                <w:lang w:val="en-US" w:eastAsia="zh-CN"/>
              </w:rPr>
              <w:t>服务等内容</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 xml:space="preserve"> </w:t>
            </w:r>
          </w:p>
          <w:p w14:paraId="4BCB75CA">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①方案内容详细完整，能贴合采购人需求，合理可行、针对性强的，得</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分；</w:t>
            </w:r>
          </w:p>
          <w:p w14:paraId="6BC2474B">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②方案内容基本完整，但表述一般，具有一定的合理性、可行性、针对性的，得</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分；</w:t>
            </w:r>
          </w:p>
          <w:p w14:paraId="09ABFBDA">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③方案内容有缺失，或合理性、可行性、针对性差的，得1分；</w:t>
            </w:r>
          </w:p>
          <w:p w14:paraId="34B176F7">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④不提供不得分。</w:t>
            </w:r>
          </w:p>
        </w:tc>
        <w:tc>
          <w:tcPr>
            <w:tcW w:w="612" w:type="dxa"/>
            <w:vAlign w:val="center"/>
          </w:tcPr>
          <w:p w14:paraId="1FBE3625">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3</w:t>
            </w:r>
          </w:p>
        </w:tc>
        <w:tc>
          <w:tcPr>
            <w:tcW w:w="792" w:type="dxa"/>
            <w:vAlign w:val="center"/>
          </w:tcPr>
          <w:p w14:paraId="7783264F">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主观</w:t>
            </w:r>
          </w:p>
        </w:tc>
      </w:tr>
      <w:tr w14:paraId="2207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535" w:type="dxa"/>
            <w:vMerge w:val="restart"/>
            <w:vAlign w:val="center"/>
          </w:tcPr>
          <w:p w14:paraId="7884BE3F">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3</w:t>
            </w:r>
          </w:p>
        </w:tc>
        <w:tc>
          <w:tcPr>
            <w:tcW w:w="1227" w:type="dxa"/>
            <w:vMerge w:val="restart"/>
            <w:vAlign w:val="center"/>
          </w:tcPr>
          <w:p w14:paraId="564EE246">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培训方案</w:t>
            </w:r>
          </w:p>
        </w:tc>
        <w:tc>
          <w:tcPr>
            <w:tcW w:w="6012" w:type="dxa"/>
            <w:vAlign w:val="center"/>
          </w:tcPr>
          <w:p w14:paraId="04D56BBC">
            <w:pPr>
              <w:keepNext w:val="0"/>
              <w:keepLines w:val="0"/>
              <w:pageBreakBefore w:val="0"/>
              <w:widowControl/>
              <w:kinsoku/>
              <w:wordWrap/>
              <w:overflowPunct/>
              <w:topLinePunct w:val="0"/>
              <w:autoSpaceDE/>
              <w:autoSpaceDN/>
              <w:bidi w:val="0"/>
              <w:adjustRightInd w:val="0"/>
              <w:snapToGrid w:val="0"/>
              <w:spacing w:line="300" w:lineRule="exact"/>
              <w:ind w:firstLine="422" w:firstLineChars="20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投标人提供培训方案包含：具体培训计划、培训方式、师资能力、培训内容及培训效果评价等内容：</w:t>
            </w:r>
          </w:p>
          <w:p w14:paraId="047E71DB">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①方案内容详细完整，能贴合采购人需求，合理可行、针对性强的得</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分；</w:t>
            </w:r>
          </w:p>
          <w:p w14:paraId="47055152">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②方案内容较为基本完整，但表述一般，具有一定的合理性、可行性、针对性的，得3分；</w:t>
            </w:r>
          </w:p>
          <w:p w14:paraId="1ED41DDD">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③方案内容有缺失，但能基本贴合采购人需求，合理性、可行性、针对性一般的得1分；</w:t>
            </w:r>
          </w:p>
          <w:p w14:paraId="41338B2D">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④不提供不得分。</w:t>
            </w:r>
          </w:p>
        </w:tc>
        <w:tc>
          <w:tcPr>
            <w:tcW w:w="612" w:type="dxa"/>
            <w:vAlign w:val="center"/>
          </w:tcPr>
          <w:p w14:paraId="0D3CFA51">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5</w:t>
            </w:r>
          </w:p>
        </w:tc>
        <w:tc>
          <w:tcPr>
            <w:tcW w:w="792" w:type="dxa"/>
            <w:vAlign w:val="center"/>
          </w:tcPr>
          <w:p w14:paraId="50604650">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主观</w:t>
            </w:r>
          </w:p>
        </w:tc>
      </w:tr>
      <w:tr w14:paraId="469A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5" w:type="dxa"/>
            <w:vMerge w:val="continue"/>
            <w:vAlign w:val="center"/>
          </w:tcPr>
          <w:p w14:paraId="67A7BFFD">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val="en-US" w:eastAsia="zh-CN"/>
              </w:rPr>
            </w:pPr>
          </w:p>
        </w:tc>
        <w:tc>
          <w:tcPr>
            <w:tcW w:w="1227" w:type="dxa"/>
            <w:vMerge w:val="continue"/>
            <w:vAlign w:val="center"/>
          </w:tcPr>
          <w:p w14:paraId="7DA335B6">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rPr>
            </w:pPr>
          </w:p>
        </w:tc>
        <w:tc>
          <w:tcPr>
            <w:tcW w:w="6012" w:type="dxa"/>
            <w:vAlign w:val="center"/>
          </w:tcPr>
          <w:p w14:paraId="58B9A106">
            <w:pPr>
              <w:keepNext w:val="0"/>
              <w:keepLines w:val="0"/>
              <w:pageBreakBefore w:val="0"/>
              <w:widowControl/>
              <w:kinsoku/>
              <w:wordWrap/>
              <w:overflowPunct/>
              <w:topLinePunct w:val="0"/>
              <w:autoSpaceDE/>
              <w:autoSpaceDN/>
              <w:bidi w:val="0"/>
              <w:adjustRightInd w:val="0"/>
              <w:snapToGrid w:val="0"/>
              <w:spacing w:line="300" w:lineRule="exact"/>
              <w:ind w:firstLine="422" w:firstLineChars="20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投标人承诺培训次数：</w:t>
            </w:r>
          </w:p>
          <w:p w14:paraId="07DA1858">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①承诺五次免费培训，每次培训时长不少于</w:t>
            </w: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小时，得</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分；</w:t>
            </w:r>
          </w:p>
          <w:p w14:paraId="5CAB0F21">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②承诺三次免费培训，每次培训时长不少于</w:t>
            </w: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小时，得</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 xml:space="preserve">分； </w:t>
            </w:r>
          </w:p>
          <w:p w14:paraId="4E9A4B66">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③承诺免费培训</w:t>
            </w:r>
            <w:r>
              <w:rPr>
                <w:rFonts w:hint="default" w:ascii="Times New Roman" w:hAnsi="Times New Roman" w:eastAsia="宋体" w:cs="Times New Roman"/>
                <w:color w:val="auto"/>
                <w:sz w:val="21"/>
                <w:szCs w:val="21"/>
                <w:lang w:val="en-US" w:eastAsia="zh-CN"/>
              </w:rPr>
              <w:t>次数少于三次</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或</w:t>
            </w:r>
            <w:r>
              <w:rPr>
                <w:rFonts w:hint="default" w:ascii="Times New Roman" w:hAnsi="Times New Roman" w:eastAsia="宋体" w:cs="Times New Roman"/>
                <w:color w:val="auto"/>
                <w:sz w:val="21"/>
                <w:szCs w:val="21"/>
              </w:rPr>
              <w:t>每次培训时长少于</w:t>
            </w: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小时，得</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分；</w:t>
            </w:r>
          </w:p>
          <w:p w14:paraId="53ECF76C">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④投标人未提供方案或提供了但是完全脱离实际不得分。 </w:t>
            </w:r>
          </w:p>
        </w:tc>
        <w:tc>
          <w:tcPr>
            <w:tcW w:w="612" w:type="dxa"/>
            <w:vAlign w:val="center"/>
          </w:tcPr>
          <w:p w14:paraId="526AC6F8">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5</w:t>
            </w:r>
          </w:p>
        </w:tc>
        <w:tc>
          <w:tcPr>
            <w:tcW w:w="792" w:type="dxa"/>
            <w:vAlign w:val="center"/>
          </w:tcPr>
          <w:p w14:paraId="74630D3A">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客观</w:t>
            </w:r>
          </w:p>
        </w:tc>
      </w:tr>
      <w:tr w14:paraId="494B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35" w:type="dxa"/>
            <w:vAlign w:val="center"/>
          </w:tcPr>
          <w:p w14:paraId="09719BA8">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highlight w:val="magenta"/>
                <w:lang w:val="en-US" w:eastAsia="zh-CN"/>
              </w:rPr>
            </w:pPr>
            <w:r>
              <w:rPr>
                <w:rFonts w:hint="default" w:ascii="Times New Roman" w:hAnsi="Times New Roman" w:eastAsia="宋体" w:cs="Times New Roman"/>
                <w:b/>
                <w:bCs/>
                <w:color w:val="auto"/>
                <w:sz w:val="21"/>
                <w:szCs w:val="21"/>
                <w:lang w:val="en-US" w:eastAsia="zh-CN"/>
              </w:rPr>
              <w:t>4</w:t>
            </w:r>
          </w:p>
        </w:tc>
        <w:tc>
          <w:tcPr>
            <w:tcW w:w="1227" w:type="dxa"/>
            <w:vAlign w:val="center"/>
          </w:tcPr>
          <w:p w14:paraId="7A8C9851">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售后服务</w:t>
            </w:r>
          </w:p>
        </w:tc>
        <w:tc>
          <w:tcPr>
            <w:tcW w:w="6012" w:type="dxa"/>
            <w:vAlign w:val="center"/>
          </w:tcPr>
          <w:p w14:paraId="12B60272">
            <w:pPr>
              <w:keepNext w:val="0"/>
              <w:keepLines w:val="0"/>
              <w:pageBreakBefore w:val="0"/>
              <w:widowControl w:val="0"/>
              <w:numPr>
                <w:ilvl w:val="0"/>
                <w:numId w:val="0"/>
              </w:numPr>
              <w:kinsoku/>
              <w:wordWrap w:val="0"/>
              <w:overflowPunct/>
              <w:topLinePunct w:val="0"/>
              <w:autoSpaceDE/>
              <w:autoSpaceDN/>
              <w:bidi w:val="0"/>
              <w:spacing w:before="0" w:after="0" w:line="300" w:lineRule="exact"/>
              <w:ind w:left="0" w:leftChars="0" w:firstLine="422" w:firstLineChars="200"/>
              <w:jc w:val="left"/>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投标人须承诺，本项目三年质保期结束后，年度维护费用不超过中标价5%。承诺比例较5%每下浮1%得0.5分,最多得2分：</w:t>
            </w:r>
          </w:p>
          <w:p w14:paraId="67E4E53C">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①承诺比例 5% （下浮0%），得0分；</w:t>
            </w:r>
          </w:p>
          <w:p w14:paraId="0AD8C348">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②承诺比例 4% （下浮1%），得0.5分； </w:t>
            </w:r>
          </w:p>
          <w:p w14:paraId="4E78EDF5">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③承诺比例 3% （下浮2%），得1分； </w:t>
            </w:r>
          </w:p>
          <w:p w14:paraId="39DE1101">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④承诺比例 2% （下浮3%），得1.5分； </w:t>
            </w:r>
          </w:p>
          <w:p w14:paraId="7E23FC0B">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textAlignment w:val="auto"/>
              <w:rPr>
                <w:rFonts w:hint="default" w:ascii="Times New Roman" w:hAnsi="Times New Roman" w:eastAsia="宋体" w:cs="Times New Roman"/>
                <w:color w:val="auto"/>
                <w:sz w:val="21"/>
                <w:szCs w:val="21"/>
                <w:highlight w:val="magenta"/>
                <w:lang w:val="en-US" w:eastAsia="zh-CN"/>
              </w:rPr>
            </w:pPr>
            <w:r>
              <w:rPr>
                <w:rFonts w:hint="default" w:ascii="Times New Roman" w:hAnsi="Times New Roman" w:eastAsia="宋体" w:cs="Times New Roman"/>
                <w:color w:val="auto"/>
                <w:sz w:val="21"/>
                <w:szCs w:val="21"/>
                <w:lang w:val="en-US" w:eastAsia="zh-CN"/>
              </w:rPr>
              <w:t>⑤承诺比例 1% （下浮4%），得2分</w:t>
            </w:r>
            <w:r>
              <w:rPr>
                <w:rFonts w:hint="eastAsia" w:eastAsia="宋体" w:cs="Times New Roman"/>
                <w:color w:val="auto"/>
                <w:sz w:val="21"/>
                <w:szCs w:val="21"/>
                <w:lang w:val="en-US" w:eastAsia="zh-CN"/>
              </w:rPr>
              <w:t>。</w:t>
            </w:r>
          </w:p>
        </w:tc>
        <w:tc>
          <w:tcPr>
            <w:tcW w:w="612" w:type="dxa"/>
            <w:vAlign w:val="center"/>
          </w:tcPr>
          <w:p w14:paraId="52F44F2D">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2</w:t>
            </w:r>
          </w:p>
        </w:tc>
        <w:tc>
          <w:tcPr>
            <w:tcW w:w="792" w:type="dxa"/>
            <w:vAlign w:val="center"/>
          </w:tcPr>
          <w:p w14:paraId="2E8F0C35">
            <w:pPr>
              <w:keepNext w:val="0"/>
              <w:keepLines w:val="0"/>
              <w:pageBreakBefore w:val="0"/>
              <w:kinsoku/>
              <w:wordWrap/>
              <w:overflowPunct/>
              <w:topLinePunct w:val="0"/>
              <w:autoSpaceDE/>
              <w:autoSpaceDN/>
              <w:bidi w:val="0"/>
              <w:spacing w:line="300" w:lineRule="exact"/>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客观</w:t>
            </w:r>
          </w:p>
        </w:tc>
      </w:tr>
    </w:tbl>
    <w:p w14:paraId="10A6E939">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注：1.以上所提供材料必须真实可靠，伪造证书证件、伪造合同等一切弄虚作假行为，一经发现和查实（含在本项目合同履行期间被查实</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，采购方有权终止合同，没收履约保证金，并追究供应商经济和法律责任，同时上报有关部门列入诚信黑名单。</w:t>
      </w:r>
    </w:p>
    <w:p w14:paraId="1B822BE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2.投标文件商务技术标得分低于本采购文件商务技术标评分分值（70分</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的50%时，视为未实质性响应采购文件要求，作为无效投标处理。</w:t>
      </w:r>
    </w:p>
    <w:p w14:paraId="45E6EBB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3.评委依据招标文件载明的方法评分，评分四舍五入精确到小数点后两位。</w:t>
      </w:r>
    </w:p>
    <w:p w14:paraId="709D904F">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2"/>
        <w:rPr>
          <w:rFonts w:hint="default" w:ascii="Times New Roman" w:hAnsi="Times New Roman" w:eastAsia="宋体" w:cs="Times New Roman"/>
          <w:b/>
          <w:color w:val="auto"/>
          <w:sz w:val="24"/>
          <w:szCs w:val="24"/>
          <w:lang w:eastAsia="zh-CN"/>
        </w:rPr>
      </w:pPr>
      <w:r>
        <w:rPr>
          <w:rFonts w:hint="default" w:ascii="Times New Roman" w:hAnsi="Times New Roman" w:eastAsia="宋体" w:cs="Times New Roman"/>
          <w:b/>
          <w:color w:val="auto"/>
          <w:sz w:val="24"/>
          <w:szCs w:val="24"/>
        </w:rPr>
        <w:t>（二</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zh-CN"/>
        </w:rPr>
        <w:t>价格标</w:t>
      </w:r>
      <w:r>
        <w:rPr>
          <w:rFonts w:hint="default" w:ascii="Times New Roman" w:hAnsi="Times New Roman" w:eastAsia="宋体" w:cs="Times New Roman"/>
          <w:b/>
          <w:color w:val="auto"/>
          <w:sz w:val="24"/>
          <w:szCs w:val="24"/>
        </w:rPr>
        <w:t>评分：（30分</w:t>
      </w:r>
      <w:r>
        <w:rPr>
          <w:rFonts w:hint="default" w:ascii="Times New Roman" w:hAnsi="Times New Roman" w:eastAsia="宋体" w:cs="Times New Roman"/>
          <w:b/>
          <w:color w:val="auto"/>
          <w:sz w:val="24"/>
          <w:szCs w:val="24"/>
          <w:lang w:eastAsia="zh-CN"/>
        </w:rPr>
        <w:t>）</w:t>
      </w:r>
    </w:p>
    <w:p w14:paraId="6B087EC5">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color w:val="auto"/>
          <w:sz w:val="24"/>
          <w:szCs w:val="24"/>
        </w:rPr>
        <w:t>1.本次项目最高限价：</w:t>
      </w:r>
      <w:r>
        <w:rPr>
          <w:rFonts w:hint="default" w:ascii="Times New Roman" w:hAnsi="Times New Roman" w:eastAsia="宋体" w:cs="Times New Roman"/>
          <w:b/>
          <w:color w:val="auto"/>
          <w:sz w:val="24"/>
          <w:szCs w:val="24"/>
          <w:lang w:eastAsia="zh-CN"/>
        </w:rPr>
        <w:t>160万元</w:t>
      </w:r>
      <w:r>
        <w:rPr>
          <w:rFonts w:hint="default" w:ascii="Times New Roman" w:hAnsi="Times New Roman" w:eastAsia="宋体" w:cs="Times New Roman"/>
          <w:b/>
          <w:color w:val="auto"/>
          <w:sz w:val="24"/>
          <w:szCs w:val="24"/>
        </w:rPr>
        <w:t>，响应报价超过限价作无效标处理。</w:t>
      </w:r>
    </w:p>
    <w:p w14:paraId="0B2ADC91">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2.满足招标文件要求且投标报价最低的报价为评标基准价，其价格标得分为满分。</w:t>
      </w:r>
    </w:p>
    <w:p w14:paraId="10A463EA">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3.其他投标供应商的价格标得分按照下列公式计算：</w:t>
      </w:r>
    </w:p>
    <w:p w14:paraId="110CCDCA">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价格标得分 =（评标基准价/投标报价</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×30%×100</w:t>
      </w:r>
    </w:p>
    <w:p w14:paraId="26C06E12">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2"/>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 xml:space="preserve">政府采购政策功能落实 </w:t>
      </w:r>
    </w:p>
    <w:p w14:paraId="6CF1CC22">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小微型企业价格扣除（本项目标的需求明确的所属行业为</w:t>
      </w:r>
      <w:r>
        <w:rPr>
          <w:rFonts w:hint="default" w:ascii="Times New Roman" w:hAnsi="Times New Roman" w:eastAsia="宋体" w:cs="Times New Roman"/>
          <w:b/>
          <w:bCs/>
          <w:color w:val="auto"/>
          <w:sz w:val="24"/>
          <w:szCs w:val="24"/>
          <w:highlight w:val="none"/>
          <w:u w:val="single"/>
        </w:rPr>
        <w:t>软件和信息技术服务业</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rPr>
        <w:t>）</w:t>
      </w:r>
    </w:p>
    <w:p w14:paraId="4E5DDDA5">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（1）本项目对小型和微型企业产品给予</w:t>
      </w:r>
      <w:r>
        <w:rPr>
          <w:rFonts w:hint="eastAsia" w:eastAsia="宋体" w:cs="Times New Roman"/>
          <w:b/>
          <w:bCs/>
          <w:color w:val="auto"/>
          <w:sz w:val="24"/>
          <w:szCs w:val="24"/>
          <w:u w:val="single"/>
          <w:lang w:val="en-US" w:eastAsia="zh-CN"/>
        </w:rPr>
        <w:t>1</w:t>
      </w:r>
      <w:r>
        <w:rPr>
          <w:rFonts w:hint="default" w:ascii="Times New Roman" w:hAnsi="Times New Roman" w:eastAsia="宋体" w:cs="Times New Roman"/>
          <w:b/>
          <w:bCs/>
          <w:color w:val="auto"/>
          <w:sz w:val="24"/>
          <w:szCs w:val="24"/>
          <w:u w:val="single"/>
          <w:lang w:val="en-US" w:eastAsia="zh-CN"/>
        </w:rPr>
        <w:t>0%</w:t>
      </w:r>
      <w:r>
        <w:rPr>
          <w:rFonts w:hint="default" w:ascii="Times New Roman" w:hAnsi="Times New Roman" w:eastAsia="宋体" w:cs="Times New Roman"/>
          <w:color w:val="auto"/>
          <w:sz w:val="24"/>
          <w:szCs w:val="24"/>
          <w:lang w:val="en-US" w:eastAsia="zh-CN"/>
        </w:rPr>
        <w:t>的扣除价格，用扣除后的价格参与评审。</w:t>
      </w:r>
    </w:p>
    <w:p w14:paraId="12B08A40">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（2）供应商需按照《政府采购促进中小企业发展管理办法》（财库﹝2020﹞46 号）的规定提供相应的《中小企业声明函》。</w:t>
      </w:r>
    </w:p>
    <w:p w14:paraId="1F916658">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（3）企业标准请参照《关于印发中小企业划型标准规定的通知》（工信部联企业[2011]300号）文件规定自行填写。</w:t>
      </w:r>
    </w:p>
    <w:p w14:paraId="176E4B82">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2.残疾人福利单位价格扣除</w:t>
      </w:r>
    </w:p>
    <w:p w14:paraId="7B5941ED">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（1）本项目对残疾人福利性单位，给予</w:t>
      </w:r>
      <w:r>
        <w:rPr>
          <w:rFonts w:hint="eastAsia" w:eastAsia="宋体" w:cs="Times New Roman"/>
          <w:b/>
          <w:bCs/>
          <w:color w:val="auto"/>
          <w:sz w:val="24"/>
          <w:szCs w:val="24"/>
          <w:u w:val="single"/>
          <w:lang w:val="en-US" w:eastAsia="zh-CN"/>
        </w:rPr>
        <w:t>1</w:t>
      </w:r>
      <w:r>
        <w:rPr>
          <w:rFonts w:hint="default" w:ascii="Times New Roman" w:hAnsi="Times New Roman" w:eastAsia="宋体" w:cs="Times New Roman"/>
          <w:b/>
          <w:bCs/>
          <w:color w:val="auto"/>
          <w:sz w:val="24"/>
          <w:szCs w:val="24"/>
          <w:u w:val="single"/>
          <w:lang w:val="en-US" w:eastAsia="zh-CN"/>
        </w:rPr>
        <w:t>0%</w:t>
      </w:r>
      <w:r>
        <w:rPr>
          <w:rFonts w:hint="default" w:ascii="Times New Roman" w:hAnsi="Times New Roman" w:eastAsia="宋体" w:cs="Times New Roman"/>
          <w:color w:val="auto"/>
          <w:sz w:val="24"/>
          <w:szCs w:val="24"/>
          <w:lang w:val="en-US" w:eastAsia="zh-CN"/>
        </w:rPr>
        <w:t>的价格扣除，用扣除后的价格参与评审。</w:t>
      </w:r>
    </w:p>
    <w:p w14:paraId="3957CC5F">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（2）残疾人福利单位需按照采购文件的要求提供《残疾人福利性单位声明函》。</w:t>
      </w:r>
    </w:p>
    <w:p w14:paraId="7B39D97A">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（3）残疾人福利单位标准请参照《关于促进残疾人就业政府采购政策的通知》（财库〔2017〕141号）。</w:t>
      </w:r>
    </w:p>
    <w:p w14:paraId="6D99EB84">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3.监狱和戒毒企业价格扣除</w:t>
      </w:r>
    </w:p>
    <w:p w14:paraId="64F53621">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（1）本项目对监狱和戒毒企业（简称监狱企业）给予</w:t>
      </w:r>
      <w:r>
        <w:rPr>
          <w:rFonts w:hint="eastAsia" w:eastAsia="宋体" w:cs="Times New Roman"/>
          <w:b/>
          <w:bCs/>
          <w:color w:val="auto"/>
          <w:sz w:val="24"/>
          <w:szCs w:val="24"/>
          <w:u w:val="single"/>
          <w:lang w:val="en-US" w:eastAsia="zh-CN"/>
        </w:rPr>
        <w:t>1</w:t>
      </w:r>
      <w:bookmarkStart w:id="24" w:name="_GoBack"/>
      <w:bookmarkEnd w:id="24"/>
      <w:r>
        <w:rPr>
          <w:rFonts w:hint="default" w:ascii="Times New Roman" w:hAnsi="Times New Roman" w:eastAsia="宋体" w:cs="Times New Roman"/>
          <w:b/>
          <w:bCs/>
          <w:color w:val="auto"/>
          <w:sz w:val="24"/>
          <w:szCs w:val="24"/>
          <w:u w:val="single"/>
          <w:lang w:val="en-US" w:eastAsia="zh-CN"/>
        </w:rPr>
        <w:t>0%</w:t>
      </w:r>
      <w:r>
        <w:rPr>
          <w:rFonts w:hint="default" w:ascii="Times New Roman" w:hAnsi="Times New Roman" w:eastAsia="宋体" w:cs="Times New Roman"/>
          <w:color w:val="auto"/>
          <w:sz w:val="24"/>
          <w:szCs w:val="24"/>
          <w:lang w:val="en-US" w:eastAsia="zh-CN"/>
        </w:rPr>
        <w:t>的价格扣除，用扣除后的价格参与评审。</w:t>
      </w:r>
    </w:p>
    <w:p w14:paraId="4731ABAF">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7E1EE2D5">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（3）监狱企业标准请参照《关于政府采购支持监狱企业发展有关问题的通知》（财库[2014]68号）。</w:t>
      </w:r>
    </w:p>
    <w:p w14:paraId="0F0A4D96">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4.残疾人福利单位、监狱企业属于小型、微型企业的，不重复享受政策。</w:t>
      </w:r>
    </w:p>
    <w:p w14:paraId="5BCF7461">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default" w:ascii="Times New Roman" w:hAnsi="Times New Roman" w:eastAsia="宋体" w:cs="Times New Roman"/>
          <w:b/>
          <w:bCs/>
          <w:color w:val="auto"/>
          <w:sz w:val="24"/>
          <w:szCs w:val="24"/>
          <w:u w:val="single"/>
          <w:lang w:val="en-US" w:eastAsia="zh-CN"/>
        </w:rPr>
        <w:t>6%</w:t>
      </w:r>
      <w:r>
        <w:rPr>
          <w:rFonts w:hint="default" w:ascii="Times New Roman" w:hAnsi="Times New Roman" w:eastAsia="宋体" w:cs="Times New Roman"/>
          <w:color w:val="auto"/>
          <w:sz w:val="24"/>
          <w:szCs w:val="24"/>
          <w:lang w:val="en-US" w:eastAsia="zh-CN"/>
        </w:rPr>
        <w:t>的扣除，用扣除后的价格参与评审。</w:t>
      </w:r>
    </w:p>
    <w:bookmarkEnd w:id="7"/>
    <w:p w14:paraId="55C189A4">
      <w:pPr>
        <w:keepNext w:val="0"/>
        <w:keepLines w:val="0"/>
        <w:pageBreakBefore w:val="0"/>
        <w:widowControl w:val="0"/>
        <w:shd w:val="clear"/>
        <w:kinsoku/>
        <w:wordWrap/>
        <w:overflowPunct/>
        <w:topLinePunct w:val="0"/>
        <w:autoSpaceDE/>
        <w:autoSpaceDN/>
        <w:bidi w:val="0"/>
        <w:adjustRightInd/>
        <w:snapToGrid/>
        <w:spacing w:line="360" w:lineRule="auto"/>
        <w:ind w:firstLine="482"/>
        <w:textAlignment w:val="auto"/>
        <w:outlineLvl w:val="2"/>
        <w:rPr>
          <w:rFonts w:hint="default" w:ascii="Times New Roman" w:hAnsi="Times New Roman" w:eastAsia="宋体" w:cs="Times New Roman"/>
          <w:b/>
          <w:color w:val="auto"/>
          <w:sz w:val="24"/>
          <w:szCs w:val="24"/>
          <w:shd w:val="clear" w:color="auto" w:fill="auto"/>
          <w:lang w:val="en-US" w:eastAsia="zh-CN"/>
        </w:rPr>
      </w:pPr>
      <w:bookmarkStart w:id="18" w:name="_Toc363573857"/>
      <w:r>
        <w:rPr>
          <w:rFonts w:hint="default" w:ascii="Times New Roman" w:hAnsi="Times New Roman" w:eastAsia="宋体" w:cs="Times New Roman"/>
          <w:b/>
          <w:color w:val="auto"/>
          <w:sz w:val="24"/>
          <w:szCs w:val="24"/>
          <w:shd w:val="clear" w:color="auto" w:fill="auto"/>
        </w:rPr>
        <w:t>（四</w:t>
      </w:r>
      <w:r>
        <w:rPr>
          <w:rFonts w:hint="default" w:ascii="Times New Roman" w:hAnsi="Times New Roman" w:eastAsia="宋体" w:cs="Times New Roman"/>
          <w:b/>
          <w:color w:val="auto"/>
          <w:sz w:val="24"/>
          <w:szCs w:val="24"/>
          <w:shd w:val="clear" w:color="auto" w:fill="auto"/>
          <w:lang w:eastAsia="zh-CN"/>
        </w:rPr>
        <w:t>）</w:t>
      </w:r>
      <w:r>
        <w:rPr>
          <w:rFonts w:hint="default" w:ascii="Times New Roman" w:hAnsi="Times New Roman" w:eastAsia="宋体" w:cs="Times New Roman"/>
          <w:b/>
          <w:color w:val="auto"/>
          <w:sz w:val="24"/>
          <w:szCs w:val="24"/>
          <w:shd w:val="clear" w:color="auto" w:fill="auto"/>
          <w:lang w:val="en-US" w:eastAsia="zh-CN"/>
        </w:rPr>
        <w:t>采购本国产品的支持政策</w:t>
      </w:r>
    </w:p>
    <w:p w14:paraId="2F66E2C8">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1.本项目政府采购活动中既有本国产品又有非本国产品参与竞争的，依法对本国产品给予价格评审优惠，对本国产品的报价给予20%的价格扣除，用扣除后的价格参与评审。</w:t>
      </w:r>
    </w:p>
    <w:p w14:paraId="69A18336">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2.当采购项目或者采购包中含有多种产品，供应商为该采购项目或者采购包提供的符合本国产品标准的产品成本之和占该供应商提供的全部产品成本之和的比例达到80%以上时（供应商需在“第八章  投标文件组成及格式”的“附件2 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1C2D5D9">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3.供应商需按照招标文件的要求提供《关于符合本国产品标准的声明函》（以下简称《声明函》），如不提供将不享受本国产品价格评审优惠。</w:t>
      </w:r>
    </w:p>
    <w:p w14:paraId="162A89A4">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A45DC45">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3707FD65">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2"/>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（五）</w:t>
      </w:r>
      <w:r>
        <w:rPr>
          <w:rFonts w:hint="default" w:ascii="Times New Roman" w:hAnsi="Times New Roman" w:eastAsia="宋体" w:cs="Times New Roman"/>
          <w:b/>
          <w:color w:val="auto"/>
          <w:sz w:val="24"/>
          <w:szCs w:val="24"/>
        </w:rPr>
        <w:t>中标人的确定</w:t>
      </w:r>
    </w:p>
    <w:p w14:paraId="67BA2ED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评委会汇总各评委评分后，按照综合得分从高到低的顺序推荐前三名中标候选人，得分相同的，按投标报价由低到高顺序排列。得分且投标报价均相同时则通过抽签方式随机确定排名顺序。投标文件满足招标文件全部实质性要求，且按照评审因素的量化指标评审得分最高的投标人为排名第一的中标候选人，并编写评标报告。</w:t>
      </w:r>
    </w:p>
    <w:p w14:paraId="0A9D333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b/>
          <w:color w:val="auto"/>
          <w:sz w:val="24"/>
          <w:szCs w:val="24"/>
        </w:rPr>
      </w:pPr>
      <w:r>
        <w:rPr>
          <w:rFonts w:hint="eastAsia" w:eastAsia="宋体" w:cs="Times New Roman"/>
          <w:b/>
          <w:color w:val="auto"/>
          <w:sz w:val="24"/>
          <w:szCs w:val="24"/>
          <w:lang w:eastAsia="zh-CN"/>
        </w:rPr>
        <w:t>采购人</w:t>
      </w:r>
      <w:r>
        <w:rPr>
          <w:rFonts w:hint="default" w:ascii="Times New Roman" w:hAnsi="Times New Roman" w:eastAsia="宋体" w:cs="Times New Roman"/>
          <w:b/>
          <w:color w:val="auto"/>
          <w:sz w:val="24"/>
          <w:szCs w:val="24"/>
        </w:rPr>
        <w:t>委托评标委员会直接确定中标人。</w:t>
      </w:r>
    </w:p>
    <w:p w14:paraId="3C9CC66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bCs/>
          <w:color w:val="auto"/>
          <w:sz w:val="24"/>
          <w:szCs w:val="24"/>
        </w:rPr>
        <w:t>当排名第一的中标候选人放弃中标、因不可抗力不能履行合同、不按照招标文件要求提交履约保证金，或者被查实存在影响中标结果的违法行为等情形，不符合中标条件的，</w:t>
      </w:r>
      <w:r>
        <w:rPr>
          <w:rFonts w:hint="eastAsia" w:eastAsia="宋体" w:cs="Times New Roman"/>
          <w:b/>
          <w:bCs/>
          <w:color w:val="auto"/>
          <w:sz w:val="24"/>
          <w:szCs w:val="24"/>
          <w:lang w:eastAsia="zh-CN"/>
        </w:rPr>
        <w:t>采购人</w:t>
      </w:r>
      <w:r>
        <w:rPr>
          <w:rFonts w:hint="default" w:ascii="Times New Roman" w:hAnsi="Times New Roman" w:eastAsia="宋体" w:cs="Times New Roman"/>
          <w:b/>
          <w:bCs/>
          <w:color w:val="auto"/>
          <w:sz w:val="24"/>
          <w:szCs w:val="24"/>
        </w:rPr>
        <w:t>可以重新招标</w:t>
      </w:r>
      <w:r>
        <w:rPr>
          <w:rFonts w:hint="eastAsia"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也可以按照评标委员会提出的中标候选人名单排序依次确定其他中标候选人为中标人。</w:t>
      </w:r>
    </w:p>
    <w:p w14:paraId="54AF6155">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1"/>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九、评标争议</w:t>
      </w:r>
    </w:p>
    <w:p w14:paraId="0F8E8C0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评标时评委对评标的细则若有争议，由评标委员会评委集体讨论确定，并对未尽情况有最终解释权。</w:t>
      </w:r>
    </w:p>
    <w:p w14:paraId="13896277">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1"/>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十、落标原因</w:t>
      </w:r>
    </w:p>
    <w:p w14:paraId="1482BFE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评标委员会不对落标的投标人做落标原因的解释。</w:t>
      </w:r>
    </w:p>
    <w:p w14:paraId="26D862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6"/>
          <w:szCs w:val="36"/>
        </w:rPr>
        <w:br w:type="page" w:clear="all"/>
      </w:r>
      <w:r>
        <w:rPr>
          <w:rFonts w:hint="default" w:ascii="Times New Roman" w:hAnsi="Times New Roman" w:eastAsia="宋体" w:cs="Times New Roman"/>
          <w:b/>
          <w:color w:val="auto"/>
          <w:sz w:val="36"/>
          <w:szCs w:val="36"/>
        </w:rPr>
        <w:t>第五章  合同签订与验收付款</w:t>
      </w:r>
    </w:p>
    <w:bookmarkEnd w:id="18"/>
    <w:p w14:paraId="775688E3">
      <w:pPr>
        <w:keepNext w:val="0"/>
        <w:keepLines w:val="0"/>
        <w:pageBreakBefore w:val="0"/>
        <w:kinsoku/>
        <w:wordWrap/>
        <w:overflowPunct/>
        <w:topLinePunct w:val="0"/>
        <w:autoSpaceDE/>
        <w:autoSpaceDN/>
        <w:bidi w:val="0"/>
        <w:adjustRightInd/>
        <w:spacing w:line="360" w:lineRule="auto"/>
        <w:jc w:val="center"/>
        <w:textAlignment w:val="auto"/>
        <w:outlineLvl w:val="9"/>
        <w:rPr>
          <w:rFonts w:hint="default" w:ascii="Times New Roman" w:hAnsi="Times New Roman" w:eastAsia="宋体" w:cs="Times New Roman"/>
          <w:b/>
          <w:color w:val="auto"/>
          <w:sz w:val="32"/>
          <w:szCs w:val="32"/>
          <w:lang w:eastAsia="zh-CN"/>
        </w:rPr>
      </w:pPr>
      <w:bookmarkStart w:id="19" w:name="_Toc8219"/>
      <w:bookmarkStart w:id="20" w:name="_Toc363573859"/>
      <w:r>
        <w:rPr>
          <w:rFonts w:hint="default" w:ascii="Times New Roman" w:hAnsi="Times New Roman" w:eastAsia="宋体" w:cs="Times New Roman"/>
          <w:b/>
          <w:color w:val="auto"/>
          <w:sz w:val="32"/>
          <w:szCs w:val="32"/>
        </w:rPr>
        <w:t>江苏省政府采购合同（货物</w:t>
      </w:r>
      <w:r>
        <w:rPr>
          <w:rFonts w:hint="default" w:ascii="Times New Roman" w:hAnsi="Times New Roman" w:eastAsia="宋体" w:cs="Times New Roman"/>
          <w:b/>
          <w:color w:val="auto"/>
          <w:sz w:val="32"/>
          <w:szCs w:val="32"/>
          <w:lang w:eastAsia="zh-CN"/>
        </w:rPr>
        <w:t>）</w:t>
      </w:r>
    </w:p>
    <w:p w14:paraId="67B6750E">
      <w:pPr>
        <w:keepNext w:val="0"/>
        <w:keepLines w:val="0"/>
        <w:pageBreakBefore w:val="0"/>
        <w:kinsoku/>
        <w:wordWrap/>
        <w:overflowPunct/>
        <w:topLinePunct w:val="0"/>
        <w:autoSpaceDE/>
        <w:autoSpaceDN/>
        <w:bidi w:val="0"/>
        <w:adjustRightInd/>
        <w:spacing w:line="360" w:lineRule="auto"/>
        <w:jc w:val="center"/>
        <w:textAlignment w:val="auto"/>
        <w:outlineLvl w:val="9"/>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color w:val="auto"/>
          <w:sz w:val="24"/>
          <w:szCs w:val="24"/>
        </w:rPr>
        <w:t xml:space="preserve">（合同编号：         </w:t>
      </w:r>
      <w:bookmarkEnd w:id="19"/>
      <w:r>
        <w:rPr>
          <w:rFonts w:hint="default" w:ascii="Times New Roman" w:hAnsi="Times New Roman" w:eastAsia="宋体" w:cs="Times New Roman"/>
          <w:b/>
          <w:color w:val="auto"/>
          <w:sz w:val="24"/>
          <w:szCs w:val="24"/>
          <w:lang w:eastAsia="zh-CN"/>
        </w:rPr>
        <w:t>）</w:t>
      </w:r>
    </w:p>
    <w:p w14:paraId="7313A1A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项目名称：船舶结构设计软件（</w:t>
      </w:r>
      <w:r>
        <w:rPr>
          <w:rFonts w:hint="default" w:ascii="Times New Roman" w:hAnsi="Times New Roman" w:eastAsia="宋体" w:cs="Times New Roman"/>
          <w:color w:val="auto"/>
          <w:sz w:val="24"/>
          <w:szCs w:val="24"/>
          <w:lang w:eastAsia="zh-CN"/>
        </w:rPr>
        <w:t>非线性结构有限元分析软件）</w:t>
      </w:r>
    </w:p>
    <w:p w14:paraId="532C8A22">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项目编号：</w:t>
      </w:r>
    </w:p>
    <w:p w14:paraId="6EBC22E0">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甲方（采购人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江苏航运职业技术学院</w:t>
      </w:r>
    </w:p>
    <w:p w14:paraId="4292D420">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乙方（中标人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15E0A712">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rPr>
        <w:t>甲、乙双方根据</w:t>
      </w:r>
      <w:r>
        <w:rPr>
          <w:rFonts w:hint="default" w:ascii="Times New Roman" w:hAnsi="Times New Roman" w:eastAsia="宋体" w:cs="Times New Roman"/>
          <w:color w:val="auto"/>
          <w:sz w:val="24"/>
          <w:szCs w:val="24"/>
          <w:u w:val="single"/>
        </w:rPr>
        <w:t>船舶结构设计软件（</w:t>
      </w:r>
      <w:r>
        <w:rPr>
          <w:rFonts w:hint="default" w:ascii="Times New Roman" w:hAnsi="Times New Roman" w:eastAsia="宋体" w:cs="Times New Roman"/>
          <w:color w:val="auto"/>
          <w:sz w:val="24"/>
          <w:szCs w:val="24"/>
          <w:u w:val="single"/>
          <w:lang w:eastAsia="zh-CN"/>
        </w:rPr>
        <w:t>非线性结构有限元分析软件）</w:t>
      </w:r>
      <w:r>
        <w:rPr>
          <w:rFonts w:hint="default" w:ascii="Times New Roman" w:hAnsi="Times New Roman" w:eastAsia="宋体" w:cs="Times New Roman"/>
          <w:color w:val="auto"/>
          <w:sz w:val="24"/>
          <w:szCs w:val="24"/>
        </w:rPr>
        <w:t>（项目编号：</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公开招标的结果，签署本合同。</w:t>
      </w:r>
    </w:p>
    <w:p w14:paraId="6676100A">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一、合同内容</w:t>
      </w:r>
    </w:p>
    <w:p w14:paraId="5A5239CE">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1.1 标的名称：船舶结构设计软件（</w:t>
      </w:r>
      <w:r>
        <w:rPr>
          <w:rFonts w:hint="default" w:ascii="Times New Roman" w:hAnsi="Times New Roman" w:eastAsia="宋体" w:cs="Times New Roman"/>
          <w:color w:val="auto"/>
          <w:sz w:val="24"/>
          <w:szCs w:val="24"/>
          <w:lang w:eastAsia="zh-CN"/>
        </w:rPr>
        <w:t>非线性结构有限元分析软件）</w:t>
      </w:r>
    </w:p>
    <w:p w14:paraId="1F807C70">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 标的质量：合格</w:t>
      </w:r>
    </w:p>
    <w:p w14:paraId="1F329E0B">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 标的数量（规模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tbl>
      <w:tblPr>
        <w:tblStyle w:val="12"/>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674"/>
        <w:gridCol w:w="1211"/>
        <w:gridCol w:w="1276"/>
        <w:gridCol w:w="992"/>
        <w:gridCol w:w="851"/>
        <w:gridCol w:w="850"/>
        <w:gridCol w:w="851"/>
        <w:gridCol w:w="965"/>
      </w:tblGrid>
      <w:tr w14:paraId="002E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03" w:type="dxa"/>
            <w:vAlign w:val="center"/>
          </w:tcPr>
          <w:p w14:paraId="73E5DF2A">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序号</w:t>
            </w:r>
          </w:p>
        </w:tc>
        <w:tc>
          <w:tcPr>
            <w:tcW w:w="1674" w:type="dxa"/>
            <w:vAlign w:val="center"/>
          </w:tcPr>
          <w:p w14:paraId="54AF3FEC">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名称</w:t>
            </w:r>
          </w:p>
        </w:tc>
        <w:tc>
          <w:tcPr>
            <w:tcW w:w="1211" w:type="dxa"/>
            <w:vAlign w:val="center"/>
          </w:tcPr>
          <w:p w14:paraId="62342FB4">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规格型号</w:t>
            </w:r>
          </w:p>
        </w:tc>
        <w:tc>
          <w:tcPr>
            <w:tcW w:w="1276" w:type="dxa"/>
            <w:vAlign w:val="center"/>
          </w:tcPr>
          <w:p w14:paraId="0716E69C">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品牌</w:t>
            </w:r>
          </w:p>
        </w:tc>
        <w:tc>
          <w:tcPr>
            <w:tcW w:w="992" w:type="dxa"/>
            <w:vAlign w:val="center"/>
          </w:tcPr>
          <w:p w14:paraId="14999676">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单位</w:t>
            </w:r>
          </w:p>
        </w:tc>
        <w:tc>
          <w:tcPr>
            <w:tcW w:w="851" w:type="dxa"/>
            <w:vAlign w:val="center"/>
          </w:tcPr>
          <w:p w14:paraId="632DF1A6">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数量</w:t>
            </w:r>
          </w:p>
        </w:tc>
        <w:tc>
          <w:tcPr>
            <w:tcW w:w="850" w:type="dxa"/>
            <w:vAlign w:val="center"/>
          </w:tcPr>
          <w:p w14:paraId="749C63C3">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单价</w:t>
            </w:r>
          </w:p>
        </w:tc>
        <w:tc>
          <w:tcPr>
            <w:tcW w:w="851" w:type="dxa"/>
            <w:vAlign w:val="center"/>
          </w:tcPr>
          <w:p w14:paraId="2EAC36B6">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金额</w:t>
            </w:r>
          </w:p>
        </w:tc>
        <w:tc>
          <w:tcPr>
            <w:tcW w:w="965" w:type="dxa"/>
            <w:vAlign w:val="center"/>
          </w:tcPr>
          <w:p w14:paraId="1FBBBC29">
            <w:pPr>
              <w:keepNext w:val="0"/>
              <w:keepLines w:val="0"/>
              <w:pageBreakBefore w:val="0"/>
              <w:kinsoku/>
              <w:wordWrap/>
              <w:overflowPunct/>
              <w:topLinePunct w:val="0"/>
              <w:autoSpaceDE/>
              <w:autoSpaceDN/>
              <w:bidi w:val="0"/>
              <w:adjustRightInd/>
              <w:snapToGrid w:val="0"/>
              <w:spacing w:line="360" w:lineRule="auto"/>
              <w:ind w:firstLine="120" w:firstLineChars="50"/>
              <w:jc w:val="center"/>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备注</w:t>
            </w:r>
          </w:p>
        </w:tc>
      </w:tr>
      <w:tr w14:paraId="2AA3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03" w:type="dxa"/>
            <w:vAlign w:val="center"/>
          </w:tcPr>
          <w:p w14:paraId="07ABA5DD">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674" w:type="dxa"/>
            <w:vAlign w:val="center"/>
          </w:tcPr>
          <w:p w14:paraId="5F06D485">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color w:val="auto"/>
                <w:sz w:val="24"/>
                <w:szCs w:val="24"/>
              </w:rPr>
            </w:pPr>
          </w:p>
        </w:tc>
        <w:tc>
          <w:tcPr>
            <w:tcW w:w="1211" w:type="dxa"/>
            <w:vAlign w:val="center"/>
          </w:tcPr>
          <w:p w14:paraId="2413D43E">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color w:val="auto"/>
                <w:sz w:val="24"/>
                <w:szCs w:val="24"/>
              </w:rPr>
            </w:pPr>
          </w:p>
        </w:tc>
        <w:tc>
          <w:tcPr>
            <w:tcW w:w="1276" w:type="dxa"/>
            <w:vAlign w:val="center"/>
          </w:tcPr>
          <w:p w14:paraId="27C2023A">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color w:val="auto"/>
                <w:sz w:val="24"/>
                <w:szCs w:val="24"/>
              </w:rPr>
            </w:pPr>
          </w:p>
        </w:tc>
        <w:tc>
          <w:tcPr>
            <w:tcW w:w="992" w:type="dxa"/>
            <w:vAlign w:val="center"/>
          </w:tcPr>
          <w:p w14:paraId="58DC2B48">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color w:val="auto"/>
                <w:sz w:val="24"/>
                <w:szCs w:val="24"/>
              </w:rPr>
            </w:pPr>
          </w:p>
        </w:tc>
        <w:tc>
          <w:tcPr>
            <w:tcW w:w="851" w:type="dxa"/>
            <w:vAlign w:val="center"/>
          </w:tcPr>
          <w:p w14:paraId="11755C8D">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color w:val="auto"/>
                <w:sz w:val="24"/>
                <w:szCs w:val="24"/>
              </w:rPr>
            </w:pPr>
          </w:p>
        </w:tc>
        <w:tc>
          <w:tcPr>
            <w:tcW w:w="850" w:type="dxa"/>
            <w:vAlign w:val="center"/>
          </w:tcPr>
          <w:p w14:paraId="5E6C3635">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color w:val="auto"/>
                <w:sz w:val="24"/>
                <w:szCs w:val="24"/>
              </w:rPr>
            </w:pPr>
          </w:p>
        </w:tc>
        <w:tc>
          <w:tcPr>
            <w:tcW w:w="851" w:type="dxa"/>
            <w:vAlign w:val="center"/>
          </w:tcPr>
          <w:p w14:paraId="786876CD">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color w:val="auto"/>
                <w:sz w:val="24"/>
                <w:szCs w:val="24"/>
              </w:rPr>
            </w:pPr>
          </w:p>
        </w:tc>
        <w:tc>
          <w:tcPr>
            <w:tcW w:w="965" w:type="dxa"/>
            <w:vAlign w:val="center"/>
          </w:tcPr>
          <w:p w14:paraId="5AA297B9">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color w:val="auto"/>
                <w:sz w:val="24"/>
                <w:szCs w:val="24"/>
              </w:rPr>
            </w:pPr>
          </w:p>
        </w:tc>
      </w:tr>
      <w:tr w14:paraId="4DE9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03" w:type="dxa"/>
            <w:vAlign w:val="center"/>
          </w:tcPr>
          <w:p w14:paraId="5CAA3E0B">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合计</w:t>
            </w:r>
          </w:p>
        </w:tc>
        <w:tc>
          <w:tcPr>
            <w:tcW w:w="8670" w:type="dxa"/>
            <w:gridSpan w:val="8"/>
            <w:vAlign w:val="center"/>
          </w:tcPr>
          <w:p w14:paraId="0A1B21B6">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Times New Roman" w:hAnsi="Times New Roman" w:eastAsia="宋体" w:cs="Times New Roman"/>
                <w:color w:val="auto"/>
                <w:sz w:val="24"/>
                <w:szCs w:val="24"/>
              </w:rPr>
            </w:pPr>
          </w:p>
        </w:tc>
      </w:tr>
    </w:tbl>
    <w:p w14:paraId="7F56FF38">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1.4 设备交货期：合同签订后</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个日历日内完成交货。</w:t>
      </w:r>
    </w:p>
    <w:p w14:paraId="478A1435">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1.5 </w:t>
      </w:r>
      <w:r>
        <w:rPr>
          <w:rFonts w:hint="default" w:ascii="Times New Roman" w:hAnsi="Times New Roman" w:eastAsia="宋体" w:cs="Times New Roman"/>
          <w:color w:val="auto"/>
          <w:spacing w:val="7"/>
          <w:sz w:val="24"/>
          <w:szCs w:val="24"/>
          <w:shd w:val="clear" w:color="auto" w:fill="FFFFFF"/>
        </w:rPr>
        <w:t>项目交付时间：</w:t>
      </w:r>
      <w:r>
        <w:rPr>
          <w:rFonts w:hint="default" w:ascii="Times New Roman" w:hAnsi="Times New Roman" w:eastAsia="宋体" w:cs="Times New Roman"/>
          <w:color w:val="auto"/>
          <w:spacing w:val="7"/>
          <w:sz w:val="24"/>
          <w:szCs w:val="24"/>
          <w:u w:val="single"/>
          <w:shd w:val="clear" w:color="auto" w:fill="FFFFFF"/>
        </w:rPr>
        <w:t xml:space="preserve">                  </w:t>
      </w:r>
      <w:r>
        <w:rPr>
          <w:rFonts w:hint="default" w:ascii="Times New Roman" w:hAnsi="Times New Roman" w:eastAsia="宋体" w:cs="Times New Roman"/>
          <w:color w:val="auto"/>
          <w:spacing w:val="7"/>
          <w:sz w:val="24"/>
          <w:szCs w:val="24"/>
          <w:shd w:val="clear" w:color="auto" w:fill="FFFFFF"/>
        </w:rPr>
        <w:t>完成交付。</w:t>
      </w:r>
    </w:p>
    <w:p w14:paraId="173621AE">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 履行地点：江苏航运职业技术学院，具体按甲方指定地点送货安装。</w:t>
      </w:r>
    </w:p>
    <w:p w14:paraId="12B6BD52">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1.7 履行方式：同招标文件要求。</w:t>
      </w:r>
    </w:p>
    <w:p w14:paraId="0789B39B">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1.8 包装方式：同招标文件要求。</w:t>
      </w:r>
    </w:p>
    <w:p w14:paraId="48BBF95B">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二、合同金额</w:t>
      </w:r>
    </w:p>
    <w:p w14:paraId="6E59ECCD">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 本合同金额为（大写</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：人民币</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元（¥：</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元</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。已包含但不限于本项目所有设备费、劳务费、管理费、材料费、机械费、包装费、运输费、服务费（包括调试、安装完毕后对相关人员的技术指导、培训等</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、措施费、风险费（政策性文件规定及本合同包含的所有风险</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、售后服务费等利润和税金、质保期内的维护保养费等。</w:t>
      </w:r>
    </w:p>
    <w:p w14:paraId="0ADE5F06">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 本合同价格形式为固定单价合同，该固定单价在合同履行过程中不因市场变化、政策调整等各种因素而变动。</w:t>
      </w:r>
    </w:p>
    <w:p w14:paraId="0FF0280C">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三、技术资料</w:t>
      </w:r>
    </w:p>
    <w:p w14:paraId="0B3D170D">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 乙方应按招标文件规定的时间向甲方提供使用货物</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包含与货物相关的服务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的有关技术资料。乙方在签订本合同前对本项目的全部技术要求及说明、质量标准、招标文件、合同条件、现场条件及周围环境、交通道路、现场管理要求等已详细研究并完全明确，在合同价款中已予以充分考虑。</w:t>
      </w:r>
    </w:p>
    <w:p w14:paraId="41A9F429">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008A9B4">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四、知识产权</w:t>
      </w:r>
    </w:p>
    <w:p w14:paraId="57632BF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4.1 乙方应保证甲方在使用、接受本合同货物（包含与货物相关的服务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或其任何一部分时不受第三方提出侵犯其专利权、版权、商标权、著作权和工业设计权等知识产权的起诉。一旦出现侵权，由乙方负全部责任。</w:t>
      </w:r>
    </w:p>
    <w:p w14:paraId="12999651">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color w:val="auto"/>
          <w:sz w:val="24"/>
          <w:szCs w:val="24"/>
          <w:u w:val="single"/>
        </w:rPr>
      </w:pPr>
      <w:r>
        <w:rPr>
          <w:rFonts w:hint="default" w:ascii="Times New Roman" w:hAnsi="Times New Roman" w:eastAsia="宋体" w:cs="Times New Roman"/>
          <w:b/>
          <w:color w:val="auto"/>
          <w:sz w:val="24"/>
          <w:szCs w:val="24"/>
        </w:rPr>
        <w:t>五、产权担保</w:t>
      </w:r>
    </w:p>
    <w:p w14:paraId="29286C22">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5.1 乙方保证所交付的货物（包含与货物相关的服务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的所有权完全属于乙方且无任何抵押、查封等产权瑕疵。乙方应具有所交付软件的软件著作权证明材料或提供软件授权证明材料。</w:t>
      </w:r>
    </w:p>
    <w:p w14:paraId="0EC90B81">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六、履约保证金</w:t>
      </w:r>
    </w:p>
    <w:p w14:paraId="51CAFB5A">
      <w:pPr>
        <w:keepNext w:val="0"/>
        <w:keepLines w:val="0"/>
        <w:pageBreakBefore w:val="0"/>
        <w:kinsoku/>
        <w:wordWrap/>
        <w:overflowPunct/>
        <w:topLinePunct w:val="0"/>
        <w:autoSpaceDE/>
        <w:autoSpaceDN/>
        <w:bidi w:val="0"/>
        <w:adjustRightInd/>
        <w:spacing w:line="360" w:lineRule="auto"/>
        <w:ind w:left="478" w:leftChars="184"/>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6.1 乙方提供的履约保证金额为合同价的10%，本合同履约保证金为：</w:t>
      </w:r>
      <w:r>
        <w:rPr>
          <w:rFonts w:hint="default" w:ascii="Times New Roman" w:hAnsi="Times New Roman" w:eastAsia="宋体" w:cs="Times New Roman"/>
          <w:bCs/>
          <w:color w:val="auto"/>
          <w:sz w:val="24"/>
          <w:szCs w:val="24"/>
          <w:u w:val="single"/>
        </w:rPr>
        <w:t xml:space="preserve">人民币 元     （¥     </w:t>
      </w:r>
      <w:r>
        <w:rPr>
          <w:rFonts w:hint="default" w:ascii="Times New Roman" w:hAnsi="Times New Roman" w:eastAsia="宋体" w:cs="Times New Roman"/>
          <w:bCs/>
          <w:color w:val="auto"/>
          <w:sz w:val="24"/>
          <w:szCs w:val="24"/>
          <w:u w:val="single"/>
          <w:lang w:eastAsia="zh-CN"/>
        </w:rPr>
        <w:t>）</w:t>
      </w:r>
    </w:p>
    <w:p w14:paraId="73197AF7">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6.2 缴纳履约保证金时间：乙方在中标通知书发出之日起</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日内。</w:t>
      </w:r>
    </w:p>
    <w:p w14:paraId="338F5CAD">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6.3 缴纳履约保证金形式：</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w:t>
      </w:r>
    </w:p>
    <w:p w14:paraId="1DE337EF">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甲方的账户：</w:t>
      </w:r>
    </w:p>
    <w:p w14:paraId="30E5928F">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单位名称：江苏航运职业技术学院</w:t>
      </w:r>
    </w:p>
    <w:p w14:paraId="72343D68">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开户行：中国建设银行南通经济技术开发区支行；</w:t>
      </w:r>
    </w:p>
    <w:p w14:paraId="5924A73B">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账号：32001642336052515609；</w:t>
      </w:r>
    </w:p>
    <w:p w14:paraId="6E30645D">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统一社会信用代码：123200004660042577。</w:t>
      </w:r>
    </w:p>
    <w:p w14:paraId="51872D22">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验收</w:t>
      </w:r>
      <w:r>
        <w:rPr>
          <w:rFonts w:hint="default" w:ascii="Times New Roman" w:hAnsi="Times New Roman" w:eastAsia="宋体" w:cs="Times New Roman"/>
          <w:color w:val="auto"/>
          <w:sz w:val="24"/>
          <w:szCs w:val="24"/>
        </w:rPr>
        <w:t>结束后，甲方应及时退还交纳的履约保证金。</w:t>
      </w:r>
    </w:p>
    <w:p w14:paraId="49DB5A2D">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6.4 退还履约保证金时间：</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全部履约合同义务，</w:t>
      </w:r>
      <w:r>
        <w:rPr>
          <w:rFonts w:hint="default" w:ascii="Times New Roman" w:hAnsi="Times New Roman" w:eastAsia="宋体" w:cs="Times New Roman"/>
          <w:color w:val="auto"/>
          <w:sz w:val="24"/>
          <w:szCs w:val="24"/>
          <w:lang w:eastAsia="zh-CN"/>
        </w:rPr>
        <w:t>验收合格、</w:t>
      </w:r>
      <w:r>
        <w:rPr>
          <w:rFonts w:hint="default" w:ascii="Times New Roman" w:hAnsi="Times New Roman" w:eastAsia="宋体" w:cs="Times New Roman"/>
          <w:color w:val="auto"/>
          <w:sz w:val="24"/>
          <w:szCs w:val="24"/>
        </w:rPr>
        <w:t>质保期满后无质量、进度等问题的，</w:t>
      </w:r>
      <w:r>
        <w:rPr>
          <w:rFonts w:hint="default" w:ascii="Times New Roman" w:hAnsi="Times New Roman" w:eastAsia="宋体" w:cs="Times New Roman"/>
          <w:color w:val="auto"/>
          <w:sz w:val="24"/>
          <w:szCs w:val="24"/>
          <w:lang w:eastAsia="zh-CN"/>
        </w:rPr>
        <w:t>甲方</w:t>
      </w:r>
      <w:r>
        <w:rPr>
          <w:rFonts w:hint="default" w:ascii="Times New Roman" w:hAnsi="Times New Roman" w:eastAsia="宋体" w:cs="Times New Roman"/>
          <w:color w:val="auto"/>
          <w:sz w:val="24"/>
          <w:szCs w:val="24"/>
          <w:lang w:val="en-US" w:eastAsia="zh-CN"/>
        </w:rPr>
        <w:t>凭</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lang w:val="en-US" w:eastAsia="zh-CN"/>
        </w:rPr>
        <w:t>提交的申请，</w:t>
      </w:r>
      <w:r>
        <w:rPr>
          <w:rFonts w:hint="default" w:ascii="Times New Roman" w:hAnsi="Times New Roman" w:eastAsia="宋体" w:cs="Times New Roman"/>
          <w:color w:val="auto"/>
          <w:sz w:val="24"/>
          <w:szCs w:val="24"/>
        </w:rPr>
        <w:t>在三十个工作日内一次性退还履约保证金（不计息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或者退还履约保证金保函，</w:t>
      </w:r>
      <w:r>
        <w:rPr>
          <w:rFonts w:hint="default" w:ascii="Times New Roman" w:hAnsi="Times New Roman" w:eastAsia="宋体" w:cs="Times New Roman"/>
          <w:color w:val="auto"/>
          <w:sz w:val="24"/>
          <w:szCs w:val="24"/>
          <w:lang w:eastAsia="zh-CN"/>
        </w:rPr>
        <w:t>甲方</w:t>
      </w:r>
      <w:r>
        <w:rPr>
          <w:rFonts w:hint="default" w:ascii="Times New Roman" w:hAnsi="Times New Roman" w:eastAsia="宋体" w:cs="Times New Roman"/>
          <w:color w:val="auto"/>
          <w:sz w:val="24"/>
          <w:szCs w:val="24"/>
        </w:rPr>
        <w:t>若逾期退还履约保证金的，按照逾期部分的每日</w:t>
      </w:r>
      <w:r>
        <w:rPr>
          <w:rFonts w:hint="default" w:ascii="Times New Roman" w:hAnsi="Times New Roman" w:eastAsia="宋体" w:cs="Times New Roman"/>
          <w:color w:val="auto"/>
          <w:sz w:val="24"/>
          <w:szCs w:val="24"/>
          <w:u w:val="single"/>
        </w:rPr>
        <w:t>0.05%</w:t>
      </w:r>
      <w:r>
        <w:rPr>
          <w:rFonts w:hint="default" w:ascii="Times New Roman" w:hAnsi="Times New Roman" w:eastAsia="宋体" w:cs="Times New Roman"/>
          <w:color w:val="auto"/>
          <w:sz w:val="24"/>
          <w:szCs w:val="24"/>
        </w:rPr>
        <w:t xml:space="preserve">支付违约金。   </w:t>
      </w:r>
    </w:p>
    <w:p w14:paraId="7F1F4E9B">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6.5 退还履约保证金方式：同缴纳方式。   </w:t>
      </w:r>
    </w:p>
    <w:p w14:paraId="6F177D7A">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6.6 退还履约保证金条件：</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全部履约合同义务，</w:t>
      </w:r>
      <w:r>
        <w:rPr>
          <w:rFonts w:hint="default" w:ascii="Times New Roman" w:hAnsi="Times New Roman" w:eastAsia="宋体" w:cs="Times New Roman"/>
          <w:color w:val="auto"/>
          <w:sz w:val="24"/>
          <w:szCs w:val="24"/>
          <w:lang w:eastAsia="zh-CN"/>
        </w:rPr>
        <w:t>验收合格、</w:t>
      </w:r>
      <w:r>
        <w:rPr>
          <w:rFonts w:hint="default" w:ascii="Times New Roman" w:hAnsi="Times New Roman" w:eastAsia="宋体" w:cs="Times New Roman"/>
          <w:color w:val="auto"/>
          <w:sz w:val="24"/>
          <w:szCs w:val="24"/>
        </w:rPr>
        <w:t>质保期满后无质量、进度等问题的，</w:t>
      </w:r>
      <w:r>
        <w:rPr>
          <w:rFonts w:hint="default" w:ascii="Times New Roman" w:hAnsi="Times New Roman" w:eastAsia="宋体" w:cs="Times New Roman"/>
          <w:color w:val="auto"/>
          <w:sz w:val="24"/>
          <w:szCs w:val="24"/>
          <w:lang w:eastAsia="zh-CN"/>
        </w:rPr>
        <w:t>甲方</w:t>
      </w:r>
      <w:r>
        <w:rPr>
          <w:rFonts w:hint="default" w:ascii="Times New Roman" w:hAnsi="Times New Roman" w:eastAsia="宋体" w:cs="Times New Roman"/>
          <w:color w:val="auto"/>
          <w:sz w:val="24"/>
          <w:szCs w:val="24"/>
          <w:lang w:val="en-US" w:eastAsia="zh-CN"/>
        </w:rPr>
        <w:t>凭</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lang w:val="en-US" w:eastAsia="zh-CN"/>
        </w:rPr>
        <w:t>提交的申请，</w:t>
      </w:r>
      <w:r>
        <w:rPr>
          <w:rFonts w:hint="default" w:ascii="Times New Roman" w:hAnsi="Times New Roman" w:eastAsia="宋体" w:cs="Times New Roman"/>
          <w:color w:val="auto"/>
          <w:sz w:val="24"/>
          <w:szCs w:val="24"/>
        </w:rPr>
        <w:t>在三十个工作日内一次性退还履约保证金（不计息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或者退还履约保证金保函。</w:t>
      </w:r>
    </w:p>
    <w:p w14:paraId="7335A42F">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6.7 履约保证金不予退还的情形：</w:t>
      </w:r>
    </w:p>
    <w:p w14:paraId="6BE88A72">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a.签订合同后，乙方不履行合同义务的，甲方有权全额扣除履约保证金，全额不予退还，同时甲方亦有权终止合同，乙方还须承担相应的法律赔偿责任。</w:t>
      </w:r>
    </w:p>
    <w:p w14:paraId="53141C7E">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b.乙方在履约过程中发生违约行为，给甲方造成损失或者应承担违约金的，甲方有权在乙方缴纳的履约保证金中予以扣款或要求担保人按照保函约定向甲方无条件付款，不足的部分乙方另外补齐。因乙方违约导致甲方解除本合同的，甲方有权没收全部履约保证金或要求担保人按照保函约定向甲方无条件付款。并且，乙方还应承担本合同其他条款约定的违约责任。</w:t>
      </w:r>
    </w:p>
    <w:p w14:paraId="4595E8F6">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若乙方以保函形式提供担保的，乙方需将保函正本提交给甲方。乙方在履约过程中发生违约行为，甲方有权要求担保人按照保函约定向甲方无条件付款。满足本合同第6.6约定的条件时，甲方将保函正本退还给乙方。</w:t>
      </w:r>
    </w:p>
    <w:p w14:paraId="23170162">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七、合同转包等事项</w:t>
      </w:r>
    </w:p>
    <w:p w14:paraId="449CC22D">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7.1 乙方不得将合同标的转包给他人履行。乙方如有转包，甲方视为乙方根本违约，有权给予解除合同。</w:t>
      </w:r>
    </w:p>
    <w:p w14:paraId="4CD20D51">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7.2 乙方保证提供的产品不得侵犯第三方专利权、商标权和设计权、版权等。否则，乙方负全部责任，并承担由此引起的一切后果。</w:t>
      </w:r>
    </w:p>
    <w:p w14:paraId="3155B584">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7.3 乙方应保证其货物在正确安装、正常使用下，在其使用寿命期内应具有满意的性能。</w:t>
      </w:r>
    </w:p>
    <w:p w14:paraId="402161AB">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 乙方应采取必要的安全措施保证货物的运输及安装的安全，并承担货物的运输及安装过程中产生的风险。</w:t>
      </w:r>
    </w:p>
    <w:p w14:paraId="5BACB95B">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7.5 乙方提供的所有货物必须满足招标文件要求，须与分项报价明细表注明规格型号、价格、数量等相符，否则乙方承担违约责任。货物到货后，需报甲方后方可进场，对于不合格的货物严禁使用到本项目，否则一切损失及后果由乙方自行承担。</w:t>
      </w:r>
    </w:p>
    <w:p w14:paraId="0C4FC8E7">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7.6 乙方提供详细的生产供货及安装计划，并标明主要时间节点。</w:t>
      </w:r>
    </w:p>
    <w:p w14:paraId="6BDB0E85">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发货前乙方均应通知甲方进行验收（但甲方的验收对于乙方应按本合同承担的质量担保责任不予任何减轻或免除</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4DC904E5">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八、合同款项支付</w:t>
      </w:r>
    </w:p>
    <w:p w14:paraId="077940DB">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8.1项目预付款：甲方于合同签订之日起1</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个工作日内向乙方支付合同金额的30%作为项目实施预付款（乙方需先行提供同等金额的预付款保函，预付款保函须由乙方基本户开户银行出具）。</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　　项目款项支付：项目安装调试完毕</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项目整体运行稳定，且</w:t>
      </w:r>
      <w:r>
        <w:rPr>
          <w:rFonts w:hint="default" w:ascii="Times New Roman" w:hAnsi="Times New Roman" w:eastAsia="宋体" w:cs="Times New Roman"/>
          <w:color w:val="auto"/>
          <w:sz w:val="24"/>
          <w:szCs w:val="24"/>
          <w:lang w:val="en-US" w:eastAsia="zh-CN"/>
        </w:rPr>
        <w:t>培训</w:t>
      </w:r>
      <w:r>
        <w:rPr>
          <w:rFonts w:hint="default" w:ascii="Times New Roman" w:hAnsi="Times New Roman" w:eastAsia="宋体" w:cs="Times New Roman"/>
          <w:color w:val="auto"/>
          <w:sz w:val="24"/>
          <w:szCs w:val="24"/>
        </w:rPr>
        <w:t>服务符合</w:t>
      </w:r>
      <w:r>
        <w:rPr>
          <w:rFonts w:hint="default" w:ascii="Times New Roman" w:hAnsi="Times New Roman" w:eastAsia="宋体" w:cs="Times New Roman"/>
          <w:color w:val="auto"/>
          <w:sz w:val="24"/>
          <w:szCs w:val="24"/>
          <w:lang w:val="en-US" w:eastAsia="zh-CN"/>
        </w:rPr>
        <w:t>合同</w:t>
      </w:r>
      <w:r>
        <w:rPr>
          <w:rFonts w:hint="default" w:ascii="Times New Roman" w:hAnsi="Times New Roman" w:eastAsia="宋体" w:cs="Times New Roman"/>
          <w:color w:val="auto"/>
          <w:sz w:val="24"/>
          <w:szCs w:val="24"/>
        </w:rPr>
        <w:t>要求</w:t>
      </w:r>
      <w:r>
        <w:rPr>
          <w:rFonts w:hint="default" w:ascii="Times New Roman" w:hAnsi="Times New Roman" w:eastAsia="宋体" w:cs="Times New Roman"/>
          <w:color w:val="auto"/>
          <w:sz w:val="24"/>
          <w:szCs w:val="24"/>
          <w:lang w:eastAsia="zh-CN"/>
        </w:rPr>
        <w:t>，经</w:t>
      </w:r>
      <w:r>
        <w:rPr>
          <w:rFonts w:hint="default" w:ascii="Times New Roman" w:hAnsi="Times New Roman" w:eastAsia="宋体" w:cs="Times New Roman"/>
          <w:color w:val="auto"/>
          <w:sz w:val="24"/>
          <w:szCs w:val="24"/>
        </w:rPr>
        <w:t>甲方</w:t>
      </w:r>
      <w:r>
        <w:rPr>
          <w:rFonts w:hint="default" w:ascii="Times New Roman" w:hAnsi="Times New Roman" w:eastAsia="宋体" w:cs="Times New Roman"/>
          <w:color w:val="auto"/>
          <w:sz w:val="24"/>
          <w:szCs w:val="24"/>
          <w:lang w:eastAsia="zh-CN"/>
        </w:rPr>
        <w:t>根据合同条款正式验收合格，</w:t>
      </w:r>
      <w:r>
        <w:rPr>
          <w:rFonts w:hint="default" w:ascii="Times New Roman" w:hAnsi="Times New Roman" w:eastAsia="宋体" w:cs="Times New Roman"/>
          <w:color w:val="auto"/>
          <w:sz w:val="24"/>
          <w:szCs w:val="24"/>
          <w:lang w:val="en-US" w:eastAsia="zh-CN"/>
        </w:rPr>
        <w:t>并通过审计，</w:t>
      </w:r>
      <w:r>
        <w:rPr>
          <w:rFonts w:hint="default" w:ascii="Times New Roman" w:hAnsi="Times New Roman" w:eastAsia="宋体" w:cs="Times New Roman"/>
          <w:color w:val="auto"/>
          <w:sz w:val="24"/>
          <w:szCs w:val="24"/>
        </w:rPr>
        <w:t>甲方</w:t>
      </w:r>
      <w:r>
        <w:rPr>
          <w:rFonts w:hint="default" w:ascii="Times New Roman" w:hAnsi="Times New Roman" w:eastAsia="宋体" w:cs="Times New Roman"/>
          <w:color w:val="auto"/>
          <w:sz w:val="24"/>
          <w:szCs w:val="24"/>
          <w:lang w:val="en-US" w:eastAsia="zh-CN"/>
        </w:rPr>
        <w:t>于审计结束后30个工作日</w:t>
      </w:r>
      <w:r>
        <w:rPr>
          <w:rFonts w:hint="default" w:ascii="Times New Roman" w:hAnsi="Times New Roman" w:eastAsia="宋体" w:cs="Times New Roman"/>
          <w:color w:val="auto"/>
          <w:sz w:val="24"/>
          <w:szCs w:val="24"/>
          <w:lang w:eastAsia="zh-CN"/>
        </w:rPr>
        <w:t>内，</w:t>
      </w:r>
      <w:r>
        <w:rPr>
          <w:rFonts w:hint="default" w:ascii="Times New Roman" w:hAnsi="Times New Roman" w:eastAsia="宋体" w:cs="Times New Roman"/>
          <w:color w:val="auto"/>
          <w:sz w:val="24"/>
          <w:szCs w:val="24"/>
        </w:rPr>
        <w:t>向乙</w:t>
      </w:r>
      <w:r>
        <w:rPr>
          <w:rFonts w:hint="default" w:ascii="Times New Roman" w:hAnsi="Times New Roman" w:eastAsia="宋体" w:cs="Times New Roman"/>
          <w:color w:val="auto"/>
          <w:sz w:val="24"/>
          <w:szCs w:val="24"/>
          <w:lang w:val="en-US" w:eastAsia="zh-CN"/>
        </w:rPr>
        <w:t>方</w:t>
      </w:r>
      <w:r>
        <w:rPr>
          <w:rFonts w:hint="default" w:ascii="Times New Roman" w:hAnsi="Times New Roman" w:eastAsia="宋体" w:cs="Times New Roman"/>
          <w:color w:val="auto"/>
          <w:sz w:val="24"/>
          <w:szCs w:val="24"/>
        </w:rPr>
        <w:t>支付项目审计决算后的项目余款 (不计息）。</w:t>
      </w:r>
      <w:r>
        <w:rPr>
          <w:rFonts w:hint="default" w:ascii="Times New Roman" w:hAnsi="Times New Roman" w:eastAsia="宋体" w:cs="Times New Roman"/>
          <w:color w:val="auto"/>
          <w:sz w:val="24"/>
          <w:szCs w:val="24"/>
          <w:lang w:val="en-US" w:eastAsia="zh-CN"/>
        </w:rPr>
        <w:t xml:space="preserve"> </w:t>
      </w:r>
    </w:p>
    <w:p w14:paraId="709A5BC0">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8.2 乙方凭以下文件资料申请支付合同款</w:t>
      </w:r>
    </w:p>
    <w:p w14:paraId="6CBECB36">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8.2.1 采购合同； </w:t>
      </w:r>
    </w:p>
    <w:p w14:paraId="6E86B732">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8.2.2 中标通知书复印件或扫描件； </w:t>
      </w:r>
    </w:p>
    <w:p w14:paraId="412EFE9D">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8.2.3 乙方开具的国家税务机关监制的正式增值税专用发票；</w:t>
      </w:r>
    </w:p>
    <w:p w14:paraId="42EA93D8">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8.2.4 甲方已收讫货物的验收凭证；</w:t>
      </w:r>
    </w:p>
    <w:p w14:paraId="3C3691E5">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8.2.5 甲方签发的验收合格文件。  </w:t>
      </w:r>
    </w:p>
    <w:p w14:paraId="1487E286">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8.3 因甲方使用的是财政资金，甲方在前款规定的付款时间为向政府采购支付部门提出办理财政支付申请手续的时间（不含政府财政支付部门审核的时间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，在规定时间内提出支付申请手续后即视为甲方是按期支付。</w:t>
      </w:r>
    </w:p>
    <w:p w14:paraId="3C09EA79">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九、税费</w:t>
      </w:r>
    </w:p>
    <w:p w14:paraId="6374FBD9">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9.1 本合同执行中相关的一切税费均由乙方负担。</w:t>
      </w:r>
    </w:p>
    <w:p w14:paraId="19EE9025">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十、质量保修范围和保修期及售后服务</w:t>
      </w:r>
    </w:p>
    <w:p w14:paraId="701CACE3">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10.1 乙方应按招标文件规定的货物性能、技术要求、质量标准向甲方提供产品，并不低于投标文件的质量、规格和参数的要求。</w:t>
      </w:r>
    </w:p>
    <w:p w14:paraId="17216B5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10.2 乙方提供的货物在质量期内因货物本身的质量问题发生故障，乙方应负责免费更换。对达不到技术要求者，根据实际情况，经双方协商，可按以下办法处理：</w:t>
      </w:r>
    </w:p>
    <w:p w14:paraId="781EB6CC">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更换：由乙方承担所发生的全部费用。</w:t>
      </w:r>
    </w:p>
    <w:p w14:paraId="4D57AF0A">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贬值处理：由甲乙双方合议定价。</w:t>
      </w:r>
    </w:p>
    <w:p w14:paraId="37E2E115">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退货处理：乙方应退还甲方支付的合同款，同时应承担该货物的直接费用（运输、保险、检验、货款利息及银行手续费等</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67C15495">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 xml:space="preserve">10.3 </w:t>
      </w:r>
      <w:r>
        <w:rPr>
          <w:rFonts w:hint="default" w:ascii="Times New Roman" w:hAnsi="Times New Roman" w:eastAsia="宋体" w:cs="Times New Roman"/>
          <w:color w:val="auto"/>
          <w:sz w:val="24"/>
          <w:szCs w:val="24"/>
          <w:lang w:eastAsia="zh-CN"/>
        </w:rPr>
        <w:t>免费质保期：自验收合格交付之日起</w:t>
      </w:r>
      <w:r>
        <w:rPr>
          <w:rFonts w:hint="default" w:ascii="Times New Roman" w:hAnsi="Times New Roman" w:eastAsia="宋体" w:cs="Times New Roman"/>
          <w:color w:val="auto"/>
          <w:sz w:val="24"/>
          <w:szCs w:val="24"/>
          <w:lang w:val="en-US" w:eastAsia="zh-CN"/>
        </w:rPr>
        <w:t>三年。</w:t>
      </w:r>
      <w:r>
        <w:rPr>
          <w:rFonts w:hint="default" w:ascii="Times New Roman" w:hAnsi="Times New Roman" w:eastAsia="宋体" w:cs="Times New Roman"/>
          <w:color w:val="auto"/>
          <w:sz w:val="24"/>
          <w:szCs w:val="24"/>
          <w:lang w:eastAsia="zh-CN"/>
        </w:rPr>
        <w:t>乙方提供的产品在质保期内因产品本身的质量问题发生故障，乙方应负责免费更换。并</w:t>
      </w:r>
      <w:r>
        <w:rPr>
          <w:rFonts w:hint="default" w:ascii="Times New Roman" w:hAnsi="Times New Roman" w:eastAsia="宋体" w:cs="Times New Roman"/>
          <w:color w:val="auto"/>
          <w:sz w:val="24"/>
          <w:szCs w:val="24"/>
          <w:lang w:val="en-US" w:eastAsia="zh-CN"/>
        </w:rPr>
        <w:t>承诺质保期满后，年度维护费为中标价的</w:t>
      </w:r>
      <w:r>
        <w:rPr>
          <w:rFonts w:hint="default"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lang w:eastAsia="zh-CN"/>
        </w:rPr>
        <w:t>。</w:t>
      </w:r>
    </w:p>
    <w:p w14:paraId="21AA58FC">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10.4 </w:t>
      </w:r>
      <w:r>
        <w:rPr>
          <w:rFonts w:hint="default" w:ascii="Times New Roman" w:hAnsi="Times New Roman" w:eastAsia="宋体" w:cs="Times New Roman"/>
          <w:color w:val="auto"/>
          <w:sz w:val="24"/>
          <w:szCs w:val="24"/>
        </w:rPr>
        <w:t>售后服务</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所提供的产品要求包含</w:t>
      </w:r>
      <w:r>
        <w:rPr>
          <w:rFonts w:hint="default" w:ascii="Times New Roman" w:hAnsi="Times New Roman" w:eastAsia="宋体" w:cs="Times New Roman"/>
          <w:color w:val="auto"/>
          <w:sz w:val="24"/>
          <w:szCs w:val="24"/>
          <w:lang w:eastAsia="zh-CN"/>
        </w:rPr>
        <w:t>三</w:t>
      </w:r>
      <w:r>
        <w:rPr>
          <w:rFonts w:hint="default" w:ascii="Times New Roman" w:hAnsi="Times New Roman" w:eastAsia="宋体" w:cs="Times New Roman"/>
          <w:color w:val="auto"/>
          <w:sz w:val="24"/>
          <w:szCs w:val="24"/>
        </w:rPr>
        <w:t>年的软件维护及技术支持服务。</w:t>
      </w:r>
    </w:p>
    <w:p w14:paraId="21DC2454">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10.5 </w:t>
      </w:r>
      <w:r>
        <w:rPr>
          <w:rFonts w:hint="default" w:ascii="Times New Roman" w:hAnsi="Times New Roman" w:eastAsia="宋体" w:cs="Times New Roman"/>
          <w:color w:val="auto"/>
          <w:sz w:val="24"/>
          <w:szCs w:val="24"/>
        </w:rPr>
        <w:t>故障响应时间要求</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在接到</w:t>
      </w:r>
      <w:r>
        <w:rPr>
          <w:rFonts w:hint="default" w:ascii="Times New Roman" w:hAnsi="Times New Roman" w:eastAsia="宋体" w:cs="Times New Roman"/>
          <w:color w:val="auto"/>
          <w:sz w:val="24"/>
          <w:szCs w:val="24"/>
          <w:lang w:eastAsia="zh-CN"/>
        </w:rPr>
        <w:t>甲方</w:t>
      </w:r>
      <w:r>
        <w:rPr>
          <w:rFonts w:hint="default" w:ascii="Times New Roman" w:hAnsi="Times New Roman" w:eastAsia="宋体" w:cs="Times New Roman"/>
          <w:color w:val="auto"/>
          <w:sz w:val="24"/>
          <w:szCs w:val="24"/>
        </w:rPr>
        <w:t>故障报修后2小时内安排技术人员跟进解决；故障的最终修复从报修时间算起不能超过72小时。</w:t>
      </w:r>
    </w:p>
    <w:p w14:paraId="11B9B0EE">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10.6 </w:t>
      </w:r>
      <w:r>
        <w:rPr>
          <w:rFonts w:hint="default" w:ascii="Times New Roman" w:hAnsi="Times New Roman" w:eastAsia="宋体" w:cs="Times New Roman"/>
          <w:color w:val="auto"/>
          <w:sz w:val="24"/>
          <w:szCs w:val="24"/>
        </w:rPr>
        <w:t>软件安装迁移服务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如</w:t>
      </w:r>
      <w:r>
        <w:rPr>
          <w:rFonts w:hint="default" w:ascii="Times New Roman" w:hAnsi="Times New Roman" w:eastAsia="宋体" w:cs="Times New Roman"/>
          <w:color w:val="auto"/>
          <w:sz w:val="24"/>
          <w:szCs w:val="24"/>
          <w:lang w:eastAsia="zh-CN"/>
        </w:rPr>
        <w:t>甲方</w:t>
      </w:r>
      <w:r>
        <w:rPr>
          <w:rFonts w:hint="default" w:ascii="Times New Roman" w:hAnsi="Times New Roman" w:eastAsia="宋体" w:cs="Times New Roman"/>
          <w:color w:val="auto"/>
          <w:sz w:val="24"/>
          <w:szCs w:val="24"/>
        </w:rPr>
        <w:t>后续有软件迁移安装需求，</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应负责相应的迁移安装服务。</w:t>
      </w:r>
    </w:p>
    <w:p w14:paraId="41DC2C65">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十一、项目验收</w:t>
      </w:r>
    </w:p>
    <w:p w14:paraId="36A0033F">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11.1 甲方依法组织履约验收工作。</w:t>
      </w:r>
    </w:p>
    <w:p w14:paraId="6156BE70">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11.2</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按照合同文件约定提供软件下载地址及软件正版授权码License。</w:t>
      </w:r>
      <w:r>
        <w:rPr>
          <w:rFonts w:hint="default" w:ascii="Times New Roman" w:hAnsi="Times New Roman" w:eastAsia="宋体" w:cs="Times New Roman"/>
          <w:color w:val="auto"/>
          <w:sz w:val="24"/>
          <w:szCs w:val="24"/>
          <w:lang w:eastAsia="zh-CN"/>
        </w:rPr>
        <w:t>甲方</w:t>
      </w:r>
      <w:r>
        <w:rPr>
          <w:rFonts w:hint="default" w:ascii="Times New Roman" w:hAnsi="Times New Roman" w:eastAsia="宋体" w:cs="Times New Roman"/>
          <w:color w:val="auto"/>
          <w:sz w:val="24"/>
          <w:szCs w:val="24"/>
        </w:rPr>
        <w:t>收到</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按照招标文件约定所交付</w:t>
      </w:r>
      <w:r>
        <w:rPr>
          <w:rFonts w:hint="default" w:ascii="Times New Roman" w:hAnsi="Times New Roman" w:eastAsia="宋体" w:cs="Times New Roman"/>
          <w:color w:val="auto"/>
          <w:sz w:val="24"/>
          <w:szCs w:val="24"/>
          <w:lang w:val="en-US" w:eastAsia="zh-CN"/>
        </w:rPr>
        <w:t>的软件</w:t>
      </w:r>
      <w:r>
        <w:rPr>
          <w:rFonts w:hint="default" w:ascii="Times New Roman" w:hAnsi="Times New Roman" w:eastAsia="宋体" w:cs="Times New Roman"/>
          <w:color w:val="auto"/>
          <w:sz w:val="24"/>
          <w:szCs w:val="24"/>
        </w:rPr>
        <w:t>下载地址及授权码（加密锁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之日起两个工作日内应立即检查，如果发现软件的下载地址及授权码（加密锁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非</w:t>
      </w:r>
      <w:r>
        <w:rPr>
          <w:rFonts w:hint="default" w:ascii="Times New Roman" w:hAnsi="Times New Roman" w:eastAsia="宋体" w:cs="Times New Roman"/>
          <w:color w:val="auto"/>
          <w:sz w:val="24"/>
          <w:szCs w:val="24"/>
          <w:lang w:eastAsia="zh-CN"/>
        </w:rPr>
        <w:t>甲方</w:t>
      </w:r>
      <w:r>
        <w:rPr>
          <w:rFonts w:hint="default" w:ascii="Times New Roman" w:hAnsi="Times New Roman" w:eastAsia="宋体" w:cs="Times New Roman"/>
          <w:color w:val="auto"/>
          <w:sz w:val="24"/>
          <w:szCs w:val="24"/>
        </w:rPr>
        <w:t>原因发生毁损的，须在签收之日起48小时内通知</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核对无误后应负责更换。</w:t>
      </w:r>
      <w:r>
        <w:rPr>
          <w:rFonts w:hint="default" w:ascii="Times New Roman" w:hAnsi="Times New Roman" w:eastAsia="宋体" w:cs="Times New Roman"/>
          <w:color w:val="auto"/>
          <w:sz w:val="24"/>
          <w:szCs w:val="24"/>
          <w:lang w:val="en-US" w:eastAsia="zh-CN"/>
        </w:rPr>
        <w:t xml:space="preserve">  </w:t>
      </w:r>
    </w:p>
    <w:p w14:paraId="265AD14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 xml:space="preserve">11.3 </w:t>
      </w:r>
      <w:r>
        <w:rPr>
          <w:rFonts w:hint="default" w:ascii="Times New Roman" w:hAnsi="Times New Roman" w:eastAsia="宋体" w:cs="Times New Roman"/>
          <w:color w:val="auto"/>
          <w:sz w:val="24"/>
          <w:szCs w:val="24"/>
        </w:rPr>
        <w:t>验收条件：供货内容应完整无缺</w:t>
      </w:r>
      <w:r>
        <w:rPr>
          <w:rFonts w:hint="eastAsia" w:ascii="宋体" w:hAnsi="宋体" w:eastAsia="宋体" w:cs="宋体"/>
          <w:sz w:val="24"/>
          <w:szCs w:val="24"/>
        </w:rPr>
        <w:t>，</w:t>
      </w:r>
      <w:r>
        <w:rPr>
          <w:rFonts w:hint="eastAsia" w:ascii="宋体" w:hAnsi="宋体" w:eastAsia="宋体" w:cs="宋体"/>
          <w:sz w:val="24"/>
          <w:szCs w:val="24"/>
          <w:shd w:val="clear"/>
        </w:rPr>
        <w:t>特别是带“</w:t>
      </w:r>
      <w:r>
        <w:rPr>
          <w:rFonts w:hint="default" w:ascii="Times New Roman" w:hAnsi="Times New Roman" w:eastAsia="宋体" w:cs="Times New Roman"/>
          <w:b/>
          <w:bCs/>
          <w:color w:val="auto"/>
          <w:sz w:val="24"/>
          <w:szCs w:val="24"/>
          <w:shd w:val="clear"/>
          <w:lang w:eastAsia="zh-CN"/>
        </w:rPr>
        <w:t>☆</w:t>
      </w:r>
      <w:r>
        <w:rPr>
          <w:rFonts w:hint="eastAsia" w:ascii="宋体" w:hAnsi="宋体" w:eastAsia="宋体" w:cs="宋体"/>
          <w:sz w:val="24"/>
          <w:szCs w:val="24"/>
          <w:shd w:val="clear"/>
        </w:rPr>
        <w:t>”、“▲”标记的关键技术指标；</w:t>
      </w:r>
      <w:r>
        <w:rPr>
          <w:rFonts w:hint="default" w:ascii="Times New Roman" w:hAnsi="Times New Roman" w:eastAsia="宋体" w:cs="Times New Roman"/>
          <w:color w:val="auto"/>
          <w:sz w:val="24"/>
          <w:szCs w:val="24"/>
          <w:shd w:val="clear"/>
        </w:rPr>
        <w:t>提供的授权模块、并发 Token 数</w:t>
      </w:r>
      <w:r>
        <w:rPr>
          <w:rFonts w:hint="default" w:ascii="Times New Roman" w:hAnsi="Times New Roman" w:eastAsia="宋体" w:cs="Times New Roman"/>
          <w:color w:val="auto"/>
          <w:sz w:val="24"/>
          <w:szCs w:val="24"/>
        </w:rPr>
        <w:t>量、使用年限应符合购买合同规定内容</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在</w:t>
      </w:r>
      <w:r>
        <w:rPr>
          <w:rFonts w:hint="eastAsia" w:ascii="Times New Roman" w:hAnsi="Times New Roman" w:eastAsia="宋体" w:cs="Times New Roman"/>
          <w:color w:val="auto"/>
          <w:sz w:val="24"/>
          <w:szCs w:val="24"/>
          <w:lang w:val="en-US" w:eastAsia="zh-CN"/>
        </w:rPr>
        <w:t>甲方</w:t>
      </w:r>
      <w:r>
        <w:rPr>
          <w:rFonts w:hint="default" w:ascii="Times New Roman" w:hAnsi="Times New Roman" w:eastAsia="宋体" w:cs="Times New Roman"/>
          <w:color w:val="auto"/>
          <w:sz w:val="24"/>
          <w:szCs w:val="24"/>
        </w:rPr>
        <w:t>指定的地方安装软件，确保软件安装后正确运行，完成License服务器部署调试，应能实现License的浮动管理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并对算例进行计算并考核</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软件</w:t>
      </w:r>
      <w:r>
        <w:rPr>
          <w:rFonts w:hint="default" w:ascii="Times New Roman" w:hAnsi="Times New Roman" w:eastAsia="宋体" w:cs="Times New Roman"/>
          <w:color w:val="auto"/>
          <w:sz w:val="24"/>
          <w:szCs w:val="24"/>
        </w:rPr>
        <w:t>72 小时连续稳定运行，峰值并发达到合同限额</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完成约定课时线下实操培训；维保响应时效满足合同承诺。</w:t>
      </w:r>
      <w:r>
        <w:rPr>
          <w:rFonts w:hint="eastAsia" w:ascii="Times New Roman" w:hAnsi="Times New Roman" w:eastAsia="宋体" w:cs="Times New Roman"/>
          <w:color w:val="auto"/>
          <w:sz w:val="24"/>
          <w:szCs w:val="24"/>
          <w:lang w:eastAsia="zh-CN"/>
        </w:rPr>
        <w:t>乙方</w:t>
      </w:r>
      <w:r>
        <w:rPr>
          <w:rFonts w:hint="eastAsia" w:ascii="Times New Roman" w:hAnsi="Times New Roman" w:eastAsia="宋体" w:cs="Times New Roman"/>
          <w:color w:val="auto"/>
          <w:sz w:val="24"/>
          <w:szCs w:val="24"/>
          <w:lang w:val="en-US" w:eastAsia="zh-CN"/>
        </w:rPr>
        <w:t>应对投标时提供承诺书的技术条款进行逐项演示，</w:t>
      </w:r>
      <w:r>
        <w:rPr>
          <w:rFonts w:hint="default" w:ascii="Times New Roman" w:hAnsi="Times New Roman" w:eastAsia="宋体" w:cs="Times New Roman"/>
          <w:color w:val="auto"/>
          <w:sz w:val="24"/>
          <w:szCs w:val="24"/>
        </w:rPr>
        <w:t>任一指标与承诺书不符，视为验收不合格</w:t>
      </w:r>
      <w:r>
        <w:rPr>
          <w:rFonts w:hint="eastAsia" w:ascii="Times New Roman" w:hAnsi="Times New Roman" w:eastAsia="宋体" w:cs="Times New Roman"/>
          <w:color w:val="auto"/>
          <w:sz w:val="24"/>
          <w:szCs w:val="24"/>
          <w:lang w:eastAsia="zh-CN"/>
        </w:rPr>
        <w:t>。</w:t>
      </w:r>
    </w:p>
    <w:p w14:paraId="7705295D">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11.4 </w:t>
      </w:r>
      <w:r>
        <w:rPr>
          <w:rFonts w:hint="default" w:ascii="Times New Roman" w:hAnsi="Times New Roman" w:eastAsia="宋体" w:cs="Times New Roman"/>
          <w:color w:val="auto"/>
          <w:sz w:val="24"/>
          <w:szCs w:val="24"/>
        </w:rPr>
        <w:t>在规定时间内完成交货、验收，并经</w:t>
      </w:r>
      <w:r>
        <w:rPr>
          <w:rFonts w:hint="default" w:ascii="Times New Roman" w:hAnsi="Times New Roman" w:eastAsia="宋体" w:cs="Times New Roman"/>
          <w:color w:val="auto"/>
          <w:sz w:val="24"/>
          <w:szCs w:val="24"/>
          <w:lang w:eastAsia="zh-CN"/>
        </w:rPr>
        <w:t>甲方</w:t>
      </w:r>
      <w:r>
        <w:rPr>
          <w:rFonts w:hint="default" w:ascii="Times New Roman" w:hAnsi="Times New Roman" w:eastAsia="宋体" w:cs="Times New Roman"/>
          <w:color w:val="auto"/>
          <w:sz w:val="24"/>
          <w:szCs w:val="24"/>
        </w:rPr>
        <w:t>确认。</w:t>
      </w:r>
    </w:p>
    <w:p w14:paraId="651E945A">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11.5 </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提供的软件未达到</w:t>
      </w:r>
      <w:r>
        <w:rPr>
          <w:rFonts w:hint="default" w:ascii="Times New Roman" w:hAnsi="Times New Roman" w:eastAsia="宋体" w:cs="Times New Roman"/>
          <w:color w:val="auto"/>
          <w:sz w:val="24"/>
          <w:szCs w:val="24"/>
          <w:lang w:eastAsia="zh-CN"/>
        </w:rPr>
        <w:t>采购文件</w:t>
      </w:r>
      <w:r>
        <w:rPr>
          <w:rFonts w:hint="default" w:ascii="Times New Roman" w:hAnsi="Times New Roman" w:eastAsia="宋体" w:cs="Times New Roman"/>
          <w:color w:val="auto"/>
          <w:sz w:val="24"/>
          <w:szCs w:val="24"/>
        </w:rPr>
        <w:t>规定要求，且对</w:t>
      </w:r>
      <w:r>
        <w:rPr>
          <w:rFonts w:hint="default" w:ascii="Times New Roman" w:hAnsi="Times New Roman" w:eastAsia="宋体" w:cs="Times New Roman"/>
          <w:color w:val="auto"/>
          <w:sz w:val="24"/>
          <w:szCs w:val="24"/>
          <w:lang w:eastAsia="zh-CN"/>
        </w:rPr>
        <w:t>甲方</w:t>
      </w:r>
      <w:r>
        <w:rPr>
          <w:rFonts w:hint="default" w:ascii="Times New Roman" w:hAnsi="Times New Roman" w:eastAsia="宋体" w:cs="Times New Roman"/>
          <w:color w:val="auto"/>
          <w:sz w:val="24"/>
          <w:szCs w:val="24"/>
        </w:rPr>
        <w:t>造成损失的，由</w:t>
      </w:r>
      <w:r>
        <w:rPr>
          <w:rFonts w:hint="default" w:ascii="Times New Roman" w:hAnsi="Times New Roman" w:eastAsia="宋体" w:cs="Times New Roman"/>
          <w:color w:val="auto"/>
          <w:sz w:val="24"/>
          <w:szCs w:val="24"/>
          <w:lang w:eastAsia="zh-CN"/>
        </w:rPr>
        <w:t>乙方</w:t>
      </w:r>
      <w:r>
        <w:rPr>
          <w:rFonts w:hint="default" w:ascii="Times New Roman" w:hAnsi="Times New Roman" w:eastAsia="宋体" w:cs="Times New Roman"/>
          <w:color w:val="auto"/>
          <w:sz w:val="24"/>
          <w:szCs w:val="24"/>
        </w:rPr>
        <w:t>承担一切责任，并赔偿所造成的损失。</w:t>
      </w:r>
    </w:p>
    <w:p w14:paraId="5EC53B7F">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 xml:space="preserve"> 甲方成立验收小组，按照采购合同的约定对乙方的履约情况进行验收。验收时间、验收标准见招标文件验收内容。验收时，甲方按照采购合同的约定对每一项技术、商务要求的履约情况进行确认。验收结束后，验收小组出具验收报告，列明验收结果。验收结果与采购合同约定的资金支付及履约保证金返还条件挂钩。</w:t>
      </w:r>
    </w:p>
    <w:p w14:paraId="4F88619C">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 xml:space="preserve"> 验收合格后，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3E157BC8">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十二、货物的包装、发运及运输</w:t>
      </w:r>
    </w:p>
    <w:p w14:paraId="593A86E4">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12.1 乙方应在货物发运前对其进行满足运输距离、防潮、防震、防锈和防破损装卸等要求包装，以保证货物安全运达甲方指定地点。乙方对货物的包装应符合《商品包装政府采购需求标准（试行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》、《快递包装政府采购需求标准（试行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》的规定。</w:t>
      </w:r>
    </w:p>
    <w:p w14:paraId="3555AD80">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12.2 使用说明书、质量检验证明书、随配附件和工具以及清单一并附于货物内。</w:t>
      </w:r>
    </w:p>
    <w:p w14:paraId="32EDC4B8">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12.3 货物在交付甲方前发生的风险均由乙方负责。</w:t>
      </w:r>
    </w:p>
    <w:p w14:paraId="66A089AE">
      <w:pPr>
        <w:keepNext w:val="0"/>
        <w:keepLines w:val="0"/>
        <w:pageBreakBefore w:val="0"/>
        <w:kinsoku/>
        <w:wordWrap/>
        <w:overflowPunct/>
        <w:topLinePunct w:val="0"/>
        <w:autoSpaceDE/>
        <w:autoSpaceDN/>
        <w:bidi w:val="0"/>
        <w:adjustRightInd/>
        <w:spacing w:line="360" w:lineRule="auto"/>
        <w:ind w:right="26"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12.4 货物在规定的交付期限内由乙方送达甲方指定的地点视为交付，乙方同时需通知甲方货物已送达。</w:t>
      </w:r>
    </w:p>
    <w:p w14:paraId="37CEB2F3">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12.5 乙方提供的货物必须达到或优于招标文件“采购清单”技术需求中各项指标参数。</w:t>
      </w:r>
    </w:p>
    <w:p w14:paraId="0FB3ECD9">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乙方交付的货物质量不得低于投标样品及投标响应文件中产品生产工艺方案要求，否则甲方有权拒收、部分拒收、退货、部分退货直至解除本合同，同时甲方有权保留使用该产品直至乙方提供合格产品替换，并要求乙方支付因此造成的所有损失。</w:t>
      </w:r>
    </w:p>
    <w:p w14:paraId="0491E8C6">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12.6 商品包装环保要求：应当按《关于印发〈商品包装政府采购需求标准（试行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〉、〈快递包装政府采购需求标准（试行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〉的通知》（财办库〔2020〕123号</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文件执行。</w:t>
      </w:r>
    </w:p>
    <w:p w14:paraId="6C9BA049">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商品包装层数不得超过 3 层，空隙率不大于 40%；</w:t>
      </w:r>
    </w:p>
    <w:p w14:paraId="2960FEBE">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商品包装尽可能使用单一材质的包装材料，如因功能需求必需使用不同材质，不同材质间应便于分离；</w:t>
      </w:r>
    </w:p>
    <w:p w14:paraId="091979FF">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商品包装中铅、汞、镉、六价铬的总含量应不大于100mg/kg；</w:t>
      </w:r>
    </w:p>
    <w:p w14:paraId="3169DD3E">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商品包装印刷使用的油墨中挥发性有机化合物</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VOCs</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含量应不大于 5%（以重量计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4559507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塑料材质商品包装上呈现的印刷颜色不得超过6色；</w:t>
      </w:r>
    </w:p>
    <w:p w14:paraId="0E6FCC6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纸质商品包装应使用 75%以上的可再生纤维原料生产；</w:t>
      </w:r>
    </w:p>
    <w:p w14:paraId="72006A18">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木质商品包装的原料应来源于可持续性森林。</w:t>
      </w:r>
    </w:p>
    <w:p w14:paraId="14F31827">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12.7 快递包装环保要求：</w:t>
      </w:r>
    </w:p>
    <w:p w14:paraId="4CF24657">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快递包装中重金属（铅、汞、镉、六价铬</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总量应不大于 100mg/kg；</w:t>
      </w:r>
    </w:p>
    <w:p w14:paraId="05815DF6">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快递包装印刷使用的油墨中不应添加邻苯二甲酸酯，其挥发性有机化合物</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VOCs</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含量应不大于5%（以重量计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4EFE5E7D">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快递包装中使用纸基材的包装材料，纸基材中的有机氯的含量应不大于 150 mg/kg；</w:t>
      </w:r>
    </w:p>
    <w:p w14:paraId="0F7BBD20">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快递包装中使用塑料基材的包装材料不得使用邻苯二甲酸二异壬酯、邻苯二甲酸二正辛酯、邻苯二甲酸二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2-乙基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己酯、邻苯二甲酸二异癸酯、邻苯二甲酸丁基苄基酯、邻苯二甲酸二丁酯等作为增塑剂；</w:t>
      </w:r>
    </w:p>
    <w:p w14:paraId="191334B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快递中使用的塑料包装袋不得使用聚氯乙烯作为原料，且原料应为单一材质制成，生物分解率大于60%；</w:t>
      </w:r>
    </w:p>
    <w:p w14:paraId="10D92965">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快递中使用的充气类填充物不得使用聚氯乙烯作为 原料，且原料为单一材质制成，生物分解率大于60%；</w:t>
      </w:r>
    </w:p>
    <w:p w14:paraId="7615B8EB">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快递中使用的集装袋应为单一材质制成，其重复使用次数应不小于 80 次；</w:t>
      </w:r>
    </w:p>
    <w:p w14:paraId="3A63F62C">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快递中应使用幅宽不大于45mm 的生物降解胶带；</w:t>
      </w:r>
    </w:p>
    <w:p w14:paraId="27E7D7EB">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快递包装中不得使用溶剂型胶粘剂；</w:t>
      </w:r>
    </w:p>
    <w:p w14:paraId="0453155C">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快递应使用电子面单；</w:t>
      </w:r>
    </w:p>
    <w:p w14:paraId="02672CBD">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直接使用商品包装作为快递包装的商品，其商品包装满足《商品包装政府采购需求标准（试行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》即可；</w:t>
      </w:r>
    </w:p>
    <w:p w14:paraId="4B2BF89F">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快递包装产品质量和封装方式应符合相关国家或行业标准技术指标要求。</w:t>
      </w:r>
    </w:p>
    <w:p w14:paraId="70EDBAD0">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十三、违约责任</w:t>
      </w:r>
    </w:p>
    <w:p w14:paraId="6B24A03E">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13.1 甲方无正当理由未按合同规定的期限向乙方支付货款的，每逾期1天甲方向乙方支付该批次货款总额的0.04%滞纳金，批次累计滞纳金总额不超过批次欠款总额的0.6%。</w:t>
      </w:r>
    </w:p>
    <w:p w14:paraId="77244CE7">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13.2 乙方逾期交付货物的，每逾期1天，乙方向甲方偿付支付该批次货款总额的0.04%滞纳金，批次累计滞纳金总额不超过批次总额的0.6%。</w:t>
      </w:r>
    </w:p>
    <w:p w14:paraId="46A726CA">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13.3 乙方所交付的货物品种、型号、规格不符合合同规定，乙方需在收到书面通知15日内解决退换货问题，因退换货造成逾期交付的，乙方需交纳逾期滞纳金，逾期滞纳金按原收货截止日次日起计至合格货物收到之日止，每逾期1天，按本批次货款总额的0.04%计算。若乙方在15日退换货期限内不能完成供货，除每日按本批次货款总额的0.04%计算滞纳金外，还应支付每日1万元罚款，直至供货日止。若乙方在以上合计60天期限内仍不能完成供货，将被处以此批货款30%的罚款，同时处罚履约保证金的50%，甲方可采取必要的补救措施，但由此引发的风险和费用将由乙方承担。</w:t>
      </w:r>
    </w:p>
    <w:p w14:paraId="1587EA6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13.4 乙方未按合同规定的和“服务承诺”提供的售后服务的，应按合同总价款的8%向甲方承担违约责任。</w:t>
      </w:r>
    </w:p>
    <w:p w14:paraId="1A373A4C">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十四、不可抗力事件处理</w:t>
      </w:r>
    </w:p>
    <w:p w14:paraId="53C42BC8">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14.1 在合同有效期内，任何一方因不可抗力事件导致不能履行合同，则合同履行期可延长，其延长期与不可抗力影响期相同。</w:t>
      </w:r>
    </w:p>
    <w:p w14:paraId="27D07E03">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14.2 不可抗力事件发生后，应立即通知对方，并寄送有关权威机构出具的证明。</w:t>
      </w:r>
    </w:p>
    <w:p w14:paraId="047EF137">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14.3 不可抗力事件延续120天以上，双方应通过友好协商，确定是否继续履行合同。</w:t>
      </w:r>
    </w:p>
    <w:p w14:paraId="14F88055">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十五、解决争议的方法</w:t>
      </w:r>
    </w:p>
    <w:p w14:paraId="1C5FFCF2">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15.1 甲乙双方因合同签订、履行而发生的一切争议，应通过友好协商解决。如协商不成由甲方所地人民法院管辖。</w:t>
      </w:r>
    </w:p>
    <w:p w14:paraId="29778F01">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十六、合同生效及其它</w:t>
      </w:r>
    </w:p>
    <w:p w14:paraId="6AB5F0F4">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16.1 合同经双方法定代表人或授权委托代表人签字并加盖单位公章后生效。</w:t>
      </w:r>
    </w:p>
    <w:p w14:paraId="60E9A77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16.2 本合同未尽事宜，遵照中华人民共和国现行法律法规有关条文执行。</w:t>
      </w:r>
    </w:p>
    <w:p w14:paraId="7EC97BFB">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16.3 本合同正本一式捌份，具有同等法律效力，甲方、乙方各执肆份。</w:t>
      </w:r>
    </w:p>
    <w:p w14:paraId="12A63589">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16.4 </w:t>
      </w:r>
      <w:r>
        <w:rPr>
          <w:rFonts w:hint="default" w:ascii="Times New Roman" w:hAnsi="Times New Roman" w:eastAsia="宋体" w:cs="Times New Roman"/>
          <w:color w:val="auto"/>
          <w:sz w:val="24"/>
          <w:szCs w:val="24"/>
          <w:lang w:val="zh-CN"/>
        </w:rPr>
        <w:t>组成本合同的有关文件</w:t>
      </w:r>
    </w:p>
    <w:p w14:paraId="0D608B3C">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zh-CN"/>
        </w:rPr>
        <w:t xml:space="preserve">组成合同的各项文件应互相解释，互为说明。除专用合同条款另有约定外，解释合同文件的优先顺序如下： </w:t>
      </w:r>
    </w:p>
    <w:p w14:paraId="4BCA34B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zh-CN"/>
        </w:rPr>
        <w:t xml:space="preserve">（1）合同协议书； </w:t>
      </w:r>
    </w:p>
    <w:p w14:paraId="27545779">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zh-CN"/>
        </w:rPr>
        <w:t xml:space="preserve">（2）中标通知书； </w:t>
      </w:r>
    </w:p>
    <w:p w14:paraId="69AC8962">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zh-CN"/>
        </w:rPr>
        <w:t xml:space="preserve">（3）投标文件； </w:t>
      </w:r>
    </w:p>
    <w:p w14:paraId="1B1F58EF">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zh-CN"/>
        </w:rPr>
        <w:t>（4）</w:t>
      </w:r>
      <w:r>
        <w:rPr>
          <w:rFonts w:hint="default" w:ascii="Times New Roman" w:hAnsi="Times New Roman" w:eastAsia="宋体" w:cs="Times New Roman"/>
          <w:color w:val="auto"/>
          <w:sz w:val="24"/>
          <w:szCs w:val="24"/>
        </w:rPr>
        <w:t>招标文件；</w:t>
      </w:r>
    </w:p>
    <w:p w14:paraId="1CA3849F">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lang w:val="zh-CN"/>
        </w:rPr>
        <w:t>）相关服务计划；</w:t>
      </w:r>
    </w:p>
    <w:p w14:paraId="4823794A">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lang w:val="zh-CN"/>
        </w:rPr>
        <w:t>）其他合同文件。</w:t>
      </w:r>
    </w:p>
    <w:p w14:paraId="1C08979D">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甲方：                           乙方： </w:t>
      </w:r>
    </w:p>
    <w:p w14:paraId="10AD2686">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p>
    <w:p w14:paraId="5DAB96E7">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地址：                           地址： </w:t>
      </w:r>
    </w:p>
    <w:p w14:paraId="1AC90CEA">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p>
    <w:p w14:paraId="2E011D30">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法定代表人或授权代表：           法定代表人或授权代表：</w:t>
      </w:r>
    </w:p>
    <w:p w14:paraId="7BC98C68">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p>
    <w:p w14:paraId="7E1C670A">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联系电话：                       联系电话：     </w:t>
      </w:r>
    </w:p>
    <w:p w14:paraId="22A9F52D">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default" w:ascii="Times New Roman" w:hAnsi="Times New Roman" w:eastAsia="宋体" w:cs="Times New Roman"/>
          <w:color w:val="auto"/>
          <w:sz w:val="24"/>
          <w:szCs w:val="24"/>
        </w:rPr>
      </w:pPr>
    </w:p>
    <w:p w14:paraId="6D2F93A4">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签订日期：2026年月  日</w:t>
      </w:r>
      <w:bookmarkStart w:id="21" w:name="_Hlt16619369"/>
      <w:bookmarkEnd w:id="21"/>
      <w:r>
        <w:rPr>
          <w:rFonts w:hint="default" w:ascii="Times New Roman" w:hAnsi="Times New Roman" w:eastAsia="宋体" w:cs="Times New Roman"/>
          <w:color w:val="auto"/>
          <w:sz w:val="24"/>
          <w:szCs w:val="24"/>
        </w:rPr>
        <w:t xml:space="preserve">          签订日期：2026年月  日</w:t>
      </w:r>
    </w:p>
    <w:p w14:paraId="0B6AF09B">
      <w:pPr>
        <w:keepNext w:val="0"/>
        <w:keepLines w:val="0"/>
        <w:pageBreakBefore w:val="0"/>
        <w:kinsoku/>
        <w:wordWrap/>
        <w:overflowPunct/>
        <w:topLinePunct w:val="0"/>
        <w:autoSpaceDE/>
        <w:autoSpaceDN/>
        <w:bidi w:val="0"/>
        <w:adjustRightInd/>
        <w:spacing w:line="360" w:lineRule="auto"/>
        <w:contextualSpacing/>
        <w:jc w:val="center"/>
        <w:textAlignment w:val="auto"/>
        <w:outlineLvl w:val="9"/>
        <w:rPr>
          <w:rFonts w:hint="default" w:ascii="Times New Roman" w:hAnsi="Times New Roman" w:eastAsia="宋体" w:cs="Times New Roman"/>
          <w:b/>
          <w:color w:val="auto"/>
          <w:sz w:val="24"/>
          <w:szCs w:val="24"/>
        </w:rPr>
      </w:pPr>
    </w:p>
    <w:p w14:paraId="447E37BF">
      <w:pPr>
        <w:keepNext w:val="0"/>
        <w:keepLines w:val="0"/>
        <w:pageBreakBefore w:val="0"/>
        <w:kinsoku/>
        <w:wordWrap/>
        <w:overflowPunct/>
        <w:topLinePunct w:val="0"/>
        <w:autoSpaceDE/>
        <w:autoSpaceDN/>
        <w:bidi w:val="0"/>
        <w:adjustRightInd/>
        <w:spacing w:line="360" w:lineRule="auto"/>
        <w:contextualSpacing/>
        <w:jc w:val="center"/>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b/>
          <w:color w:val="auto"/>
          <w:sz w:val="24"/>
          <w:szCs w:val="24"/>
        </w:rPr>
        <w:t>采购人保留对合同修改和完善的权利。</w:t>
      </w:r>
    </w:p>
    <w:p w14:paraId="7B0D7B0E">
      <w:pPr>
        <w:keepNext w:val="0"/>
        <w:keepLines w:val="0"/>
        <w:pageBreakBefore w:val="0"/>
        <w:widowControl/>
        <w:kinsoku/>
        <w:wordWrap/>
        <w:overflowPunct/>
        <w:topLinePunct w:val="0"/>
        <w:autoSpaceDE/>
        <w:autoSpaceDN/>
        <w:bidi w:val="0"/>
        <w:adjustRightInd/>
        <w:spacing w:line="360" w:lineRule="auto"/>
        <w:ind w:firstLine="723"/>
        <w:jc w:val="left"/>
        <w:textAlignment w:val="auto"/>
        <w:outlineLvl w:val="9"/>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6"/>
          <w:szCs w:val="36"/>
        </w:rPr>
        <w:br w:type="page" w:clear="all"/>
      </w:r>
    </w:p>
    <w:p w14:paraId="0E610427">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6"/>
          <w:szCs w:val="36"/>
        </w:rPr>
        <w:t>第六章  合同授予</w:t>
      </w:r>
    </w:p>
    <w:p w14:paraId="0784D4B4">
      <w:pPr>
        <w:spacing w:line="360" w:lineRule="auto"/>
        <w:ind w:firstLine="480"/>
        <w:contextualSpacing/>
        <w:rPr>
          <w:rFonts w:hint="eastAsia" w:ascii="宋体" w:hAnsi="宋体" w:eastAsia="宋体" w:cs="宋体"/>
          <w:color w:val="auto"/>
          <w:sz w:val="24"/>
          <w:szCs w:val="21"/>
        </w:rPr>
      </w:pPr>
    </w:p>
    <w:p w14:paraId="5BBB44BF">
      <w:pPr>
        <w:spacing w:line="360" w:lineRule="auto"/>
        <w:ind w:firstLine="480"/>
        <w:contextualSpacing/>
        <w:rPr>
          <w:rFonts w:hint="eastAsia" w:ascii="宋体" w:hAnsi="宋体" w:eastAsia="宋体" w:cs="宋体"/>
          <w:color w:val="auto"/>
          <w:sz w:val="24"/>
          <w:szCs w:val="21"/>
        </w:rPr>
      </w:pPr>
      <w:r>
        <w:rPr>
          <w:rFonts w:hint="eastAsia" w:ascii="宋体" w:hAnsi="宋体" w:eastAsia="宋体" w:cs="宋体"/>
          <w:bCs/>
          <w:color w:val="auto"/>
          <w:sz w:val="24"/>
          <w:szCs w:val="24"/>
        </w:rPr>
        <w:t>一、自中标通知书发出之日起30日内，中标人凭“中标通知书”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生产厂商授权书（若中标人为代理商）</w:t>
      </w:r>
      <w:r>
        <w:rPr>
          <w:rFonts w:hint="eastAsia" w:ascii="宋体" w:hAnsi="宋体" w:eastAsia="宋体" w:cs="宋体"/>
          <w:bCs/>
          <w:color w:val="auto"/>
          <w:sz w:val="24"/>
          <w:szCs w:val="24"/>
        </w:rPr>
        <w:t>及履约缴纳凭证与</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签订合同。</w:t>
      </w:r>
      <w:r>
        <w:rPr>
          <w:rFonts w:hint="eastAsia" w:ascii="宋体" w:hAnsi="宋体" w:eastAsia="宋体" w:cs="宋体"/>
          <w:color w:val="auto"/>
          <w:sz w:val="24"/>
          <w:szCs w:val="21"/>
        </w:rPr>
        <w:t>合同一式</w:t>
      </w:r>
      <w:r>
        <w:rPr>
          <w:rFonts w:hint="eastAsia" w:ascii="宋体" w:hAnsi="宋体" w:eastAsia="宋体" w:cs="宋体"/>
          <w:color w:val="auto"/>
          <w:sz w:val="24"/>
          <w:szCs w:val="24"/>
        </w:rPr>
        <w:t>捌</w:t>
      </w:r>
      <w:r>
        <w:rPr>
          <w:rFonts w:hint="eastAsia" w:ascii="宋体" w:hAnsi="宋体" w:eastAsia="宋体" w:cs="宋体"/>
          <w:color w:val="auto"/>
          <w:sz w:val="24"/>
          <w:szCs w:val="21"/>
        </w:rPr>
        <w:t>份，</w:t>
      </w:r>
      <w:r>
        <w:rPr>
          <w:rFonts w:hint="eastAsia" w:ascii="宋体" w:hAnsi="宋体" w:eastAsia="宋体" w:cs="宋体"/>
          <w:color w:val="auto"/>
          <w:sz w:val="24"/>
          <w:szCs w:val="21"/>
          <w:lang w:eastAsia="zh-CN"/>
        </w:rPr>
        <w:t>采购人</w:t>
      </w:r>
      <w:r>
        <w:rPr>
          <w:rFonts w:hint="eastAsia" w:ascii="宋体" w:hAnsi="宋体" w:eastAsia="宋体" w:cs="宋体"/>
          <w:color w:val="auto"/>
          <w:sz w:val="24"/>
          <w:szCs w:val="21"/>
        </w:rPr>
        <w:t>、中标人各肆份。所签合同不得对招标文件作实质性修改。</w:t>
      </w:r>
      <w:r>
        <w:rPr>
          <w:rFonts w:hint="eastAsia" w:ascii="宋体" w:hAnsi="宋体" w:eastAsia="宋体" w:cs="宋体"/>
          <w:color w:val="auto"/>
          <w:sz w:val="24"/>
          <w:szCs w:val="21"/>
          <w:lang w:eastAsia="zh-CN"/>
        </w:rPr>
        <w:t>采购人</w:t>
      </w:r>
      <w:r>
        <w:rPr>
          <w:rFonts w:hint="eastAsia" w:ascii="宋体" w:hAnsi="宋体" w:eastAsia="宋体" w:cs="宋体"/>
          <w:color w:val="auto"/>
          <w:sz w:val="24"/>
          <w:szCs w:val="21"/>
        </w:rPr>
        <w:t>不得向中标人提出不合理的要求作为签订合同的条件，不得与中标人私下订立背离招标文件实质性内容的协议。</w:t>
      </w:r>
    </w:p>
    <w:p w14:paraId="17AA7879">
      <w:pPr>
        <w:spacing w:line="360" w:lineRule="auto"/>
        <w:ind w:firstLine="480"/>
        <w:contextualSpacing/>
        <w:rPr>
          <w:rFonts w:hint="eastAsia" w:ascii="宋体" w:hAnsi="宋体" w:eastAsia="宋体" w:cs="宋体"/>
          <w:color w:val="auto"/>
          <w:sz w:val="24"/>
          <w:szCs w:val="21"/>
        </w:rPr>
      </w:pPr>
      <w:r>
        <w:rPr>
          <w:rFonts w:hint="eastAsia" w:ascii="宋体" w:hAnsi="宋体" w:eastAsia="宋体" w:cs="宋体"/>
          <w:color w:val="auto"/>
          <w:sz w:val="24"/>
          <w:szCs w:val="21"/>
        </w:rPr>
        <w:t>二、</w:t>
      </w:r>
      <w:r>
        <w:rPr>
          <w:rFonts w:hint="eastAsia" w:ascii="宋体" w:hAnsi="宋体" w:eastAsia="宋体" w:cs="宋体"/>
          <w:color w:val="auto"/>
          <w:sz w:val="24"/>
          <w:szCs w:val="21"/>
          <w:lang w:eastAsia="zh-CN"/>
        </w:rPr>
        <w:t>采购人</w:t>
      </w:r>
      <w:r>
        <w:rPr>
          <w:rFonts w:hint="eastAsia" w:ascii="宋体" w:hAnsi="宋体" w:eastAsia="宋体" w:cs="宋体"/>
          <w:color w:val="auto"/>
          <w:sz w:val="24"/>
          <w:szCs w:val="21"/>
        </w:rPr>
        <w:t>按合同约定积极配合中标人履约，中标人履约到位后，请以书面形式向</w:t>
      </w:r>
      <w:r>
        <w:rPr>
          <w:rFonts w:hint="eastAsia" w:ascii="宋体" w:hAnsi="宋体" w:eastAsia="宋体" w:cs="宋体"/>
          <w:color w:val="auto"/>
          <w:sz w:val="24"/>
          <w:szCs w:val="21"/>
          <w:lang w:eastAsia="zh-CN"/>
        </w:rPr>
        <w:t>采购人</w:t>
      </w:r>
      <w:r>
        <w:rPr>
          <w:rFonts w:hint="eastAsia" w:ascii="宋体" w:hAnsi="宋体" w:eastAsia="宋体" w:cs="宋体"/>
          <w:color w:val="auto"/>
          <w:sz w:val="24"/>
          <w:szCs w:val="21"/>
        </w:rPr>
        <w:t>提出验收申请。</w:t>
      </w:r>
    </w:p>
    <w:p w14:paraId="73F9162C">
      <w:pPr>
        <w:spacing w:line="360" w:lineRule="auto"/>
        <w:ind w:firstLine="480"/>
        <w:contextualSpacing/>
        <w:rPr>
          <w:rFonts w:hint="eastAsia" w:ascii="宋体" w:hAnsi="宋体" w:eastAsia="宋体" w:cs="宋体"/>
          <w:color w:val="auto"/>
          <w:sz w:val="24"/>
          <w:szCs w:val="21"/>
        </w:rPr>
      </w:pPr>
      <w:r>
        <w:rPr>
          <w:rFonts w:hint="eastAsia" w:ascii="宋体" w:hAnsi="宋体" w:eastAsia="宋体" w:cs="宋体"/>
          <w:color w:val="auto"/>
          <w:sz w:val="24"/>
          <w:szCs w:val="21"/>
        </w:rPr>
        <w:t>三、中标人出现违约情形，应当及时纠正或补偿；造成损失的，按合同约定追究违约责任。</w:t>
      </w:r>
      <w:bookmarkEnd w:id="20"/>
    </w:p>
    <w:p w14:paraId="627D7E88">
      <w:pPr>
        <w:spacing w:line="360" w:lineRule="auto"/>
        <w:ind w:firstLine="480"/>
        <w:contextualSpacing/>
        <w:rPr>
          <w:rFonts w:hint="eastAsia" w:ascii="宋体" w:hAnsi="宋体" w:eastAsia="宋体" w:cs="宋体"/>
          <w:color w:val="auto"/>
          <w:sz w:val="24"/>
          <w:szCs w:val="21"/>
        </w:rPr>
      </w:pPr>
      <w:bookmarkStart w:id="22" w:name="_Toc363573860"/>
      <w:r>
        <w:rPr>
          <w:rFonts w:hint="eastAsia" w:ascii="宋体" w:hAnsi="宋体" w:eastAsia="宋体" w:cs="宋体"/>
          <w:color w:val="auto"/>
          <w:sz w:val="24"/>
          <w:szCs w:val="21"/>
        </w:rPr>
        <w:t>四、不响应付款方式的，视同投标文件无效，按无效投标文件处理。</w:t>
      </w:r>
    </w:p>
    <w:p w14:paraId="73C26D37">
      <w:pPr>
        <w:spacing w:line="360" w:lineRule="auto"/>
        <w:ind w:firstLine="480"/>
        <w:contextualSpacing/>
        <w:rPr>
          <w:rFonts w:hint="eastAsia" w:ascii="宋体" w:hAnsi="宋体" w:eastAsia="宋体" w:cs="宋体"/>
          <w:color w:val="auto"/>
          <w:sz w:val="24"/>
          <w:szCs w:val="21"/>
        </w:rPr>
      </w:pPr>
      <w:r>
        <w:rPr>
          <w:rFonts w:hint="eastAsia" w:ascii="宋体" w:hAnsi="宋体" w:eastAsia="宋体" w:cs="宋体"/>
          <w:color w:val="auto"/>
          <w:sz w:val="24"/>
          <w:szCs w:val="21"/>
        </w:rPr>
        <w:t>五、付款方式详见招标文件第五章，以上项目款的支付不计息。</w:t>
      </w:r>
    </w:p>
    <w:p w14:paraId="09CC2AA4">
      <w:pPr>
        <w:spacing w:line="360" w:lineRule="auto"/>
        <w:contextualSpacing/>
        <w:rPr>
          <w:rFonts w:hint="eastAsia" w:ascii="宋体" w:hAnsi="宋体" w:eastAsia="宋体" w:cs="宋体"/>
          <w:color w:val="auto"/>
          <w:sz w:val="24"/>
          <w:szCs w:val="21"/>
        </w:rPr>
      </w:pPr>
    </w:p>
    <w:p w14:paraId="403ED87B">
      <w:pPr>
        <w:pStyle w:val="25"/>
        <w:spacing w:line="360" w:lineRule="auto"/>
        <w:rPr>
          <w:rFonts w:hint="eastAsia" w:ascii="宋体" w:hAnsi="宋体" w:eastAsia="宋体" w:cs="宋体"/>
          <w:color w:val="auto"/>
        </w:rPr>
      </w:pPr>
    </w:p>
    <w:p w14:paraId="6A3830AF">
      <w:pPr>
        <w:spacing w:line="360" w:lineRule="auto"/>
        <w:contextualSpacing/>
        <w:jc w:val="center"/>
        <w:outlineLvl w:val="0"/>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6"/>
          <w:szCs w:val="36"/>
        </w:rPr>
        <w:br w:type="page" w:clear="all"/>
      </w:r>
      <w:r>
        <w:rPr>
          <w:rFonts w:hint="default" w:ascii="Times New Roman" w:hAnsi="Times New Roman" w:eastAsia="宋体" w:cs="Times New Roman"/>
          <w:b/>
          <w:color w:val="auto"/>
          <w:sz w:val="36"/>
          <w:szCs w:val="36"/>
        </w:rPr>
        <w:t>第七章  质疑与投诉</w:t>
      </w:r>
    </w:p>
    <w:p w14:paraId="17189F38">
      <w:pPr>
        <w:spacing w:line="360" w:lineRule="auto"/>
        <w:ind w:firstLine="482"/>
        <w:contextualSpacing/>
        <w:rPr>
          <w:rFonts w:hint="default" w:ascii="Times New Roman" w:hAnsi="Times New Roman" w:eastAsia="宋体" w:cs="Times New Roman"/>
          <w:b/>
          <w:color w:val="auto"/>
          <w:sz w:val="24"/>
          <w:szCs w:val="21"/>
        </w:rPr>
      </w:pPr>
    </w:p>
    <w:p w14:paraId="5ED84EBD">
      <w:pPr>
        <w:spacing w:line="360" w:lineRule="auto"/>
        <w:ind w:firstLine="482"/>
        <w:contextualSpacing/>
        <w:rPr>
          <w:rFonts w:hint="default" w:ascii="Times New Roman" w:hAnsi="Times New Roman" w:eastAsia="宋体" w:cs="Times New Roman"/>
          <w:b/>
          <w:color w:val="auto"/>
          <w:sz w:val="24"/>
          <w:szCs w:val="21"/>
        </w:rPr>
      </w:pPr>
      <w:r>
        <w:rPr>
          <w:rFonts w:hint="default" w:ascii="Times New Roman" w:hAnsi="Times New Roman" w:eastAsia="宋体" w:cs="Times New Roman"/>
          <w:b/>
          <w:color w:val="auto"/>
          <w:sz w:val="24"/>
          <w:szCs w:val="21"/>
        </w:rPr>
        <w:t>一、质疑的提出</w:t>
      </w:r>
    </w:p>
    <w:p w14:paraId="6B885DA2">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1.提出质疑的投标人应当是参与所质疑项目采购活动的投标人。潜在投标人依法获取其可质疑的招标文件的，可以对招标文件提出质疑。</w:t>
      </w:r>
    </w:p>
    <w:p w14:paraId="5A607B25">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2.投标人认为招标文件、招投标过程和招标结果使自己的权益受到损害的，可以在知道或应知其权益受到损害之日起七个工作日内，以书面形式向</w:t>
      </w:r>
      <w:r>
        <w:rPr>
          <w:rFonts w:hint="eastAsia" w:eastAsia="宋体" w:cs="Times New Roman"/>
          <w:color w:val="auto"/>
          <w:sz w:val="24"/>
          <w:szCs w:val="21"/>
          <w:lang w:eastAsia="zh-CN"/>
        </w:rPr>
        <w:t>采购人</w:t>
      </w:r>
      <w:r>
        <w:rPr>
          <w:rFonts w:hint="default" w:ascii="Times New Roman" w:hAnsi="Times New Roman" w:eastAsia="宋体" w:cs="Times New Roman"/>
          <w:color w:val="auto"/>
          <w:sz w:val="24"/>
          <w:szCs w:val="21"/>
        </w:rPr>
        <w:t>提出质疑。上述应知其权益受到损害之日，是指：</w:t>
      </w:r>
    </w:p>
    <w:p w14:paraId="5E601ACD">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2.1对可以质疑的招标文件提出质疑的，为收到招标文件之日或者招标文件公告期限届满之日；</w:t>
      </w:r>
    </w:p>
    <w:p w14:paraId="116894EF">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2.2对采购过程提出质疑的，为各采购程序环节结束之日；</w:t>
      </w:r>
    </w:p>
    <w:p w14:paraId="42E898DD">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2.3对中标结果提出质疑的，为中标结果公告期限届满之日。</w:t>
      </w:r>
    </w:p>
    <w:p w14:paraId="2561AFF2">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投标人应当在法定质疑期内一次性提出针对同一采购程序环节的质疑。</w:t>
      </w:r>
    </w:p>
    <w:p w14:paraId="2CEE0488">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3.质疑函必须按照本招标文件中《质疑函范本》要求的格式和内容进行填写。投标人如组成联合体参加招投标活动，则《质疑函范本》中要求签字、盖章、加盖公章之处，联合体各方均须按要求签字、盖章、加盖公章。</w:t>
      </w:r>
    </w:p>
    <w:p w14:paraId="6822C78B">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4.对招标方式、招标文件中项目需求、投标人资格条件、评审方法和评审标准、资格审查结果等应当由</w:t>
      </w:r>
      <w:r>
        <w:rPr>
          <w:rFonts w:hint="eastAsia" w:eastAsia="宋体" w:cs="Times New Roman"/>
          <w:color w:val="auto"/>
          <w:sz w:val="24"/>
          <w:szCs w:val="21"/>
          <w:lang w:eastAsia="zh-CN"/>
        </w:rPr>
        <w:t>采购人</w:t>
      </w:r>
      <w:r>
        <w:rPr>
          <w:rFonts w:hint="default" w:ascii="Times New Roman" w:hAnsi="Times New Roman" w:eastAsia="宋体" w:cs="Times New Roman"/>
          <w:color w:val="auto"/>
          <w:sz w:val="24"/>
          <w:szCs w:val="21"/>
        </w:rPr>
        <w:t>答复的质疑，请向</w:t>
      </w:r>
      <w:r>
        <w:rPr>
          <w:rFonts w:hint="eastAsia" w:eastAsia="宋体" w:cs="Times New Roman"/>
          <w:color w:val="auto"/>
          <w:sz w:val="24"/>
          <w:szCs w:val="21"/>
          <w:lang w:eastAsia="zh-CN"/>
        </w:rPr>
        <w:t>采购人</w:t>
      </w:r>
      <w:r>
        <w:rPr>
          <w:rFonts w:hint="default" w:ascii="Times New Roman" w:hAnsi="Times New Roman" w:eastAsia="宋体" w:cs="Times New Roman"/>
          <w:color w:val="auto"/>
          <w:sz w:val="24"/>
          <w:szCs w:val="21"/>
        </w:rPr>
        <w:t>提出，由</w:t>
      </w:r>
      <w:r>
        <w:rPr>
          <w:rFonts w:hint="eastAsia" w:eastAsia="宋体" w:cs="Times New Roman"/>
          <w:color w:val="auto"/>
          <w:sz w:val="24"/>
          <w:szCs w:val="21"/>
          <w:lang w:eastAsia="zh-CN"/>
        </w:rPr>
        <w:t>采购人</w:t>
      </w:r>
      <w:r>
        <w:rPr>
          <w:rFonts w:hint="default" w:ascii="Times New Roman" w:hAnsi="Times New Roman" w:eastAsia="宋体" w:cs="Times New Roman"/>
          <w:color w:val="auto"/>
          <w:sz w:val="24"/>
          <w:szCs w:val="21"/>
        </w:rPr>
        <w:t>负责答复。</w:t>
      </w:r>
    </w:p>
    <w:p w14:paraId="609A914B">
      <w:pPr>
        <w:spacing w:line="360" w:lineRule="auto"/>
        <w:ind w:firstLine="480"/>
        <w:contextualSpacing/>
        <w:rPr>
          <w:rFonts w:hint="default" w:ascii="Times New Roman" w:hAnsi="Times New Roman" w:eastAsia="宋体" w:cs="Times New Roman"/>
          <w:color w:val="auto"/>
          <w:sz w:val="24"/>
          <w:szCs w:val="21"/>
        </w:rPr>
      </w:pPr>
      <w:r>
        <w:rPr>
          <w:rFonts w:hint="eastAsia" w:eastAsia="宋体" w:cs="Times New Roman"/>
          <w:color w:val="auto"/>
          <w:sz w:val="24"/>
          <w:szCs w:val="21"/>
          <w:lang w:eastAsia="zh-CN"/>
        </w:rPr>
        <w:t>采购人</w:t>
      </w:r>
      <w:r>
        <w:rPr>
          <w:rFonts w:hint="default" w:ascii="Times New Roman" w:hAnsi="Times New Roman" w:eastAsia="宋体" w:cs="Times New Roman"/>
          <w:color w:val="auto"/>
          <w:sz w:val="24"/>
          <w:szCs w:val="21"/>
        </w:rPr>
        <w:t>质疑接收人及联系方式，见招标文件第一章。</w:t>
      </w:r>
    </w:p>
    <w:p w14:paraId="48D0BE8A">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5. 以下情形的质疑不予受理</w:t>
      </w:r>
    </w:p>
    <w:p w14:paraId="2D2AB8DD">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5.1 内容不符合《政府采购质疑和投诉办法》财政部第94号令第十二条规定的质疑。</w:t>
      </w:r>
    </w:p>
    <w:p w14:paraId="60B753F8">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5.2 超出政府采购法定期限的质疑。</w:t>
      </w:r>
    </w:p>
    <w:p w14:paraId="7F5B29B4">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5.3 未参加招投标活动的投标人。</w:t>
      </w:r>
    </w:p>
    <w:p w14:paraId="6F9C024C">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5.4投标人组成联合体参加招投标活动，联合体中任何一方或多方未按要求签字、盖章、加盖公章的质疑。</w:t>
      </w:r>
    </w:p>
    <w:p w14:paraId="15DBC146">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6.投标人提出书面质疑必须有理、有据，不得捏造事实、提供虚假材料进行恶意质疑。否则，一经查实，</w:t>
      </w:r>
      <w:r>
        <w:rPr>
          <w:rFonts w:hint="eastAsia" w:eastAsia="宋体" w:cs="Times New Roman"/>
          <w:color w:val="auto"/>
          <w:sz w:val="24"/>
          <w:szCs w:val="21"/>
          <w:lang w:eastAsia="zh-CN"/>
        </w:rPr>
        <w:t>采购人</w:t>
      </w:r>
      <w:r>
        <w:rPr>
          <w:rFonts w:hint="default" w:ascii="Times New Roman" w:hAnsi="Times New Roman" w:eastAsia="宋体" w:cs="Times New Roman"/>
          <w:color w:val="auto"/>
          <w:sz w:val="24"/>
          <w:szCs w:val="21"/>
        </w:rPr>
        <w:t>有权依据政府采购的有关规定，报请政府采购监管部门对该投标人进行相应的行政处罚和记录该投标人的失信信息。</w:t>
      </w:r>
    </w:p>
    <w:p w14:paraId="5032B0DA">
      <w:pPr>
        <w:spacing w:line="360" w:lineRule="auto"/>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附件：</w:t>
      </w:r>
    </w:p>
    <w:p w14:paraId="528076D8">
      <w:pPr>
        <w:spacing w:line="360" w:lineRule="auto"/>
        <w:ind w:firstLine="480"/>
        <w:contextualSpacing/>
        <w:jc w:val="center"/>
        <w:rPr>
          <w:rFonts w:hint="default" w:ascii="Times New Roman" w:hAnsi="Times New Roman" w:eastAsia="宋体" w:cs="Times New Roman"/>
          <w:bCs/>
          <w:color w:val="auto"/>
          <w:sz w:val="24"/>
          <w:szCs w:val="21"/>
        </w:rPr>
      </w:pPr>
      <w:r>
        <w:rPr>
          <w:rFonts w:hint="default" w:ascii="Times New Roman" w:hAnsi="Times New Roman" w:eastAsia="宋体" w:cs="Times New Roman"/>
          <w:bCs/>
          <w:color w:val="auto"/>
          <w:sz w:val="32"/>
          <w:szCs w:val="32"/>
        </w:rPr>
        <w:t>质疑函范本</w:t>
      </w:r>
    </w:p>
    <w:p w14:paraId="33F5B479">
      <w:pPr>
        <w:spacing w:line="360" w:lineRule="auto"/>
        <w:ind w:firstLine="480"/>
        <w:contextualSpacing/>
        <w:rPr>
          <w:rFonts w:hint="default" w:ascii="Times New Roman" w:hAnsi="Times New Roman" w:eastAsia="宋体" w:cs="Times New Roman"/>
          <w:bCs/>
          <w:color w:val="auto"/>
          <w:sz w:val="24"/>
          <w:szCs w:val="21"/>
        </w:rPr>
      </w:pPr>
      <w:r>
        <w:rPr>
          <w:rFonts w:hint="default" w:ascii="Times New Roman" w:hAnsi="Times New Roman" w:eastAsia="宋体" w:cs="Times New Roman"/>
          <w:bCs/>
          <w:color w:val="auto"/>
          <w:sz w:val="24"/>
          <w:szCs w:val="21"/>
        </w:rPr>
        <w:t>一、质疑</w:t>
      </w:r>
      <w:r>
        <w:rPr>
          <w:rFonts w:hint="default" w:ascii="Times New Roman" w:hAnsi="Times New Roman" w:eastAsia="宋体" w:cs="Times New Roman"/>
          <w:color w:val="auto"/>
          <w:sz w:val="24"/>
          <w:szCs w:val="21"/>
        </w:rPr>
        <w:t>投标人</w:t>
      </w:r>
      <w:r>
        <w:rPr>
          <w:rFonts w:hint="default" w:ascii="Times New Roman" w:hAnsi="Times New Roman" w:eastAsia="宋体" w:cs="Times New Roman"/>
          <w:bCs/>
          <w:color w:val="auto"/>
          <w:sz w:val="24"/>
          <w:szCs w:val="21"/>
        </w:rPr>
        <w:t>基本信息</w:t>
      </w:r>
    </w:p>
    <w:p w14:paraId="46345EC0">
      <w:pPr>
        <w:spacing w:line="360" w:lineRule="auto"/>
        <w:ind w:firstLine="480"/>
        <w:contextualSpacing/>
        <w:rPr>
          <w:rFonts w:hint="default" w:ascii="Times New Roman" w:hAnsi="Times New Roman" w:eastAsia="宋体" w:cs="Times New Roman"/>
          <w:color w:val="auto"/>
          <w:sz w:val="24"/>
          <w:szCs w:val="21"/>
          <w:u w:val="single"/>
        </w:rPr>
      </w:pPr>
      <w:r>
        <w:rPr>
          <w:rFonts w:hint="default" w:ascii="Times New Roman" w:hAnsi="Times New Roman" w:eastAsia="宋体" w:cs="Times New Roman"/>
          <w:color w:val="auto"/>
          <w:sz w:val="24"/>
          <w:szCs w:val="21"/>
        </w:rPr>
        <w:t>质疑投标人：</w:t>
      </w:r>
    </w:p>
    <w:p w14:paraId="6030B951">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地址：邮编：</w:t>
      </w:r>
    </w:p>
    <w:p w14:paraId="72BD3DBB">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联系人：联系电话：</w:t>
      </w:r>
    </w:p>
    <w:p w14:paraId="1A247F2C">
      <w:pPr>
        <w:spacing w:line="360" w:lineRule="auto"/>
        <w:ind w:firstLine="480"/>
        <w:contextualSpacing/>
        <w:rPr>
          <w:rFonts w:hint="default" w:ascii="Times New Roman" w:hAnsi="Times New Roman" w:eastAsia="宋体" w:cs="Times New Roman"/>
          <w:color w:val="auto"/>
          <w:sz w:val="24"/>
          <w:szCs w:val="21"/>
          <w:u w:val="single"/>
        </w:rPr>
      </w:pPr>
      <w:r>
        <w:rPr>
          <w:rFonts w:hint="default" w:ascii="Times New Roman" w:hAnsi="Times New Roman" w:eastAsia="宋体" w:cs="Times New Roman"/>
          <w:color w:val="auto"/>
          <w:sz w:val="24"/>
          <w:szCs w:val="21"/>
        </w:rPr>
        <w:t>授权代表：</w:t>
      </w:r>
    </w:p>
    <w:p w14:paraId="51DCEB59">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联系电话：</w:t>
      </w:r>
    </w:p>
    <w:p w14:paraId="33F92FFA">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地址：邮编：</w:t>
      </w:r>
    </w:p>
    <w:p w14:paraId="531B3668">
      <w:pPr>
        <w:spacing w:line="360" w:lineRule="auto"/>
        <w:ind w:firstLine="480"/>
        <w:contextualSpacing/>
        <w:rPr>
          <w:rFonts w:hint="default" w:ascii="Times New Roman" w:hAnsi="Times New Roman" w:eastAsia="宋体" w:cs="Times New Roman"/>
          <w:bCs/>
          <w:color w:val="auto"/>
          <w:sz w:val="24"/>
          <w:szCs w:val="21"/>
        </w:rPr>
      </w:pPr>
      <w:r>
        <w:rPr>
          <w:rFonts w:hint="default" w:ascii="Times New Roman" w:hAnsi="Times New Roman" w:eastAsia="宋体" w:cs="Times New Roman"/>
          <w:bCs/>
          <w:color w:val="auto"/>
          <w:sz w:val="24"/>
          <w:szCs w:val="21"/>
        </w:rPr>
        <w:t>二、质疑项目基本情况</w:t>
      </w:r>
    </w:p>
    <w:p w14:paraId="6C6936B6">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质疑项目的名称：</w:t>
      </w:r>
    </w:p>
    <w:p w14:paraId="69885084">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质疑项目的编号：包号：</w:t>
      </w:r>
    </w:p>
    <w:p w14:paraId="1EC209FD">
      <w:pPr>
        <w:spacing w:line="360" w:lineRule="auto"/>
        <w:ind w:firstLine="480"/>
        <w:contextualSpacing/>
        <w:rPr>
          <w:rFonts w:hint="default" w:ascii="Times New Roman" w:hAnsi="Times New Roman" w:eastAsia="宋体" w:cs="Times New Roman"/>
          <w:color w:val="auto"/>
          <w:sz w:val="24"/>
          <w:szCs w:val="21"/>
          <w:u w:val="single"/>
        </w:rPr>
      </w:pPr>
      <w:r>
        <w:rPr>
          <w:rFonts w:hint="eastAsia" w:eastAsia="宋体" w:cs="Times New Roman"/>
          <w:color w:val="auto"/>
          <w:sz w:val="24"/>
          <w:szCs w:val="21"/>
          <w:lang w:eastAsia="zh-CN"/>
        </w:rPr>
        <w:t>采购人</w:t>
      </w:r>
      <w:r>
        <w:rPr>
          <w:rFonts w:hint="default" w:ascii="Times New Roman" w:hAnsi="Times New Roman" w:eastAsia="宋体" w:cs="Times New Roman"/>
          <w:color w:val="auto"/>
          <w:sz w:val="24"/>
          <w:szCs w:val="21"/>
        </w:rPr>
        <w:t>名称：</w:t>
      </w:r>
    </w:p>
    <w:p w14:paraId="24BFEB9F">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招标文件获取日期：</w:t>
      </w:r>
    </w:p>
    <w:p w14:paraId="33B07F0F">
      <w:pPr>
        <w:spacing w:line="360" w:lineRule="auto"/>
        <w:ind w:firstLine="480"/>
        <w:contextualSpacing/>
        <w:rPr>
          <w:rFonts w:hint="default" w:ascii="Times New Roman" w:hAnsi="Times New Roman" w:eastAsia="宋体" w:cs="Times New Roman"/>
          <w:bCs/>
          <w:color w:val="auto"/>
          <w:sz w:val="24"/>
          <w:szCs w:val="21"/>
        </w:rPr>
      </w:pPr>
      <w:r>
        <w:rPr>
          <w:rFonts w:hint="default" w:ascii="Times New Roman" w:hAnsi="Times New Roman" w:eastAsia="宋体" w:cs="Times New Roman"/>
          <w:bCs/>
          <w:color w:val="auto"/>
          <w:sz w:val="24"/>
          <w:szCs w:val="21"/>
        </w:rPr>
        <w:t>三、质疑事项具体内容</w:t>
      </w:r>
    </w:p>
    <w:p w14:paraId="4F2BE137">
      <w:pPr>
        <w:spacing w:line="360" w:lineRule="auto"/>
        <w:ind w:firstLine="480"/>
        <w:contextualSpacing/>
        <w:rPr>
          <w:rFonts w:hint="default" w:ascii="Times New Roman" w:hAnsi="Times New Roman" w:eastAsia="宋体" w:cs="Times New Roman"/>
          <w:color w:val="auto"/>
          <w:sz w:val="24"/>
          <w:szCs w:val="21"/>
          <w:u w:val="single"/>
        </w:rPr>
      </w:pPr>
      <w:r>
        <w:rPr>
          <w:rFonts w:hint="default" w:ascii="Times New Roman" w:hAnsi="Times New Roman" w:eastAsia="宋体" w:cs="Times New Roman"/>
          <w:color w:val="auto"/>
          <w:sz w:val="24"/>
          <w:szCs w:val="21"/>
        </w:rPr>
        <w:t>质疑事项1：</w:t>
      </w:r>
    </w:p>
    <w:p w14:paraId="7235AD33">
      <w:pPr>
        <w:spacing w:line="360" w:lineRule="auto"/>
        <w:ind w:firstLine="480"/>
        <w:contextualSpacing/>
        <w:rPr>
          <w:rFonts w:hint="default" w:ascii="Times New Roman" w:hAnsi="Times New Roman" w:eastAsia="宋体" w:cs="Times New Roman"/>
          <w:color w:val="auto"/>
          <w:sz w:val="24"/>
          <w:szCs w:val="21"/>
          <w:u w:val="single"/>
        </w:rPr>
      </w:pPr>
      <w:r>
        <w:rPr>
          <w:rFonts w:hint="default" w:ascii="Times New Roman" w:hAnsi="Times New Roman" w:eastAsia="宋体" w:cs="Times New Roman"/>
          <w:color w:val="auto"/>
          <w:sz w:val="24"/>
          <w:szCs w:val="21"/>
        </w:rPr>
        <w:t>事实依据：</w:t>
      </w:r>
    </w:p>
    <w:p w14:paraId="07B1D3C4">
      <w:pPr>
        <w:spacing w:line="360" w:lineRule="auto"/>
        <w:ind w:firstLine="480"/>
        <w:contextualSpacing/>
        <w:rPr>
          <w:rFonts w:hint="default" w:ascii="Times New Roman" w:hAnsi="Times New Roman" w:eastAsia="宋体" w:cs="Times New Roman"/>
          <w:color w:val="auto"/>
          <w:sz w:val="24"/>
          <w:szCs w:val="21"/>
        </w:rPr>
      </w:pPr>
    </w:p>
    <w:p w14:paraId="5B7BCF82">
      <w:pPr>
        <w:spacing w:line="360" w:lineRule="auto"/>
        <w:ind w:firstLine="480"/>
        <w:contextualSpacing/>
        <w:rPr>
          <w:rFonts w:hint="default" w:ascii="Times New Roman" w:hAnsi="Times New Roman" w:eastAsia="宋体" w:cs="Times New Roman"/>
          <w:color w:val="auto"/>
          <w:sz w:val="24"/>
          <w:szCs w:val="21"/>
          <w:u w:val="single"/>
        </w:rPr>
      </w:pPr>
      <w:r>
        <w:rPr>
          <w:rFonts w:hint="default" w:ascii="Times New Roman" w:hAnsi="Times New Roman" w:eastAsia="宋体" w:cs="Times New Roman"/>
          <w:color w:val="auto"/>
          <w:sz w:val="24"/>
          <w:szCs w:val="21"/>
        </w:rPr>
        <w:t>法律依据：</w:t>
      </w:r>
    </w:p>
    <w:p w14:paraId="0492AACD">
      <w:pPr>
        <w:spacing w:line="360" w:lineRule="auto"/>
        <w:ind w:firstLine="480"/>
        <w:contextualSpacing/>
        <w:rPr>
          <w:rFonts w:hint="default" w:ascii="Times New Roman" w:hAnsi="Times New Roman" w:eastAsia="宋体" w:cs="Times New Roman"/>
          <w:color w:val="auto"/>
          <w:sz w:val="24"/>
          <w:szCs w:val="21"/>
          <w:u w:val="single"/>
        </w:rPr>
      </w:pPr>
    </w:p>
    <w:p w14:paraId="7243362B">
      <w:pPr>
        <w:spacing w:line="360" w:lineRule="auto"/>
        <w:ind w:firstLine="480"/>
        <w:contextualSpacing/>
        <w:rPr>
          <w:rFonts w:hint="default" w:ascii="Times New Roman" w:hAnsi="Times New Roman" w:eastAsia="宋体" w:cs="Times New Roman"/>
          <w:color w:val="auto"/>
          <w:sz w:val="24"/>
          <w:szCs w:val="21"/>
          <w:u w:val="single"/>
        </w:rPr>
      </w:pPr>
      <w:r>
        <w:rPr>
          <w:rFonts w:hint="default" w:ascii="Times New Roman" w:hAnsi="Times New Roman" w:eastAsia="宋体" w:cs="Times New Roman"/>
          <w:color w:val="auto"/>
          <w:sz w:val="24"/>
          <w:szCs w:val="21"/>
        </w:rPr>
        <w:t>质疑事项2</w:t>
      </w:r>
    </w:p>
    <w:p w14:paraId="6EE3ED87">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w:t>
      </w:r>
    </w:p>
    <w:p w14:paraId="2B533EF3">
      <w:pPr>
        <w:spacing w:line="360" w:lineRule="auto"/>
        <w:ind w:firstLine="480"/>
        <w:contextualSpacing/>
        <w:rPr>
          <w:rFonts w:hint="default" w:ascii="Times New Roman" w:hAnsi="Times New Roman" w:eastAsia="宋体" w:cs="Times New Roman"/>
          <w:bCs/>
          <w:color w:val="auto"/>
          <w:sz w:val="24"/>
          <w:szCs w:val="21"/>
        </w:rPr>
      </w:pPr>
      <w:r>
        <w:rPr>
          <w:rFonts w:hint="default" w:ascii="Times New Roman" w:hAnsi="Times New Roman" w:eastAsia="宋体" w:cs="Times New Roman"/>
          <w:bCs/>
          <w:color w:val="auto"/>
          <w:sz w:val="24"/>
          <w:szCs w:val="21"/>
        </w:rPr>
        <w:t>四、与质疑事项相关的质疑请求</w:t>
      </w:r>
    </w:p>
    <w:p w14:paraId="4481321A">
      <w:pPr>
        <w:spacing w:line="360" w:lineRule="auto"/>
        <w:ind w:firstLine="480"/>
        <w:contextualSpacing/>
        <w:rPr>
          <w:rFonts w:hint="default" w:ascii="Times New Roman" w:hAnsi="Times New Roman" w:eastAsia="宋体" w:cs="Times New Roman"/>
          <w:color w:val="auto"/>
          <w:sz w:val="24"/>
          <w:szCs w:val="21"/>
          <w:u w:val="single"/>
        </w:rPr>
      </w:pPr>
      <w:r>
        <w:rPr>
          <w:rFonts w:hint="default" w:ascii="Times New Roman" w:hAnsi="Times New Roman" w:eastAsia="宋体" w:cs="Times New Roman"/>
          <w:color w:val="auto"/>
          <w:sz w:val="24"/>
          <w:szCs w:val="21"/>
        </w:rPr>
        <w:t>请求：</w:t>
      </w:r>
    </w:p>
    <w:p w14:paraId="301EEFAD">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签字</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签章</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 xml:space="preserve">：                   公章：                      </w:t>
      </w:r>
    </w:p>
    <w:p w14:paraId="0E1C5369">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 xml:space="preserve">日期：    </w:t>
      </w:r>
    </w:p>
    <w:p w14:paraId="77E43696">
      <w:pPr>
        <w:spacing w:line="360" w:lineRule="auto"/>
        <w:ind w:firstLine="480"/>
        <w:contextualSpacing/>
        <w:rPr>
          <w:rFonts w:hint="default" w:ascii="Times New Roman" w:hAnsi="Times New Roman" w:eastAsia="宋体" w:cs="Times New Roman"/>
          <w:color w:val="auto"/>
          <w:sz w:val="24"/>
          <w:szCs w:val="21"/>
        </w:rPr>
      </w:pPr>
    </w:p>
    <w:p w14:paraId="5F93D614">
      <w:pPr>
        <w:spacing w:line="360" w:lineRule="auto"/>
        <w:ind w:firstLine="482"/>
        <w:contextualSpacing/>
        <w:rPr>
          <w:rFonts w:hint="default" w:ascii="Times New Roman" w:hAnsi="Times New Roman" w:eastAsia="宋体" w:cs="Times New Roman"/>
          <w:b/>
          <w:color w:val="auto"/>
          <w:sz w:val="24"/>
          <w:szCs w:val="21"/>
        </w:rPr>
      </w:pPr>
    </w:p>
    <w:p w14:paraId="53DAAE22">
      <w:pPr>
        <w:spacing w:line="360" w:lineRule="auto"/>
        <w:ind w:firstLine="482"/>
        <w:contextualSpacing/>
        <w:rPr>
          <w:rFonts w:hint="default" w:ascii="Times New Roman" w:hAnsi="Times New Roman" w:eastAsia="宋体" w:cs="Times New Roman"/>
          <w:b/>
          <w:color w:val="auto"/>
          <w:sz w:val="24"/>
          <w:szCs w:val="21"/>
        </w:rPr>
      </w:pPr>
      <w:r>
        <w:rPr>
          <w:rFonts w:hint="default" w:ascii="Times New Roman" w:hAnsi="Times New Roman" w:eastAsia="宋体" w:cs="Times New Roman"/>
          <w:b/>
          <w:color w:val="auto"/>
          <w:sz w:val="24"/>
          <w:szCs w:val="21"/>
        </w:rPr>
        <w:t>质疑函制作说明：</w:t>
      </w:r>
    </w:p>
    <w:p w14:paraId="420341DC">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1.投标人提出质疑时，应提交质疑函和必要的证明材料。</w:t>
      </w:r>
    </w:p>
    <w:p w14:paraId="6C9CDF24">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0D5A0172">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3.质疑投标人若对项目的某一分包进行质疑，质疑函中应列明具体分包号。</w:t>
      </w:r>
    </w:p>
    <w:p w14:paraId="0B6EFD77">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4.质疑函的质疑事项应具体、明确，并有必要的事实依据和法律依据。</w:t>
      </w:r>
    </w:p>
    <w:p w14:paraId="33D7B579">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5.质疑函的质疑请求应与质疑事项相关。</w:t>
      </w:r>
    </w:p>
    <w:p w14:paraId="5157E6AD">
      <w:pPr>
        <w:spacing w:line="360" w:lineRule="auto"/>
        <w:ind w:firstLine="480"/>
        <w:contextualSpacing/>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6.质疑投标人为自然人的，质疑函应由本人签字；质疑投标人为法人或者其他组织的，质疑函应由法定代表人、主要负责人，或者其授权代表签字或者盖章，并加盖公章。</w:t>
      </w:r>
    </w:p>
    <w:p w14:paraId="36A38FF9">
      <w:pPr>
        <w:spacing w:line="360" w:lineRule="auto"/>
        <w:contextualSpacing/>
        <w:jc w:val="center"/>
        <w:outlineLvl w:val="0"/>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24"/>
          <w:szCs w:val="21"/>
        </w:rPr>
        <w:br w:type="page" w:clear="all"/>
      </w:r>
      <w:r>
        <w:rPr>
          <w:rFonts w:hint="default" w:ascii="Times New Roman" w:hAnsi="Times New Roman" w:eastAsia="宋体" w:cs="Times New Roman"/>
          <w:b/>
          <w:color w:val="auto"/>
          <w:sz w:val="36"/>
          <w:szCs w:val="36"/>
        </w:rPr>
        <w:t>第八章  投标文件组成及格式</w:t>
      </w:r>
      <w:bookmarkEnd w:id="22"/>
    </w:p>
    <w:p w14:paraId="0ADDE784">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jc w:val="left"/>
        <w:textAlignment w:val="auto"/>
        <w:rPr>
          <w:rFonts w:hint="default" w:ascii="Times New Roman" w:hAnsi="Times New Roman" w:eastAsia="宋体" w:cs="Times New Roman"/>
          <w:b/>
          <w:color w:val="auto"/>
          <w:sz w:val="24"/>
          <w:szCs w:val="21"/>
        </w:rPr>
      </w:pPr>
    </w:p>
    <w:p w14:paraId="3DBFBBF5">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jc w:val="left"/>
        <w:textAlignment w:val="auto"/>
        <w:rPr>
          <w:rFonts w:hint="default" w:ascii="Times New Roman" w:hAnsi="Times New Roman" w:eastAsia="宋体" w:cs="Times New Roman"/>
          <w:b/>
          <w:color w:val="auto"/>
          <w:sz w:val="24"/>
          <w:szCs w:val="21"/>
        </w:rPr>
      </w:pPr>
      <w:r>
        <w:rPr>
          <w:rFonts w:hint="default" w:ascii="Times New Roman" w:hAnsi="Times New Roman" w:eastAsia="宋体" w:cs="Times New Roman"/>
          <w:b/>
          <w:color w:val="auto"/>
          <w:sz w:val="24"/>
          <w:szCs w:val="21"/>
        </w:rPr>
        <w:t>一、基本目录</w:t>
      </w:r>
    </w:p>
    <w:p w14:paraId="09EE3A0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lang w:val="en-US" w:eastAsia="zh-CN"/>
        </w:rPr>
      </w:pPr>
      <w:r>
        <w:rPr>
          <w:rFonts w:hint="eastAsia" w:eastAsia="宋体" w:cs="Times New Roman"/>
          <w:bCs/>
          <w:color w:val="auto"/>
          <w:sz w:val="24"/>
          <w:szCs w:val="24"/>
          <w:lang w:val="en-US" w:eastAsia="zh-CN"/>
        </w:rPr>
        <w:t>1.目录。</w:t>
      </w:r>
    </w:p>
    <w:p w14:paraId="6EA554C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eastAsia" w:eastAsia="宋体" w:cs="Times New Roman"/>
          <w:bCs/>
          <w:color w:val="auto"/>
          <w:sz w:val="24"/>
          <w:szCs w:val="24"/>
          <w:lang w:val="en-US" w:eastAsia="zh-CN"/>
        </w:rPr>
        <w:t>2</w:t>
      </w:r>
      <w:r>
        <w:rPr>
          <w:rFonts w:hint="default" w:ascii="Times New Roman" w:hAnsi="Times New Roman" w:eastAsia="宋体" w:cs="Times New Roman"/>
          <w:bCs/>
          <w:color w:val="auto"/>
          <w:sz w:val="24"/>
          <w:szCs w:val="24"/>
        </w:rPr>
        <w:t>.开标一览表（苏采云系统固定格式</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282B6D7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lang w:eastAsia="zh-CN"/>
        </w:rPr>
      </w:pPr>
      <w:r>
        <w:rPr>
          <w:rFonts w:hint="eastAsia" w:eastAsia="宋体" w:cs="Times New Roman"/>
          <w:bCs/>
          <w:color w:val="auto"/>
          <w:sz w:val="24"/>
          <w:szCs w:val="24"/>
          <w:lang w:val="en-US" w:eastAsia="zh-CN"/>
        </w:rPr>
        <w:t>3</w:t>
      </w:r>
      <w:r>
        <w:rPr>
          <w:rFonts w:hint="default" w:ascii="Times New Roman" w:hAnsi="Times New Roman" w:eastAsia="宋体" w:cs="Times New Roman"/>
          <w:bCs/>
          <w:color w:val="auto"/>
          <w:sz w:val="24"/>
          <w:szCs w:val="24"/>
        </w:rPr>
        <w:t>.投标分项报价表（格式参见附件</w:t>
      </w:r>
      <w:r>
        <w:rPr>
          <w:rFonts w:hint="default" w:ascii="Times New Roman" w:hAnsi="Times New Roman" w:eastAsia="宋体" w:cs="Times New Roman"/>
          <w:bCs/>
          <w:color w:val="auto"/>
          <w:sz w:val="24"/>
          <w:szCs w:val="24"/>
          <w:lang w:val="en-US" w:eastAsia="zh-CN"/>
        </w:rPr>
        <w:t>1</w:t>
      </w:r>
      <w:r>
        <w:rPr>
          <w:rFonts w:hint="default" w:ascii="Times New Roman" w:hAnsi="Times New Roman" w:eastAsia="宋体" w:cs="Times New Roman"/>
          <w:bCs/>
          <w:color w:val="auto"/>
          <w:sz w:val="24"/>
          <w:szCs w:val="24"/>
          <w:lang w:eastAsia="zh-CN"/>
        </w:rPr>
        <w:t>）</w:t>
      </w:r>
      <w:r>
        <w:rPr>
          <w:rFonts w:hint="eastAsia" w:eastAsia="宋体" w:cs="Times New Roman"/>
          <w:bCs/>
          <w:color w:val="auto"/>
          <w:sz w:val="24"/>
          <w:szCs w:val="24"/>
          <w:lang w:eastAsia="zh-CN"/>
        </w:rPr>
        <w:t>。</w:t>
      </w:r>
    </w:p>
    <w:p w14:paraId="69CEB98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eastAsia" w:eastAsia="宋体" w:cs="Times New Roman"/>
          <w:bCs/>
          <w:color w:val="auto"/>
          <w:sz w:val="24"/>
          <w:szCs w:val="24"/>
          <w:lang w:val="en-US" w:eastAsia="zh-CN"/>
        </w:rPr>
        <w:t>4</w:t>
      </w:r>
      <w:r>
        <w:rPr>
          <w:rFonts w:hint="default"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rPr>
        <w:t>供应商信用承诺书（格式参见附件</w:t>
      </w:r>
      <w:r>
        <w:rPr>
          <w:rFonts w:hint="default" w:ascii="Times New Roman" w:hAnsi="Times New Roman" w:eastAsia="宋体" w:cs="Times New Roman"/>
          <w:bCs/>
          <w:color w:val="auto"/>
          <w:sz w:val="24"/>
          <w:szCs w:val="24"/>
          <w:lang w:val="en-US" w:eastAsia="zh-CN"/>
        </w:rPr>
        <w:t>2</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7CB0B16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eastAsia" w:eastAsia="宋体" w:cs="Times New Roman"/>
          <w:bCs/>
          <w:color w:val="auto"/>
          <w:sz w:val="24"/>
          <w:szCs w:val="24"/>
          <w:lang w:val="en-US" w:eastAsia="zh-CN"/>
        </w:rPr>
        <w:t>5</w:t>
      </w:r>
      <w:r>
        <w:rPr>
          <w:rFonts w:hint="default" w:ascii="Times New Roman" w:hAnsi="Times New Roman" w:eastAsia="宋体" w:cs="Times New Roman"/>
          <w:bCs/>
          <w:color w:val="auto"/>
          <w:sz w:val="24"/>
          <w:szCs w:val="24"/>
        </w:rPr>
        <w:t>.供应商情况表（格式参见附件</w:t>
      </w:r>
      <w:r>
        <w:rPr>
          <w:rFonts w:hint="default" w:ascii="Times New Roman" w:hAnsi="Times New Roman" w:eastAsia="宋体" w:cs="Times New Roman"/>
          <w:bCs/>
          <w:color w:val="auto"/>
          <w:sz w:val="24"/>
          <w:szCs w:val="24"/>
          <w:lang w:val="en-US" w:eastAsia="zh-CN"/>
        </w:rPr>
        <w:t>3</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36A4A407">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jc w:val="left"/>
        <w:textAlignment w:val="auto"/>
        <w:rPr>
          <w:rFonts w:hint="default" w:ascii="Times New Roman" w:hAnsi="Times New Roman" w:eastAsia="宋体" w:cs="Times New Roman"/>
          <w:b/>
          <w:color w:val="auto"/>
          <w:sz w:val="24"/>
          <w:szCs w:val="21"/>
        </w:rPr>
      </w:pPr>
      <w:r>
        <w:rPr>
          <w:rFonts w:hint="default" w:ascii="Times New Roman" w:hAnsi="Times New Roman" w:eastAsia="宋体" w:cs="Times New Roman"/>
          <w:b/>
          <w:color w:val="auto"/>
          <w:sz w:val="24"/>
          <w:szCs w:val="21"/>
        </w:rPr>
        <w:t>二、资格审查文件</w:t>
      </w:r>
    </w:p>
    <w:p w14:paraId="4183C29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1.投标人符合《中华人民共和国政府采购法》第二十二条规定条件的声明函（格式参见附件</w:t>
      </w:r>
      <w:r>
        <w:rPr>
          <w:rFonts w:hint="default" w:ascii="Times New Roman" w:hAnsi="Times New Roman" w:eastAsia="宋体" w:cs="Times New Roman"/>
          <w:bCs/>
          <w:color w:val="auto"/>
          <w:sz w:val="24"/>
          <w:szCs w:val="24"/>
          <w:lang w:val="en-US" w:eastAsia="zh-CN"/>
        </w:rPr>
        <w:t>4</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3ACECC0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2.提供法人或者其他组织的营业执照等证明文件，如供应商为自然人的，提供其身份证明。</w:t>
      </w:r>
    </w:p>
    <w:p w14:paraId="414539C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3.如为法定代表人参加投标的，必须提供法定代表人身份证明及法定代表人本人身份证复印件（格式参见附件</w:t>
      </w:r>
      <w:r>
        <w:rPr>
          <w:rFonts w:hint="default" w:ascii="Times New Roman" w:hAnsi="Times New Roman" w:eastAsia="宋体" w:cs="Times New Roman"/>
          <w:bCs/>
          <w:color w:val="auto"/>
          <w:sz w:val="24"/>
          <w:szCs w:val="24"/>
          <w:lang w:val="en-US" w:eastAsia="zh-CN"/>
        </w:rPr>
        <w:t>5</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；如为非法定代表人参加投标的，必须提供法定代表人签字或盖章的授权委托书、法定代表人本人身份证复印件及被授权人本人身份证复印件（格式参见附件</w:t>
      </w:r>
      <w:r>
        <w:rPr>
          <w:rFonts w:hint="default" w:ascii="Times New Roman" w:hAnsi="Times New Roman" w:eastAsia="宋体" w:cs="Times New Roman"/>
          <w:bCs/>
          <w:color w:val="auto"/>
          <w:sz w:val="24"/>
          <w:szCs w:val="24"/>
          <w:lang w:val="en-US" w:eastAsia="zh-CN"/>
        </w:rPr>
        <w:t>6</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1CCC22C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4.</w:t>
      </w:r>
      <w:r>
        <w:rPr>
          <w:rFonts w:hint="default" w:ascii="Times New Roman" w:hAnsi="Times New Roman" w:eastAsia="宋体" w:cs="Times New Roman"/>
          <w:bCs/>
          <w:color w:val="auto"/>
          <w:sz w:val="24"/>
          <w:szCs w:val="24"/>
        </w:rPr>
        <w:t>未被“信用中国”网站（www.creditchina.gov.cn</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列入失信被执行人、重大税收违法案件当事人名单、政府采购严重失信行为记录名单。</w:t>
      </w:r>
    </w:p>
    <w:p w14:paraId="7211FD2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lang w:val="en-US" w:eastAsia="zh-CN"/>
        </w:rPr>
        <w:t>5</w:t>
      </w:r>
      <w:r>
        <w:rPr>
          <w:rFonts w:hint="default" w:ascii="Times New Roman" w:hAnsi="Times New Roman" w:eastAsia="宋体" w:cs="Times New Roman"/>
          <w:bCs/>
          <w:color w:val="auto"/>
          <w:sz w:val="24"/>
          <w:szCs w:val="24"/>
        </w:rPr>
        <w:t>.拒绝下述供应商参加本次采购活动（提供声明，格式参见附件</w:t>
      </w:r>
      <w:r>
        <w:rPr>
          <w:rFonts w:hint="default" w:ascii="Times New Roman" w:hAnsi="Times New Roman" w:eastAsia="宋体" w:cs="Times New Roman"/>
          <w:bCs/>
          <w:color w:val="auto"/>
          <w:sz w:val="24"/>
          <w:szCs w:val="24"/>
          <w:lang w:val="en-US" w:eastAsia="zh-CN"/>
        </w:rPr>
        <w:t>7</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1877B7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lang w:val="en-US" w:eastAsia="zh-CN"/>
        </w:rPr>
        <w:t>5</w:t>
      </w:r>
      <w:r>
        <w:rPr>
          <w:rFonts w:hint="default" w:ascii="Times New Roman" w:hAnsi="Times New Roman" w:eastAsia="宋体" w:cs="Times New Roman"/>
          <w:bCs/>
          <w:color w:val="auto"/>
          <w:sz w:val="24"/>
          <w:szCs w:val="24"/>
        </w:rPr>
        <w:t>.1</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供应商单位负责人为同一人或者存在直接控股、管理关系的不同供应商，不得参加同一合同项下的政府采购活动。</w:t>
      </w:r>
    </w:p>
    <w:p w14:paraId="35BC1E9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lang w:val="en-US" w:eastAsia="zh-CN"/>
        </w:rPr>
        <w:t>5</w:t>
      </w:r>
      <w:r>
        <w:rPr>
          <w:rFonts w:hint="default" w:ascii="Times New Roman" w:hAnsi="Times New Roman" w:eastAsia="宋体" w:cs="Times New Roman"/>
          <w:bCs/>
          <w:color w:val="auto"/>
          <w:sz w:val="24"/>
          <w:szCs w:val="24"/>
        </w:rPr>
        <w:t>.2凡为采购项目提供整体设计、规范编制或者项目管理、监理、检测等服务的供应商，不得再参加本项目的采购活动。</w:t>
      </w:r>
    </w:p>
    <w:p w14:paraId="35E1C56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lang w:val="en-US" w:eastAsia="zh-CN"/>
        </w:rPr>
        <w:t>6</w:t>
      </w:r>
      <w:r>
        <w:rPr>
          <w:rFonts w:hint="default" w:ascii="Times New Roman" w:hAnsi="Times New Roman" w:eastAsia="宋体" w:cs="Times New Roman"/>
          <w:bCs/>
          <w:color w:val="auto"/>
          <w:sz w:val="24"/>
          <w:szCs w:val="24"/>
        </w:rPr>
        <w:t>.供应商认为需提供的其他材料。</w:t>
      </w:r>
    </w:p>
    <w:p w14:paraId="41B8179A">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jc w:val="left"/>
        <w:textAlignment w:val="auto"/>
        <w:rPr>
          <w:rFonts w:hint="default" w:ascii="Times New Roman" w:hAnsi="Times New Roman" w:eastAsia="宋体" w:cs="Times New Roman"/>
          <w:b/>
          <w:color w:val="auto"/>
          <w:sz w:val="24"/>
          <w:szCs w:val="24"/>
          <w:lang w:val="zh-CN"/>
        </w:rPr>
      </w:pPr>
      <w:r>
        <w:rPr>
          <w:rFonts w:hint="default" w:ascii="Times New Roman" w:hAnsi="Times New Roman" w:eastAsia="宋体" w:cs="Times New Roman"/>
          <w:b/>
          <w:color w:val="auto"/>
          <w:sz w:val="24"/>
          <w:szCs w:val="24"/>
          <w:lang w:val="zh-CN"/>
        </w:rPr>
        <w:t>注：以上所有资格要求条件必须在资格审查材料中逐条提供有效证明材料及相关承诺书并加盖公章，否则投标无效。</w:t>
      </w:r>
    </w:p>
    <w:p w14:paraId="3FA6C77D">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jc w:val="left"/>
        <w:textAlignment w:val="auto"/>
        <w:rPr>
          <w:rFonts w:hint="default" w:ascii="Times New Roman" w:hAnsi="Times New Roman" w:eastAsia="宋体" w:cs="Times New Roman"/>
          <w:b/>
          <w:color w:val="auto"/>
          <w:sz w:val="24"/>
          <w:szCs w:val="21"/>
        </w:rPr>
      </w:pPr>
      <w:r>
        <w:rPr>
          <w:rFonts w:hint="default" w:ascii="Times New Roman" w:hAnsi="Times New Roman" w:eastAsia="宋体" w:cs="Times New Roman"/>
          <w:b/>
          <w:color w:val="auto"/>
          <w:sz w:val="24"/>
          <w:szCs w:val="21"/>
        </w:rPr>
        <w:t>三、符合性审查文件</w:t>
      </w:r>
    </w:p>
    <w:p w14:paraId="5D5A711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1.投标声明函（格式参见附件</w:t>
      </w:r>
      <w:r>
        <w:rPr>
          <w:rFonts w:hint="default" w:ascii="Times New Roman" w:hAnsi="Times New Roman" w:eastAsia="宋体" w:cs="Times New Roman"/>
          <w:bCs/>
          <w:color w:val="auto"/>
          <w:sz w:val="24"/>
          <w:szCs w:val="24"/>
          <w:lang w:val="en-US" w:eastAsia="zh-CN"/>
        </w:rPr>
        <w:t>8</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07F0770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2.投标响应函（格式参见附件</w:t>
      </w:r>
      <w:r>
        <w:rPr>
          <w:rFonts w:hint="default" w:ascii="Times New Roman" w:hAnsi="Times New Roman" w:eastAsia="宋体" w:cs="Times New Roman"/>
          <w:bCs/>
          <w:color w:val="auto"/>
          <w:sz w:val="24"/>
          <w:szCs w:val="24"/>
          <w:lang w:val="en-US" w:eastAsia="zh-CN"/>
        </w:rPr>
        <w:t>9</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37EBE71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3.商务条款正负偏离表（格式参见附件</w:t>
      </w:r>
      <w:r>
        <w:rPr>
          <w:rFonts w:hint="default" w:ascii="Times New Roman" w:hAnsi="Times New Roman" w:eastAsia="宋体" w:cs="Times New Roman"/>
          <w:bCs/>
          <w:color w:val="auto"/>
          <w:sz w:val="24"/>
          <w:szCs w:val="24"/>
          <w:lang w:val="en-US" w:eastAsia="zh-CN"/>
        </w:rPr>
        <w:t>10</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7CC32F8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4.采购需求中必须满足的实质性要求：</w:t>
      </w:r>
    </w:p>
    <w:p w14:paraId="5719F6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4.1 投标人拟投本项目所有标注“</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”的为设备技术参数须实质性响应本采购文件技术参数要求，不接受负偏离产品应标。提供《</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技术条款响应正负偏离表》（格式参见附件</w:t>
      </w:r>
      <w:r>
        <w:rPr>
          <w:rFonts w:hint="default" w:ascii="Times New Roman" w:hAnsi="Times New Roman" w:eastAsia="宋体" w:cs="Times New Roman"/>
          <w:b/>
          <w:bCs/>
          <w:color w:val="auto"/>
          <w:sz w:val="24"/>
          <w:szCs w:val="24"/>
          <w:lang w:val="en-US" w:eastAsia="zh-CN"/>
        </w:rPr>
        <w:t>11</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，须根据清单中“</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”的技术参数要求逐条进行应答；未提供或有遗漏或有负偏离均视为未实质性响应，作废标处理。对本项目能够作为技术参数证明材料的文件如：</w:t>
      </w:r>
      <w:r>
        <w:rPr>
          <w:rFonts w:hint="default" w:ascii="Times New Roman" w:hAnsi="Times New Roman" w:eastAsia="宋体" w:cs="Times New Roman"/>
          <w:b/>
          <w:bCs/>
          <w:color w:val="auto"/>
          <w:sz w:val="24"/>
          <w:szCs w:val="24"/>
          <w:lang w:val="en-US" w:eastAsia="zh-CN"/>
        </w:rPr>
        <w:t>制造商公开发布的软件说明或白皮书或盖有投</w:t>
      </w:r>
      <w:r>
        <w:rPr>
          <w:rFonts w:hint="default" w:ascii="Times New Roman" w:hAnsi="Times New Roman" w:eastAsia="宋体" w:cs="Times New Roman"/>
          <w:b/>
          <w:bCs/>
          <w:color w:val="auto"/>
          <w:sz w:val="24"/>
          <w:szCs w:val="24"/>
        </w:rPr>
        <w:t>标人公章的承诺书等。</w:t>
      </w:r>
    </w:p>
    <w:p w14:paraId="61B32ED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5.投标人认为需要提交的其他资料。</w:t>
      </w:r>
    </w:p>
    <w:p w14:paraId="5C307608">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四、商务技术标文件</w:t>
      </w:r>
    </w:p>
    <w:p w14:paraId="4E0BFAC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1.评标办法中所涉及的事项需提供的所有资料。</w:t>
      </w:r>
    </w:p>
    <w:p w14:paraId="0AD6600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2.项目需求中涉及需要投标人提交的材料。</w:t>
      </w:r>
    </w:p>
    <w:p w14:paraId="6260ACC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3.技术条款响应正负偏离表（格式参见附件</w:t>
      </w:r>
      <w:r>
        <w:rPr>
          <w:rFonts w:hint="default" w:ascii="Times New Roman" w:hAnsi="Times New Roman" w:eastAsia="宋体" w:cs="Times New Roman"/>
          <w:bCs/>
          <w:color w:val="auto"/>
          <w:sz w:val="24"/>
          <w:szCs w:val="24"/>
          <w:lang w:val="en-US" w:eastAsia="zh-CN"/>
        </w:rPr>
        <w:t>12</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3920CE0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4.招标文件中未涉及的事项，投标人认为需要提交的其他资料。</w:t>
      </w:r>
    </w:p>
    <w:p w14:paraId="58BF5B9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注：为方便评委评审，请投标人按评标办法中所涉及的事项顺序进行编制，可以补充相关材料。</w:t>
      </w:r>
    </w:p>
    <w:p w14:paraId="0ECF5D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contextualSpacing/>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bidi="ar-SA"/>
        </w:rPr>
        <w:t>五、</w:t>
      </w:r>
      <w:r>
        <w:rPr>
          <w:rFonts w:hint="default" w:ascii="Times New Roman" w:hAnsi="Times New Roman" w:eastAsia="宋体" w:cs="Times New Roman"/>
          <w:b/>
          <w:bCs/>
          <w:color w:val="auto"/>
          <w:sz w:val="24"/>
          <w:szCs w:val="24"/>
        </w:rPr>
        <w:t>价格折扣文件格式</w:t>
      </w:r>
    </w:p>
    <w:p w14:paraId="669C66E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1.中小企业声明函</w:t>
      </w:r>
      <w:r>
        <w:rPr>
          <w:rFonts w:hint="default" w:ascii="Times New Roman" w:hAnsi="Times New Roman" w:eastAsia="宋体" w:cs="Times New Roman"/>
          <w:bCs/>
          <w:color w:val="auto"/>
          <w:sz w:val="24"/>
          <w:szCs w:val="24"/>
        </w:rPr>
        <w:t>（货物</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val="en-US" w:eastAsia="zh-CN"/>
        </w:rPr>
        <w:t>如有，</w:t>
      </w:r>
      <w:r>
        <w:rPr>
          <w:rFonts w:hint="default" w:ascii="Times New Roman" w:hAnsi="Times New Roman" w:eastAsia="宋体" w:cs="Times New Roman"/>
          <w:bCs/>
          <w:color w:val="auto"/>
          <w:sz w:val="24"/>
          <w:szCs w:val="24"/>
        </w:rPr>
        <w:t>格式参见附件</w:t>
      </w:r>
      <w:r>
        <w:rPr>
          <w:rFonts w:hint="default" w:ascii="Times New Roman" w:hAnsi="Times New Roman" w:eastAsia="宋体" w:cs="Times New Roman"/>
          <w:bCs/>
          <w:color w:val="auto"/>
          <w:sz w:val="24"/>
          <w:szCs w:val="24"/>
          <w:lang w:val="en-US" w:eastAsia="zh-CN"/>
        </w:rPr>
        <w:t>13</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w:t>
      </w:r>
    </w:p>
    <w:p w14:paraId="0EE1C57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2.残疾人福利性单位声明函</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val="en-US" w:eastAsia="zh-CN"/>
        </w:rPr>
        <w:t>如有，</w:t>
      </w:r>
      <w:r>
        <w:rPr>
          <w:rFonts w:hint="default" w:ascii="Times New Roman" w:hAnsi="Times New Roman" w:eastAsia="宋体" w:cs="Times New Roman"/>
          <w:bCs/>
          <w:color w:val="auto"/>
          <w:sz w:val="24"/>
          <w:szCs w:val="24"/>
        </w:rPr>
        <w:t>格式参见附件</w:t>
      </w:r>
      <w:r>
        <w:rPr>
          <w:rFonts w:hint="default" w:ascii="Times New Roman" w:hAnsi="Times New Roman" w:eastAsia="宋体" w:cs="Times New Roman"/>
          <w:bCs/>
          <w:color w:val="auto"/>
          <w:sz w:val="24"/>
          <w:szCs w:val="24"/>
          <w:lang w:val="en-US" w:eastAsia="zh-CN"/>
        </w:rPr>
        <w:t>13</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w:t>
      </w:r>
    </w:p>
    <w:p w14:paraId="3CD1D8D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lang w:val="en-US" w:eastAsia="zh-CN"/>
        </w:rPr>
        <w:t>3.监狱和戒毒企业证明材料</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val="en-US" w:eastAsia="zh-CN"/>
        </w:rPr>
        <w:t>如有，</w:t>
      </w:r>
      <w:r>
        <w:rPr>
          <w:rFonts w:hint="default" w:ascii="Times New Roman" w:hAnsi="Times New Roman" w:eastAsia="宋体" w:cs="Times New Roman"/>
          <w:bCs/>
          <w:color w:val="auto"/>
          <w:sz w:val="24"/>
          <w:szCs w:val="24"/>
        </w:rPr>
        <w:t>格式参见附件</w:t>
      </w:r>
      <w:r>
        <w:rPr>
          <w:rFonts w:hint="default" w:ascii="Times New Roman" w:hAnsi="Times New Roman" w:eastAsia="宋体" w:cs="Times New Roman"/>
          <w:bCs/>
          <w:color w:val="auto"/>
          <w:sz w:val="24"/>
          <w:szCs w:val="24"/>
          <w:lang w:val="en-US" w:eastAsia="zh-CN"/>
        </w:rPr>
        <w:t>13</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w:t>
      </w:r>
    </w:p>
    <w:p w14:paraId="53530EE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lang w:val="en-US" w:eastAsia="zh-CN"/>
        </w:rPr>
        <w:t>4.</w:t>
      </w:r>
      <w:r>
        <w:rPr>
          <w:rFonts w:hint="default" w:ascii="Times New Roman" w:hAnsi="Times New Roman" w:eastAsia="宋体" w:cs="Times New Roman"/>
          <w:bCs/>
          <w:color w:val="auto"/>
          <w:sz w:val="24"/>
          <w:szCs w:val="24"/>
        </w:rPr>
        <w:t>关于符合本国产品标准的声明函（</w:t>
      </w:r>
      <w:r>
        <w:rPr>
          <w:rFonts w:hint="default" w:ascii="Times New Roman" w:hAnsi="Times New Roman" w:eastAsia="宋体" w:cs="Times New Roman"/>
          <w:bCs/>
          <w:color w:val="auto"/>
          <w:sz w:val="24"/>
          <w:szCs w:val="24"/>
          <w:lang w:val="en-US" w:eastAsia="zh-CN"/>
        </w:rPr>
        <w:t>如有，</w:t>
      </w:r>
      <w:r>
        <w:rPr>
          <w:rFonts w:hint="default" w:ascii="Times New Roman" w:hAnsi="Times New Roman" w:eastAsia="宋体" w:cs="Times New Roman"/>
          <w:bCs/>
          <w:color w:val="auto"/>
          <w:sz w:val="24"/>
          <w:szCs w:val="24"/>
        </w:rPr>
        <w:t>格式参见附件</w:t>
      </w:r>
      <w:r>
        <w:rPr>
          <w:rFonts w:hint="default" w:ascii="Times New Roman" w:hAnsi="Times New Roman" w:eastAsia="宋体" w:cs="Times New Roman"/>
          <w:bCs/>
          <w:color w:val="auto"/>
          <w:sz w:val="24"/>
          <w:szCs w:val="24"/>
          <w:lang w:val="en-US" w:eastAsia="zh-CN"/>
        </w:rPr>
        <w:t>14</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p w14:paraId="1F0B1C9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color w:val="auto"/>
          <w:sz w:val="24"/>
          <w:szCs w:val="21"/>
        </w:rPr>
      </w:pPr>
    </w:p>
    <w:p w14:paraId="6C1C41A7">
      <w:pPr>
        <w:spacing w:line="360" w:lineRule="auto"/>
        <w:ind w:firstLine="480"/>
        <w:contextualSpacing/>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 xml:space="preserve">         </w:t>
      </w:r>
    </w:p>
    <w:p w14:paraId="0848FDA5">
      <w:pPr>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Cs/>
          <w:color w:val="auto"/>
          <w:sz w:val="24"/>
          <w:szCs w:val="21"/>
        </w:rPr>
        <w:br w:type="page" w:clear="all"/>
      </w: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1</w:t>
      </w:r>
    </w:p>
    <w:p w14:paraId="47D3FE9E">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投标分项报价表</w:t>
      </w:r>
    </w:p>
    <w:tbl>
      <w:tblPr>
        <w:tblStyle w:val="12"/>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89"/>
        <w:gridCol w:w="1280"/>
        <w:gridCol w:w="1225"/>
        <w:gridCol w:w="952"/>
        <w:gridCol w:w="817"/>
        <w:gridCol w:w="816"/>
        <w:gridCol w:w="817"/>
        <w:gridCol w:w="926"/>
      </w:tblGrid>
      <w:tr w14:paraId="1CA9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74" w:type="dxa"/>
            <w:vAlign w:val="center"/>
          </w:tcPr>
          <w:p w14:paraId="3819EC13">
            <w:pPr>
              <w:rPr>
                <w:rFonts w:hint="default" w:ascii="Times New Roman" w:hAnsi="Times New Roman" w:eastAsia="宋体" w:cs="Times New Roman"/>
                <w:b/>
                <w:color w:val="auto"/>
                <w:sz w:val="24"/>
                <w:szCs w:val="24"/>
              </w:rPr>
            </w:pPr>
            <w:r>
              <w:rPr>
                <w:rFonts w:hint="default" w:ascii="Times New Roman" w:hAnsi="Times New Roman" w:eastAsia="宋体" w:cs="Times New Roman"/>
                <w:b/>
                <w:bCs/>
                <w:color w:val="auto"/>
                <w:sz w:val="24"/>
                <w:szCs w:val="24"/>
              </w:rPr>
              <w:br w:type="page"/>
            </w:r>
            <w:r>
              <w:rPr>
                <w:rFonts w:hint="default" w:ascii="Times New Roman" w:hAnsi="Times New Roman" w:eastAsia="宋体" w:cs="Times New Roman"/>
                <w:b/>
                <w:color w:val="auto"/>
                <w:sz w:val="24"/>
                <w:szCs w:val="24"/>
              </w:rPr>
              <w:t>序号</w:t>
            </w:r>
          </w:p>
        </w:tc>
        <w:tc>
          <w:tcPr>
            <w:tcW w:w="1489" w:type="dxa"/>
            <w:vAlign w:val="center"/>
          </w:tcPr>
          <w:p w14:paraId="1FF620B5">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名称</w:t>
            </w:r>
          </w:p>
        </w:tc>
        <w:tc>
          <w:tcPr>
            <w:tcW w:w="1280" w:type="dxa"/>
            <w:vAlign w:val="center"/>
          </w:tcPr>
          <w:p w14:paraId="78514D95">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规格型号</w:t>
            </w:r>
          </w:p>
        </w:tc>
        <w:tc>
          <w:tcPr>
            <w:tcW w:w="1225" w:type="dxa"/>
            <w:vAlign w:val="center"/>
          </w:tcPr>
          <w:p w14:paraId="45029D96">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品牌</w:t>
            </w:r>
          </w:p>
        </w:tc>
        <w:tc>
          <w:tcPr>
            <w:tcW w:w="952" w:type="dxa"/>
            <w:vAlign w:val="center"/>
          </w:tcPr>
          <w:p w14:paraId="36632E64">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单位</w:t>
            </w:r>
          </w:p>
        </w:tc>
        <w:tc>
          <w:tcPr>
            <w:tcW w:w="817" w:type="dxa"/>
            <w:vAlign w:val="center"/>
          </w:tcPr>
          <w:p w14:paraId="02F90A14">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数量</w:t>
            </w:r>
          </w:p>
        </w:tc>
        <w:tc>
          <w:tcPr>
            <w:tcW w:w="816" w:type="dxa"/>
            <w:vAlign w:val="center"/>
          </w:tcPr>
          <w:p w14:paraId="75183705">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单价</w:t>
            </w:r>
          </w:p>
        </w:tc>
        <w:tc>
          <w:tcPr>
            <w:tcW w:w="817" w:type="dxa"/>
            <w:vAlign w:val="center"/>
          </w:tcPr>
          <w:p w14:paraId="5774E099">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金额</w:t>
            </w:r>
          </w:p>
        </w:tc>
        <w:tc>
          <w:tcPr>
            <w:tcW w:w="926" w:type="dxa"/>
            <w:vAlign w:val="center"/>
          </w:tcPr>
          <w:p w14:paraId="7AF30EE0">
            <w:pPr>
              <w:keepNext w:val="0"/>
              <w:keepLines w:val="0"/>
              <w:pageBreakBefore w:val="0"/>
              <w:kinsoku/>
              <w:wordWrap/>
              <w:overflowPunct/>
              <w:topLinePunct w:val="0"/>
              <w:autoSpaceDE/>
              <w:autoSpaceDN/>
              <w:bidi w:val="0"/>
              <w:adjustRightInd/>
              <w:snapToGrid w:val="0"/>
              <w:spacing w:line="360" w:lineRule="auto"/>
              <w:ind w:firstLine="120" w:firstLineChars="5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备注</w:t>
            </w:r>
          </w:p>
        </w:tc>
      </w:tr>
      <w:tr w14:paraId="4796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74" w:type="dxa"/>
            <w:vAlign w:val="center"/>
          </w:tcPr>
          <w:p w14:paraId="0CE5F3A2">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489" w:type="dxa"/>
            <w:vAlign w:val="center"/>
          </w:tcPr>
          <w:p w14:paraId="3EFF772A">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rPr>
            </w:pPr>
          </w:p>
        </w:tc>
        <w:tc>
          <w:tcPr>
            <w:tcW w:w="1280" w:type="dxa"/>
            <w:vAlign w:val="center"/>
          </w:tcPr>
          <w:p w14:paraId="5EBAEED1">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rPr>
            </w:pPr>
          </w:p>
        </w:tc>
        <w:tc>
          <w:tcPr>
            <w:tcW w:w="1225" w:type="dxa"/>
            <w:vAlign w:val="center"/>
          </w:tcPr>
          <w:p w14:paraId="1FDD119C">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rPr>
            </w:pPr>
          </w:p>
        </w:tc>
        <w:tc>
          <w:tcPr>
            <w:tcW w:w="952" w:type="dxa"/>
            <w:vAlign w:val="center"/>
          </w:tcPr>
          <w:p w14:paraId="6E47C6D7">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rPr>
            </w:pPr>
          </w:p>
        </w:tc>
        <w:tc>
          <w:tcPr>
            <w:tcW w:w="817" w:type="dxa"/>
            <w:vAlign w:val="center"/>
          </w:tcPr>
          <w:p w14:paraId="1119BA7B">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rPr>
            </w:pPr>
          </w:p>
        </w:tc>
        <w:tc>
          <w:tcPr>
            <w:tcW w:w="816" w:type="dxa"/>
            <w:vAlign w:val="center"/>
          </w:tcPr>
          <w:p w14:paraId="62D9723C">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rPr>
            </w:pPr>
          </w:p>
        </w:tc>
        <w:tc>
          <w:tcPr>
            <w:tcW w:w="817" w:type="dxa"/>
            <w:vAlign w:val="center"/>
          </w:tcPr>
          <w:p w14:paraId="1619D5FB">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rPr>
            </w:pPr>
          </w:p>
        </w:tc>
        <w:tc>
          <w:tcPr>
            <w:tcW w:w="926" w:type="dxa"/>
            <w:vAlign w:val="center"/>
          </w:tcPr>
          <w:p w14:paraId="379165D8">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rPr>
            </w:pPr>
          </w:p>
        </w:tc>
      </w:tr>
      <w:tr w14:paraId="4DA0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74" w:type="dxa"/>
            <w:vAlign w:val="center"/>
          </w:tcPr>
          <w:p w14:paraId="5D68ACBB">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合计</w:t>
            </w:r>
          </w:p>
        </w:tc>
        <w:tc>
          <w:tcPr>
            <w:tcW w:w="8322" w:type="dxa"/>
            <w:gridSpan w:val="8"/>
            <w:vAlign w:val="center"/>
          </w:tcPr>
          <w:p w14:paraId="46C6E0BC">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4"/>
                <w:szCs w:val="24"/>
              </w:rPr>
            </w:pPr>
          </w:p>
        </w:tc>
      </w:tr>
    </w:tbl>
    <w:p w14:paraId="5FA1BC7E">
      <w:pPr>
        <w:rPr>
          <w:rFonts w:hint="default" w:ascii="Times New Roman" w:hAnsi="Times New Roman" w:eastAsia="宋体" w:cs="Times New Roman"/>
          <w:b/>
          <w:bCs/>
          <w:color w:val="auto"/>
          <w:sz w:val="28"/>
          <w:szCs w:val="28"/>
        </w:rPr>
      </w:pPr>
    </w:p>
    <w:p w14:paraId="129FD3AC">
      <w:pPr>
        <w:spacing w:line="360" w:lineRule="auto"/>
        <w:ind w:firstLine="2920" w:firstLineChars="1217"/>
        <w:jc w:val="right"/>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投标人（加盖CA电子签章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w:t>
      </w:r>
    </w:p>
    <w:p w14:paraId="0A918F1D">
      <w:pPr>
        <w:spacing w:line="360" w:lineRule="auto"/>
        <w:ind w:firstLine="2920" w:firstLineChars="1217"/>
        <w:jc w:val="right"/>
        <w:rPr>
          <w:rFonts w:hint="default"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rPr>
        <w:t>法定代表人（签字或加盖CA电子签章</w:t>
      </w:r>
      <w:r>
        <w:rPr>
          <w:rFonts w:hint="default" w:ascii="Times New Roman" w:hAnsi="Times New Roman" w:eastAsia="宋体" w:cs="Times New Roman"/>
          <w:bCs/>
          <w:color w:val="auto"/>
          <w:sz w:val="24"/>
          <w:lang w:eastAsia="zh-CN"/>
        </w:rPr>
        <w:t>）</w:t>
      </w:r>
    </w:p>
    <w:p w14:paraId="74577961">
      <w:pPr>
        <w:spacing w:line="360" w:lineRule="auto"/>
        <w:ind w:firstLine="2920" w:firstLineChars="1217"/>
        <w:jc w:val="right"/>
        <w:rPr>
          <w:rFonts w:hint="default" w:ascii="Times New Roman" w:hAnsi="Times New Roman" w:eastAsia="仿宋" w:cs="Times New Roman"/>
          <w:color w:val="auto"/>
          <w:sz w:val="28"/>
        </w:rPr>
      </w:pPr>
      <w:r>
        <w:rPr>
          <w:rFonts w:hint="default" w:ascii="Times New Roman" w:hAnsi="Times New Roman" w:eastAsia="宋体" w:cs="Times New Roman"/>
          <w:bCs/>
          <w:color w:val="auto"/>
          <w:sz w:val="24"/>
          <w:lang w:val="zh-CN"/>
        </w:rPr>
        <w:t>时间：</w:t>
      </w:r>
      <w:r>
        <w:rPr>
          <w:rFonts w:hint="default" w:ascii="Times New Roman" w:hAnsi="Times New Roman" w:eastAsia="宋体" w:cs="Times New Roman"/>
          <w:bCs/>
          <w:color w:val="auto"/>
          <w:sz w:val="24"/>
        </w:rPr>
        <w:t>2026年</w:t>
      </w:r>
      <w:r>
        <w:rPr>
          <w:rFonts w:hint="default" w:ascii="Times New Roman" w:hAnsi="Times New Roman" w:eastAsia="宋体" w:cs="Times New Roman"/>
          <w:bCs/>
          <w:color w:val="auto"/>
          <w:sz w:val="24"/>
          <w:lang w:val="zh-CN"/>
        </w:rPr>
        <w:t xml:space="preserve">  月   日</w:t>
      </w:r>
    </w:p>
    <w:p w14:paraId="7AA388E8">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b/>
          <w:bCs/>
          <w:color w:val="auto"/>
          <w:sz w:val="24"/>
          <w:szCs w:val="21"/>
          <w:lang w:val="zh-CN"/>
        </w:rPr>
        <w:t>备注：</w:t>
      </w:r>
    </w:p>
    <w:p w14:paraId="14C22C5E">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en-US" w:eastAsia="zh-CN"/>
        </w:rPr>
        <w:t>1</w:t>
      </w:r>
      <w:r>
        <w:rPr>
          <w:rFonts w:hint="default" w:ascii="Times New Roman" w:hAnsi="Times New Roman" w:eastAsia="宋体" w:cs="Times New Roman"/>
          <w:color w:val="auto"/>
          <w:sz w:val="24"/>
          <w:szCs w:val="21"/>
          <w:lang w:val="zh-CN"/>
        </w:rPr>
        <w:t>.投标报价采用总承包方式，“投标总报价”应包括所投货物（包含与货物相关的服务）费用、安装调试费、测试验收费、培训费、运行维护费用、税金、国际（如果有）国内运输保险、报关清关（如果有）、开证（如果有）、办理全套免税手续费用（如果有）及其他有关的为完成本项目发生的所有费用，招标文件中另有规定的除外。</w:t>
      </w:r>
    </w:p>
    <w:p w14:paraId="53F4B6E4">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en-US" w:eastAsia="zh-CN"/>
        </w:rPr>
        <w:t>2</w:t>
      </w:r>
      <w:r>
        <w:rPr>
          <w:rFonts w:hint="default" w:ascii="Times New Roman" w:hAnsi="Times New Roman" w:eastAsia="宋体" w:cs="Times New Roman"/>
          <w:color w:val="auto"/>
          <w:sz w:val="24"/>
          <w:szCs w:val="21"/>
          <w:lang w:val="zh-CN"/>
        </w:rPr>
        <w:t>.“投标分项报价表”中“投标总报价”数额应当与“开标一览表”中“投标总报价”数额一致。</w:t>
      </w:r>
    </w:p>
    <w:p w14:paraId="7D14362E">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en-US" w:eastAsia="zh-CN"/>
        </w:rPr>
        <w:t>3</w:t>
      </w:r>
      <w:r>
        <w:rPr>
          <w:rFonts w:hint="default" w:ascii="Times New Roman" w:hAnsi="Times New Roman" w:eastAsia="宋体" w:cs="Times New Roman"/>
          <w:color w:val="auto"/>
          <w:sz w:val="24"/>
          <w:szCs w:val="21"/>
          <w:lang w:val="zh-CN"/>
        </w:rPr>
        <w:t>.本采购包中含有多种产品时，供应商未填写本采购包中提供的符合本国产品标准的产品成本之和占该采购包提供的全部产品成本之和的比例数值的，或比例数值未达到80%的，或未提供《关于符合本国产品标准的声明函》，将不享受本国产品价格评审优惠。</w:t>
      </w:r>
    </w:p>
    <w:p w14:paraId="256E3A24">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en-US" w:eastAsia="zh-CN"/>
        </w:rPr>
        <w:t>4</w:t>
      </w:r>
      <w:r>
        <w:rPr>
          <w:rFonts w:hint="default" w:ascii="Times New Roman" w:hAnsi="Times New Roman" w:eastAsia="宋体" w:cs="Times New Roman"/>
          <w:color w:val="auto"/>
          <w:sz w:val="24"/>
          <w:szCs w:val="21"/>
          <w:lang w:val="zh-CN"/>
        </w:rPr>
        <w:t>.投标人需认真填写本报价表，尤其注意规格型号的准确填写。</w:t>
      </w:r>
    </w:p>
    <w:p w14:paraId="2D47BC7C">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en-US" w:eastAsia="zh-CN"/>
        </w:rPr>
        <w:t>5</w:t>
      </w:r>
      <w:r>
        <w:rPr>
          <w:rFonts w:hint="default" w:ascii="Times New Roman" w:hAnsi="Times New Roman" w:eastAsia="宋体" w:cs="Times New Roman"/>
          <w:color w:val="auto"/>
          <w:sz w:val="24"/>
          <w:szCs w:val="21"/>
          <w:lang w:val="zh-CN"/>
        </w:rPr>
        <w:t>.</w:t>
      </w:r>
      <w:r>
        <w:rPr>
          <w:rFonts w:hint="default" w:ascii="Times New Roman" w:hAnsi="Times New Roman" w:eastAsia="宋体" w:cs="Times New Roman"/>
          <w:color w:val="auto"/>
          <w:sz w:val="24"/>
          <w:szCs w:val="21"/>
          <w:lang w:val="zh-CN" w:eastAsia="zh-CN"/>
        </w:rPr>
        <w:t>投标人</w:t>
      </w:r>
      <w:r>
        <w:rPr>
          <w:rFonts w:hint="default" w:ascii="Times New Roman" w:hAnsi="Times New Roman" w:eastAsia="宋体" w:cs="Times New Roman"/>
          <w:color w:val="auto"/>
          <w:sz w:val="24"/>
          <w:szCs w:val="21"/>
          <w:lang w:val="zh-CN"/>
        </w:rPr>
        <w:t>可以根据项目实际需要对表格结构进行调整。</w:t>
      </w:r>
    </w:p>
    <w:p w14:paraId="6BF7730F">
      <w:pPr>
        <w:spacing w:line="360" w:lineRule="auto"/>
        <w:jc w:val="left"/>
        <w:outlineLvl w:val="3"/>
        <w:rPr>
          <w:rFonts w:hint="default" w:ascii="Times New Roman" w:hAnsi="Times New Roman" w:eastAsia="宋体" w:cs="Times New Roman"/>
          <w:b/>
          <w:bCs/>
          <w:color w:val="auto"/>
          <w:sz w:val="24"/>
          <w:szCs w:val="21"/>
        </w:rPr>
      </w:pPr>
    </w:p>
    <w:p w14:paraId="67A6A641">
      <w:pPr>
        <w:spacing w:line="360" w:lineRule="auto"/>
        <w:jc w:val="left"/>
        <w:outlineLvl w:val="3"/>
        <w:rPr>
          <w:rFonts w:hint="default" w:ascii="Times New Roman" w:hAnsi="Times New Roman" w:eastAsia="宋体" w:cs="Times New Roman"/>
          <w:b/>
          <w:bCs/>
          <w:color w:val="auto"/>
          <w:sz w:val="24"/>
          <w:szCs w:val="21"/>
        </w:rPr>
      </w:pPr>
    </w:p>
    <w:p w14:paraId="0253DC39">
      <w:pPr>
        <w:rPr>
          <w:rFonts w:hint="default" w:ascii="Times New Roman" w:hAnsi="Times New Roman" w:eastAsia="宋体" w:cs="Times New Roman"/>
          <w:b/>
          <w:bCs/>
          <w:color w:val="auto"/>
          <w:sz w:val="24"/>
          <w:szCs w:val="21"/>
        </w:rPr>
      </w:pPr>
      <w:r>
        <w:rPr>
          <w:rFonts w:hint="default" w:ascii="Times New Roman" w:hAnsi="Times New Roman" w:eastAsia="宋体" w:cs="Times New Roman"/>
          <w:b/>
          <w:bCs/>
          <w:color w:val="auto"/>
          <w:sz w:val="24"/>
          <w:szCs w:val="21"/>
        </w:rPr>
        <w:br w:type="page"/>
      </w:r>
    </w:p>
    <w:p w14:paraId="4FBCFF2A">
      <w:pPr>
        <w:spacing w:line="360" w:lineRule="auto"/>
        <w:jc w:val="left"/>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2</w:t>
      </w:r>
    </w:p>
    <w:p w14:paraId="244B7942">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供应商信用承诺书</w:t>
      </w:r>
    </w:p>
    <w:p w14:paraId="165C335F">
      <w:pPr>
        <w:spacing w:line="360" w:lineRule="auto"/>
        <w:ind w:firstLine="480"/>
        <w:rPr>
          <w:rFonts w:hint="default" w:ascii="Times New Roman" w:hAnsi="Times New Roman" w:eastAsia="宋体" w:cs="Times New Roman"/>
          <w:color w:val="auto"/>
          <w:sz w:val="24"/>
          <w:szCs w:val="21"/>
          <w:lang w:val="zh-CN"/>
        </w:rPr>
      </w:pPr>
    </w:p>
    <w:p w14:paraId="34ECD563">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zh-CN"/>
        </w:rPr>
        <w:t>为营造公开、公平、公正的公共资源交易环境，树立诚信守法的投标人形象，本人代表本单位作出以下承诺：</w:t>
      </w:r>
    </w:p>
    <w:p w14:paraId="3BA68C11">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zh-CN"/>
        </w:rPr>
        <w:t>一、本单位对所提交的单位基本信息、单位负责人、项目负责人、技术负责人、从业资质和资格、业绩、财务状况、信誉等所有资料，均合法、真实、准确、有效，无任何伪造、修改、虚假成分；</w:t>
      </w:r>
    </w:p>
    <w:p w14:paraId="29D2D82B">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zh-CN"/>
        </w:rPr>
        <w:t>二、严格依照国家和省、市、县关于招标投标等方面的法律、法规、规章、规范性文件，参加公共资源交易招标投标活动；积极履行社会责任，促进廉政建设；</w:t>
      </w:r>
    </w:p>
    <w:p w14:paraId="70A7F379">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zh-CN"/>
        </w:rPr>
        <w:t>三、严格遵守即时信息公示规定，及时更新公共资源交易中心主体信息库中信息；</w:t>
      </w:r>
    </w:p>
    <w:p w14:paraId="63694308">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zh-CN"/>
        </w:rPr>
        <w:t>四、自我约束、自我管理，守合同、重信用，不参与围标串标、弄虚作假、骗取中标、干扰评标、违约毁约、恶意投诉等行为，主动维护公共资源交易招标投标的良好秩序；</w:t>
      </w:r>
    </w:p>
    <w:p w14:paraId="692DF378">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770FDAA6">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zh-CN"/>
        </w:rPr>
        <w:t>六、自觉接受政府部门、行业组织、社会公众、新闻舆论等监督；</w:t>
      </w:r>
    </w:p>
    <w:p w14:paraId="2DA82141">
      <w:pPr>
        <w:spacing w:line="360" w:lineRule="auto"/>
        <w:ind w:firstLine="480"/>
        <w:rPr>
          <w:rFonts w:hint="default" w:ascii="Times New Roman" w:hAnsi="Times New Roman" w:eastAsia="宋体" w:cs="Times New Roman"/>
          <w:color w:val="auto"/>
          <w:sz w:val="24"/>
          <w:szCs w:val="21"/>
          <w:lang w:val="zh-CN"/>
        </w:rPr>
      </w:pPr>
      <w:r>
        <w:rPr>
          <w:rFonts w:hint="default" w:ascii="Times New Roman" w:hAnsi="Times New Roman" w:eastAsia="宋体" w:cs="Times New Roman"/>
          <w:color w:val="auto"/>
          <w:sz w:val="24"/>
          <w:szCs w:val="21"/>
          <w:lang w:val="zh-CN"/>
        </w:rPr>
        <w:t>七、上述承诺已向本单位员工作了宣传教育；</w:t>
      </w:r>
    </w:p>
    <w:p w14:paraId="50FD78E0">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b/>
          <w:bCs/>
          <w:color w:val="auto"/>
          <w:sz w:val="24"/>
          <w:szCs w:val="21"/>
          <w:lang w:val="zh-CN"/>
        </w:rPr>
        <w:t>如有违反上述承诺的不良行为，本单位同意将其予以上网公示。</w:t>
      </w:r>
    </w:p>
    <w:p w14:paraId="70946FA1">
      <w:pPr>
        <w:snapToGrid w:val="0"/>
        <w:spacing w:line="360" w:lineRule="auto"/>
        <w:outlineLvl w:val="4"/>
        <w:rPr>
          <w:rFonts w:hint="default" w:ascii="Times New Roman" w:hAnsi="Times New Roman" w:eastAsia="宋体" w:cs="Times New Roman"/>
          <w:bCs/>
          <w:color w:val="auto"/>
          <w:sz w:val="24"/>
        </w:rPr>
      </w:pPr>
    </w:p>
    <w:p w14:paraId="4B09F372">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 xml:space="preserve"> 投标人（加盖CA电子签章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12A85432">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 xml:space="preserve">                   法定代表人或被授权人（签字或加盖CA电子签章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41E53A25">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zh-CN"/>
        </w:rPr>
        <w:t>时间：</w:t>
      </w:r>
      <w:r>
        <w:rPr>
          <w:rFonts w:hint="default" w:ascii="Times New Roman" w:hAnsi="Times New Roman" w:eastAsia="宋体" w:cs="Times New Roman"/>
          <w:bCs/>
          <w:color w:val="auto"/>
          <w:sz w:val="24"/>
        </w:rPr>
        <w:t>2026年</w:t>
      </w:r>
      <w:r>
        <w:rPr>
          <w:rFonts w:hint="default" w:ascii="Times New Roman" w:hAnsi="Times New Roman" w:eastAsia="宋体" w:cs="Times New Roman"/>
          <w:bCs/>
          <w:color w:val="auto"/>
          <w:sz w:val="24"/>
          <w:lang w:val="zh-CN"/>
        </w:rPr>
        <w:t xml:space="preserve">  月   日</w:t>
      </w:r>
    </w:p>
    <w:p w14:paraId="79B78F5C">
      <w:pPr>
        <w:rPr>
          <w:rFonts w:hint="default" w:ascii="Times New Roman" w:hAnsi="Times New Roman" w:eastAsia="宋体" w:cs="Times New Roman"/>
          <w:b/>
          <w:bCs/>
          <w:color w:val="auto"/>
          <w:sz w:val="28"/>
          <w:szCs w:val="28"/>
        </w:rPr>
      </w:pPr>
    </w:p>
    <w:p w14:paraId="250E427E">
      <w:pP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br w:type="page"/>
      </w:r>
    </w:p>
    <w:p w14:paraId="19D7A57C">
      <w:pPr>
        <w:spacing w:line="360" w:lineRule="auto"/>
        <w:jc w:val="left"/>
        <w:outlineLvl w:val="3"/>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3</w:t>
      </w:r>
    </w:p>
    <w:p w14:paraId="43A8DA36">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供应商情况表</w:t>
      </w:r>
    </w:p>
    <w:tbl>
      <w:tblPr>
        <w:tblStyle w:val="12"/>
        <w:tblW w:w="9464" w:type="dxa"/>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539FE3D8">
        <w:tblPrEx>
          <w:tblCellMar>
            <w:top w:w="0" w:type="dxa"/>
            <w:left w:w="108" w:type="dxa"/>
            <w:bottom w:w="0" w:type="dxa"/>
            <w:right w:w="108" w:type="dxa"/>
          </w:tblCellMar>
        </w:tblPrEx>
        <w:trPr>
          <w:cantSplit/>
          <w:trHeight w:val="286" w:hRule="atLeas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63B28C44">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企业名称</w:t>
            </w:r>
          </w:p>
        </w:tc>
        <w:tc>
          <w:tcPr>
            <w:tcW w:w="7229" w:type="dxa"/>
            <w:gridSpan w:val="8"/>
            <w:tcBorders>
              <w:top w:val="single" w:color="000000" w:sz="4" w:space="0"/>
              <w:left w:val="nil"/>
              <w:bottom w:val="single" w:color="000000" w:sz="4" w:space="0"/>
              <w:right w:val="single" w:color="000000" w:sz="4" w:space="0"/>
            </w:tcBorders>
          </w:tcPr>
          <w:p w14:paraId="5FF223AB">
            <w:pPr>
              <w:spacing w:line="360" w:lineRule="auto"/>
              <w:rPr>
                <w:rFonts w:hint="default" w:ascii="Times New Roman" w:hAnsi="Times New Roman" w:eastAsia="宋体" w:cs="Times New Roman"/>
                <w:color w:val="auto"/>
                <w:sz w:val="24"/>
                <w:szCs w:val="24"/>
              </w:rPr>
            </w:pPr>
          </w:p>
        </w:tc>
      </w:tr>
      <w:tr w14:paraId="0FE4966B">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6E42F98D">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总部地址</w:t>
            </w:r>
          </w:p>
        </w:tc>
        <w:tc>
          <w:tcPr>
            <w:tcW w:w="7229" w:type="dxa"/>
            <w:gridSpan w:val="8"/>
            <w:tcBorders>
              <w:top w:val="single" w:color="000000" w:sz="4" w:space="0"/>
              <w:left w:val="nil"/>
              <w:bottom w:val="single" w:color="000000" w:sz="4" w:space="0"/>
              <w:right w:val="single" w:color="000000" w:sz="4" w:space="0"/>
            </w:tcBorders>
          </w:tcPr>
          <w:p w14:paraId="125A0A59">
            <w:pPr>
              <w:spacing w:line="360" w:lineRule="auto"/>
              <w:rPr>
                <w:rFonts w:hint="default" w:ascii="Times New Roman" w:hAnsi="Times New Roman" w:eastAsia="宋体" w:cs="Times New Roman"/>
                <w:color w:val="auto"/>
                <w:sz w:val="24"/>
                <w:szCs w:val="24"/>
              </w:rPr>
            </w:pPr>
          </w:p>
        </w:tc>
      </w:tr>
      <w:tr w14:paraId="3816C258">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6C103F79">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分支机构</w:t>
            </w:r>
          </w:p>
        </w:tc>
        <w:tc>
          <w:tcPr>
            <w:tcW w:w="7229" w:type="dxa"/>
            <w:gridSpan w:val="8"/>
            <w:tcBorders>
              <w:top w:val="single" w:color="000000" w:sz="4" w:space="0"/>
              <w:left w:val="nil"/>
              <w:bottom w:val="single" w:color="000000" w:sz="4" w:space="0"/>
              <w:right w:val="single" w:color="000000" w:sz="4" w:space="0"/>
            </w:tcBorders>
          </w:tcPr>
          <w:p w14:paraId="68B5E4CF">
            <w:pPr>
              <w:spacing w:line="360" w:lineRule="auto"/>
              <w:rPr>
                <w:rFonts w:hint="default" w:ascii="Times New Roman" w:hAnsi="Times New Roman" w:eastAsia="宋体" w:cs="Times New Roman"/>
                <w:color w:val="auto"/>
                <w:sz w:val="24"/>
                <w:szCs w:val="24"/>
              </w:rPr>
            </w:pPr>
          </w:p>
        </w:tc>
      </w:tr>
      <w:tr w14:paraId="13100CA9">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74CEE075">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当地代表处地址</w:t>
            </w:r>
          </w:p>
        </w:tc>
        <w:tc>
          <w:tcPr>
            <w:tcW w:w="7229" w:type="dxa"/>
            <w:gridSpan w:val="8"/>
            <w:tcBorders>
              <w:top w:val="single" w:color="000000" w:sz="4" w:space="0"/>
              <w:left w:val="nil"/>
              <w:bottom w:val="single" w:color="000000" w:sz="4" w:space="0"/>
              <w:right w:val="single" w:color="000000" w:sz="4" w:space="0"/>
            </w:tcBorders>
          </w:tcPr>
          <w:p w14:paraId="3D9665F3">
            <w:pPr>
              <w:spacing w:line="360" w:lineRule="auto"/>
              <w:rPr>
                <w:rFonts w:hint="default" w:ascii="Times New Roman" w:hAnsi="Times New Roman" w:eastAsia="宋体" w:cs="Times New Roman"/>
                <w:color w:val="auto"/>
                <w:sz w:val="24"/>
                <w:szCs w:val="24"/>
              </w:rPr>
            </w:pPr>
          </w:p>
        </w:tc>
      </w:tr>
      <w:tr w14:paraId="3E20EA4D">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1339D625">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电话</w:t>
            </w:r>
          </w:p>
        </w:tc>
        <w:tc>
          <w:tcPr>
            <w:tcW w:w="2408" w:type="dxa"/>
            <w:gridSpan w:val="3"/>
            <w:tcBorders>
              <w:top w:val="single" w:color="000000" w:sz="4" w:space="0"/>
              <w:left w:val="nil"/>
              <w:bottom w:val="single" w:color="000000" w:sz="4" w:space="0"/>
              <w:right w:val="single" w:color="000000" w:sz="4" w:space="0"/>
            </w:tcBorders>
          </w:tcPr>
          <w:p w14:paraId="099B8F7A">
            <w:pPr>
              <w:spacing w:line="360" w:lineRule="auto"/>
              <w:rPr>
                <w:rFonts w:hint="default" w:ascii="Times New Roman" w:hAnsi="Times New Roman" w:eastAsia="宋体" w:cs="Times New Roman"/>
                <w:color w:val="auto"/>
                <w:sz w:val="24"/>
                <w:szCs w:val="24"/>
              </w:rPr>
            </w:pPr>
          </w:p>
        </w:tc>
        <w:tc>
          <w:tcPr>
            <w:tcW w:w="1875" w:type="dxa"/>
            <w:gridSpan w:val="2"/>
            <w:tcBorders>
              <w:top w:val="single" w:color="000000" w:sz="4" w:space="0"/>
              <w:left w:val="nil"/>
              <w:bottom w:val="single" w:color="000000" w:sz="4" w:space="0"/>
              <w:right w:val="single" w:color="000000" w:sz="4" w:space="0"/>
            </w:tcBorders>
          </w:tcPr>
          <w:p w14:paraId="34EDA6D5">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联系人</w:t>
            </w:r>
          </w:p>
        </w:tc>
        <w:tc>
          <w:tcPr>
            <w:tcW w:w="2946" w:type="dxa"/>
            <w:gridSpan w:val="3"/>
            <w:tcBorders>
              <w:top w:val="single" w:color="000000" w:sz="4" w:space="0"/>
              <w:left w:val="nil"/>
              <w:bottom w:val="single" w:color="000000" w:sz="4" w:space="0"/>
              <w:right w:val="single" w:color="000000" w:sz="4" w:space="0"/>
            </w:tcBorders>
          </w:tcPr>
          <w:p w14:paraId="1619DDF4">
            <w:pPr>
              <w:spacing w:line="360" w:lineRule="auto"/>
              <w:rPr>
                <w:rFonts w:hint="default" w:ascii="Times New Roman" w:hAnsi="Times New Roman" w:eastAsia="宋体" w:cs="Times New Roman"/>
                <w:color w:val="auto"/>
                <w:sz w:val="24"/>
                <w:szCs w:val="24"/>
              </w:rPr>
            </w:pPr>
          </w:p>
        </w:tc>
      </w:tr>
      <w:tr w14:paraId="1FFB80D3">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6A50EEED">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传真</w:t>
            </w:r>
          </w:p>
        </w:tc>
        <w:tc>
          <w:tcPr>
            <w:tcW w:w="2408" w:type="dxa"/>
            <w:gridSpan w:val="3"/>
            <w:tcBorders>
              <w:top w:val="single" w:color="000000" w:sz="4" w:space="0"/>
              <w:left w:val="nil"/>
              <w:bottom w:val="single" w:color="000000" w:sz="4" w:space="0"/>
              <w:right w:val="single" w:color="000000" w:sz="4" w:space="0"/>
            </w:tcBorders>
          </w:tcPr>
          <w:p w14:paraId="59FAD209">
            <w:pPr>
              <w:spacing w:line="360" w:lineRule="auto"/>
              <w:rPr>
                <w:rFonts w:hint="default" w:ascii="Times New Roman" w:hAnsi="Times New Roman" w:eastAsia="宋体" w:cs="Times New Roman"/>
                <w:color w:val="auto"/>
                <w:sz w:val="24"/>
                <w:szCs w:val="24"/>
              </w:rPr>
            </w:pPr>
          </w:p>
        </w:tc>
        <w:tc>
          <w:tcPr>
            <w:tcW w:w="1875" w:type="dxa"/>
            <w:gridSpan w:val="2"/>
            <w:tcBorders>
              <w:top w:val="single" w:color="000000" w:sz="4" w:space="0"/>
              <w:left w:val="nil"/>
              <w:bottom w:val="single" w:color="000000" w:sz="4" w:space="0"/>
              <w:right w:val="single" w:color="000000" w:sz="4" w:space="0"/>
            </w:tcBorders>
          </w:tcPr>
          <w:p w14:paraId="73EB8A35">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电子邮件</w:t>
            </w:r>
          </w:p>
        </w:tc>
        <w:tc>
          <w:tcPr>
            <w:tcW w:w="2946" w:type="dxa"/>
            <w:gridSpan w:val="3"/>
            <w:tcBorders>
              <w:top w:val="single" w:color="000000" w:sz="4" w:space="0"/>
              <w:left w:val="nil"/>
              <w:bottom w:val="single" w:color="000000" w:sz="4" w:space="0"/>
              <w:right w:val="single" w:color="000000" w:sz="4" w:space="0"/>
            </w:tcBorders>
          </w:tcPr>
          <w:p w14:paraId="4EA4A8D4">
            <w:pPr>
              <w:spacing w:line="360" w:lineRule="auto"/>
              <w:rPr>
                <w:rFonts w:hint="default" w:ascii="Times New Roman" w:hAnsi="Times New Roman" w:eastAsia="宋体" w:cs="Times New Roman"/>
                <w:color w:val="auto"/>
                <w:sz w:val="24"/>
                <w:szCs w:val="24"/>
              </w:rPr>
            </w:pPr>
          </w:p>
        </w:tc>
      </w:tr>
      <w:tr w14:paraId="48C3A8C1">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7DA15AEB">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注册地</w:t>
            </w:r>
          </w:p>
        </w:tc>
        <w:tc>
          <w:tcPr>
            <w:tcW w:w="2408" w:type="dxa"/>
            <w:gridSpan w:val="3"/>
            <w:tcBorders>
              <w:top w:val="single" w:color="000000" w:sz="4" w:space="0"/>
              <w:left w:val="nil"/>
              <w:bottom w:val="single" w:color="000000" w:sz="4" w:space="0"/>
              <w:right w:val="single" w:color="000000" w:sz="4" w:space="0"/>
            </w:tcBorders>
          </w:tcPr>
          <w:p w14:paraId="369AC5BD">
            <w:pPr>
              <w:spacing w:line="360" w:lineRule="auto"/>
              <w:rPr>
                <w:rFonts w:hint="default" w:ascii="Times New Roman" w:hAnsi="Times New Roman" w:eastAsia="宋体" w:cs="Times New Roman"/>
                <w:color w:val="auto"/>
                <w:sz w:val="24"/>
                <w:szCs w:val="24"/>
              </w:rPr>
            </w:pPr>
          </w:p>
        </w:tc>
        <w:tc>
          <w:tcPr>
            <w:tcW w:w="1875" w:type="dxa"/>
            <w:gridSpan w:val="2"/>
            <w:tcBorders>
              <w:top w:val="single" w:color="000000" w:sz="4" w:space="0"/>
              <w:left w:val="nil"/>
              <w:bottom w:val="single" w:color="000000" w:sz="4" w:space="0"/>
              <w:right w:val="single" w:color="000000" w:sz="4" w:space="0"/>
            </w:tcBorders>
          </w:tcPr>
          <w:p w14:paraId="08E6A98A">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注册年份</w:t>
            </w:r>
          </w:p>
        </w:tc>
        <w:tc>
          <w:tcPr>
            <w:tcW w:w="2946" w:type="dxa"/>
            <w:gridSpan w:val="3"/>
            <w:tcBorders>
              <w:top w:val="single" w:color="000000" w:sz="4" w:space="0"/>
              <w:left w:val="nil"/>
              <w:bottom w:val="single" w:color="000000" w:sz="4" w:space="0"/>
              <w:right w:val="single" w:color="000000" w:sz="4" w:space="0"/>
            </w:tcBorders>
          </w:tcPr>
          <w:p w14:paraId="236D7630">
            <w:pPr>
              <w:spacing w:line="360" w:lineRule="auto"/>
              <w:rPr>
                <w:rFonts w:hint="default" w:ascii="Times New Roman" w:hAnsi="Times New Roman" w:eastAsia="宋体" w:cs="Times New Roman"/>
                <w:color w:val="auto"/>
                <w:sz w:val="24"/>
                <w:szCs w:val="24"/>
              </w:rPr>
            </w:pPr>
          </w:p>
        </w:tc>
      </w:tr>
      <w:tr w14:paraId="02DAA40A">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5C2A2CC8">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资质等级</w:t>
            </w:r>
          </w:p>
        </w:tc>
        <w:tc>
          <w:tcPr>
            <w:tcW w:w="7229" w:type="dxa"/>
            <w:gridSpan w:val="8"/>
            <w:tcBorders>
              <w:top w:val="single" w:color="000000" w:sz="4" w:space="0"/>
              <w:left w:val="nil"/>
              <w:bottom w:val="single" w:color="000000" w:sz="4" w:space="0"/>
              <w:right w:val="single" w:color="000000" w:sz="4" w:space="0"/>
            </w:tcBorders>
          </w:tcPr>
          <w:p w14:paraId="1822C752">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公司具备的相关资质等级及相应的证书号</w:t>
            </w:r>
          </w:p>
          <w:p w14:paraId="5CFDAB14">
            <w:pPr>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（请附有关证书的复印件</w:t>
            </w:r>
            <w:r>
              <w:rPr>
                <w:rFonts w:hint="default" w:ascii="Times New Roman" w:hAnsi="Times New Roman" w:eastAsia="宋体" w:cs="Times New Roman"/>
                <w:color w:val="auto"/>
                <w:sz w:val="24"/>
                <w:szCs w:val="24"/>
                <w:lang w:eastAsia="zh-CN"/>
              </w:rPr>
              <w:t>）</w:t>
            </w:r>
          </w:p>
        </w:tc>
      </w:tr>
      <w:tr w14:paraId="0B52EEAE">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5098CE93">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质量管理体系</w:t>
            </w:r>
          </w:p>
        </w:tc>
        <w:tc>
          <w:tcPr>
            <w:tcW w:w="7229" w:type="dxa"/>
            <w:gridSpan w:val="8"/>
            <w:tcBorders>
              <w:top w:val="single" w:color="000000" w:sz="4" w:space="0"/>
              <w:left w:val="nil"/>
              <w:bottom w:val="single" w:color="000000" w:sz="4" w:space="0"/>
              <w:right w:val="single" w:color="000000" w:sz="4" w:space="0"/>
            </w:tcBorders>
          </w:tcPr>
          <w:p w14:paraId="48D5C052">
            <w:pPr>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公司</w:t>
            </w:r>
            <w:r>
              <w:rPr>
                <w:rFonts w:hint="default" w:ascii="Times New Roman" w:hAnsi="Times New Roman" w:eastAsia="宋体" w:cs="Times New Roman"/>
                <w:color w:val="auto"/>
                <w:sz w:val="24"/>
                <w:szCs w:val="24"/>
                <w:u w:val="single"/>
              </w:rPr>
              <w:t xml:space="preserve">   （是否通过，何种</w:t>
            </w: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质量保证体系认证（如通过请附相关在有效期内的证书复印件</w:t>
            </w:r>
            <w:r>
              <w:rPr>
                <w:rFonts w:hint="default" w:ascii="Times New Roman" w:hAnsi="Times New Roman" w:eastAsia="宋体" w:cs="Times New Roman"/>
                <w:color w:val="auto"/>
                <w:sz w:val="24"/>
                <w:szCs w:val="24"/>
                <w:lang w:eastAsia="zh-CN"/>
              </w:rPr>
              <w:t>）</w:t>
            </w:r>
          </w:p>
        </w:tc>
      </w:tr>
      <w:tr w14:paraId="467C1363">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2EBBFFFC">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项目负责人</w:t>
            </w:r>
          </w:p>
        </w:tc>
        <w:tc>
          <w:tcPr>
            <w:tcW w:w="1559" w:type="dxa"/>
            <w:gridSpan w:val="2"/>
            <w:tcBorders>
              <w:top w:val="single" w:color="000000" w:sz="4" w:space="0"/>
              <w:left w:val="nil"/>
              <w:bottom w:val="single" w:color="000000" w:sz="4" w:space="0"/>
              <w:right w:val="single" w:color="000000" w:sz="4" w:space="0"/>
            </w:tcBorders>
          </w:tcPr>
          <w:p w14:paraId="12C91391">
            <w:pPr>
              <w:spacing w:line="360" w:lineRule="auto"/>
              <w:jc w:val="center"/>
              <w:rPr>
                <w:rFonts w:hint="default" w:ascii="Times New Roman" w:hAnsi="Times New Roman" w:eastAsia="宋体" w:cs="Times New Roman"/>
                <w:color w:val="auto"/>
                <w:sz w:val="24"/>
                <w:szCs w:val="24"/>
              </w:rPr>
            </w:pPr>
          </w:p>
        </w:tc>
        <w:tc>
          <w:tcPr>
            <w:tcW w:w="1417" w:type="dxa"/>
            <w:gridSpan w:val="2"/>
            <w:tcBorders>
              <w:top w:val="single" w:color="000000" w:sz="4" w:space="0"/>
              <w:left w:val="nil"/>
              <w:bottom w:val="single" w:color="000000" w:sz="4" w:space="0"/>
              <w:right w:val="single" w:color="000000" w:sz="4" w:space="0"/>
            </w:tcBorders>
          </w:tcPr>
          <w:p w14:paraId="45225F70">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年龄</w:t>
            </w:r>
          </w:p>
        </w:tc>
        <w:tc>
          <w:tcPr>
            <w:tcW w:w="1466" w:type="dxa"/>
            <w:gridSpan w:val="2"/>
            <w:tcBorders>
              <w:top w:val="single" w:color="000000" w:sz="4" w:space="0"/>
              <w:left w:val="nil"/>
              <w:bottom w:val="single" w:color="000000" w:sz="4" w:space="0"/>
              <w:right w:val="single" w:color="000000" w:sz="4" w:space="0"/>
            </w:tcBorders>
          </w:tcPr>
          <w:p w14:paraId="44078EB7">
            <w:pPr>
              <w:spacing w:line="360" w:lineRule="auto"/>
              <w:jc w:val="center"/>
              <w:rPr>
                <w:rFonts w:hint="default" w:ascii="Times New Roman" w:hAnsi="Times New Roman" w:eastAsia="宋体" w:cs="Times New Roman"/>
                <w:color w:val="auto"/>
                <w:sz w:val="24"/>
                <w:szCs w:val="24"/>
              </w:rPr>
            </w:pPr>
          </w:p>
        </w:tc>
        <w:tc>
          <w:tcPr>
            <w:tcW w:w="1320" w:type="dxa"/>
            <w:tcBorders>
              <w:top w:val="single" w:color="000000" w:sz="4" w:space="0"/>
              <w:left w:val="nil"/>
              <w:bottom w:val="single" w:color="000000" w:sz="4" w:space="0"/>
              <w:right w:val="single" w:color="000000" w:sz="4" w:space="0"/>
            </w:tcBorders>
          </w:tcPr>
          <w:p w14:paraId="706E580E">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性别</w:t>
            </w:r>
          </w:p>
        </w:tc>
        <w:tc>
          <w:tcPr>
            <w:tcW w:w="1467" w:type="dxa"/>
            <w:tcBorders>
              <w:top w:val="single" w:color="000000" w:sz="4" w:space="0"/>
              <w:left w:val="nil"/>
              <w:bottom w:val="single" w:color="000000" w:sz="4" w:space="0"/>
              <w:right w:val="single" w:color="000000" w:sz="4" w:space="0"/>
            </w:tcBorders>
          </w:tcPr>
          <w:p w14:paraId="2A958166">
            <w:pPr>
              <w:spacing w:line="360" w:lineRule="auto"/>
              <w:jc w:val="center"/>
              <w:rPr>
                <w:rFonts w:hint="default" w:ascii="Times New Roman" w:hAnsi="Times New Roman" w:eastAsia="宋体" w:cs="Times New Roman"/>
                <w:color w:val="auto"/>
                <w:sz w:val="24"/>
                <w:szCs w:val="24"/>
              </w:rPr>
            </w:pPr>
          </w:p>
        </w:tc>
      </w:tr>
      <w:tr w14:paraId="2051BF6B">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3BDC7B14">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职务职称</w:t>
            </w:r>
          </w:p>
        </w:tc>
        <w:tc>
          <w:tcPr>
            <w:tcW w:w="2976" w:type="dxa"/>
            <w:gridSpan w:val="4"/>
            <w:tcBorders>
              <w:top w:val="single" w:color="000000" w:sz="4" w:space="0"/>
              <w:left w:val="nil"/>
              <w:bottom w:val="single" w:color="000000" w:sz="4" w:space="0"/>
              <w:right w:val="single" w:color="000000" w:sz="4" w:space="0"/>
            </w:tcBorders>
          </w:tcPr>
          <w:p w14:paraId="11229482">
            <w:pPr>
              <w:spacing w:line="360" w:lineRule="auto"/>
              <w:rPr>
                <w:rFonts w:hint="default" w:ascii="Times New Roman" w:hAnsi="Times New Roman" w:eastAsia="宋体" w:cs="Times New Roman"/>
                <w:color w:val="auto"/>
                <w:sz w:val="24"/>
                <w:szCs w:val="24"/>
              </w:rPr>
            </w:pPr>
          </w:p>
        </w:tc>
        <w:tc>
          <w:tcPr>
            <w:tcW w:w="1466" w:type="dxa"/>
            <w:gridSpan w:val="2"/>
            <w:tcBorders>
              <w:top w:val="single" w:color="000000" w:sz="4" w:space="0"/>
              <w:left w:val="nil"/>
              <w:bottom w:val="single" w:color="000000" w:sz="4" w:space="0"/>
              <w:right w:val="single" w:color="000000" w:sz="4" w:space="0"/>
            </w:tcBorders>
          </w:tcPr>
          <w:p w14:paraId="74B6A584">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执业资格</w:t>
            </w:r>
          </w:p>
        </w:tc>
        <w:tc>
          <w:tcPr>
            <w:tcW w:w="2787" w:type="dxa"/>
            <w:gridSpan w:val="2"/>
            <w:tcBorders>
              <w:top w:val="single" w:color="000000" w:sz="4" w:space="0"/>
              <w:left w:val="nil"/>
              <w:bottom w:val="single" w:color="000000" w:sz="4" w:space="0"/>
              <w:right w:val="single" w:color="000000" w:sz="4" w:space="0"/>
            </w:tcBorders>
          </w:tcPr>
          <w:p w14:paraId="795CF0EE">
            <w:pPr>
              <w:spacing w:line="360" w:lineRule="auto"/>
              <w:rPr>
                <w:rFonts w:hint="default" w:ascii="Times New Roman" w:hAnsi="Times New Roman" w:eastAsia="宋体" w:cs="Times New Roman"/>
                <w:color w:val="auto"/>
                <w:sz w:val="24"/>
                <w:szCs w:val="24"/>
              </w:rPr>
            </w:pPr>
          </w:p>
        </w:tc>
      </w:tr>
      <w:tr w14:paraId="52BA9638">
        <w:tblPrEx>
          <w:tblCellMar>
            <w:top w:w="0" w:type="dxa"/>
            <w:left w:w="108" w:type="dxa"/>
            <w:bottom w:w="0" w:type="dxa"/>
            <w:right w:w="108" w:type="dxa"/>
          </w:tblCellMar>
        </w:tblPrEx>
        <w:trPr>
          <w:cantSplit/>
          <w:trHeight w:val="2234" w:hRule="atLeas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04F815E2">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经营范围</w:t>
            </w:r>
          </w:p>
        </w:tc>
        <w:tc>
          <w:tcPr>
            <w:tcW w:w="7229" w:type="dxa"/>
            <w:gridSpan w:val="8"/>
            <w:tcBorders>
              <w:top w:val="single" w:color="000000" w:sz="4" w:space="0"/>
              <w:left w:val="nil"/>
              <w:bottom w:val="single" w:color="000000" w:sz="4" w:space="0"/>
              <w:right w:val="single" w:color="000000" w:sz="4" w:space="0"/>
            </w:tcBorders>
          </w:tcPr>
          <w:p w14:paraId="6B9E2C32">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营业执照载明：</w:t>
            </w:r>
          </w:p>
          <w:p w14:paraId="43AA675B">
            <w:pPr>
              <w:spacing w:line="360" w:lineRule="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u w:val="single"/>
              </w:rPr>
              <w:t xml:space="preserve">                                               </w:t>
            </w:r>
          </w:p>
          <w:p w14:paraId="52DEFCBD">
            <w:pPr>
              <w:spacing w:line="360" w:lineRule="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u w:val="single"/>
              </w:rPr>
              <w:t xml:space="preserve">                                               </w:t>
            </w:r>
          </w:p>
          <w:p w14:paraId="50EED9DF">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14:paraId="6242C79D">
        <w:tblPrEx>
          <w:tblCellMar>
            <w:top w:w="0" w:type="dxa"/>
            <w:left w:w="108" w:type="dxa"/>
            <w:bottom w:w="0" w:type="dxa"/>
            <w:right w:w="108" w:type="dxa"/>
          </w:tblCellMar>
        </w:tblPrEx>
        <w:trPr>
          <w:trHeight w:val="471"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vAlign w:val="center"/>
          </w:tcPr>
          <w:p w14:paraId="4F907C71">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从事类似相关项目的经历及年数</w:t>
            </w:r>
          </w:p>
        </w:tc>
        <w:tc>
          <w:tcPr>
            <w:tcW w:w="6521" w:type="dxa"/>
            <w:gridSpan w:val="7"/>
            <w:tcBorders>
              <w:top w:val="single" w:color="000000" w:sz="4" w:space="0"/>
              <w:left w:val="nil"/>
              <w:bottom w:val="single" w:color="000000" w:sz="4" w:space="0"/>
              <w:right w:val="single" w:color="000000" w:sz="4" w:space="0"/>
            </w:tcBorders>
          </w:tcPr>
          <w:p w14:paraId="1C780F29">
            <w:pPr>
              <w:spacing w:line="360" w:lineRule="auto"/>
              <w:rPr>
                <w:rFonts w:hint="default" w:ascii="Times New Roman" w:hAnsi="Times New Roman" w:eastAsia="宋体" w:cs="Times New Roman"/>
                <w:color w:val="auto"/>
                <w:sz w:val="24"/>
                <w:szCs w:val="24"/>
              </w:rPr>
            </w:pPr>
          </w:p>
        </w:tc>
      </w:tr>
      <w:tr w14:paraId="125B5455">
        <w:tblPrEx>
          <w:tblCellMar>
            <w:top w:w="0" w:type="dxa"/>
            <w:left w:w="108" w:type="dxa"/>
            <w:bottom w:w="0" w:type="dxa"/>
            <w:right w:w="108" w:type="dxa"/>
          </w:tblCellMar>
        </w:tblPrEx>
        <w:trPr>
          <w:trHeight w:val="471"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vAlign w:val="center"/>
          </w:tcPr>
          <w:p w14:paraId="71ED5032">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其他认为有必要提供的内容，可自行添加</w:t>
            </w:r>
          </w:p>
        </w:tc>
        <w:tc>
          <w:tcPr>
            <w:tcW w:w="6521" w:type="dxa"/>
            <w:gridSpan w:val="7"/>
            <w:tcBorders>
              <w:top w:val="single" w:color="000000" w:sz="4" w:space="0"/>
              <w:left w:val="nil"/>
              <w:bottom w:val="single" w:color="000000" w:sz="4" w:space="0"/>
              <w:right w:val="single" w:color="000000" w:sz="4" w:space="0"/>
            </w:tcBorders>
          </w:tcPr>
          <w:p w14:paraId="57FDAF51">
            <w:pPr>
              <w:spacing w:line="360" w:lineRule="auto"/>
              <w:rPr>
                <w:rFonts w:hint="default" w:ascii="Times New Roman" w:hAnsi="Times New Roman" w:eastAsia="宋体" w:cs="Times New Roman"/>
                <w:color w:val="auto"/>
                <w:sz w:val="24"/>
                <w:szCs w:val="24"/>
              </w:rPr>
            </w:pPr>
          </w:p>
        </w:tc>
      </w:tr>
    </w:tbl>
    <w:p w14:paraId="462360EB">
      <w:pPr>
        <w:spacing w:line="360" w:lineRule="auto"/>
        <w:ind w:firstLine="480"/>
        <w:jc w:val="right"/>
        <w:rPr>
          <w:rFonts w:hint="default" w:ascii="Times New Roman" w:hAnsi="Times New Roman" w:eastAsia="宋体" w:cs="Times New Roman"/>
          <w:color w:val="auto"/>
          <w:sz w:val="24"/>
          <w:szCs w:val="24"/>
        </w:rPr>
      </w:pPr>
    </w:p>
    <w:p w14:paraId="72B7B982">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投标人（加盖CA电子签章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1A0AB596">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法定代表人或被授权人（签字或加盖CA电子签章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052E108F">
      <w:pPr>
        <w:snapToGrid w:val="0"/>
        <w:spacing w:line="360" w:lineRule="auto"/>
        <w:jc w:val="right"/>
        <w:outlineLvl w:val="4"/>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lang w:val="zh-CN"/>
        </w:rPr>
        <w:t>时间：</w:t>
      </w:r>
      <w:r>
        <w:rPr>
          <w:rFonts w:hint="default" w:ascii="Times New Roman" w:hAnsi="Times New Roman" w:eastAsia="宋体" w:cs="Times New Roman"/>
          <w:bCs/>
          <w:color w:val="auto"/>
          <w:sz w:val="24"/>
        </w:rPr>
        <w:t>2026年</w:t>
      </w:r>
      <w:r>
        <w:rPr>
          <w:rFonts w:hint="default" w:ascii="Times New Roman" w:hAnsi="Times New Roman" w:eastAsia="宋体" w:cs="Times New Roman"/>
          <w:bCs/>
          <w:color w:val="auto"/>
          <w:sz w:val="24"/>
          <w:lang w:val="zh-CN"/>
        </w:rPr>
        <w:t xml:space="preserve">  月   日</w:t>
      </w:r>
    </w:p>
    <w:p w14:paraId="027B5D92">
      <w:pPr>
        <w:rPr>
          <w:rFonts w:hint="default" w:ascii="Times New Roman" w:hAnsi="Times New Roman" w:eastAsia="宋体" w:cs="Times New Roman"/>
          <w:b/>
          <w:bCs/>
          <w:color w:val="auto"/>
          <w:sz w:val="28"/>
          <w:szCs w:val="28"/>
        </w:rPr>
      </w:pPr>
    </w:p>
    <w:p w14:paraId="0E70B814">
      <w:pP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br w:type="page"/>
      </w:r>
    </w:p>
    <w:p w14:paraId="432799FB">
      <w:pPr>
        <w:numPr>
          <w:ilvl w:val="0"/>
          <w:numId w:val="0"/>
        </w:numPr>
        <w:spacing w:line="360" w:lineRule="auto"/>
        <w:jc w:val="left"/>
        <w:outlineLvl w:val="3"/>
        <w:rPr>
          <w:rFonts w:hint="default" w:ascii="Times New Roman" w:hAnsi="Times New Roman" w:eastAsia="宋体" w:cs="Times New Roman"/>
          <w:b/>
          <w:bCs/>
          <w:color w:val="auto"/>
          <w:sz w:val="28"/>
          <w:szCs w:val="28"/>
          <w:lang w:val="en-US" w:eastAsia="zh-CN" w:bidi="ar-SA"/>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4</w:t>
      </w:r>
    </w:p>
    <w:p w14:paraId="7B0E0E66">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投标人符合《中华人民共和国政府采购法》第二十二条规定条件</w:t>
      </w:r>
    </w:p>
    <w:p w14:paraId="2A170324">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的声明函</w:t>
      </w:r>
    </w:p>
    <w:p w14:paraId="0121ECDA">
      <w:pPr>
        <w:spacing w:line="360" w:lineRule="auto"/>
        <w:rPr>
          <w:rFonts w:hint="default" w:ascii="Times New Roman" w:hAnsi="Times New Roman" w:eastAsia="宋体" w:cs="Times New Roman"/>
          <w:color w:val="auto"/>
          <w:sz w:val="24"/>
          <w:szCs w:val="21"/>
          <w:u w:val="single"/>
        </w:rPr>
      </w:pPr>
    </w:p>
    <w:p w14:paraId="0553DBE4">
      <w:pPr>
        <w:spacing w:line="360" w:lineRule="auto"/>
        <w:ind w:firstLine="480"/>
        <w:rPr>
          <w:rFonts w:hint="default" w:ascii="Times New Roman" w:hAnsi="Times New Roman" w:eastAsia="宋体" w:cs="Times New Roman"/>
          <w:b/>
          <w:bCs/>
          <w:color w:val="auto"/>
          <w:sz w:val="24"/>
          <w:szCs w:val="21"/>
        </w:rPr>
      </w:pPr>
      <w:r>
        <w:rPr>
          <w:rFonts w:hint="default" w:ascii="Times New Roman" w:hAnsi="Times New Roman" w:eastAsia="宋体" w:cs="Times New Roman"/>
          <w:bCs/>
          <w:color w:val="auto"/>
          <w:sz w:val="24"/>
          <w:szCs w:val="21"/>
        </w:rPr>
        <w:t>我单位参加</w:t>
      </w:r>
      <w:r>
        <w:rPr>
          <w:rFonts w:hint="default" w:ascii="Times New Roman" w:hAnsi="Times New Roman" w:eastAsia="宋体" w:cs="Times New Roman"/>
          <w:bCs/>
          <w:color w:val="auto"/>
          <w:sz w:val="24"/>
          <w:szCs w:val="21"/>
          <w:u w:val="single"/>
        </w:rPr>
        <w:t xml:space="preserve">                   </w:t>
      </w:r>
      <w:r>
        <w:rPr>
          <w:rFonts w:hint="default" w:ascii="Times New Roman" w:hAnsi="Times New Roman" w:eastAsia="宋体" w:cs="Times New Roman"/>
          <w:bCs/>
          <w:color w:val="auto"/>
          <w:sz w:val="24"/>
          <w:szCs w:val="21"/>
        </w:rPr>
        <w:t>（项目名称</w:t>
      </w:r>
      <w:r>
        <w:rPr>
          <w:rFonts w:hint="default" w:ascii="Times New Roman" w:hAnsi="Times New Roman" w:eastAsia="宋体" w:cs="Times New Roman"/>
          <w:bCs/>
          <w:color w:val="auto"/>
          <w:sz w:val="24"/>
          <w:szCs w:val="21"/>
          <w:lang w:eastAsia="zh-CN"/>
        </w:rPr>
        <w:t>）</w:t>
      </w:r>
      <w:r>
        <w:rPr>
          <w:rFonts w:hint="default" w:ascii="Times New Roman" w:hAnsi="Times New Roman" w:eastAsia="宋体" w:cs="Times New Roman"/>
          <w:bCs/>
          <w:color w:val="auto"/>
          <w:sz w:val="24"/>
          <w:szCs w:val="21"/>
        </w:rPr>
        <w:t>，</w:t>
      </w:r>
      <w:r>
        <w:rPr>
          <w:rFonts w:hint="default" w:ascii="Times New Roman" w:hAnsi="Times New Roman" w:eastAsia="宋体" w:cs="Times New Roman"/>
          <w:bCs/>
          <w:color w:val="auto"/>
          <w:sz w:val="24"/>
          <w:szCs w:val="21"/>
          <w:u w:val="single"/>
        </w:rPr>
        <w:t xml:space="preserve">               </w:t>
      </w:r>
      <w:r>
        <w:rPr>
          <w:rFonts w:hint="default" w:ascii="Times New Roman" w:hAnsi="Times New Roman" w:eastAsia="宋体" w:cs="Times New Roman"/>
          <w:bCs/>
          <w:color w:val="auto"/>
          <w:sz w:val="24"/>
          <w:szCs w:val="21"/>
        </w:rPr>
        <w:t>（项目编号</w:t>
      </w:r>
      <w:r>
        <w:rPr>
          <w:rFonts w:hint="default" w:ascii="Times New Roman" w:hAnsi="Times New Roman" w:eastAsia="宋体" w:cs="Times New Roman"/>
          <w:bCs/>
          <w:color w:val="auto"/>
          <w:sz w:val="24"/>
          <w:szCs w:val="21"/>
          <w:lang w:eastAsia="zh-CN"/>
        </w:rPr>
        <w:t>）</w:t>
      </w:r>
      <w:r>
        <w:rPr>
          <w:rFonts w:hint="default" w:ascii="Times New Roman" w:hAnsi="Times New Roman" w:eastAsia="宋体" w:cs="Times New Roman"/>
          <w:bCs/>
          <w:color w:val="auto"/>
          <w:sz w:val="24"/>
          <w:szCs w:val="21"/>
        </w:rPr>
        <w:t>投标活动。针对《中华人民共和国政府采购法》第二十二条规定做出如下声明：</w:t>
      </w:r>
    </w:p>
    <w:p w14:paraId="6BC58A86">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bCs/>
          <w:color w:val="auto"/>
          <w:sz w:val="24"/>
          <w:szCs w:val="21"/>
        </w:rPr>
        <w:t>1.我单位具有独立承担民事责任的能力；</w:t>
      </w:r>
    </w:p>
    <w:p w14:paraId="4965AFCE">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2.我单位具有良好的商业信誉和健全的财务会计制度；</w:t>
      </w:r>
    </w:p>
    <w:p w14:paraId="2168AA11">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3.我单位具有履行合同所必需的设备和专业技术能力；</w:t>
      </w:r>
    </w:p>
    <w:p w14:paraId="284BB6D5">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4.我单位有依法缴纳税收和社会保障资金的良好记录；</w:t>
      </w:r>
    </w:p>
    <w:p w14:paraId="483EF4EF">
      <w:pPr>
        <w:spacing w:line="360" w:lineRule="auto"/>
        <w:ind w:firstLine="480"/>
        <w:rPr>
          <w:rFonts w:hint="default" w:ascii="Times New Roman" w:hAnsi="Times New Roman" w:eastAsia="宋体" w:cs="Times New Roman"/>
          <w:color w:val="auto"/>
          <w:sz w:val="24"/>
          <w:szCs w:val="21"/>
          <w:lang w:eastAsia="zh-CN"/>
        </w:rPr>
      </w:pPr>
      <w:r>
        <w:rPr>
          <w:rFonts w:hint="default" w:ascii="Times New Roman" w:hAnsi="Times New Roman" w:eastAsia="宋体" w:cs="Times New Roman"/>
          <w:color w:val="auto"/>
          <w:sz w:val="24"/>
          <w:szCs w:val="21"/>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r>
        <w:rPr>
          <w:rFonts w:hint="default" w:ascii="Times New Roman" w:hAnsi="Times New Roman" w:eastAsia="宋体" w:cs="Times New Roman"/>
          <w:color w:val="auto"/>
          <w:sz w:val="24"/>
          <w:szCs w:val="21"/>
          <w:lang w:eastAsia="zh-CN"/>
        </w:rPr>
        <w:t>）</w:t>
      </w:r>
    </w:p>
    <w:p w14:paraId="6DAB82C7">
      <w:pPr>
        <w:spacing w:line="360" w:lineRule="auto"/>
        <w:ind w:firstLine="480"/>
        <w:rPr>
          <w:rFonts w:hint="default" w:ascii="Times New Roman" w:hAnsi="Times New Roman" w:eastAsia="宋体" w:cs="Times New Roman"/>
          <w:bCs/>
          <w:color w:val="auto"/>
          <w:sz w:val="24"/>
          <w:szCs w:val="21"/>
        </w:rPr>
      </w:pPr>
      <w:r>
        <w:rPr>
          <w:rFonts w:hint="default" w:ascii="Times New Roman" w:hAnsi="Times New Roman" w:eastAsia="宋体" w:cs="Times New Roman"/>
          <w:color w:val="auto"/>
          <w:sz w:val="24"/>
          <w:szCs w:val="21"/>
        </w:rPr>
        <w:t>6.我单位满足法律、行政法规规定的其他条件。</w:t>
      </w:r>
    </w:p>
    <w:p w14:paraId="78B3CF65">
      <w:pPr>
        <w:pStyle w:val="19"/>
        <w:spacing w:line="360" w:lineRule="auto"/>
        <w:ind w:firstLine="560"/>
        <w:rPr>
          <w:rFonts w:hint="default" w:ascii="Times New Roman" w:hAnsi="Times New Roman" w:eastAsia="宋体" w:cs="Times New Roman"/>
          <w:color w:val="auto"/>
        </w:rPr>
      </w:pPr>
    </w:p>
    <w:p w14:paraId="5EFCD951">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 xml:space="preserve"> 投标人（加盖CA电子签章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0761AB6D">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 xml:space="preserve">                   法定代表人或被授权人（签字或加盖CA电子签章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511CB9C5">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zh-CN"/>
        </w:rPr>
        <w:t>时间：</w:t>
      </w:r>
      <w:r>
        <w:rPr>
          <w:rFonts w:hint="default" w:ascii="Times New Roman" w:hAnsi="Times New Roman" w:eastAsia="宋体" w:cs="Times New Roman"/>
          <w:bCs/>
          <w:color w:val="auto"/>
          <w:sz w:val="24"/>
        </w:rPr>
        <w:t>2026年</w:t>
      </w:r>
      <w:r>
        <w:rPr>
          <w:rFonts w:hint="default" w:ascii="Times New Roman" w:hAnsi="Times New Roman" w:eastAsia="宋体" w:cs="Times New Roman"/>
          <w:bCs/>
          <w:color w:val="auto"/>
          <w:sz w:val="24"/>
          <w:lang w:val="zh-CN"/>
        </w:rPr>
        <w:t xml:space="preserve">  月   日</w:t>
      </w:r>
    </w:p>
    <w:p w14:paraId="7E345BFD">
      <w:pPr>
        <w:pStyle w:val="19"/>
        <w:spacing w:line="360" w:lineRule="auto"/>
        <w:ind w:firstLine="560"/>
        <w:rPr>
          <w:rFonts w:hint="default" w:ascii="Times New Roman" w:hAnsi="Times New Roman" w:eastAsia="宋体" w:cs="Times New Roman"/>
          <w:color w:val="auto"/>
        </w:rPr>
      </w:pPr>
    </w:p>
    <w:p w14:paraId="281E5A1E">
      <w:pPr>
        <w:spacing w:line="360" w:lineRule="auto"/>
        <w:jc w:val="center"/>
        <w:outlineLvl w:val="3"/>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br w:type="page" w:clear="all"/>
      </w:r>
    </w:p>
    <w:p w14:paraId="42BA568D">
      <w:pPr>
        <w:spacing w:line="360" w:lineRule="auto"/>
        <w:jc w:val="left"/>
        <w:outlineLvl w:val="3"/>
        <w:rPr>
          <w:rFonts w:hint="default" w:ascii="Times New Roman" w:hAnsi="Times New Roman" w:eastAsia="宋体" w:cs="Times New Roman"/>
          <w:color w:val="auto"/>
          <w:sz w:val="24"/>
          <w:szCs w:val="21"/>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5</w:t>
      </w:r>
    </w:p>
    <w:p w14:paraId="67133ACC">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法定代表人身份证明</w:t>
      </w:r>
    </w:p>
    <w:p w14:paraId="41D82A39">
      <w:pPr>
        <w:spacing w:line="360" w:lineRule="auto"/>
        <w:jc w:val="center"/>
        <w:rPr>
          <w:rFonts w:hint="default" w:ascii="Times New Roman" w:hAnsi="Times New Roman" w:eastAsia="宋体" w:cs="Times New Roman"/>
          <w:color w:val="auto"/>
          <w:sz w:val="24"/>
          <w:szCs w:val="21"/>
          <w:u w:val="single"/>
          <w:lang w:eastAsia="zh-CN"/>
        </w:rPr>
      </w:pPr>
      <w:r>
        <w:rPr>
          <w:rFonts w:hint="default" w:ascii="Times New Roman" w:hAnsi="Times New Roman" w:eastAsia="宋体" w:cs="Times New Roman"/>
          <w:color w:val="auto"/>
          <w:sz w:val="24"/>
          <w:szCs w:val="21"/>
          <w:u w:val="single"/>
        </w:rPr>
        <w:t>（法定代表人参加投标时，须出示此证明</w:t>
      </w:r>
      <w:r>
        <w:rPr>
          <w:rFonts w:hint="default" w:ascii="Times New Roman" w:hAnsi="Times New Roman" w:eastAsia="宋体" w:cs="Times New Roman"/>
          <w:color w:val="auto"/>
          <w:sz w:val="24"/>
          <w:szCs w:val="21"/>
          <w:u w:val="single"/>
          <w:lang w:eastAsia="zh-CN"/>
        </w:rPr>
        <w:t>）</w:t>
      </w:r>
    </w:p>
    <w:p w14:paraId="633AE5AC">
      <w:pPr>
        <w:spacing w:line="360" w:lineRule="auto"/>
        <w:jc w:val="center"/>
        <w:rPr>
          <w:rFonts w:hint="default" w:ascii="Times New Roman" w:hAnsi="Times New Roman" w:eastAsia="宋体" w:cs="Times New Roman"/>
          <w:color w:val="auto"/>
          <w:sz w:val="24"/>
          <w:szCs w:val="21"/>
        </w:rPr>
      </w:pPr>
    </w:p>
    <w:p w14:paraId="1CA0BAF0">
      <w:pPr>
        <w:spacing w:line="360" w:lineRule="auto"/>
        <w:rPr>
          <w:rFonts w:hint="default" w:ascii="Times New Roman" w:hAnsi="Times New Roman" w:cs="Times New Roman"/>
          <w:color w:val="auto"/>
          <w:sz w:val="24"/>
        </w:rPr>
      </w:pPr>
    </w:p>
    <w:p w14:paraId="0A76E2D8">
      <w:pPr>
        <w:spacing w:line="360" w:lineRule="auto"/>
        <w:ind w:firstLine="480"/>
        <w:rPr>
          <w:rFonts w:hint="default" w:ascii="Times New Roman" w:hAnsi="Times New Roman" w:cs="Times New Roman"/>
          <w:color w:val="auto"/>
          <w:sz w:val="24"/>
        </w:rPr>
      </w:pP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先生/女士： 现任我单位</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职务，为法定代表人，特此证明。</w:t>
      </w:r>
    </w:p>
    <w:p w14:paraId="25578BCA">
      <w:pPr>
        <w:spacing w:line="360" w:lineRule="auto"/>
        <w:rPr>
          <w:rFonts w:hint="default" w:ascii="Times New Roman" w:hAnsi="Times New Roman" w:eastAsia="宋体" w:cs="Times New Roman"/>
          <w:color w:val="auto"/>
          <w:sz w:val="24"/>
          <w:szCs w:val="21"/>
        </w:rPr>
      </w:pPr>
    </w:p>
    <w:p w14:paraId="5022EE4D">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附：法定代表人情况：</w:t>
      </w:r>
    </w:p>
    <w:p w14:paraId="1DEE803A">
      <w:pPr>
        <w:spacing w:line="360" w:lineRule="auto"/>
        <w:ind w:firstLine="480"/>
        <w:rPr>
          <w:rFonts w:hint="default" w:ascii="Times New Roman" w:hAnsi="Times New Roman" w:eastAsia="宋体" w:cs="Times New Roman"/>
          <w:color w:val="auto"/>
          <w:sz w:val="24"/>
          <w:szCs w:val="21"/>
          <w:u w:val="single"/>
        </w:rPr>
      </w:pPr>
      <w:r>
        <w:rPr>
          <w:rFonts w:hint="default" w:ascii="Times New Roman" w:hAnsi="Times New Roman" w:eastAsia="宋体" w:cs="Times New Roman"/>
          <w:color w:val="auto"/>
          <w:sz w:val="24"/>
          <w:szCs w:val="21"/>
        </w:rPr>
        <w:t>姓名：</w:t>
      </w:r>
      <w:r>
        <w:rPr>
          <w:rFonts w:hint="default" w:ascii="Times New Roman" w:hAnsi="Times New Roman" w:eastAsia="宋体" w:cs="Times New Roman"/>
          <w:color w:val="auto"/>
          <w:sz w:val="24"/>
          <w:szCs w:val="21"/>
          <w:u w:val="single"/>
        </w:rPr>
        <w:t xml:space="preserve">         </w:t>
      </w:r>
      <w:r>
        <w:rPr>
          <w:rFonts w:hint="default" w:ascii="Times New Roman" w:hAnsi="Times New Roman" w:eastAsia="宋体" w:cs="Times New Roman"/>
          <w:color w:val="auto"/>
          <w:sz w:val="24"/>
          <w:szCs w:val="21"/>
        </w:rPr>
        <w:t>性别：</w:t>
      </w:r>
      <w:r>
        <w:rPr>
          <w:rFonts w:hint="default" w:ascii="Times New Roman" w:hAnsi="Times New Roman" w:eastAsia="宋体" w:cs="Times New Roman"/>
          <w:color w:val="auto"/>
          <w:sz w:val="24"/>
          <w:szCs w:val="21"/>
          <w:u w:val="single"/>
        </w:rPr>
        <w:t xml:space="preserve">    </w:t>
      </w:r>
      <w:r>
        <w:rPr>
          <w:rFonts w:hint="default" w:ascii="Times New Roman" w:hAnsi="Times New Roman" w:eastAsia="宋体" w:cs="Times New Roman"/>
          <w:color w:val="auto"/>
          <w:sz w:val="24"/>
          <w:szCs w:val="21"/>
        </w:rPr>
        <w:t>年龄：</w:t>
      </w:r>
      <w:r>
        <w:rPr>
          <w:rFonts w:hint="default" w:ascii="Times New Roman" w:hAnsi="Times New Roman" w:eastAsia="宋体" w:cs="Times New Roman"/>
          <w:color w:val="auto"/>
          <w:sz w:val="24"/>
          <w:szCs w:val="21"/>
          <w:u w:val="single"/>
        </w:rPr>
        <w:t xml:space="preserve">      </w:t>
      </w:r>
      <w:r>
        <w:rPr>
          <w:rFonts w:hint="default" w:ascii="Times New Roman" w:hAnsi="Times New Roman" w:eastAsia="宋体" w:cs="Times New Roman"/>
          <w:color w:val="auto"/>
          <w:sz w:val="24"/>
          <w:szCs w:val="21"/>
        </w:rPr>
        <w:t>职务：</w:t>
      </w:r>
      <w:r>
        <w:rPr>
          <w:rFonts w:hint="default" w:ascii="Times New Roman" w:hAnsi="Times New Roman" w:eastAsia="宋体" w:cs="Times New Roman"/>
          <w:color w:val="auto"/>
          <w:sz w:val="24"/>
          <w:szCs w:val="21"/>
          <w:u w:val="single"/>
        </w:rPr>
        <w:t xml:space="preserve">          </w:t>
      </w:r>
    </w:p>
    <w:p w14:paraId="4D80DF35">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身份证号码：</w:t>
      </w:r>
      <w:r>
        <w:rPr>
          <w:rFonts w:hint="default" w:ascii="Times New Roman" w:hAnsi="Times New Roman" w:eastAsia="宋体" w:cs="Times New Roman"/>
          <w:color w:val="auto"/>
          <w:sz w:val="24"/>
          <w:szCs w:val="21"/>
          <w:u w:val="single"/>
        </w:rPr>
        <w:t xml:space="preserve">                                         </w:t>
      </w:r>
    </w:p>
    <w:p w14:paraId="3AEEB63C">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手机：</w:t>
      </w:r>
      <w:r>
        <w:rPr>
          <w:rFonts w:hint="default" w:ascii="Times New Roman" w:hAnsi="Times New Roman" w:eastAsia="宋体" w:cs="Times New Roman"/>
          <w:color w:val="auto"/>
          <w:sz w:val="24"/>
          <w:szCs w:val="21"/>
          <w:u w:val="single"/>
        </w:rPr>
        <w:t xml:space="preserve">                  </w:t>
      </w:r>
      <w:r>
        <w:rPr>
          <w:rFonts w:hint="default" w:ascii="Times New Roman" w:hAnsi="Times New Roman" w:eastAsia="宋体" w:cs="Times New Roman"/>
          <w:color w:val="auto"/>
          <w:sz w:val="24"/>
          <w:szCs w:val="21"/>
        </w:rPr>
        <w:t>传真：</w:t>
      </w:r>
      <w:r>
        <w:rPr>
          <w:rFonts w:hint="default" w:ascii="Times New Roman" w:hAnsi="Times New Roman" w:eastAsia="宋体" w:cs="Times New Roman"/>
          <w:color w:val="auto"/>
          <w:sz w:val="24"/>
          <w:szCs w:val="21"/>
          <w:u w:val="single"/>
        </w:rPr>
        <w:t xml:space="preserve">                       </w:t>
      </w:r>
    </w:p>
    <w:p w14:paraId="0DBAAAAB">
      <w:pPr>
        <w:spacing w:line="360" w:lineRule="auto"/>
        <w:rPr>
          <w:rFonts w:hint="default" w:ascii="Times New Roman" w:hAnsi="Times New Roman" w:eastAsia="宋体" w:cs="Times New Roman"/>
          <w:b/>
          <w:bCs/>
          <w:color w:val="auto"/>
          <w:sz w:val="24"/>
          <w:szCs w:val="21"/>
        </w:rPr>
      </w:pPr>
    </w:p>
    <w:p w14:paraId="18DFDE9A">
      <w:pPr>
        <w:spacing w:line="360" w:lineRule="auto"/>
        <w:rPr>
          <w:rFonts w:hint="default" w:ascii="Times New Roman" w:hAnsi="Times New Roman" w:eastAsia="宋体" w:cs="Times New Roman"/>
          <w:color w:val="auto"/>
          <w:sz w:val="24"/>
          <w:szCs w:val="21"/>
        </w:rPr>
      </w:pPr>
      <w:r>
        <w:rPr>
          <w:rFonts w:hint="default" w:ascii="Times New Roman" w:hAnsi="Times New Roman" w:eastAsia="宋体" w:cs="Times New Roman"/>
          <w:b/>
          <w:bCs/>
          <w:color w:val="auto"/>
          <w:sz w:val="24"/>
          <w:szCs w:val="21"/>
        </w:rPr>
        <w:t> 注：提供法定代表人的身份证复印件盖公章</w:t>
      </w:r>
    </w:p>
    <w:p w14:paraId="00734A5B">
      <w:pPr>
        <w:spacing w:line="360" w:lineRule="auto"/>
        <w:rPr>
          <w:rFonts w:hint="default" w:ascii="Times New Roman" w:hAnsi="Times New Roman" w:eastAsia="宋体" w:cs="Times New Roman"/>
          <w:color w:val="auto"/>
          <w:sz w:val="24"/>
          <w:szCs w:val="21"/>
        </w:rPr>
      </w:pPr>
    </w:p>
    <w:p w14:paraId="389A496F">
      <w:pPr>
        <w:spacing w:line="360" w:lineRule="auto"/>
        <w:ind w:firstLine="2920" w:firstLineChars="1217"/>
        <w:rPr>
          <w:rFonts w:hint="default" w:ascii="Times New Roman" w:hAnsi="Times New Roman" w:eastAsia="宋体" w:cs="Times New Roman"/>
          <w:bCs/>
          <w:color w:val="auto"/>
          <w:sz w:val="24"/>
        </w:rPr>
      </w:pPr>
    </w:p>
    <w:p w14:paraId="27AD197E">
      <w:pPr>
        <w:spacing w:line="360" w:lineRule="auto"/>
        <w:ind w:firstLine="2920" w:firstLineChars="1217"/>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投标人（加盖CA电子签章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w:t>
      </w:r>
    </w:p>
    <w:p w14:paraId="31E54604">
      <w:pPr>
        <w:spacing w:line="360" w:lineRule="auto"/>
        <w:ind w:firstLine="2920" w:firstLineChars="1217"/>
        <w:rPr>
          <w:rFonts w:hint="default"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rPr>
        <w:t>法定代表人（签字或加盖CA电子签章</w:t>
      </w:r>
      <w:r>
        <w:rPr>
          <w:rFonts w:hint="default" w:ascii="Times New Roman" w:hAnsi="Times New Roman" w:eastAsia="宋体" w:cs="Times New Roman"/>
          <w:bCs/>
          <w:color w:val="auto"/>
          <w:sz w:val="24"/>
          <w:lang w:eastAsia="zh-CN"/>
        </w:rPr>
        <w:t>）</w:t>
      </w:r>
    </w:p>
    <w:p w14:paraId="39D94246">
      <w:pPr>
        <w:spacing w:line="360" w:lineRule="auto"/>
        <w:ind w:firstLine="2920" w:firstLineChars="1217"/>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zh-CN"/>
        </w:rPr>
        <w:t>时间：</w:t>
      </w:r>
      <w:r>
        <w:rPr>
          <w:rFonts w:hint="default" w:ascii="Times New Roman" w:hAnsi="Times New Roman" w:eastAsia="宋体" w:cs="Times New Roman"/>
          <w:bCs/>
          <w:color w:val="auto"/>
          <w:sz w:val="24"/>
        </w:rPr>
        <w:t>2026年</w:t>
      </w:r>
      <w:r>
        <w:rPr>
          <w:rFonts w:hint="default" w:ascii="Times New Roman" w:hAnsi="Times New Roman" w:eastAsia="宋体" w:cs="Times New Roman"/>
          <w:bCs/>
          <w:color w:val="auto"/>
          <w:sz w:val="24"/>
          <w:lang w:val="zh-CN"/>
        </w:rPr>
        <w:t xml:space="preserve">  月   日</w:t>
      </w:r>
    </w:p>
    <w:p w14:paraId="1471EFD7">
      <w:pPr>
        <w:spacing w:line="360" w:lineRule="auto"/>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 xml:space="preserve">         </w:t>
      </w:r>
    </w:p>
    <w:p w14:paraId="490E2800">
      <w:pPr>
        <w:spacing w:line="360" w:lineRule="auto"/>
        <w:rPr>
          <w:rFonts w:hint="default" w:ascii="Times New Roman" w:hAnsi="Times New Roman" w:eastAsia="宋体" w:cs="Times New Roman"/>
          <w:color w:val="auto"/>
          <w:sz w:val="24"/>
          <w:szCs w:val="21"/>
        </w:rPr>
      </w:pPr>
    </w:p>
    <w:p w14:paraId="7A26017B">
      <w:pPr>
        <w:spacing w:line="360" w:lineRule="auto"/>
        <w:ind w:firstLine="720" w:firstLineChars="300"/>
        <w:rPr>
          <w:rFonts w:hint="default" w:ascii="Times New Roman" w:hAnsi="Times New Roman" w:eastAsia="宋体" w:cs="Times New Roman"/>
          <w:color w:val="auto"/>
          <w:sz w:val="24"/>
          <w:szCs w:val="21"/>
        </w:rPr>
      </w:pPr>
    </w:p>
    <w:p w14:paraId="43D70F97">
      <w:pPr>
        <w:spacing w:line="360" w:lineRule="auto"/>
        <w:ind w:firstLine="720" w:firstLineChars="30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 xml:space="preserve"> </w:t>
      </w:r>
    </w:p>
    <w:p w14:paraId="0C7BB184">
      <w:pPr>
        <w:spacing w:line="360" w:lineRule="auto"/>
        <w:rPr>
          <w:rFonts w:hint="default" w:ascii="Times New Roman" w:hAnsi="Times New Roman" w:eastAsia="宋体" w:cs="Times New Roman"/>
          <w:color w:val="auto"/>
          <w:sz w:val="24"/>
          <w:szCs w:val="21"/>
        </w:rPr>
      </w:pPr>
    </w:p>
    <w:p w14:paraId="37A86090">
      <w:pPr>
        <w:spacing w:line="360" w:lineRule="auto"/>
        <w:ind w:firstLine="480"/>
        <w:rPr>
          <w:rFonts w:hint="default" w:ascii="Times New Roman" w:hAnsi="Times New Roman" w:eastAsia="宋体" w:cs="Times New Roman"/>
          <w:color w:val="auto"/>
          <w:sz w:val="24"/>
          <w:szCs w:val="21"/>
        </w:rPr>
      </w:pPr>
    </w:p>
    <w:p w14:paraId="66155FFB">
      <w:pPr>
        <w:spacing w:line="360" w:lineRule="auto"/>
        <w:ind w:firstLine="482"/>
        <w:rPr>
          <w:rFonts w:hint="default" w:ascii="Times New Roman" w:hAnsi="Times New Roman" w:eastAsia="宋体" w:cs="Times New Roman"/>
          <w:b/>
          <w:bCs/>
          <w:color w:val="auto"/>
          <w:sz w:val="24"/>
          <w:szCs w:val="21"/>
        </w:rPr>
      </w:pPr>
    </w:p>
    <w:p w14:paraId="0F3E90D3">
      <w:pPr>
        <w:spacing w:line="360" w:lineRule="auto"/>
        <w:jc w:val="center"/>
        <w:outlineLvl w:val="3"/>
        <w:rPr>
          <w:rFonts w:hint="default" w:ascii="Times New Roman" w:hAnsi="Times New Roman" w:eastAsia="宋体" w:cs="Times New Roman"/>
          <w:b/>
          <w:bCs/>
          <w:color w:val="auto"/>
          <w:sz w:val="24"/>
          <w:szCs w:val="21"/>
        </w:rPr>
      </w:pPr>
      <w:r>
        <w:rPr>
          <w:rFonts w:hint="default" w:ascii="Times New Roman" w:hAnsi="Times New Roman" w:eastAsia="宋体" w:cs="Times New Roman"/>
          <w:b/>
          <w:bCs/>
          <w:color w:val="auto"/>
          <w:sz w:val="24"/>
          <w:szCs w:val="21"/>
        </w:rPr>
        <w:br w:type="page" w:clear="all"/>
      </w:r>
    </w:p>
    <w:p w14:paraId="41D2208E">
      <w:pPr>
        <w:spacing w:line="360" w:lineRule="auto"/>
        <w:jc w:val="left"/>
        <w:outlineLvl w:val="3"/>
        <w:rPr>
          <w:rFonts w:hint="default" w:ascii="Times New Roman" w:hAnsi="Times New Roman" w:eastAsia="宋体" w:cs="Times New Roman"/>
          <w:b/>
          <w:bCs/>
          <w:color w:val="auto"/>
          <w:sz w:val="24"/>
          <w:szCs w:val="21"/>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6</w:t>
      </w:r>
    </w:p>
    <w:p w14:paraId="3FA6E91F">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授权委托书</w:t>
      </w:r>
    </w:p>
    <w:p w14:paraId="253E3894">
      <w:pPr>
        <w:spacing w:line="360" w:lineRule="auto"/>
        <w:jc w:val="center"/>
        <w:rPr>
          <w:rFonts w:hint="default" w:ascii="Times New Roman" w:hAnsi="Times New Roman" w:eastAsia="宋体" w:cs="Times New Roman"/>
          <w:color w:val="auto"/>
          <w:sz w:val="24"/>
          <w:szCs w:val="21"/>
          <w:u w:val="single"/>
          <w:lang w:eastAsia="zh-CN"/>
        </w:rPr>
      </w:pPr>
      <w:r>
        <w:rPr>
          <w:rFonts w:hint="default" w:ascii="Times New Roman" w:hAnsi="Times New Roman" w:eastAsia="宋体" w:cs="Times New Roman"/>
          <w:color w:val="auto"/>
          <w:sz w:val="24"/>
          <w:szCs w:val="21"/>
          <w:u w:val="single"/>
        </w:rPr>
        <w:t>（被授权人参加投标时，须出示此证明</w:t>
      </w:r>
      <w:r>
        <w:rPr>
          <w:rFonts w:hint="default" w:ascii="Times New Roman" w:hAnsi="Times New Roman" w:eastAsia="宋体" w:cs="Times New Roman"/>
          <w:color w:val="auto"/>
          <w:sz w:val="24"/>
          <w:szCs w:val="21"/>
          <w:u w:val="single"/>
          <w:lang w:eastAsia="zh-CN"/>
        </w:rPr>
        <w:t>）</w:t>
      </w:r>
    </w:p>
    <w:p w14:paraId="5A569934">
      <w:pPr>
        <w:spacing w:line="360" w:lineRule="auto"/>
        <w:ind w:firstLine="480" w:firstLineChars="200"/>
        <w:rPr>
          <w:rFonts w:hint="default" w:ascii="Times New Roman" w:hAnsi="Times New Roman" w:cs="Times New Roman"/>
          <w:color w:val="auto"/>
          <w:sz w:val="24"/>
        </w:rPr>
      </w:pPr>
    </w:p>
    <w:p w14:paraId="688B530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（姓名</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系</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（授权单位名称</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的法定代表人，现委托</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（姓名</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（身份证号：</w:t>
      </w:r>
      <w:r>
        <w:rPr>
          <w:rFonts w:hint="default" w:ascii="Times New Roman" w:hAnsi="Times New Roman" w:eastAsia="宋体" w:cs="Times New Roman"/>
          <w:color w:val="auto"/>
          <w:sz w:val="24"/>
          <w:u w:val="single"/>
        </w:rPr>
        <w:t xml:space="preserve">     </w:t>
      </w:r>
      <w:r>
        <w:rPr>
          <w:rFonts w:hint="eastAsia" w:eastAsia="宋体" w:cs="Times New Roman"/>
          <w:color w:val="auto"/>
          <w:sz w:val="24"/>
          <w:u w:val="single"/>
          <w:lang w:val="en-US" w:eastAsia="zh-CN"/>
        </w:rPr>
        <w:t xml:space="preserve">       </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为我方代理人，以我方名义全权处理与本次采购项目</w:t>
      </w:r>
      <w:r>
        <w:rPr>
          <w:rFonts w:hint="default" w:ascii="Times New Roman" w:hAnsi="Times New Roman" w:eastAsia="宋体" w:cs="Times New Roman"/>
          <w:color w:val="auto"/>
          <w:sz w:val="24"/>
          <w:u w:val="single"/>
        </w:rPr>
        <w:t xml:space="preserve">          </w:t>
      </w:r>
      <w:r>
        <w:rPr>
          <w:rFonts w:hint="eastAsia" w:eastAsia="宋体" w:cs="Times New Roman"/>
          <w:color w:val="auto"/>
          <w:sz w:val="24"/>
          <w:u w:val="single"/>
          <w:lang w:val="en-US" w:eastAsia="zh-CN"/>
        </w:rPr>
        <w:t xml:space="preserve">  </w:t>
      </w:r>
      <w:r>
        <w:rPr>
          <w:rFonts w:hint="eastAsia" w:eastAsia="宋体" w:cs="Times New Roman"/>
          <w:color w:val="auto"/>
          <w:sz w:val="24"/>
          <w:u w:val="single"/>
          <w:lang w:eastAsia="zh-CN"/>
        </w:rPr>
        <w:t>（项目名称）</w:t>
      </w:r>
      <w:r>
        <w:rPr>
          <w:rFonts w:hint="default" w:ascii="Times New Roman" w:hAnsi="Times New Roman" w:eastAsia="宋体" w:cs="Times New Roman"/>
          <w:color w:val="auto"/>
          <w:sz w:val="24"/>
        </w:rPr>
        <w:t>（项目编号：</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有关的一切事务，其法律后果由我方承担。</w:t>
      </w:r>
    </w:p>
    <w:p w14:paraId="1AF82A2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本授权书于2026年</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日起生效。代理人无转委托权。</w:t>
      </w:r>
    </w:p>
    <w:p w14:paraId="503FD12D">
      <w:pPr>
        <w:spacing w:line="360" w:lineRule="auto"/>
        <w:ind w:firstLine="360" w:firstLineChars="15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代理人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被授权人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w:t>
      </w:r>
    </w:p>
    <w:p w14:paraId="3A60559D">
      <w:pPr>
        <w:spacing w:line="360" w:lineRule="auto"/>
        <w:ind w:firstLine="360" w:firstLineChars="15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授权单位名称（加盖CA电子签章</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w:t>
      </w:r>
    </w:p>
    <w:p w14:paraId="5D54DB0A">
      <w:pPr>
        <w:spacing w:line="360" w:lineRule="auto"/>
        <w:ind w:firstLine="360" w:firstLineChars="15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授权单位法定代表人（签字或加盖CA电子签章</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w:t>
      </w:r>
    </w:p>
    <w:p w14:paraId="6F8428D0">
      <w:pPr>
        <w:spacing w:line="360" w:lineRule="auto"/>
        <w:jc w:val="right"/>
        <w:rPr>
          <w:rFonts w:hint="default" w:ascii="Times New Roman" w:hAnsi="Times New Roman" w:eastAsia="宋体" w:cs="Times New Roman"/>
          <w:color w:val="auto"/>
          <w:sz w:val="24"/>
        </w:rPr>
      </w:pPr>
    </w:p>
    <w:p w14:paraId="1A8F28EA">
      <w:pPr>
        <w:spacing w:line="360" w:lineRule="auto"/>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zh-CN" w:bidi="ar"/>
        </w:rPr>
        <w:t>时间：</w:t>
      </w:r>
      <w:r>
        <w:rPr>
          <w:rFonts w:hint="default" w:ascii="Times New Roman" w:hAnsi="Times New Roman" w:eastAsia="宋体" w:cs="Times New Roman"/>
          <w:color w:val="auto"/>
          <w:sz w:val="24"/>
          <w:lang w:bidi="ar"/>
        </w:rPr>
        <w:t>2026年</w:t>
      </w:r>
      <w:r>
        <w:rPr>
          <w:rFonts w:hint="default" w:ascii="Times New Roman" w:hAnsi="Times New Roman" w:eastAsia="宋体" w:cs="Times New Roman"/>
          <w:color w:val="auto"/>
          <w:sz w:val="24"/>
          <w:lang w:val="zh-CN" w:bidi="ar"/>
        </w:rPr>
        <w:t xml:space="preserve">  月   日</w:t>
      </w:r>
    </w:p>
    <w:p w14:paraId="020AC867">
      <w:pPr>
        <w:snapToGrid w:val="0"/>
        <w:spacing w:line="360" w:lineRule="auto"/>
        <w:ind w:firstLine="463" w:firstLineChars="192"/>
        <w:contextualSpacing/>
        <w:rPr>
          <w:rFonts w:hint="default" w:ascii="Times New Roman" w:hAnsi="Times New Roman" w:eastAsia="宋体" w:cs="Times New Roman"/>
          <w:b/>
          <w:color w:val="auto"/>
          <w:sz w:val="24"/>
        </w:rPr>
      </w:pPr>
    </w:p>
    <w:p w14:paraId="0D3B7696">
      <w:pPr>
        <w:snapToGrid w:val="0"/>
        <w:spacing w:line="360" w:lineRule="auto"/>
        <w:ind w:firstLine="463" w:firstLineChars="192"/>
        <w:contextualSpacing/>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注：法定代表人本人身份证复印件及被授权人本人身份证复印件盖公章</w:t>
      </w:r>
    </w:p>
    <w:p w14:paraId="5A6126EE">
      <w:pPr>
        <w:spacing w:line="360" w:lineRule="auto"/>
        <w:jc w:val="center"/>
        <w:rPr>
          <w:rFonts w:hint="default" w:ascii="Times New Roman" w:hAnsi="Times New Roman" w:eastAsia="宋体" w:cs="Times New Roman"/>
          <w:color w:val="auto"/>
          <w:sz w:val="24"/>
          <w:szCs w:val="21"/>
        </w:rPr>
      </w:pPr>
    </w:p>
    <w:p w14:paraId="7E3D38C2">
      <w:pPr>
        <w:spacing w:line="360" w:lineRule="auto"/>
        <w:ind w:firstLine="482"/>
        <w:rPr>
          <w:rFonts w:hint="default" w:ascii="Times New Roman" w:hAnsi="Times New Roman" w:eastAsia="宋体" w:cs="Times New Roman"/>
          <w:b/>
          <w:bCs/>
          <w:color w:val="auto"/>
          <w:sz w:val="24"/>
          <w:szCs w:val="21"/>
        </w:rPr>
      </w:pPr>
    </w:p>
    <w:p w14:paraId="1DE62E7A">
      <w:pPr>
        <w:spacing w:line="360" w:lineRule="auto"/>
        <w:rPr>
          <w:rFonts w:hint="default" w:ascii="Times New Roman" w:hAnsi="Times New Roman" w:eastAsia="宋体" w:cs="Times New Roman"/>
          <w:color w:val="auto"/>
          <w:sz w:val="24"/>
          <w:szCs w:val="21"/>
        </w:rPr>
      </w:pPr>
      <w:r>
        <w:rPr>
          <w:rFonts w:hint="default" w:ascii="Times New Roman" w:hAnsi="Times New Roman" w:eastAsia="宋体" w:cs="Times New Roman"/>
          <w:b/>
          <w:bCs/>
          <w:color w:val="auto"/>
          <w:sz w:val="24"/>
          <w:szCs w:val="21"/>
        </w:rPr>
        <w:br w:type="page" w:clear="all"/>
      </w:r>
    </w:p>
    <w:p w14:paraId="2123666F">
      <w:pPr>
        <w:spacing w:line="360" w:lineRule="auto"/>
        <w:jc w:val="left"/>
        <w:outlineLvl w:val="3"/>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7</w:t>
      </w:r>
    </w:p>
    <w:p w14:paraId="36CDBCA4">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声 明</w:t>
      </w:r>
    </w:p>
    <w:p w14:paraId="2A47A762">
      <w:pPr>
        <w:spacing w:line="360" w:lineRule="auto"/>
        <w:ind w:firstLine="420"/>
        <w:rPr>
          <w:rFonts w:hint="default" w:ascii="Times New Roman" w:hAnsi="Times New Roman" w:cs="Times New Roman"/>
          <w:color w:val="auto"/>
          <w:sz w:val="24"/>
          <w:u w:val="single"/>
        </w:rPr>
      </w:pPr>
    </w:p>
    <w:p w14:paraId="754C5B95">
      <w:pPr>
        <w:spacing w:line="360" w:lineRule="auto"/>
        <w:ind w:firstLine="42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（采购人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w:t>
      </w:r>
    </w:p>
    <w:p w14:paraId="7C6D0581">
      <w:pPr>
        <w:spacing w:line="360" w:lineRule="auto"/>
        <w:ind w:firstLine="42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我单位不存在以下情况：</w:t>
      </w:r>
    </w:p>
    <w:p w14:paraId="3C86A3DF">
      <w:pPr>
        <w:spacing w:line="360" w:lineRule="auto"/>
        <w:ind w:firstLine="42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1.单位负责人为同一人或者存在直接控股、管理关系的不同供应商，同时参加同一合同项下的政府采购活动。</w:t>
      </w:r>
    </w:p>
    <w:p w14:paraId="276EC508">
      <w:pPr>
        <w:widowControl/>
        <w:spacing w:line="360" w:lineRule="auto"/>
        <w:ind w:left="18" w:right="1" w:firstLine="42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2.为采购项目提供整体设计、规范编制或者项目管理、监理、检测等服务的供应商，再参加该采购项目的其他采购活动。</w:t>
      </w:r>
    </w:p>
    <w:p w14:paraId="30948DC9">
      <w:pPr>
        <w:widowControl/>
        <w:spacing w:line="360" w:lineRule="auto"/>
        <w:ind w:left="18" w:right="1" w:firstLine="42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特此声明。</w:t>
      </w:r>
    </w:p>
    <w:p w14:paraId="09C36CE3">
      <w:pPr>
        <w:spacing w:line="360" w:lineRule="auto"/>
        <w:rPr>
          <w:rFonts w:hint="default" w:ascii="Times New Roman" w:hAnsi="Times New Roman" w:eastAsia="宋体" w:cs="Times New Roman"/>
          <w:color w:val="auto"/>
          <w:sz w:val="32"/>
          <w:szCs w:val="32"/>
        </w:rPr>
      </w:pPr>
    </w:p>
    <w:p w14:paraId="279E2396">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 xml:space="preserve">     投标人（加盖CA电子签章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44AB276A">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 xml:space="preserve">                     法定代表人或被授权人（签字或加盖CA电子签章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27810E38">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zh-CN"/>
        </w:rPr>
        <w:t>时间：</w:t>
      </w:r>
      <w:r>
        <w:rPr>
          <w:rFonts w:hint="default" w:ascii="Times New Roman" w:hAnsi="Times New Roman" w:eastAsia="宋体" w:cs="Times New Roman"/>
          <w:bCs/>
          <w:color w:val="auto"/>
          <w:sz w:val="24"/>
        </w:rPr>
        <w:t>2026年</w:t>
      </w:r>
      <w:r>
        <w:rPr>
          <w:rFonts w:hint="default" w:ascii="Times New Roman" w:hAnsi="Times New Roman" w:eastAsia="宋体" w:cs="Times New Roman"/>
          <w:bCs/>
          <w:color w:val="auto"/>
          <w:sz w:val="24"/>
          <w:lang w:val="zh-CN"/>
        </w:rPr>
        <w:t xml:space="preserve">  月   日</w:t>
      </w:r>
    </w:p>
    <w:p w14:paraId="314563A9">
      <w:pPr>
        <w:widowControl/>
        <w:spacing w:line="360" w:lineRule="auto"/>
        <w:jc w:val="center"/>
        <w:rPr>
          <w:rFonts w:hint="default" w:ascii="Times New Roman" w:hAnsi="Times New Roman" w:eastAsia="宋体" w:cs="Times New Roman"/>
          <w:color w:val="auto"/>
          <w:sz w:val="24"/>
          <w:szCs w:val="21"/>
        </w:rPr>
      </w:pPr>
    </w:p>
    <w:p w14:paraId="1DD1940A">
      <w:pPr>
        <w:widowControl/>
        <w:ind w:firstLine="482"/>
        <w:jc w:val="left"/>
        <w:rPr>
          <w:rFonts w:hint="default" w:ascii="Times New Roman" w:hAnsi="Times New Roman" w:eastAsia="宋体" w:cs="Times New Roman"/>
          <w:b/>
          <w:bCs/>
          <w:color w:val="auto"/>
          <w:sz w:val="24"/>
          <w:szCs w:val="21"/>
        </w:rPr>
      </w:pPr>
      <w:r>
        <w:rPr>
          <w:rFonts w:hint="default" w:ascii="Times New Roman" w:hAnsi="Times New Roman" w:eastAsia="宋体" w:cs="Times New Roman"/>
          <w:b/>
          <w:bCs/>
          <w:color w:val="auto"/>
          <w:sz w:val="24"/>
          <w:szCs w:val="21"/>
        </w:rPr>
        <w:br w:type="page" w:clear="all"/>
      </w:r>
    </w:p>
    <w:p w14:paraId="4FDF8440">
      <w:pPr>
        <w:spacing w:line="360" w:lineRule="auto"/>
        <w:jc w:val="left"/>
        <w:outlineLvl w:val="3"/>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8</w:t>
      </w:r>
    </w:p>
    <w:p w14:paraId="099D3E14">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投标声明函</w:t>
      </w:r>
    </w:p>
    <w:p w14:paraId="4E5D3080">
      <w:pPr>
        <w:spacing w:line="360" w:lineRule="auto"/>
        <w:ind w:firstLine="482"/>
        <w:rPr>
          <w:rFonts w:hint="default" w:ascii="Times New Roman" w:hAnsi="Times New Roman" w:eastAsia="宋体" w:cs="Times New Roman"/>
          <w:color w:val="auto"/>
          <w:sz w:val="24"/>
          <w:szCs w:val="21"/>
        </w:rPr>
      </w:pPr>
    </w:p>
    <w:p w14:paraId="163FE6D2">
      <w:pPr>
        <w:spacing w:line="360" w:lineRule="auto"/>
        <w:ind w:firstLine="482"/>
        <w:rPr>
          <w:rFonts w:hint="default" w:ascii="Times New Roman" w:hAnsi="Times New Roman" w:eastAsia="宋体" w:cs="Times New Roman"/>
          <w:b/>
          <w:bCs/>
          <w:color w:val="auto"/>
          <w:sz w:val="24"/>
          <w:szCs w:val="21"/>
        </w:rPr>
      </w:pPr>
      <w:r>
        <w:rPr>
          <w:rFonts w:hint="default" w:ascii="Times New Roman" w:hAnsi="Times New Roman" w:eastAsia="宋体" w:cs="Times New Roman"/>
          <w:color w:val="auto"/>
          <w:sz w:val="24"/>
          <w:szCs w:val="21"/>
        </w:rPr>
        <w:t>致：</w:t>
      </w:r>
      <w:r>
        <w:rPr>
          <w:rFonts w:hint="default" w:ascii="Times New Roman" w:hAnsi="Times New Roman" w:eastAsia="宋体" w:cs="Times New Roman"/>
          <w:color w:val="auto"/>
          <w:sz w:val="24"/>
          <w:szCs w:val="21"/>
          <w:u w:val="single"/>
          <w:shd w:val="clear" w:color="auto" w:fill="FFFFFF"/>
        </w:rPr>
        <w:t xml:space="preserve">           </w:t>
      </w:r>
      <w:r>
        <w:rPr>
          <w:rFonts w:hint="default" w:ascii="Times New Roman" w:hAnsi="Times New Roman" w:eastAsia="宋体" w:cs="Times New Roman"/>
          <w:color w:val="auto"/>
          <w:sz w:val="24"/>
          <w:szCs w:val="21"/>
          <w:shd w:val="clear" w:color="auto" w:fill="FFFFFF"/>
        </w:rPr>
        <w:t>（采购人</w:t>
      </w:r>
      <w:r>
        <w:rPr>
          <w:rFonts w:hint="default" w:ascii="Times New Roman" w:hAnsi="Times New Roman" w:eastAsia="宋体" w:cs="Times New Roman"/>
          <w:color w:val="auto"/>
          <w:sz w:val="24"/>
          <w:szCs w:val="21"/>
          <w:shd w:val="clear" w:color="auto" w:fill="FFFFFF"/>
          <w:lang w:eastAsia="zh-CN"/>
        </w:rPr>
        <w:t>）</w:t>
      </w:r>
      <w:r>
        <w:rPr>
          <w:rFonts w:hint="default" w:ascii="Times New Roman" w:hAnsi="Times New Roman" w:eastAsia="宋体" w:cs="Times New Roman"/>
          <w:color w:val="auto"/>
          <w:sz w:val="24"/>
          <w:szCs w:val="21"/>
        </w:rPr>
        <w:t>：</w:t>
      </w:r>
      <w:r>
        <w:rPr>
          <w:rFonts w:hint="default" w:ascii="Times New Roman" w:hAnsi="Times New Roman" w:eastAsia="宋体" w:cs="Times New Roman"/>
          <w:b/>
          <w:bCs/>
          <w:color w:val="auto"/>
          <w:sz w:val="24"/>
          <w:szCs w:val="21"/>
        </w:rPr>
        <w:t xml:space="preserve">   </w:t>
      </w:r>
    </w:p>
    <w:p w14:paraId="2FF3C6DD">
      <w:pPr>
        <w:tabs>
          <w:tab w:val="left" w:pos="420"/>
          <w:tab w:val="left" w:pos="562"/>
          <w:tab w:val="left" w:pos="945"/>
          <w:tab w:val="left" w:pos="5382"/>
          <w:tab w:val="left" w:pos="7560"/>
        </w:tabs>
        <w:spacing w:line="360" w:lineRule="auto"/>
        <w:ind w:firstLine="480"/>
        <w:jc w:val="left"/>
        <w:rPr>
          <w:rFonts w:hint="default" w:ascii="Times New Roman" w:hAnsi="Times New Roman" w:eastAsia="宋体" w:cs="Times New Roman"/>
          <w:color w:val="auto"/>
          <w:sz w:val="24"/>
          <w:szCs w:val="21"/>
        </w:rPr>
      </w:pPr>
      <w:bookmarkStart w:id="23" w:name="_Toc396833717"/>
      <w:r>
        <w:rPr>
          <w:rFonts w:hint="default" w:ascii="Times New Roman" w:hAnsi="Times New Roman" w:eastAsia="宋体" w:cs="Times New Roman"/>
          <w:color w:val="auto"/>
          <w:sz w:val="24"/>
          <w:szCs w:val="21"/>
        </w:rPr>
        <w:t>我方承诺完全具备《中华人民共和国政府采购法》第二十二条规定的条件：（一</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具有独立承担民事责任的能力；（二</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具有良好的商业信誉和健全的财务会计制度；（三</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具有履行合同所必需的设备和专业技术能力；（四</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有依法缴纳税收和社会保障资金的良好记录；（五</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参加政府采购活动前三年内，在经营活动中没有重大违法记录；（六</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法律、行政法规规定的其他条件。</w:t>
      </w:r>
    </w:p>
    <w:p w14:paraId="4E4DEDEF">
      <w:pPr>
        <w:numPr>
          <w:ilvl w:val="1"/>
          <w:numId w:val="0"/>
        </w:numPr>
        <w:tabs>
          <w:tab w:val="left" w:pos="420"/>
          <w:tab w:val="left" w:pos="945"/>
          <w:tab w:val="left" w:pos="5382"/>
          <w:tab w:val="left" w:pos="7560"/>
        </w:tabs>
        <w:spacing w:line="360" w:lineRule="auto"/>
        <w:ind w:firstLine="480"/>
        <w:jc w:val="left"/>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1.我方承诺信用记录中未</w:t>
      </w:r>
      <w:r>
        <w:rPr>
          <w:rFonts w:hint="default" w:ascii="Times New Roman" w:hAnsi="Times New Roman" w:eastAsia="宋体" w:cs="Times New Roman"/>
          <w:color w:val="auto"/>
          <w:sz w:val="24"/>
          <w:szCs w:val="24"/>
        </w:rPr>
        <w:t>被“信用中国”网站</w:t>
      </w: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"http://www.creditchina.gov.cn" \o "http://www.creditchina.gov.cn" </w:instrText>
      </w:r>
      <w:r>
        <w:rPr>
          <w:rFonts w:hint="default" w:ascii="Times New Roman" w:hAnsi="Times New Roman" w:cs="Times New Roman"/>
          <w:color w:val="auto"/>
        </w:rPr>
        <w:fldChar w:fldCharType="separate"/>
      </w:r>
      <w:r>
        <w:rPr>
          <w:rFonts w:hint="default" w:ascii="Times New Roman" w:hAnsi="Times New Roman" w:eastAsia="宋体" w:cs="Times New Roman"/>
          <w:color w:val="auto"/>
          <w:sz w:val="24"/>
          <w:szCs w:val="24"/>
        </w:rPr>
        <w:t>www.creditchina.gov.cn</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、中华人民共和国最高人民法院网站（</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"http://www.court.gov.cn/" \o "http://www.court.gov.cn/" </w:instrText>
      </w:r>
      <w:r>
        <w:rPr>
          <w:rFonts w:hint="default" w:ascii="Times New Roman" w:hAnsi="Times New Roman" w:cs="Times New Roman"/>
          <w:color w:val="auto"/>
        </w:rPr>
        <w:fldChar w:fldCharType="separate"/>
      </w:r>
      <w:r>
        <w:rPr>
          <w:rFonts w:hint="default" w:ascii="Times New Roman" w:hAnsi="Times New Roman" w:eastAsia="宋体" w:cs="Times New Roman"/>
          <w:color w:val="auto"/>
          <w:sz w:val="24"/>
          <w:szCs w:val="24"/>
        </w:rPr>
        <w:t>http：//www.court.gov.cn</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等渠道列入信用记录失信被执行人，未被中国政府采购网</w:t>
      </w: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"http://www.ccgp.gov.cn" \o "http://www.ccgp.gov.cn" </w:instrText>
      </w:r>
      <w:r>
        <w:rPr>
          <w:rFonts w:hint="default" w:ascii="Times New Roman" w:hAnsi="Times New Roman" w:cs="Times New Roman"/>
          <w:color w:val="auto"/>
        </w:rPr>
        <w:fldChar w:fldCharType="separate"/>
      </w:r>
      <w:r>
        <w:rPr>
          <w:rFonts w:hint="default" w:ascii="Times New Roman" w:hAnsi="Times New Roman" w:eastAsia="宋体" w:cs="Times New Roman"/>
          <w:color w:val="auto"/>
          <w:sz w:val="24"/>
          <w:szCs w:val="24"/>
        </w:rPr>
        <w:t>www.ccgp.gov.cn</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等渠道列入政府采购严重违法失信行为记录名单，未被中华人民共和国应急管理部网站（http：//www.mem.gov.cn/</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等渠道列入安全生产失信联合惩戒“黑名单”，未被国家税务总局网站（</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"http://hd.chinatax.gov.cn/xxk/" \o "http://hd.chinatax.gov.cn/xxk/" </w:instrText>
      </w:r>
      <w:r>
        <w:rPr>
          <w:rFonts w:hint="default" w:ascii="Times New Roman" w:hAnsi="Times New Roman" w:cs="Times New Roman"/>
          <w:color w:val="auto"/>
        </w:rPr>
        <w:fldChar w:fldCharType="separate"/>
      </w:r>
      <w:r>
        <w:rPr>
          <w:rFonts w:hint="default" w:ascii="Times New Roman" w:hAnsi="Times New Roman" w:eastAsia="宋体" w:cs="Times New Roman"/>
          <w:color w:val="auto"/>
          <w:sz w:val="24"/>
          <w:szCs w:val="24"/>
        </w:rPr>
        <w:t>http：//hd.chinatax.gov.cn/xxk</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等渠道列入重大税收违法案件当事人名单，未被国家企业信用信息公示系统（</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"http://www.gsxt.gov.cn" \o "http://www.gsxt.gov.cn" </w:instrText>
      </w:r>
      <w:r>
        <w:rPr>
          <w:rFonts w:hint="default" w:ascii="Times New Roman" w:hAnsi="Times New Roman" w:cs="Times New Roman"/>
          <w:color w:val="auto"/>
        </w:rPr>
        <w:fldChar w:fldCharType="separate"/>
      </w:r>
      <w:r>
        <w:rPr>
          <w:rFonts w:hint="default" w:ascii="Times New Roman" w:hAnsi="Times New Roman" w:eastAsia="宋体" w:cs="Times New Roman"/>
          <w:color w:val="auto"/>
          <w:sz w:val="24"/>
          <w:szCs w:val="24"/>
        </w:rPr>
        <w:t>http：//www.gsxt.gov.cn</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等渠道列入经营异常名录、严重违法失信企业名单，未被全国公共资源交易平台（</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"http://www.ggzy.gov.cn" \o "http://www.ggzy.gov.cn" </w:instrText>
      </w:r>
      <w:r>
        <w:rPr>
          <w:rFonts w:hint="default" w:ascii="Times New Roman" w:hAnsi="Times New Roman" w:cs="Times New Roman"/>
          <w:color w:val="auto"/>
        </w:rPr>
        <w:fldChar w:fldCharType="separate"/>
      </w:r>
      <w:r>
        <w:rPr>
          <w:rFonts w:hint="default" w:ascii="Times New Roman" w:hAnsi="Times New Roman" w:eastAsia="宋体" w:cs="Times New Roman"/>
          <w:color w:val="auto"/>
          <w:sz w:val="24"/>
          <w:szCs w:val="24"/>
        </w:rPr>
        <w:t>http：//www.ggzy.gov.cn</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等渠道列入黑名单</w:t>
      </w:r>
      <w:r>
        <w:rPr>
          <w:rFonts w:hint="default" w:ascii="Times New Roman" w:hAnsi="Times New Roman" w:eastAsia="宋体" w:cs="Times New Roman"/>
          <w:color w:val="auto"/>
          <w:sz w:val="24"/>
          <w:szCs w:val="21"/>
        </w:rPr>
        <w:t>，否则，可将我方的投标文件按照无效投标文件处理。</w:t>
      </w:r>
    </w:p>
    <w:p w14:paraId="5D08581A">
      <w:pPr>
        <w:tabs>
          <w:tab w:val="left" w:pos="420"/>
          <w:tab w:val="left" w:pos="945"/>
          <w:tab w:val="left" w:pos="5382"/>
          <w:tab w:val="left" w:pos="7560"/>
        </w:tabs>
        <w:spacing w:line="360" w:lineRule="auto"/>
        <w:ind w:firstLine="480"/>
        <w:jc w:val="left"/>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2.我方承诺参加本次采购活动前三年内，在经营活动中没有重大违法记录，否则，可将我方的投标文件按照无效投标文件处理。</w:t>
      </w:r>
    </w:p>
    <w:p w14:paraId="0EFFBB5F">
      <w:pPr>
        <w:tabs>
          <w:tab w:val="left" w:pos="420"/>
          <w:tab w:val="left" w:pos="945"/>
          <w:tab w:val="left" w:pos="5382"/>
          <w:tab w:val="left" w:pos="7560"/>
        </w:tabs>
        <w:spacing w:line="360" w:lineRule="auto"/>
        <w:ind w:firstLine="480"/>
        <w:jc w:val="left"/>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3.我方按照本项目招标文件和相关技术标准的条件，提供货物及相关服务，并承担因货物质量或服务等引起的一切责任。</w:t>
      </w:r>
    </w:p>
    <w:p w14:paraId="2BC31D2E">
      <w:pPr>
        <w:tabs>
          <w:tab w:val="left" w:pos="525"/>
          <w:tab w:val="left" w:pos="945"/>
          <w:tab w:val="left" w:pos="5382"/>
        </w:tabs>
        <w:spacing w:line="360" w:lineRule="auto"/>
        <w:ind w:firstLine="480"/>
        <w:jc w:val="left"/>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4.我方对本项目招标文件（包括修改文件及有关附件</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完全理解，并承诺在发生争议时，不会以对招标文件存在误解、不明为由，向你方行使任何法律上的抗辩权。</w:t>
      </w:r>
    </w:p>
    <w:p w14:paraId="111CBCE8">
      <w:pPr>
        <w:tabs>
          <w:tab w:val="left" w:pos="525"/>
          <w:tab w:val="left" w:pos="945"/>
          <w:tab w:val="left" w:pos="5382"/>
        </w:tabs>
        <w:spacing w:line="360" w:lineRule="auto"/>
        <w:ind w:firstLine="480"/>
        <w:jc w:val="left"/>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5.我方投标文件有效期为自开标日起</w:t>
      </w:r>
      <w:r>
        <w:rPr>
          <w:rFonts w:hint="default" w:ascii="Times New Roman" w:hAnsi="Times New Roman" w:eastAsia="宋体" w:cs="Times New Roman"/>
          <w:color w:val="auto"/>
          <w:sz w:val="24"/>
          <w:szCs w:val="21"/>
          <w:u w:val="single"/>
        </w:rPr>
        <w:t>60</w:t>
      </w:r>
      <w:r>
        <w:rPr>
          <w:rFonts w:hint="default" w:ascii="Times New Roman" w:hAnsi="Times New Roman" w:eastAsia="宋体" w:cs="Times New Roman"/>
          <w:color w:val="auto"/>
          <w:sz w:val="24"/>
          <w:szCs w:val="21"/>
        </w:rPr>
        <w:t>天，若中标，则投标有效期自动延续至合同履行完毕。</w:t>
      </w:r>
    </w:p>
    <w:p w14:paraId="10A7F5C3">
      <w:pPr>
        <w:tabs>
          <w:tab w:val="left" w:pos="525"/>
          <w:tab w:val="left" w:pos="945"/>
          <w:tab w:val="left" w:pos="5382"/>
        </w:tabs>
        <w:spacing w:line="360" w:lineRule="auto"/>
        <w:ind w:firstLine="480"/>
        <w:jc w:val="left"/>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6.我方承诺接受招标文件规定的付款方式。</w:t>
      </w:r>
    </w:p>
    <w:p w14:paraId="5614DB7F">
      <w:pPr>
        <w:tabs>
          <w:tab w:val="left" w:pos="525"/>
          <w:tab w:val="left" w:pos="945"/>
          <w:tab w:val="left" w:pos="5382"/>
        </w:tabs>
        <w:spacing w:line="360" w:lineRule="auto"/>
        <w:ind w:firstLine="480"/>
        <w:jc w:val="left"/>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7.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416E5148">
      <w:pPr>
        <w:tabs>
          <w:tab w:val="left" w:pos="525"/>
          <w:tab w:val="left" w:pos="945"/>
          <w:tab w:val="left" w:pos="5382"/>
        </w:tabs>
        <w:spacing w:line="360" w:lineRule="auto"/>
        <w:ind w:firstLine="480"/>
        <w:jc w:val="left"/>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8.我方承诺投标文件中所有的资料及所作各项承诺均真实准确，所提交的营业执照已依法向登记管理机关报送相应的年度报告并予以公示（或所提交的《社会团体法人登记证书》/《民办非企业单位登记证书》已通过登记管理机关的年度检查</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，不存在任何虚假之处，否则，可将我方的投标文件按照无效投标文件处理，即使我方中标，中标结果无效，对于因此给其他投标人及你方造成的全部损失，我方同意无条件予以赔偿。</w:t>
      </w:r>
    </w:p>
    <w:p w14:paraId="6F531258">
      <w:pPr>
        <w:tabs>
          <w:tab w:val="left" w:pos="525"/>
          <w:tab w:val="left" w:pos="945"/>
          <w:tab w:val="left" w:pos="5382"/>
        </w:tabs>
        <w:spacing w:line="360" w:lineRule="auto"/>
        <w:ind w:firstLine="480"/>
        <w:jc w:val="left"/>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9.我方委托授权（姓名：</w:t>
      </w:r>
      <w:r>
        <w:rPr>
          <w:rFonts w:hint="default" w:ascii="Times New Roman" w:hAnsi="Times New Roman" w:eastAsia="宋体" w:cs="Times New Roman"/>
          <w:color w:val="auto"/>
          <w:sz w:val="24"/>
          <w:szCs w:val="21"/>
          <w:u w:val="single"/>
        </w:rPr>
        <w:t xml:space="preserve">       </w:t>
      </w:r>
      <w:r>
        <w:rPr>
          <w:rFonts w:hint="default" w:ascii="Times New Roman" w:hAnsi="Times New Roman" w:eastAsia="宋体" w:cs="Times New Roman"/>
          <w:color w:val="auto"/>
          <w:sz w:val="24"/>
          <w:szCs w:val="21"/>
        </w:rPr>
        <w:t>，身份证号：_________，联系电话：________</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作为我方的代理人参加本项目投标，负责提交投标文件以及其它相关资料，参加开标，接受质询并予以澄清，签署、接受招投标过程中的各种法律文件，办理投标过程中的其他相关事务。</w:t>
      </w:r>
    </w:p>
    <w:p w14:paraId="6A368D92">
      <w:pPr>
        <w:tabs>
          <w:tab w:val="left" w:pos="525"/>
          <w:tab w:val="left" w:pos="945"/>
          <w:tab w:val="left" w:pos="5382"/>
        </w:tabs>
        <w:spacing w:line="360" w:lineRule="auto"/>
        <w:ind w:firstLine="480"/>
        <w:jc w:val="left"/>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10.我方承诺将严格遵守相关法律法规，若存在违法违规行为，将承担相应的法律后果。</w:t>
      </w:r>
    </w:p>
    <w:p w14:paraId="08F6FA30">
      <w:pPr>
        <w:tabs>
          <w:tab w:val="left" w:pos="945"/>
        </w:tabs>
        <w:spacing w:line="360" w:lineRule="auto"/>
        <w:jc w:val="right"/>
        <w:rPr>
          <w:rFonts w:hint="default" w:ascii="Times New Roman" w:hAnsi="Times New Roman" w:eastAsia="宋体" w:cs="Times New Roman"/>
          <w:color w:val="auto"/>
          <w:sz w:val="24"/>
          <w:szCs w:val="21"/>
        </w:rPr>
      </w:pPr>
    </w:p>
    <w:p w14:paraId="391DF8DC">
      <w:pPr>
        <w:tabs>
          <w:tab w:val="left" w:pos="945"/>
        </w:tabs>
        <w:spacing w:line="360" w:lineRule="auto"/>
        <w:jc w:val="right"/>
        <w:rPr>
          <w:rFonts w:hint="default" w:ascii="Times New Roman" w:hAnsi="Times New Roman" w:eastAsia="宋体" w:cs="Times New Roman"/>
          <w:color w:val="auto"/>
          <w:sz w:val="24"/>
          <w:szCs w:val="21"/>
        </w:rPr>
      </w:pPr>
    </w:p>
    <w:bookmarkEnd w:id="23"/>
    <w:p w14:paraId="14024178">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 xml:space="preserve">  投标人（加盖CA电子签章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13173607">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 xml:space="preserve">                    法定代表人或被授权人（签字或加盖CA电子签章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1A53167F">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zh-CN"/>
        </w:rPr>
        <w:t>时间：</w:t>
      </w:r>
      <w:r>
        <w:rPr>
          <w:rFonts w:hint="default" w:ascii="Times New Roman" w:hAnsi="Times New Roman" w:eastAsia="宋体" w:cs="Times New Roman"/>
          <w:bCs/>
          <w:color w:val="auto"/>
          <w:sz w:val="24"/>
        </w:rPr>
        <w:t>2026年</w:t>
      </w:r>
      <w:r>
        <w:rPr>
          <w:rFonts w:hint="default" w:ascii="Times New Roman" w:hAnsi="Times New Roman" w:eastAsia="宋体" w:cs="Times New Roman"/>
          <w:bCs/>
          <w:color w:val="auto"/>
          <w:sz w:val="24"/>
          <w:lang w:val="zh-CN"/>
        </w:rPr>
        <w:t xml:space="preserve">  月   日</w:t>
      </w:r>
    </w:p>
    <w:p w14:paraId="1AD3F9DF">
      <w:pP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sz w:val="24"/>
          <w:szCs w:val="21"/>
        </w:rPr>
        <w:br w:type="page" w:clear="all"/>
      </w:r>
    </w:p>
    <w:p w14:paraId="7B1E0860">
      <w:pPr>
        <w:spacing w:line="360" w:lineRule="auto"/>
        <w:jc w:val="left"/>
        <w:outlineLvl w:val="3"/>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9</w:t>
      </w:r>
    </w:p>
    <w:p w14:paraId="0F3F99D8">
      <w:pPr>
        <w:spacing w:line="360" w:lineRule="auto"/>
        <w:jc w:val="center"/>
        <w:outlineLvl w:val="3"/>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rPr>
        <w:t>投标响应函（格式不得变动</w:t>
      </w:r>
      <w:r>
        <w:rPr>
          <w:rFonts w:hint="default" w:ascii="Times New Roman" w:hAnsi="Times New Roman" w:eastAsia="宋体" w:cs="Times New Roman"/>
          <w:b/>
          <w:bCs/>
          <w:color w:val="auto"/>
          <w:sz w:val="28"/>
          <w:szCs w:val="28"/>
          <w:lang w:eastAsia="zh-CN"/>
        </w:rPr>
        <w:t>）</w:t>
      </w:r>
    </w:p>
    <w:p w14:paraId="5AFAB1B2">
      <w:pPr>
        <w:spacing w:line="360" w:lineRule="auto"/>
        <w:jc w:val="left"/>
        <w:rPr>
          <w:rFonts w:hint="default" w:ascii="Times New Roman" w:hAnsi="Times New Roman" w:eastAsia="宋体" w:cs="Times New Roman"/>
          <w:color w:val="auto"/>
          <w:sz w:val="24"/>
          <w:szCs w:val="21"/>
          <w:u w:val="single"/>
        </w:rPr>
      </w:pPr>
    </w:p>
    <w:p w14:paraId="51B3B7E5">
      <w:pPr>
        <w:spacing w:line="360" w:lineRule="auto"/>
        <w:jc w:val="left"/>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u w:val="single"/>
        </w:rPr>
        <w:t xml:space="preserve">                </w:t>
      </w:r>
      <w:r>
        <w:rPr>
          <w:rFonts w:hint="default" w:ascii="Times New Roman" w:hAnsi="Times New Roman" w:eastAsia="宋体" w:cs="Times New Roman"/>
          <w:color w:val="auto"/>
          <w:sz w:val="24"/>
          <w:szCs w:val="21"/>
        </w:rPr>
        <w:t>（采购人</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w:t>
      </w:r>
    </w:p>
    <w:p w14:paraId="410B1D58">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依据贵单位</w:t>
      </w:r>
      <w:r>
        <w:rPr>
          <w:rFonts w:hint="default" w:ascii="Times New Roman" w:hAnsi="Times New Roman" w:eastAsia="宋体" w:cs="Times New Roman"/>
          <w:color w:val="auto"/>
          <w:sz w:val="24"/>
          <w:szCs w:val="21"/>
          <w:u w:val="single"/>
        </w:rPr>
        <w:t xml:space="preserve">         </w:t>
      </w:r>
      <w:r>
        <w:rPr>
          <w:rFonts w:hint="default" w:ascii="Times New Roman" w:hAnsi="Times New Roman" w:eastAsia="宋体" w:cs="Times New Roman"/>
          <w:color w:val="auto"/>
          <w:sz w:val="24"/>
          <w:szCs w:val="21"/>
        </w:rPr>
        <w:t>（招标项目名称</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项目公开招标采购的邀请，我方授权</w:t>
      </w:r>
      <w:r>
        <w:rPr>
          <w:rFonts w:hint="default" w:ascii="Times New Roman" w:hAnsi="Times New Roman" w:eastAsia="宋体" w:cs="Times New Roman"/>
          <w:color w:val="auto"/>
          <w:sz w:val="24"/>
          <w:szCs w:val="21"/>
          <w:u w:val="single"/>
        </w:rPr>
        <w:t xml:space="preserve">       </w:t>
      </w:r>
      <w:r>
        <w:rPr>
          <w:rFonts w:hint="default" w:ascii="Times New Roman" w:hAnsi="Times New Roman" w:eastAsia="宋体" w:cs="Times New Roman"/>
          <w:color w:val="auto"/>
          <w:sz w:val="24"/>
          <w:szCs w:val="21"/>
        </w:rPr>
        <w:t>（姓名</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u w:val="single"/>
        </w:rPr>
        <w:t xml:space="preserve">      </w:t>
      </w:r>
      <w:r>
        <w:rPr>
          <w:rFonts w:hint="default" w:ascii="Times New Roman" w:hAnsi="Times New Roman" w:eastAsia="宋体" w:cs="Times New Roman"/>
          <w:color w:val="auto"/>
          <w:sz w:val="24"/>
          <w:szCs w:val="21"/>
        </w:rPr>
        <w:t>（职务</w:t>
      </w:r>
      <w:r>
        <w:rPr>
          <w:rFonts w:hint="default" w:ascii="Times New Roman" w:hAnsi="Times New Roman" w:eastAsia="宋体" w:cs="Times New Roman"/>
          <w:color w:val="auto"/>
          <w:sz w:val="24"/>
          <w:szCs w:val="21"/>
          <w:lang w:eastAsia="zh-CN"/>
        </w:rPr>
        <w:t>）</w:t>
      </w:r>
      <w:r>
        <w:rPr>
          <w:rFonts w:hint="default" w:ascii="Times New Roman" w:hAnsi="Times New Roman" w:eastAsia="宋体" w:cs="Times New Roman"/>
          <w:color w:val="auto"/>
          <w:sz w:val="24"/>
          <w:szCs w:val="21"/>
        </w:rPr>
        <w:t>为全权代表参加该项目的投标工作，全权处理本次投标的有关事宜。同时，我公司声明如下：</w:t>
      </w:r>
    </w:p>
    <w:p w14:paraId="18A203F1">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1.我方同意并接受本项目招标文件的各项要求，遵守招标文件中的各项规定，按招标文件的要求提供报价。</w:t>
      </w:r>
    </w:p>
    <w:p w14:paraId="0DC41F6F">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2.我方已经详细审查了全部招标文件，我方已完全清晰理解招标文件的要求，不存在任何含糊不清和误解之处，同意放弃对这些文件所提出的异议和质疑的权利。</w:t>
      </w:r>
    </w:p>
    <w:p w14:paraId="3EAEAEA2">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3.我方愿意提供</w:t>
      </w:r>
      <w:r>
        <w:rPr>
          <w:rFonts w:hint="eastAsia" w:eastAsia="宋体" w:cs="Times New Roman"/>
          <w:color w:val="auto"/>
          <w:sz w:val="24"/>
          <w:szCs w:val="21"/>
          <w:lang w:eastAsia="zh-CN"/>
        </w:rPr>
        <w:t>采购人</w:t>
      </w:r>
      <w:r>
        <w:rPr>
          <w:rFonts w:hint="default" w:ascii="Times New Roman" w:hAnsi="Times New Roman" w:eastAsia="宋体" w:cs="Times New Roman"/>
          <w:color w:val="auto"/>
          <w:sz w:val="24"/>
          <w:szCs w:val="21"/>
        </w:rPr>
        <w:t>在招标文件中要求的所有资料。</w:t>
      </w:r>
    </w:p>
    <w:p w14:paraId="494FD7CE">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4.我方承诺在本次招标响应中提供的一切文件，无论是原件还是复印件均真实有效，绝无任何虚假、伪造和夸大的成份。否则，愿承担相应的后果和法律责任。</w:t>
      </w:r>
    </w:p>
    <w:p w14:paraId="47525B70">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5.我方尊重评标小组所作的评定结果，同时也清楚理解到投标报价最低并非意味着必定获得中标资格。</w:t>
      </w:r>
    </w:p>
    <w:p w14:paraId="45C2DC1E">
      <w:pPr>
        <w:spacing w:line="360" w:lineRule="auto"/>
        <w:ind w:firstLine="480"/>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 xml:space="preserve">6.一旦我方中标，我方将根据招标文件的规定，严格履行招标文件中规定的每一项要求，按期、按质、按量履行合同的义务。 </w:t>
      </w:r>
    </w:p>
    <w:p w14:paraId="3AF8F5E3">
      <w:pPr>
        <w:spacing w:line="360" w:lineRule="auto"/>
        <w:ind w:firstLine="480"/>
        <w:jc w:val="right"/>
        <w:rPr>
          <w:rFonts w:hint="default" w:ascii="Times New Roman" w:hAnsi="Times New Roman" w:eastAsia="宋体" w:cs="Times New Roman"/>
          <w:color w:val="auto"/>
          <w:sz w:val="24"/>
          <w:szCs w:val="21"/>
        </w:rPr>
      </w:pPr>
    </w:p>
    <w:p w14:paraId="6E46BD15">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 xml:space="preserve">    投标人（加盖CA电子签章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03727E15">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 xml:space="preserve">                     法定代表人或被授权人（签字或加盖CA电子签章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10264786">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zh-CN"/>
        </w:rPr>
        <w:t>时间：</w:t>
      </w:r>
      <w:r>
        <w:rPr>
          <w:rFonts w:hint="default" w:ascii="Times New Roman" w:hAnsi="Times New Roman" w:eastAsia="宋体" w:cs="Times New Roman"/>
          <w:bCs/>
          <w:color w:val="auto"/>
          <w:sz w:val="24"/>
        </w:rPr>
        <w:t>2026年</w:t>
      </w:r>
      <w:r>
        <w:rPr>
          <w:rFonts w:hint="default" w:ascii="Times New Roman" w:hAnsi="Times New Roman" w:eastAsia="宋体" w:cs="Times New Roman"/>
          <w:bCs/>
          <w:color w:val="auto"/>
          <w:sz w:val="24"/>
          <w:lang w:val="zh-CN"/>
        </w:rPr>
        <w:t xml:space="preserve">  月   日</w:t>
      </w:r>
    </w:p>
    <w:p w14:paraId="78582C7D">
      <w:pPr>
        <w:pStyle w:val="20"/>
        <w:ind w:firstLine="723"/>
        <w:rPr>
          <w:rFonts w:hint="default" w:ascii="Times New Roman" w:hAnsi="Times New Roman" w:cs="Times New Roman"/>
          <w:color w:val="auto"/>
        </w:rPr>
      </w:pPr>
    </w:p>
    <w:p w14:paraId="627698A6">
      <w:pPr>
        <w:spacing w:line="360" w:lineRule="auto"/>
        <w:ind w:firstLine="482"/>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Cs w:val="21"/>
        </w:rPr>
        <w:br w:type="page" w:clear="all"/>
      </w:r>
    </w:p>
    <w:p w14:paraId="4F22E705">
      <w:pPr>
        <w:spacing w:line="360" w:lineRule="auto"/>
        <w:jc w:val="left"/>
        <w:outlineLvl w:val="3"/>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10</w:t>
      </w:r>
    </w:p>
    <w:p w14:paraId="4B8C2C29">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商务条款正负偏离表</w:t>
      </w:r>
    </w:p>
    <w:p w14:paraId="07DDA7B7">
      <w:pPr>
        <w:pStyle w:val="26"/>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项目名称：</w:t>
      </w:r>
    </w:p>
    <w:p w14:paraId="2D73612C">
      <w:pPr>
        <w:pStyle w:val="26"/>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项目编号：</w:t>
      </w:r>
    </w:p>
    <w:tbl>
      <w:tblPr>
        <w:tblStyle w:val="12"/>
        <w:tblW w:w="50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5"/>
        <w:gridCol w:w="2255"/>
        <w:gridCol w:w="2223"/>
        <w:gridCol w:w="2285"/>
        <w:gridCol w:w="1405"/>
      </w:tblGrid>
      <w:tr w14:paraId="002D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trPr>
        <w:tc>
          <w:tcPr>
            <w:tcW w:w="851" w:type="dxa"/>
            <w:vAlign w:val="center"/>
          </w:tcPr>
          <w:p w14:paraId="618E535A">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2331" w:type="dxa"/>
            <w:vAlign w:val="center"/>
          </w:tcPr>
          <w:p w14:paraId="340436BE">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招标文件要求的商务条款</w:t>
            </w:r>
          </w:p>
        </w:tc>
        <w:tc>
          <w:tcPr>
            <w:tcW w:w="2297" w:type="dxa"/>
            <w:vAlign w:val="center"/>
          </w:tcPr>
          <w:p w14:paraId="014F1A2D">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投标文件响应情况</w:t>
            </w:r>
          </w:p>
        </w:tc>
        <w:tc>
          <w:tcPr>
            <w:tcW w:w="2362" w:type="dxa"/>
            <w:vAlign w:val="center"/>
          </w:tcPr>
          <w:p w14:paraId="7D1EA238">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偏离说明</w:t>
            </w:r>
          </w:p>
        </w:tc>
        <w:tc>
          <w:tcPr>
            <w:tcW w:w="1445" w:type="dxa"/>
            <w:vAlign w:val="center"/>
          </w:tcPr>
          <w:p w14:paraId="76C66348">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14:paraId="104EE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51" w:type="dxa"/>
            <w:vAlign w:val="center"/>
          </w:tcPr>
          <w:p w14:paraId="0501AC83">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2331" w:type="dxa"/>
            <w:vAlign w:val="center"/>
          </w:tcPr>
          <w:p w14:paraId="1BAEF722">
            <w:pPr>
              <w:spacing w:line="360" w:lineRule="auto"/>
              <w:jc w:val="left"/>
              <w:rPr>
                <w:rFonts w:hint="default" w:ascii="Times New Roman" w:hAnsi="Times New Roman" w:eastAsia="宋体" w:cs="Times New Roman"/>
                <w:color w:val="auto"/>
                <w:sz w:val="24"/>
                <w:szCs w:val="24"/>
              </w:rPr>
            </w:pPr>
          </w:p>
        </w:tc>
        <w:tc>
          <w:tcPr>
            <w:tcW w:w="2297" w:type="dxa"/>
            <w:vAlign w:val="center"/>
          </w:tcPr>
          <w:p w14:paraId="395A5195">
            <w:pPr>
              <w:spacing w:line="360" w:lineRule="auto"/>
              <w:jc w:val="left"/>
              <w:rPr>
                <w:rFonts w:hint="default" w:ascii="Times New Roman" w:hAnsi="Times New Roman" w:eastAsia="宋体" w:cs="Times New Roman"/>
                <w:color w:val="auto"/>
                <w:sz w:val="24"/>
                <w:szCs w:val="24"/>
              </w:rPr>
            </w:pPr>
          </w:p>
        </w:tc>
        <w:tc>
          <w:tcPr>
            <w:tcW w:w="2362" w:type="dxa"/>
            <w:vAlign w:val="center"/>
          </w:tcPr>
          <w:p w14:paraId="52C65631">
            <w:pPr>
              <w:spacing w:line="360" w:lineRule="auto"/>
              <w:jc w:val="left"/>
              <w:rPr>
                <w:rFonts w:hint="default" w:ascii="Times New Roman" w:hAnsi="Times New Roman" w:eastAsia="宋体" w:cs="Times New Roman"/>
                <w:color w:val="auto"/>
                <w:sz w:val="24"/>
                <w:szCs w:val="24"/>
              </w:rPr>
            </w:pPr>
          </w:p>
        </w:tc>
        <w:tc>
          <w:tcPr>
            <w:tcW w:w="1445" w:type="dxa"/>
          </w:tcPr>
          <w:p w14:paraId="4737EE4E">
            <w:pPr>
              <w:spacing w:line="360" w:lineRule="auto"/>
              <w:jc w:val="left"/>
              <w:rPr>
                <w:rFonts w:hint="default" w:ascii="Times New Roman" w:hAnsi="Times New Roman" w:eastAsia="宋体" w:cs="Times New Roman"/>
                <w:color w:val="auto"/>
                <w:sz w:val="24"/>
                <w:szCs w:val="24"/>
              </w:rPr>
            </w:pPr>
          </w:p>
        </w:tc>
      </w:tr>
      <w:tr w14:paraId="68D10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51" w:type="dxa"/>
            <w:vAlign w:val="center"/>
          </w:tcPr>
          <w:p w14:paraId="01EC850F">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2331" w:type="dxa"/>
            <w:vAlign w:val="center"/>
          </w:tcPr>
          <w:p w14:paraId="31F18EED">
            <w:pPr>
              <w:spacing w:line="360" w:lineRule="auto"/>
              <w:jc w:val="left"/>
              <w:rPr>
                <w:rFonts w:hint="default" w:ascii="Times New Roman" w:hAnsi="Times New Roman" w:eastAsia="宋体" w:cs="Times New Roman"/>
                <w:color w:val="auto"/>
                <w:sz w:val="24"/>
                <w:szCs w:val="24"/>
              </w:rPr>
            </w:pPr>
          </w:p>
        </w:tc>
        <w:tc>
          <w:tcPr>
            <w:tcW w:w="2297" w:type="dxa"/>
            <w:vAlign w:val="center"/>
          </w:tcPr>
          <w:p w14:paraId="7C560D78">
            <w:pPr>
              <w:spacing w:line="360" w:lineRule="auto"/>
              <w:jc w:val="left"/>
              <w:rPr>
                <w:rFonts w:hint="default" w:ascii="Times New Roman" w:hAnsi="Times New Roman" w:eastAsia="宋体" w:cs="Times New Roman"/>
                <w:color w:val="auto"/>
                <w:sz w:val="24"/>
                <w:szCs w:val="24"/>
              </w:rPr>
            </w:pPr>
          </w:p>
        </w:tc>
        <w:tc>
          <w:tcPr>
            <w:tcW w:w="2362" w:type="dxa"/>
            <w:vAlign w:val="center"/>
          </w:tcPr>
          <w:p w14:paraId="4F5D8392">
            <w:pPr>
              <w:spacing w:line="360" w:lineRule="auto"/>
              <w:jc w:val="left"/>
              <w:rPr>
                <w:rFonts w:hint="default" w:ascii="Times New Roman" w:hAnsi="Times New Roman" w:eastAsia="宋体" w:cs="Times New Roman"/>
                <w:color w:val="auto"/>
                <w:sz w:val="24"/>
                <w:szCs w:val="24"/>
              </w:rPr>
            </w:pPr>
          </w:p>
        </w:tc>
        <w:tc>
          <w:tcPr>
            <w:tcW w:w="1445" w:type="dxa"/>
          </w:tcPr>
          <w:p w14:paraId="321A738D">
            <w:pPr>
              <w:spacing w:line="360" w:lineRule="auto"/>
              <w:jc w:val="left"/>
              <w:rPr>
                <w:rFonts w:hint="default" w:ascii="Times New Roman" w:hAnsi="Times New Roman" w:eastAsia="宋体" w:cs="Times New Roman"/>
                <w:color w:val="auto"/>
                <w:sz w:val="24"/>
                <w:szCs w:val="24"/>
              </w:rPr>
            </w:pPr>
          </w:p>
        </w:tc>
      </w:tr>
      <w:tr w14:paraId="6F408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51" w:type="dxa"/>
            <w:vAlign w:val="center"/>
          </w:tcPr>
          <w:p w14:paraId="227A5F6C">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2331" w:type="dxa"/>
            <w:vAlign w:val="center"/>
          </w:tcPr>
          <w:p w14:paraId="36C01E41">
            <w:pPr>
              <w:spacing w:line="360" w:lineRule="auto"/>
              <w:jc w:val="left"/>
              <w:rPr>
                <w:rFonts w:hint="default" w:ascii="Times New Roman" w:hAnsi="Times New Roman" w:eastAsia="宋体" w:cs="Times New Roman"/>
                <w:color w:val="auto"/>
                <w:sz w:val="24"/>
                <w:szCs w:val="24"/>
              </w:rPr>
            </w:pPr>
          </w:p>
        </w:tc>
        <w:tc>
          <w:tcPr>
            <w:tcW w:w="2297" w:type="dxa"/>
            <w:vAlign w:val="center"/>
          </w:tcPr>
          <w:p w14:paraId="7BA5F744">
            <w:pPr>
              <w:spacing w:line="360" w:lineRule="auto"/>
              <w:jc w:val="left"/>
              <w:rPr>
                <w:rFonts w:hint="default" w:ascii="Times New Roman" w:hAnsi="Times New Roman" w:eastAsia="宋体" w:cs="Times New Roman"/>
                <w:color w:val="auto"/>
                <w:sz w:val="24"/>
                <w:szCs w:val="24"/>
              </w:rPr>
            </w:pPr>
          </w:p>
        </w:tc>
        <w:tc>
          <w:tcPr>
            <w:tcW w:w="2362" w:type="dxa"/>
            <w:vAlign w:val="center"/>
          </w:tcPr>
          <w:p w14:paraId="6DFFDF96">
            <w:pPr>
              <w:spacing w:line="360" w:lineRule="auto"/>
              <w:jc w:val="left"/>
              <w:rPr>
                <w:rFonts w:hint="default" w:ascii="Times New Roman" w:hAnsi="Times New Roman" w:eastAsia="宋体" w:cs="Times New Roman"/>
                <w:color w:val="auto"/>
                <w:sz w:val="24"/>
                <w:szCs w:val="24"/>
              </w:rPr>
            </w:pPr>
          </w:p>
        </w:tc>
        <w:tc>
          <w:tcPr>
            <w:tcW w:w="1445" w:type="dxa"/>
          </w:tcPr>
          <w:p w14:paraId="683C499F">
            <w:pPr>
              <w:spacing w:line="360" w:lineRule="auto"/>
              <w:jc w:val="left"/>
              <w:rPr>
                <w:rFonts w:hint="default" w:ascii="Times New Roman" w:hAnsi="Times New Roman" w:eastAsia="宋体" w:cs="Times New Roman"/>
                <w:color w:val="auto"/>
                <w:sz w:val="24"/>
                <w:szCs w:val="24"/>
              </w:rPr>
            </w:pPr>
          </w:p>
        </w:tc>
      </w:tr>
      <w:tr w14:paraId="55FAA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51" w:type="dxa"/>
            <w:vAlign w:val="center"/>
          </w:tcPr>
          <w:p w14:paraId="61C64B00">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2331" w:type="dxa"/>
            <w:vAlign w:val="center"/>
          </w:tcPr>
          <w:p w14:paraId="2F5E6AE2">
            <w:pPr>
              <w:spacing w:line="360" w:lineRule="auto"/>
              <w:jc w:val="left"/>
              <w:rPr>
                <w:rFonts w:hint="default" w:ascii="Times New Roman" w:hAnsi="Times New Roman" w:eastAsia="宋体" w:cs="Times New Roman"/>
                <w:color w:val="auto"/>
                <w:sz w:val="24"/>
                <w:szCs w:val="24"/>
              </w:rPr>
            </w:pPr>
          </w:p>
        </w:tc>
        <w:tc>
          <w:tcPr>
            <w:tcW w:w="2297" w:type="dxa"/>
            <w:vAlign w:val="center"/>
          </w:tcPr>
          <w:p w14:paraId="5EB182B0">
            <w:pPr>
              <w:spacing w:line="360" w:lineRule="auto"/>
              <w:jc w:val="left"/>
              <w:rPr>
                <w:rFonts w:hint="default" w:ascii="Times New Roman" w:hAnsi="Times New Roman" w:eastAsia="宋体" w:cs="Times New Roman"/>
                <w:color w:val="auto"/>
                <w:sz w:val="24"/>
                <w:szCs w:val="24"/>
              </w:rPr>
            </w:pPr>
          </w:p>
        </w:tc>
        <w:tc>
          <w:tcPr>
            <w:tcW w:w="2362" w:type="dxa"/>
            <w:vAlign w:val="center"/>
          </w:tcPr>
          <w:p w14:paraId="35D7D5C8">
            <w:pPr>
              <w:spacing w:line="360" w:lineRule="auto"/>
              <w:jc w:val="left"/>
              <w:rPr>
                <w:rFonts w:hint="default" w:ascii="Times New Roman" w:hAnsi="Times New Roman" w:eastAsia="宋体" w:cs="Times New Roman"/>
                <w:color w:val="auto"/>
                <w:sz w:val="24"/>
                <w:szCs w:val="24"/>
              </w:rPr>
            </w:pPr>
          </w:p>
        </w:tc>
        <w:tc>
          <w:tcPr>
            <w:tcW w:w="1445" w:type="dxa"/>
          </w:tcPr>
          <w:p w14:paraId="1E3940CE">
            <w:pPr>
              <w:spacing w:line="360" w:lineRule="auto"/>
              <w:jc w:val="left"/>
              <w:rPr>
                <w:rFonts w:hint="default" w:ascii="Times New Roman" w:hAnsi="Times New Roman" w:eastAsia="宋体" w:cs="Times New Roman"/>
                <w:color w:val="auto"/>
                <w:sz w:val="24"/>
                <w:szCs w:val="24"/>
              </w:rPr>
            </w:pPr>
          </w:p>
        </w:tc>
      </w:tr>
    </w:tbl>
    <w:p w14:paraId="5DEDE361">
      <w:pPr>
        <w:spacing w:line="360" w:lineRule="auto"/>
        <w:rPr>
          <w:rFonts w:hint="default" w:ascii="Times New Roman" w:hAnsi="Times New Roman" w:eastAsia="宋体" w:cs="Times New Roman"/>
          <w:color w:val="auto"/>
          <w:sz w:val="24"/>
          <w:szCs w:val="24"/>
        </w:rPr>
      </w:pPr>
    </w:p>
    <w:p w14:paraId="5D869902">
      <w:pPr>
        <w:snapToGrid w:val="0"/>
        <w:spacing w:line="360" w:lineRule="auto"/>
        <w:jc w:val="lef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投标人（加盖CA电子签章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4FCA5C60">
      <w:pPr>
        <w:snapToGrid w:val="0"/>
        <w:spacing w:line="360" w:lineRule="auto"/>
        <w:jc w:val="lef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法定代表人或被授权人（签字或加盖CA电子签章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7DAB11C5">
      <w:pPr>
        <w:pStyle w:val="26"/>
        <w:spacing w:line="360" w:lineRule="auto"/>
        <w:rPr>
          <w:rFonts w:hint="default" w:ascii="Times New Roman" w:hAnsi="Times New Roman" w:eastAsia="宋体" w:cs="Times New Roman"/>
          <w:color w:val="auto"/>
          <w:szCs w:val="24"/>
        </w:rPr>
      </w:pPr>
      <w:r>
        <w:rPr>
          <w:rFonts w:hint="default" w:ascii="Times New Roman" w:hAnsi="Times New Roman" w:eastAsia="宋体" w:cs="Times New Roman"/>
          <w:bCs/>
          <w:color w:val="auto"/>
          <w:lang w:val="zh-CN"/>
        </w:rPr>
        <w:t>时间：</w:t>
      </w:r>
      <w:r>
        <w:rPr>
          <w:rFonts w:hint="default" w:ascii="Times New Roman" w:hAnsi="Times New Roman" w:eastAsia="宋体" w:cs="Times New Roman"/>
          <w:bCs/>
          <w:color w:val="auto"/>
        </w:rPr>
        <w:t>2026年</w:t>
      </w:r>
      <w:r>
        <w:rPr>
          <w:rFonts w:hint="default" w:ascii="Times New Roman" w:hAnsi="Times New Roman" w:eastAsia="宋体" w:cs="Times New Roman"/>
          <w:bCs/>
          <w:color w:val="auto"/>
          <w:lang w:val="zh-CN"/>
        </w:rPr>
        <w:t xml:space="preserve">  月   日</w:t>
      </w:r>
    </w:p>
    <w:p w14:paraId="7FD6D712">
      <w:pPr>
        <w:pStyle w:val="26"/>
        <w:spacing w:line="360" w:lineRule="auto"/>
        <w:rPr>
          <w:rFonts w:hint="default" w:ascii="Times New Roman" w:hAnsi="Times New Roman" w:eastAsia="宋体" w:cs="Times New Roman"/>
          <w:color w:val="auto"/>
          <w:szCs w:val="24"/>
        </w:rPr>
      </w:pPr>
    </w:p>
    <w:p w14:paraId="3B9CFB56">
      <w:pPr>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zh-CN"/>
        </w:rPr>
        <w:t>注：1</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zh-CN"/>
        </w:rPr>
        <w:t>供应商提交的响应文件中与招标文件第三部分“项目需求”中的</w:t>
      </w:r>
      <w:r>
        <w:rPr>
          <w:rFonts w:hint="default" w:ascii="Times New Roman" w:hAnsi="Times New Roman" w:eastAsia="宋体" w:cs="Times New Roman"/>
          <w:b/>
          <w:bCs/>
          <w:color w:val="auto"/>
          <w:sz w:val="24"/>
          <w:szCs w:val="24"/>
          <w:lang w:val="zh-CN"/>
        </w:rPr>
        <w:t>商务</w:t>
      </w:r>
      <w:r>
        <w:rPr>
          <w:rFonts w:hint="default" w:ascii="Times New Roman" w:hAnsi="Times New Roman" w:eastAsia="宋体" w:cs="Times New Roman"/>
          <w:color w:val="auto"/>
          <w:sz w:val="24"/>
          <w:szCs w:val="24"/>
          <w:lang w:val="zh-CN"/>
        </w:rPr>
        <w:t>要求，应逐条填列在偏离表中。也可以提供经签署、盖章的空白表格，</w:t>
      </w:r>
      <w:r>
        <w:rPr>
          <w:rFonts w:hint="eastAsia" w:eastAsia="宋体" w:cs="Times New Roman"/>
          <w:color w:val="auto"/>
          <w:sz w:val="24"/>
          <w:szCs w:val="24"/>
          <w:lang w:val="zh-CN"/>
        </w:rPr>
        <w:t>采购人</w:t>
      </w:r>
      <w:r>
        <w:rPr>
          <w:rFonts w:hint="default" w:ascii="Times New Roman" w:hAnsi="Times New Roman" w:eastAsia="宋体" w:cs="Times New Roman"/>
          <w:color w:val="auto"/>
          <w:sz w:val="24"/>
          <w:szCs w:val="24"/>
          <w:lang w:val="zh-CN"/>
        </w:rPr>
        <w:t>将视为供应商完全接受第三部分“项目需求”中的商务部分的条款内容。</w:t>
      </w:r>
    </w:p>
    <w:p w14:paraId="55FFE753">
      <w:pPr>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zh-CN"/>
        </w:rPr>
        <w:t>“偏离说明”一栏选择“正偏离”、“负偏离”进行填写。正偏离的确认和负偏离的是否响应采购文件，经三分之二评委认定。</w:t>
      </w:r>
    </w:p>
    <w:p w14:paraId="418B9C0B">
      <w:pPr>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zh-CN"/>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zh-CN"/>
        </w:rPr>
        <w:t>供应商如果虚假响应，将承担被暂停参加</w:t>
      </w:r>
      <w:r>
        <w:rPr>
          <w:rFonts w:hint="eastAsia" w:eastAsia="宋体" w:cs="Times New Roman"/>
          <w:color w:val="auto"/>
          <w:sz w:val="24"/>
          <w:szCs w:val="24"/>
          <w:lang w:val="zh-CN"/>
        </w:rPr>
        <w:t>采购人</w:t>
      </w:r>
      <w:r>
        <w:rPr>
          <w:rFonts w:hint="default" w:ascii="Times New Roman" w:hAnsi="Times New Roman" w:eastAsia="宋体" w:cs="Times New Roman"/>
          <w:color w:val="auto"/>
          <w:sz w:val="24"/>
          <w:szCs w:val="24"/>
          <w:lang w:val="zh-CN"/>
        </w:rPr>
        <w:t>招标活动的风险。</w:t>
      </w:r>
    </w:p>
    <w:p w14:paraId="187B5DE0">
      <w:pPr>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zh-CN"/>
        </w:rPr>
        <w:t>4</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zh-CN"/>
        </w:rPr>
        <w:t>供应商若提供其他增值服务，可以在表中自行据实填写。</w:t>
      </w:r>
    </w:p>
    <w:p w14:paraId="78BB3C56">
      <w:pPr>
        <w:spacing w:line="360" w:lineRule="auto"/>
        <w:rPr>
          <w:rFonts w:hint="default" w:ascii="Times New Roman" w:hAnsi="Times New Roman" w:eastAsia="宋体" w:cs="Times New Roman"/>
          <w:color w:val="auto"/>
          <w:sz w:val="24"/>
          <w:szCs w:val="24"/>
        </w:rPr>
      </w:pPr>
    </w:p>
    <w:p w14:paraId="167BF522">
      <w:pPr>
        <w:spacing w:line="360" w:lineRule="auto"/>
        <w:jc w:val="center"/>
        <w:outlineLvl w:val="3"/>
        <w:rPr>
          <w:rFonts w:hint="default" w:ascii="Times New Roman" w:hAnsi="Times New Roman" w:cs="Times New Roman"/>
          <w:color w:val="auto"/>
          <w:szCs w:val="21"/>
        </w:rPr>
      </w:pPr>
      <w:r>
        <w:rPr>
          <w:rFonts w:hint="default" w:ascii="Times New Roman" w:hAnsi="Times New Roman" w:cs="Times New Roman"/>
          <w:color w:val="auto"/>
          <w:szCs w:val="21"/>
        </w:rPr>
        <w:br w:type="page" w:clear="all"/>
      </w:r>
    </w:p>
    <w:p w14:paraId="6CC80F95">
      <w:pPr>
        <w:spacing w:line="360" w:lineRule="auto"/>
        <w:jc w:val="left"/>
        <w:outlineLvl w:val="3"/>
        <w:rPr>
          <w:rFonts w:hint="default" w:ascii="Times New Roman" w:hAnsi="Times New Roman" w:cs="Times New Roman"/>
          <w:color w:val="auto"/>
          <w:szCs w:val="21"/>
          <w:lang w:val="en-US"/>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11</w:t>
      </w:r>
    </w:p>
    <w:p w14:paraId="391BE24F">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kern w:val="2"/>
          <w:sz w:val="24"/>
          <w:szCs w:val="24"/>
          <w:lang w:eastAsia="zh-CN"/>
        </w:rPr>
        <w:t>☆</w:t>
      </w:r>
      <w:r>
        <w:rPr>
          <w:rFonts w:hint="default" w:ascii="Times New Roman" w:hAnsi="Times New Roman" w:eastAsia="宋体" w:cs="Times New Roman"/>
          <w:b/>
          <w:bCs/>
          <w:color w:val="auto"/>
          <w:sz w:val="28"/>
          <w:szCs w:val="28"/>
        </w:rPr>
        <w:t>技术条款响应正负偏离表》</w:t>
      </w:r>
    </w:p>
    <w:p w14:paraId="54178B35">
      <w:pPr>
        <w:spacing w:line="420" w:lineRule="exact"/>
        <w:ind w:firstLine="48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1.供应商必须满足响应文件中</w:t>
      </w:r>
      <w:r>
        <w:rPr>
          <w:rFonts w:hint="default" w:ascii="Times New Roman" w:hAnsi="Times New Roman" w:eastAsia="宋体" w:cs="Times New Roman"/>
          <w:b/>
          <w:bCs/>
          <w:color w:val="auto"/>
          <w:kern w:val="2"/>
          <w:sz w:val="24"/>
          <w:szCs w:val="24"/>
        </w:rPr>
        <w:t>“</w:t>
      </w:r>
      <w:r>
        <w:rPr>
          <w:rFonts w:hint="default" w:ascii="Times New Roman" w:hAnsi="Times New Roman" w:eastAsia="宋体" w:cs="Times New Roman"/>
          <w:b/>
          <w:bCs/>
          <w:color w:val="auto"/>
          <w:kern w:val="2"/>
          <w:sz w:val="24"/>
          <w:szCs w:val="24"/>
          <w:lang w:eastAsia="zh-CN"/>
        </w:rPr>
        <w:t>☆</w:t>
      </w:r>
      <w:r>
        <w:rPr>
          <w:rFonts w:hint="default" w:ascii="Times New Roman" w:hAnsi="Times New Roman" w:eastAsia="宋体" w:cs="Times New Roman"/>
          <w:b/>
          <w:bCs/>
          <w:color w:val="auto"/>
          <w:kern w:val="2"/>
          <w:sz w:val="24"/>
          <w:szCs w:val="24"/>
        </w:rPr>
        <w:t>”</w:t>
      </w:r>
      <w:r>
        <w:rPr>
          <w:rFonts w:hint="default" w:ascii="Times New Roman" w:hAnsi="Times New Roman" w:eastAsia="宋体" w:cs="Times New Roman"/>
          <w:color w:val="auto"/>
          <w:sz w:val="24"/>
          <w:szCs w:val="24"/>
        </w:rPr>
        <w:t>针对产品设备提出的全部技术规格与要求，逐一逐条响应填写《</w:t>
      </w:r>
      <w:r>
        <w:rPr>
          <w:rFonts w:hint="default" w:ascii="Times New Roman" w:hAnsi="Times New Roman" w:eastAsia="宋体" w:cs="Times New Roman"/>
          <w:b/>
          <w:bCs/>
          <w:color w:val="auto"/>
          <w:kern w:val="2"/>
          <w:sz w:val="24"/>
          <w:szCs w:val="24"/>
          <w:lang w:eastAsia="zh-CN"/>
        </w:rPr>
        <w:t>☆</w:t>
      </w:r>
      <w:r>
        <w:rPr>
          <w:rFonts w:hint="default" w:ascii="Times New Roman" w:hAnsi="Times New Roman" w:eastAsia="宋体" w:cs="Times New Roman"/>
          <w:color w:val="auto"/>
          <w:sz w:val="24"/>
          <w:szCs w:val="24"/>
        </w:rPr>
        <w:t>技术条款响应正负偏离表》；</w:t>
      </w:r>
    </w:p>
    <w:p w14:paraId="7BED0B65">
      <w:pPr>
        <w:tabs>
          <w:tab w:val="left" w:pos="720"/>
        </w:tabs>
        <w:spacing w:line="420" w:lineRule="exact"/>
        <w:ind w:firstLine="485"/>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sz w:val="24"/>
          <w:szCs w:val="24"/>
        </w:rPr>
        <w:t>技术条款响应正负偏离表》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1243"/>
        <w:gridCol w:w="1599"/>
        <w:gridCol w:w="1767"/>
        <w:gridCol w:w="2019"/>
        <w:gridCol w:w="1363"/>
        <w:gridCol w:w="809"/>
      </w:tblGrid>
      <w:tr w14:paraId="64140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743" w:type="dxa"/>
            <w:vAlign w:val="center"/>
          </w:tcPr>
          <w:p w14:paraId="5AC1B16D">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1243" w:type="dxa"/>
            <w:vAlign w:val="center"/>
          </w:tcPr>
          <w:p w14:paraId="218CBFFB">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项目名称</w:t>
            </w:r>
          </w:p>
        </w:tc>
        <w:tc>
          <w:tcPr>
            <w:tcW w:w="1599" w:type="dxa"/>
            <w:vAlign w:val="center"/>
          </w:tcPr>
          <w:p w14:paraId="28BA1C0E">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品牌型号</w:t>
            </w:r>
          </w:p>
        </w:tc>
        <w:tc>
          <w:tcPr>
            <w:tcW w:w="1767" w:type="dxa"/>
            <w:vAlign w:val="center"/>
          </w:tcPr>
          <w:p w14:paraId="25729E5D">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公开招标文件设备参数要求</w:t>
            </w:r>
          </w:p>
        </w:tc>
        <w:tc>
          <w:tcPr>
            <w:tcW w:w="2019" w:type="dxa"/>
            <w:vAlign w:val="center"/>
          </w:tcPr>
          <w:p w14:paraId="54D2DBF7">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所投设备</w:t>
            </w:r>
          </w:p>
          <w:p w14:paraId="66F24600">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技术响应参数</w:t>
            </w:r>
          </w:p>
        </w:tc>
        <w:tc>
          <w:tcPr>
            <w:tcW w:w="1363" w:type="dxa"/>
            <w:vAlign w:val="center"/>
          </w:tcPr>
          <w:p w14:paraId="67A7DED3">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偏离/响应</w:t>
            </w:r>
          </w:p>
        </w:tc>
        <w:tc>
          <w:tcPr>
            <w:tcW w:w="809" w:type="dxa"/>
            <w:vAlign w:val="center"/>
          </w:tcPr>
          <w:p w14:paraId="74ADCEEE">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说明</w:t>
            </w:r>
          </w:p>
        </w:tc>
      </w:tr>
      <w:tr w14:paraId="66D7C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43" w:type="dxa"/>
            <w:vAlign w:val="center"/>
          </w:tcPr>
          <w:p w14:paraId="25FE336C">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243" w:type="dxa"/>
            <w:vAlign w:val="center"/>
          </w:tcPr>
          <w:p w14:paraId="77137F4C">
            <w:pPr>
              <w:spacing w:line="420" w:lineRule="exact"/>
              <w:jc w:val="center"/>
              <w:rPr>
                <w:rFonts w:hint="default" w:ascii="Times New Roman" w:hAnsi="Times New Roman" w:eastAsia="宋体" w:cs="Times New Roman"/>
                <w:color w:val="auto"/>
                <w:sz w:val="24"/>
                <w:szCs w:val="24"/>
              </w:rPr>
            </w:pPr>
          </w:p>
        </w:tc>
        <w:tc>
          <w:tcPr>
            <w:tcW w:w="1599" w:type="dxa"/>
            <w:vAlign w:val="center"/>
          </w:tcPr>
          <w:p w14:paraId="73293B2E">
            <w:pPr>
              <w:spacing w:line="420" w:lineRule="exact"/>
              <w:jc w:val="center"/>
              <w:rPr>
                <w:rFonts w:hint="default" w:ascii="Times New Roman" w:hAnsi="Times New Roman" w:eastAsia="宋体" w:cs="Times New Roman"/>
                <w:color w:val="auto"/>
                <w:sz w:val="24"/>
                <w:szCs w:val="24"/>
              </w:rPr>
            </w:pPr>
          </w:p>
        </w:tc>
        <w:tc>
          <w:tcPr>
            <w:tcW w:w="1767" w:type="dxa"/>
            <w:vAlign w:val="center"/>
          </w:tcPr>
          <w:p w14:paraId="7F6F6D50">
            <w:pPr>
              <w:spacing w:line="420" w:lineRule="exact"/>
              <w:jc w:val="center"/>
              <w:rPr>
                <w:rFonts w:hint="default" w:ascii="Times New Roman" w:hAnsi="Times New Roman" w:eastAsia="宋体" w:cs="Times New Roman"/>
                <w:color w:val="auto"/>
                <w:sz w:val="24"/>
                <w:szCs w:val="24"/>
              </w:rPr>
            </w:pPr>
          </w:p>
        </w:tc>
        <w:tc>
          <w:tcPr>
            <w:tcW w:w="2019" w:type="dxa"/>
            <w:vAlign w:val="center"/>
          </w:tcPr>
          <w:p w14:paraId="1FC27414">
            <w:pPr>
              <w:spacing w:line="420" w:lineRule="exact"/>
              <w:jc w:val="center"/>
              <w:rPr>
                <w:rFonts w:hint="default" w:ascii="Times New Roman" w:hAnsi="Times New Roman" w:eastAsia="宋体" w:cs="Times New Roman"/>
                <w:color w:val="auto"/>
                <w:sz w:val="24"/>
                <w:szCs w:val="24"/>
              </w:rPr>
            </w:pPr>
          </w:p>
        </w:tc>
        <w:tc>
          <w:tcPr>
            <w:tcW w:w="1363" w:type="dxa"/>
            <w:vAlign w:val="center"/>
          </w:tcPr>
          <w:p w14:paraId="08AB3649">
            <w:pPr>
              <w:spacing w:line="420" w:lineRule="exact"/>
              <w:jc w:val="center"/>
              <w:rPr>
                <w:rFonts w:hint="default" w:ascii="Times New Roman" w:hAnsi="Times New Roman" w:eastAsia="宋体" w:cs="Times New Roman"/>
                <w:color w:val="auto"/>
                <w:sz w:val="24"/>
                <w:szCs w:val="24"/>
              </w:rPr>
            </w:pPr>
          </w:p>
        </w:tc>
        <w:tc>
          <w:tcPr>
            <w:tcW w:w="809" w:type="dxa"/>
            <w:vAlign w:val="center"/>
          </w:tcPr>
          <w:p w14:paraId="52F1AA13">
            <w:pPr>
              <w:spacing w:line="420" w:lineRule="exact"/>
              <w:jc w:val="center"/>
              <w:rPr>
                <w:rFonts w:hint="default" w:ascii="Times New Roman" w:hAnsi="Times New Roman" w:eastAsia="宋体" w:cs="Times New Roman"/>
                <w:color w:val="auto"/>
                <w:sz w:val="24"/>
                <w:szCs w:val="24"/>
              </w:rPr>
            </w:pPr>
          </w:p>
        </w:tc>
      </w:tr>
      <w:tr w14:paraId="6F3A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43" w:type="dxa"/>
            <w:vAlign w:val="center"/>
          </w:tcPr>
          <w:p w14:paraId="07AE19CE">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243" w:type="dxa"/>
            <w:vAlign w:val="center"/>
          </w:tcPr>
          <w:p w14:paraId="6A8A32CA">
            <w:pPr>
              <w:spacing w:line="420" w:lineRule="exact"/>
              <w:jc w:val="center"/>
              <w:rPr>
                <w:rFonts w:hint="default" w:ascii="Times New Roman" w:hAnsi="Times New Roman" w:eastAsia="宋体" w:cs="Times New Roman"/>
                <w:color w:val="auto"/>
                <w:sz w:val="24"/>
                <w:szCs w:val="24"/>
              </w:rPr>
            </w:pPr>
          </w:p>
        </w:tc>
        <w:tc>
          <w:tcPr>
            <w:tcW w:w="1599" w:type="dxa"/>
            <w:vAlign w:val="center"/>
          </w:tcPr>
          <w:p w14:paraId="2EC16C25">
            <w:pPr>
              <w:spacing w:line="420" w:lineRule="exact"/>
              <w:jc w:val="center"/>
              <w:rPr>
                <w:rFonts w:hint="default" w:ascii="Times New Roman" w:hAnsi="Times New Roman" w:eastAsia="宋体" w:cs="Times New Roman"/>
                <w:color w:val="auto"/>
                <w:sz w:val="24"/>
                <w:szCs w:val="24"/>
              </w:rPr>
            </w:pPr>
          </w:p>
        </w:tc>
        <w:tc>
          <w:tcPr>
            <w:tcW w:w="1767" w:type="dxa"/>
            <w:vAlign w:val="center"/>
          </w:tcPr>
          <w:p w14:paraId="361B282D">
            <w:pPr>
              <w:spacing w:line="420" w:lineRule="exact"/>
              <w:jc w:val="center"/>
              <w:rPr>
                <w:rFonts w:hint="default" w:ascii="Times New Roman" w:hAnsi="Times New Roman" w:eastAsia="宋体" w:cs="Times New Roman"/>
                <w:color w:val="auto"/>
                <w:sz w:val="24"/>
                <w:szCs w:val="24"/>
              </w:rPr>
            </w:pPr>
          </w:p>
        </w:tc>
        <w:tc>
          <w:tcPr>
            <w:tcW w:w="2019" w:type="dxa"/>
            <w:vAlign w:val="center"/>
          </w:tcPr>
          <w:p w14:paraId="2D771641">
            <w:pPr>
              <w:spacing w:line="420" w:lineRule="exact"/>
              <w:jc w:val="center"/>
              <w:rPr>
                <w:rFonts w:hint="default" w:ascii="Times New Roman" w:hAnsi="Times New Roman" w:eastAsia="宋体" w:cs="Times New Roman"/>
                <w:color w:val="auto"/>
                <w:sz w:val="24"/>
                <w:szCs w:val="24"/>
              </w:rPr>
            </w:pPr>
          </w:p>
        </w:tc>
        <w:tc>
          <w:tcPr>
            <w:tcW w:w="1363" w:type="dxa"/>
            <w:vAlign w:val="center"/>
          </w:tcPr>
          <w:p w14:paraId="0E8B8BD9">
            <w:pPr>
              <w:spacing w:line="420" w:lineRule="exact"/>
              <w:jc w:val="center"/>
              <w:rPr>
                <w:rFonts w:hint="default" w:ascii="Times New Roman" w:hAnsi="Times New Roman" w:eastAsia="宋体" w:cs="Times New Roman"/>
                <w:color w:val="auto"/>
                <w:sz w:val="24"/>
                <w:szCs w:val="24"/>
              </w:rPr>
            </w:pPr>
          </w:p>
        </w:tc>
        <w:tc>
          <w:tcPr>
            <w:tcW w:w="809" w:type="dxa"/>
            <w:vAlign w:val="center"/>
          </w:tcPr>
          <w:p w14:paraId="7D2C481B">
            <w:pPr>
              <w:spacing w:line="420" w:lineRule="exact"/>
              <w:jc w:val="center"/>
              <w:rPr>
                <w:rFonts w:hint="default" w:ascii="Times New Roman" w:hAnsi="Times New Roman" w:eastAsia="宋体" w:cs="Times New Roman"/>
                <w:color w:val="auto"/>
                <w:sz w:val="24"/>
                <w:szCs w:val="24"/>
              </w:rPr>
            </w:pPr>
          </w:p>
        </w:tc>
      </w:tr>
    </w:tbl>
    <w:p w14:paraId="5E73C6CC">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w:t>
      </w:r>
    </w:p>
    <w:p w14:paraId="7573B8F4">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①公开招标响应供应商应对照公开招标文件第三章项目需求内的要求，逐一填写。</w:t>
      </w:r>
    </w:p>
    <w:p w14:paraId="2ACA25BE">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公开招标响应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公开招标响应供应商提供的货物和服务同采购单位提出的项目需求说明中的技术要求不同的，必须在《技术响应一览表》上明示。</w:t>
      </w:r>
    </w:p>
    <w:p w14:paraId="4FE74ABF">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③本项目</w:t>
      </w:r>
      <w:r>
        <w:rPr>
          <w:rFonts w:hint="default" w:ascii="Times New Roman" w:hAnsi="Times New Roman" w:eastAsia="宋体" w:cs="Times New Roman"/>
          <w:b/>
          <w:bCs/>
          <w:color w:val="auto"/>
          <w:kern w:val="2"/>
          <w:sz w:val="24"/>
          <w:szCs w:val="24"/>
        </w:rPr>
        <w:t>“</w:t>
      </w:r>
      <w:r>
        <w:rPr>
          <w:rFonts w:hint="default" w:ascii="Times New Roman" w:hAnsi="Times New Roman" w:eastAsia="宋体" w:cs="Times New Roman"/>
          <w:b/>
          <w:bCs/>
          <w:color w:val="auto"/>
          <w:kern w:val="2"/>
          <w:sz w:val="24"/>
          <w:szCs w:val="24"/>
          <w:lang w:eastAsia="zh-CN"/>
        </w:rPr>
        <w:t>☆</w:t>
      </w:r>
      <w:r>
        <w:rPr>
          <w:rFonts w:hint="default" w:ascii="Times New Roman" w:hAnsi="Times New Roman" w:eastAsia="宋体" w:cs="Times New Roman"/>
          <w:b/>
          <w:bCs/>
          <w:color w:val="auto"/>
          <w:kern w:val="2"/>
          <w:sz w:val="24"/>
          <w:szCs w:val="24"/>
        </w:rPr>
        <w:t>”</w:t>
      </w:r>
      <w:r>
        <w:rPr>
          <w:rFonts w:hint="default" w:ascii="Times New Roman" w:hAnsi="Times New Roman" w:eastAsia="宋体" w:cs="Times New Roman"/>
          <w:color w:val="auto"/>
          <w:sz w:val="24"/>
          <w:szCs w:val="24"/>
        </w:rPr>
        <w:t>需求产品所有技术规格参数要求，须实质性响应不接受负偏离。</w:t>
      </w:r>
    </w:p>
    <w:p w14:paraId="588F16C0">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④该表不作为公开招标响应供应商对项目需求产品技术要求等的详细描述和说明的替代。</w:t>
      </w:r>
    </w:p>
    <w:p w14:paraId="71F67F6C">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⑤公开招标响应供应商如果虚假响应，将承担一切可能的风险。</w:t>
      </w:r>
    </w:p>
    <w:p w14:paraId="5EAC262F">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⑥所投品牌型号，必须确定、唯一。</w:t>
      </w:r>
    </w:p>
    <w:p w14:paraId="7A198EF9">
      <w:pPr>
        <w:spacing w:line="420" w:lineRule="exact"/>
        <w:ind w:firstLine="485"/>
        <w:rPr>
          <w:rFonts w:hint="default" w:ascii="Times New Roman" w:hAnsi="Times New Roman" w:eastAsia="宋体" w:cs="Times New Roman"/>
          <w:color w:val="auto"/>
          <w:sz w:val="24"/>
          <w:szCs w:val="24"/>
        </w:rPr>
      </w:pPr>
    </w:p>
    <w:p w14:paraId="1EDCFF03">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投标人（加盖CA电子签章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5E0321B4">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法定代表人或被授权人（签字或加盖CA电子签章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5B08FCF6">
      <w:pPr>
        <w:spacing w:line="360" w:lineRule="auto"/>
        <w:jc w:val="right"/>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Cs/>
          <w:color w:val="auto"/>
          <w:sz w:val="24"/>
          <w:lang w:val="zh-CN"/>
        </w:rPr>
        <w:t>时间：</w:t>
      </w:r>
      <w:r>
        <w:rPr>
          <w:rFonts w:hint="default" w:ascii="Times New Roman" w:hAnsi="Times New Roman" w:eastAsia="宋体" w:cs="Times New Roman"/>
          <w:bCs/>
          <w:color w:val="auto"/>
          <w:sz w:val="24"/>
        </w:rPr>
        <w:t>2026年</w:t>
      </w:r>
      <w:r>
        <w:rPr>
          <w:rFonts w:hint="default" w:ascii="Times New Roman" w:hAnsi="Times New Roman" w:eastAsia="宋体" w:cs="Times New Roman"/>
          <w:bCs/>
          <w:color w:val="auto"/>
          <w:sz w:val="24"/>
          <w:lang w:val="zh-CN"/>
        </w:rPr>
        <w:t xml:space="preserve">  月   日</w:t>
      </w:r>
    </w:p>
    <w:p w14:paraId="1F6D621F">
      <w:pP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br w:type="page"/>
      </w:r>
    </w:p>
    <w:p w14:paraId="5F2B3D29">
      <w:pPr>
        <w:widowControl/>
        <w:spacing w:line="360" w:lineRule="auto"/>
        <w:jc w:val="left"/>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12</w:t>
      </w:r>
    </w:p>
    <w:p w14:paraId="771E71FA">
      <w:pPr>
        <w:widowControl/>
        <w:spacing w:line="360" w:lineRule="auto"/>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《技术条款响应正负偏离表》</w:t>
      </w:r>
    </w:p>
    <w:p w14:paraId="074559B5">
      <w:pPr>
        <w:spacing w:line="420" w:lineRule="exact"/>
        <w:ind w:firstLine="48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1.供应商必须满足响应文件中针对产品设备提出的全部技术规格与要求，逐一逐条响应填写《技术条款响应正负偏离表》；</w:t>
      </w:r>
    </w:p>
    <w:p w14:paraId="688DC4D8">
      <w:pPr>
        <w:spacing w:line="420" w:lineRule="exact"/>
        <w:ind w:firstLine="48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2.供应商提供的货物和服务与采购人提出的项目需求说明中的技术要求不同，必须在逐一逐条填写响应的《技术条款响应正负偏离表》上明示偏离的部分。</w:t>
      </w:r>
    </w:p>
    <w:p w14:paraId="30329481">
      <w:pPr>
        <w:tabs>
          <w:tab w:val="left" w:pos="720"/>
        </w:tabs>
        <w:spacing w:line="420" w:lineRule="exact"/>
        <w:ind w:firstLine="485"/>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《技术条款响应正负偏离表》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1243"/>
        <w:gridCol w:w="1599"/>
        <w:gridCol w:w="1767"/>
        <w:gridCol w:w="2019"/>
        <w:gridCol w:w="1363"/>
        <w:gridCol w:w="809"/>
      </w:tblGrid>
      <w:tr w14:paraId="30A05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743" w:type="dxa"/>
            <w:vAlign w:val="center"/>
          </w:tcPr>
          <w:p w14:paraId="49CB0F44">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1243" w:type="dxa"/>
            <w:vAlign w:val="center"/>
          </w:tcPr>
          <w:p w14:paraId="5D9F956C">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项目名称</w:t>
            </w:r>
          </w:p>
        </w:tc>
        <w:tc>
          <w:tcPr>
            <w:tcW w:w="1599" w:type="dxa"/>
            <w:vAlign w:val="center"/>
          </w:tcPr>
          <w:p w14:paraId="77068702">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品牌型号</w:t>
            </w:r>
          </w:p>
        </w:tc>
        <w:tc>
          <w:tcPr>
            <w:tcW w:w="1767" w:type="dxa"/>
            <w:vAlign w:val="center"/>
          </w:tcPr>
          <w:p w14:paraId="1416325F">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公开招标文件设备参数要求</w:t>
            </w:r>
          </w:p>
        </w:tc>
        <w:tc>
          <w:tcPr>
            <w:tcW w:w="2019" w:type="dxa"/>
            <w:vAlign w:val="center"/>
          </w:tcPr>
          <w:p w14:paraId="7537E5AC">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所投设备</w:t>
            </w:r>
          </w:p>
          <w:p w14:paraId="2F4FA1C0">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技术响应参数</w:t>
            </w:r>
          </w:p>
        </w:tc>
        <w:tc>
          <w:tcPr>
            <w:tcW w:w="1363" w:type="dxa"/>
            <w:vAlign w:val="center"/>
          </w:tcPr>
          <w:p w14:paraId="7FF5D35B">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偏离/响应</w:t>
            </w:r>
          </w:p>
        </w:tc>
        <w:tc>
          <w:tcPr>
            <w:tcW w:w="809" w:type="dxa"/>
            <w:vAlign w:val="center"/>
          </w:tcPr>
          <w:p w14:paraId="2D0AB1CD">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说明</w:t>
            </w:r>
          </w:p>
        </w:tc>
      </w:tr>
      <w:tr w14:paraId="27C34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43" w:type="dxa"/>
            <w:vAlign w:val="center"/>
          </w:tcPr>
          <w:p w14:paraId="120C4687">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243" w:type="dxa"/>
            <w:vAlign w:val="center"/>
          </w:tcPr>
          <w:p w14:paraId="7146A44B">
            <w:pPr>
              <w:spacing w:line="420" w:lineRule="exact"/>
              <w:jc w:val="center"/>
              <w:rPr>
                <w:rFonts w:hint="default" w:ascii="Times New Roman" w:hAnsi="Times New Roman" w:eastAsia="宋体" w:cs="Times New Roman"/>
                <w:color w:val="auto"/>
                <w:sz w:val="24"/>
                <w:szCs w:val="24"/>
              </w:rPr>
            </w:pPr>
          </w:p>
        </w:tc>
        <w:tc>
          <w:tcPr>
            <w:tcW w:w="1599" w:type="dxa"/>
            <w:vAlign w:val="center"/>
          </w:tcPr>
          <w:p w14:paraId="0CDB396F">
            <w:pPr>
              <w:spacing w:line="420" w:lineRule="exact"/>
              <w:jc w:val="center"/>
              <w:rPr>
                <w:rFonts w:hint="default" w:ascii="Times New Roman" w:hAnsi="Times New Roman" w:eastAsia="宋体" w:cs="Times New Roman"/>
                <w:color w:val="auto"/>
                <w:sz w:val="24"/>
                <w:szCs w:val="24"/>
              </w:rPr>
            </w:pPr>
          </w:p>
        </w:tc>
        <w:tc>
          <w:tcPr>
            <w:tcW w:w="1767" w:type="dxa"/>
            <w:vAlign w:val="center"/>
          </w:tcPr>
          <w:p w14:paraId="0764A00B">
            <w:pPr>
              <w:spacing w:line="420" w:lineRule="exact"/>
              <w:jc w:val="center"/>
              <w:rPr>
                <w:rFonts w:hint="default" w:ascii="Times New Roman" w:hAnsi="Times New Roman" w:eastAsia="宋体" w:cs="Times New Roman"/>
                <w:color w:val="auto"/>
                <w:sz w:val="24"/>
                <w:szCs w:val="24"/>
              </w:rPr>
            </w:pPr>
          </w:p>
        </w:tc>
        <w:tc>
          <w:tcPr>
            <w:tcW w:w="2019" w:type="dxa"/>
            <w:vAlign w:val="center"/>
          </w:tcPr>
          <w:p w14:paraId="7B523BAF">
            <w:pPr>
              <w:spacing w:line="420" w:lineRule="exact"/>
              <w:jc w:val="center"/>
              <w:rPr>
                <w:rFonts w:hint="default" w:ascii="Times New Roman" w:hAnsi="Times New Roman" w:eastAsia="宋体" w:cs="Times New Roman"/>
                <w:color w:val="auto"/>
                <w:sz w:val="24"/>
                <w:szCs w:val="24"/>
              </w:rPr>
            </w:pPr>
          </w:p>
        </w:tc>
        <w:tc>
          <w:tcPr>
            <w:tcW w:w="1363" w:type="dxa"/>
            <w:vAlign w:val="center"/>
          </w:tcPr>
          <w:p w14:paraId="784C58A6">
            <w:pPr>
              <w:spacing w:line="420" w:lineRule="exact"/>
              <w:jc w:val="center"/>
              <w:rPr>
                <w:rFonts w:hint="default" w:ascii="Times New Roman" w:hAnsi="Times New Roman" w:eastAsia="宋体" w:cs="Times New Roman"/>
                <w:color w:val="auto"/>
                <w:sz w:val="24"/>
                <w:szCs w:val="24"/>
              </w:rPr>
            </w:pPr>
          </w:p>
        </w:tc>
        <w:tc>
          <w:tcPr>
            <w:tcW w:w="809" w:type="dxa"/>
            <w:vAlign w:val="center"/>
          </w:tcPr>
          <w:p w14:paraId="435E1F2C">
            <w:pPr>
              <w:spacing w:line="420" w:lineRule="exact"/>
              <w:jc w:val="center"/>
              <w:rPr>
                <w:rFonts w:hint="default" w:ascii="Times New Roman" w:hAnsi="Times New Roman" w:eastAsia="宋体" w:cs="Times New Roman"/>
                <w:color w:val="auto"/>
                <w:sz w:val="24"/>
                <w:szCs w:val="24"/>
              </w:rPr>
            </w:pPr>
          </w:p>
        </w:tc>
      </w:tr>
      <w:tr w14:paraId="0E718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43" w:type="dxa"/>
            <w:vAlign w:val="center"/>
          </w:tcPr>
          <w:p w14:paraId="0DBAEFC4">
            <w:pPr>
              <w:spacing w:line="4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243" w:type="dxa"/>
            <w:vAlign w:val="center"/>
          </w:tcPr>
          <w:p w14:paraId="1E946080">
            <w:pPr>
              <w:spacing w:line="420" w:lineRule="exact"/>
              <w:jc w:val="center"/>
              <w:rPr>
                <w:rFonts w:hint="default" w:ascii="Times New Roman" w:hAnsi="Times New Roman" w:eastAsia="宋体" w:cs="Times New Roman"/>
                <w:color w:val="auto"/>
                <w:sz w:val="24"/>
                <w:szCs w:val="24"/>
              </w:rPr>
            </w:pPr>
          </w:p>
        </w:tc>
        <w:tc>
          <w:tcPr>
            <w:tcW w:w="1599" w:type="dxa"/>
            <w:vAlign w:val="center"/>
          </w:tcPr>
          <w:p w14:paraId="7FCEF544">
            <w:pPr>
              <w:spacing w:line="420" w:lineRule="exact"/>
              <w:jc w:val="center"/>
              <w:rPr>
                <w:rFonts w:hint="default" w:ascii="Times New Roman" w:hAnsi="Times New Roman" w:eastAsia="宋体" w:cs="Times New Roman"/>
                <w:color w:val="auto"/>
                <w:sz w:val="24"/>
                <w:szCs w:val="24"/>
              </w:rPr>
            </w:pPr>
          </w:p>
        </w:tc>
        <w:tc>
          <w:tcPr>
            <w:tcW w:w="1767" w:type="dxa"/>
            <w:vAlign w:val="center"/>
          </w:tcPr>
          <w:p w14:paraId="47C90276">
            <w:pPr>
              <w:spacing w:line="420" w:lineRule="exact"/>
              <w:jc w:val="center"/>
              <w:rPr>
                <w:rFonts w:hint="default" w:ascii="Times New Roman" w:hAnsi="Times New Roman" w:eastAsia="宋体" w:cs="Times New Roman"/>
                <w:color w:val="auto"/>
                <w:sz w:val="24"/>
                <w:szCs w:val="24"/>
              </w:rPr>
            </w:pPr>
          </w:p>
        </w:tc>
        <w:tc>
          <w:tcPr>
            <w:tcW w:w="2019" w:type="dxa"/>
            <w:vAlign w:val="center"/>
          </w:tcPr>
          <w:p w14:paraId="1ECC0881">
            <w:pPr>
              <w:spacing w:line="420" w:lineRule="exact"/>
              <w:jc w:val="center"/>
              <w:rPr>
                <w:rFonts w:hint="default" w:ascii="Times New Roman" w:hAnsi="Times New Roman" w:eastAsia="宋体" w:cs="Times New Roman"/>
                <w:color w:val="auto"/>
                <w:sz w:val="24"/>
                <w:szCs w:val="24"/>
              </w:rPr>
            </w:pPr>
          </w:p>
        </w:tc>
        <w:tc>
          <w:tcPr>
            <w:tcW w:w="1363" w:type="dxa"/>
            <w:vAlign w:val="center"/>
          </w:tcPr>
          <w:p w14:paraId="4235A8E2">
            <w:pPr>
              <w:spacing w:line="420" w:lineRule="exact"/>
              <w:jc w:val="center"/>
              <w:rPr>
                <w:rFonts w:hint="default" w:ascii="Times New Roman" w:hAnsi="Times New Roman" w:eastAsia="宋体" w:cs="Times New Roman"/>
                <w:color w:val="auto"/>
                <w:sz w:val="24"/>
                <w:szCs w:val="24"/>
              </w:rPr>
            </w:pPr>
          </w:p>
        </w:tc>
        <w:tc>
          <w:tcPr>
            <w:tcW w:w="809" w:type="dxa"/>
            <w:vAlign w:val="center"/>
          </w:tcPr>
          <w:p w14:paraId="349EB9B9">
            <w:pPr>
              <w:spacing w:line="420" w:lineRule="exact"/>
              <w:jc w:val="center"/>
              <w:rPr>
                <w:rFonts w:hint="default" w:ascii="Times New Roman" w:hAnsi="Times New Roman" w:eastAsia="宋体" w:cs="Times New Roman"/>
                <w:color w:val="auto"/>
                <w:sz w:val="24"/>
                <w:szCs w:val="24"/>
              </w:rPr>
            </w:pPr>
          </w:p>
        </w:tc>
      </w:tr>
    </w:tbl>
    <w:p w14:paraId="23993929">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w:t>
      </w:r>
    </w:p>
    <w:p w14:paraId="241ADAEB">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①公开招标响应供应商应对照公开招标文件第三章项目需求内的要求，逐一填写。</w:t>
      </w:r>
    </w:p>
    <w:p w14:paraId="060920DC">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公开招标响应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公开招标响应供应商提供的货物和服务同采购单位提出的项目需求说明中的技术要求不同的，必须在《技术响应一览表》上明示。</w:t>
      </w:r>
    </w:p>
    <w:p w14:paraId="3E1DAB9F">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③该表不作为公开招标响应供应商对项目需求产品技术要求等的详细描述和说明的替代。</w:t>
      </w:r>
    </w:p>
    <w:p w14:paraId="310C3774">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④公开招标响应供应商如果虚假响应，将承担一切可能的风险。</w:t>
      </w:r>
    </w:p>
    <w:p w14:paraId="775ABDC9">
      <w:pPr>
        <w:spacing w:line="420" w:lineRule="exact"/>
        <w:ind w:firstLine="48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⑤所投品牌型号，必须确定、唯一。</w:t>
      </w:r>
    </w:p>
    <w:p w14:paraId="29D60F19">
      <w:pPr>
        <w:spacing w:line="420" w:lineRule="exact"/>
        <w:ind w:firstLine="485"/>
        <w:rPr>
          <w:rFonts w:hint="default" w:ascii="Times New Roman" w:hAnsi="Times New Roman" w:eastAsia="宋体" w:cs="Times New Roman"/>
          <w:color w:val="auto"/>
          <w:sz w:val="24"/>
          <w:szCs w:val="24"/>
        </w:rPr>
      </w:pPr>
    </w:p>
    <w:p w14:paraId="6713A544">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投标人（加盖CA电子签章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7028517B">
      <w:pPr>
        <w:snapToGrid w:val="0"/>
        <w:spacing w:line="360" w:lineRule="auto"/>
        <w:jc w:val="right"/>
        <w:outlineLvl w:val="4"/>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法定代表人或被授权人（签字或加盖CA电子签章</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 xml:space="preserve">： </w:t>
      </w:r>
    </w:p>
    <w:p w14:paraId="0E349C1C">
      <w:pPr>
        <w:spacing w:line="420" w:lineRule="exact"/>
        <w:jc w:val="right"/>
        <w:rPr>
          <w:rFonts w:hint="default" w:ascii="Times New Roman" w:hAnsi="Times New Roman" w:eastAsia="宋体" w:cs="Times New Roman"/>
          <w:color w:val="auto"/>
          <w:sz w:val="30"/>
          <w:szCs w:val="30"/>
        </w:rPr>
      </w:pPr>
      <w:r>
        <w:rPr>
          <w:rFonts w:hint="default" w:ascii="Times New Roman" w:hAnsi="Times New Roman" w:eastAsia="宋体" w:cs="Times New Roman"/>
          <w:bCs/>
          <w:color w:val="auto"/>
          <w:sz w:val="24"/>
          <w:lang w:val="zh-CN"/>
        </w:rPr>
        <w:t>时间：</w:t>
      </w:r>
      <w:r>
        <w:rPr>
          <w:rFonts w:hint="default" w:ascii="Times New Roman" w:hAnsi="Times New Roman" w:eastAsia="宋体" w:cs="Times New Roman"/>
          <w:bCs/>
          <w:color w:val="auto"/>
          <w:sz w:val="24"/>
        </w:rPr>
        <w:t>2026年</w:t>
      </w:r>
      <w:r>
        <w:rPr>
          <w:rFonts w:hint="default" w:ascii="Times New Roman" w:hAnsi="Times New Roman" w:eastAsia="宋体" w:cs="Times New Roman"/>
          <w:bCs/>
          <w:color w:val="auto"/>
          <w:sz w:val="24"/>
          <w:lang w:val="zh-CN"/>
        </w:rPr>
        <w:t xml:space="preserve">  月   日</w:t>
      </w:r>
    </w:p>
    <w:p w14:paraId="01A8312D">
      <w:pPr>
        <w:widowControl/>
        <w:ind w:firstLine="482"/>
        <w:jc w:val="left"/>
        <w:rPr>
          <w:rFonts w:hint="default" w:ascii="Times New Roman" w:hAnsi="Times New Roman" w:eastAsia="宋体" w:cs="Times New Roman"/>
          <w:b/>
          <w:bCs/>
          <w:color w:val="auto"/>
          <w:sz w:val="24"/>
          <w:szCs w:val="21"/>
        </w:rPr>
      </w:pPr>
    </w:p>
    <w:p w14:paraId="1AEEB41A">
      <w:pPr>
        <w:widowControl/>
        <w:ind w:firstLine="482"/>
        <w:jc w:val="left"/>
        <w:rPr>
          <w:rFonts w:hint="default" w:ascii="Times New Roman" w:hAnsi="Times New Roman" w:eastAsia="宋体" w:cs="Times New Roman"/>
          <w:b/>
          <w:bCs/>
          <w:color w:val="auto"/>
          <w:sz w:val="24"/>
          <w:szCs w:val="21"/>
        </w:rPr>
      </w:pPr>
      <w:r>
        <w:rPr>
          <w:rFonts w:hint="default" w:ascii="Times New Roman" w:hAnsi="Times New Roman" w:eastAsia="宋体" w:cs="Times New Roman"/>
          <w:b/>
          <w:bCs/>
          <w:color w:val="auto"/>
          <w:sz w:val="24"/>
          <w:szCs w:val="21"/>
        </w:rPr>
        <w:br w:type="page" w:clear="all"/>
      </w:r>
    </w:p>
    <w:p w14:paraId="70E0E6FA">
      <w:pPr>
        <w:spacing w:line="360" w:lineRule="auto"/>
        <w:jc w:val="left"/>
        <w:outlineLvl w:val="3"/>
        <w:rPr>
          <w:rFonts w:hint="default" w:ascii="Times New Roman" w:hAnsi="Times New Roman" w:eastAsia="宋体" w:cs="Times New Roman"/>
          <w:b/>
          <w:bCs/>
          <w:color w:val="auto"/>
          <w:sz w:val="28"/>
          <w:szCs w:val="28"/>
          <w:lang w:val="en-US"/>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13</w:t>
      </w:r>
    </w:p>
    <w:p w14:paraId="471CA3B1">
      <w:pPr>
        <w:spacing w:line="360" w:lineRule="auto"/>
        <w:jc w:val="center"/>
        <w:outlineLvl w:val="3"/>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rPr>
        <w:t>中小企业声明函（货物</w:t>
      </w:r>
      <w:r>
        <w:rPr>
          <w:rFonts w:hint="default" w:ascii="Times New Roman" w:hAnsi="Times New Roman" w:eastAsia="宋体" w:cs="Times New Roman"/>
          <w:b/>
          <w:bCs/>
          <w:color w:val="auto"/>
          <w:sz w:val="28"/>
          <w:szCs w:val="28"/>
          <w:lang w:eastAsia="zh-CN"/>
        </w:rPr>
        <w:t>）</w:t>
      </w:r>
    </w:p>
    <w:p w14:paraId="5344ED04">
      <w:pPr>
        <w:snapToGrid w:val="0"/>
        <w:spacing w:line="360" w:lineRule="auto"/>
        <w:ind w:firstLine="480" w:firstLineChars="200"/>
        <w:outlineLvl w:val="0"/>
        <w:rPr>
          <w:rFonts w:hint="default" w:ascii="Times New Roman" w:hAnsi="Times New Roman" w:eastAsia="宋体" w:cs="Times New Roman"/>
          <w:color w:val="auto"/>
          <w:sz w:val="24"/>
          <w:szCs w:val="24"/>
          <w:lang w:bidi="zh-CN"/>
        </w:rPr>
      </w:pPr>
    </w:p>
    <w:p w14:paraId="6371FAD6">
      <w:pPr>
        <w:snapToGrid w:val="0"/>
        <w:spacing w:line="360" w:lineRule="auto"/>
        <w:ind w:firstLine="480" w:firstLineChars="200"/>
        <w:outlineLvl w:val="0"/>
        <w:rPr>
          <w:rFonts w:hint="default" w:ascii="Times New Roman" w:hAnsi="Times New Roman" w:eastAsia="宋体" w:cs="Times New Roman"/>
          <w:color w:val="auto"/>
          <w:sz w:val="24"/>
          <w:szCs w:val="24"/>
          <w:lang w:bidi="zh-CN"/>
        </w:rPr>
      </w:pPr>
      <w:r>
        <w:rPr>
          <w:rFonts w:hint="default" w:ascii="Times New Roman" w:hAnsi="Times New Roman" w:eastAsia="宋体" w:cs="Times New Roman"/>
          <w:color w:val="auto"/>
          <w:sz w:val="24"/>
          <w:szCs w:val="24"/>
          <w:lang w:bidi="zh-CN"/>
        </w:rPr>
        <w:t>本公司（联合体）郑重声明，根据《政府采购促进中小企业发展管理办法》（财库﹝2020﹞46 号）的规定，本公司（联合体）参加</w:t>
      </w:r>
      <w:r>
        <w:rPr>
          <w:rFonts w:hint="default" w:ascii="Times New Roman" w:hAnsi="Times New Roman" w:eastAsia="宋体" w:cs="Times New Roman"/>
          <w:color w:val="auto"/>
          <w:sz w:val="24"/>
          <w:szCs w:val="24"/>
          <w:u w:val="single"/>
          <w:lang w:bidi="zh-CN"/>
        </w:rPr>
        <w:t>（单位名称）</w:t>
      </w:r>
      <w:r>
        <w:rPr>
          <w:rFonts w:hint="default" w:ascii="Times New Roman" w:hAnsi="Times New Roman" w:eastAsia="宋体" w:cs="Times New Roman"/>
          <w:color w:val="auto"/>
          <w:sz w:val="24"/>
          <w:szCs w:val="24"/>
          <w:lang w:bidi="zh-CN"/>
        </w:rPr>
        <w:t>的</w:t>
      </w:r>
      <w:r>
        <w:rPr>
          <w:rFonts w:hint="default" w:ascii="Times New Roman" w:hAnsi="Times New Roman" w:eastAsia="宋体" w:cs="Times New Roman"/>
          <w:color w:val="auto"/>
          <w:sz w:val="24"/>
          <w:szCs w:val="24"/>
          <w:u w:val="single"/>
          <w:lang w:bidi="zh-CN"/>
        </w:rPr>
        <w:t>（项目名称）</w:t>
      </w:r>
      <w:r>
        <w:rPr>
          <w:rFonts w:hint="default" w:ascii="Times New Roman" w:hAnsi="Times New Roman" w:eastAsia="宋体" w:cs="Times New Roman"/>
          <w:color w:val="auto"/>
          <w:sz w:val="24"/>
          <w:szCs w:val="24"/>
          <w:lang w:bidi="zh-CN"/>
        </w:rPr>
        <w:t>采购活动，提供的货物全部由符合政策要求的中小企业制造。相关企业（含联合体中的中小企业、签订分包意向协议的中小企业） 的具体情况如下：</w:t>
      </w:r>
    </w:p>
    <w:p w14:paraId="5F09A95B">
      <w:pPr>
        <w:snapToGrid w:val="0"/>
        <w:spacing w:line="360" w:lineRule="auto"/>
        <w:outlineLvl w:val="0"/>
        <w:rPr>
          <w:rFonts w:hint="default" w:ascii="Times New Roman" w:hAnsi="Times New Roman" w:eastAsia="宋体" w:cs="Times New Roman"/>
          <w:color w:val="auto"/>
          <w:sz w:val="24"/>
          <w:szCs w:val="24"/>
          <w:lang w:bidi="zh-CN"/>
        </w:rPr>
      </w:pPr>
      <w:r>
        <w:rPr>
          <w:rFonts w:hint="default" w:ascii="Times New Roman" w:hAnsi="Times New Roman" w:eastAsia="宋体" w:cs="Times New Roman"/>
          <w:color w:val="auto"/>
          <w:sz w:val="24"/>
          <w:szCs w:val="24"/>
          <w:lang w:bidi="zh-CN"/>
        </w:rPr>
        <w:t>1.</w:t>
      </w:r>
      <w:r>
        <w:rPr>
          <w:rFonts w:hint="default" w:ascii="Times New Roman" w:hAnsi="Times New Roman" w:eastAsia="宋体" w:cs="Times New Roman"/>
          <w:color w:val="auto"/>
          <w:sz w:val="24"/>
          <w:szCs w:val="24"/>
          <w:u w:val="single"/>
          <w:lang w:bidi="zh-CN"/>
        </w:rPr>
        <w:t xml:space="preserve"> （标的名称）</w:t>
      </w:r>
      <w:r>
        <w:rPr>
          <w:rFonts w:hint="default" w:ascii="Times New Roman" w:hAnsi="Times New Roman" w:eastAsia="宋体" w:cs="Times New Roman"/>
          <w:color w:val="auto"/>
          <w:sz w:val="24"/>
          <w:szCs w:val="24"/>
          <w:lang w:bidi="zh-CN"/>
        </w:rPr>
        <w:t xml:space="preserve"> ，属于</w:t>
      </w:r>
      <w:r>
        <w:rPr>
          <w:rFonts w:hint="default" w:ascii="Times New Roman" w:hAnsi="Times New Roman" w:eastAsia="宋体" w:cs="Times New Roman"/>
          <w:color w:val="auto"/>
          <w:sz w:val="24"/>
          <w:szCs w:val="24"/>
          <w:u w:val="single"/>
          <w:lang w:bidi="zh-CN"/>
        </w:rPr>
        <w:t>（采购文件中明确的所属行业）</w:t>
      </w:r>
      <w:r>
        <w:rPr>
          <w:rFonts w:hint="default" w:ascii="Times New Roman" w:hAnsi="Times New Roman" w:eastAsia="宋体" w:cs="Times New Roman"/>
          <w:color w:val="auto"/>
          <w:sz w:val="24"/>
          <w:szCs w:val="24"/>
          <w:lang w:bidi="zh-CN"/>
        </w:rPr>
        <w:t>行业；制造商为</w:t>
      </w:r>
      <w:r>
        <w:rPr>
          <w:rFonts w:hint="default" w:ascii="Times New Roman" w:hAnsi="Times New Roman" w:eastAsia="宋体" w:cs="Times New Roman"/>
          <w:color w:val="auto"/>
          <w:sz w:val="24"/>
          <w:szCs w:val="24"/>
          <w:u w:val="single"/>
          <w:lang w:bidi="zh-CN"/>
        </w:rPr>
        <w:t>（企业名称）</w:t>
      </w:r>
      <w:r>
        <w:rPr>
          <w:rFonts w:hint="default" w:ascii="Times New Roman" w:hAnsi="Times New Roman" w:eastAsia="宋体" w:cs="Times New Roman"/>
          <w:color w:val="auto"/>
          <w:sz w:val="24"/>
          <w:szCs w:val="24"/>
          <w:lang w:bidi="zh-CN"/>
        </w:rPr>
        <w:t>，从业人员</w:t>
      </w:r>
      <w:r>
        <w:rPr>
          <w:rFonts w:hint="default" w:ascii="Times New Roman" w:hAnsi="Times New Roman" w:eastAsia="宋体" w:cs="Times New Roman"/>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ab/>
      </w:r>
      <w:r>
        <w:rPr>
          <w:rFonts w:hint="default" w:ascii="Times New Roman" w:hAnsi="Times New Roman" w:eastAsia="宋体" w:cs="Times New Roman"/>
          <w:color w:val="auto"/>
          <w:sz w:val="24"/>
          <w:szCs w:val="24"/>
          <w:lang w:bidi="zh-CN"/>
        </w:rPr>
        <w:t>人，营业收入为</w:t>
      </w:r>
      <w:r>
        <w:rPr>
          <w:rFonts w:hint="default" w:ascii="Times New Roman" w:hAnsi="Times New Roman" w:eastAsia="宋体" w:cs="Times New Roman"/>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ab/>
      </w:r>
      <w:r>
        <w:rPr>
          <w:rFonts w:hint="default" w:ascii="Times New Roman" w:hAnsi="Times New Roman" w:eastAsia="宋体" w:cs="Times New Roman"/>
          <w:color w:val="auto"/>
          <w:sz w:val="24"/>
          <w:szCs w:val="24"/>
          <w:lang w:bidi="zh-CN"/>
        </w:rPr>
        <w:t>万元，资产总额为</w:t>
      </w:r>
      <w:r>
        <w:rPr>
          <w:rFonts w:hint="default" w:ascii="Times New Roman" w:hAnsi="Times New Roman" w:eastAsia="宋体" w:cs="Times New Roman"/>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ab/>
      </w:r>
      <w:r>
        <w:rPr>
          <w:rFonts w:hint="default" w:ascii="Times New Roman" w:hAnsi="Times New Roman" w:eastAsia="宋体" w:cs="Times New Roman"/>
          <w:color w:val="auto"/>
          <w:sz w:val="24"/>
          <w:szCs w:val="24"/>
          <w:lang w:bidi="zh-CN"/>
        </w:rPr>
        <w:t>万元，属于</w:t>
      </w:r>
      <w:r>
        <w:rPr>
          <w:rFonts w:hint="default" w:ascii="Times New Roman" w:hAnsi="Times New Roman" w:eastAsia="宋体" w:cs="Times New Roman"/>
          <w:color w:val="auto"/>
          <w:sz w:val="24"/>
          <w:szCs w:val="24"/>
          <w:u w:val="single"/>
          <w:lang w:bidi="zh-CN"/>
        </w:rPr>
        <w:t>（中型企业、小型企业、微型企业）</w:t>
      </w:r>
      <w:r>
        <w:rPr>
          <w:rFonts w:hint="default" w:ascii="Times New Roman" w:hAnsi="Times New Roman" w:eastAsia="宋体" w:cs="Times New Roman"/>
          <w:color w:val="auto"/>
          <w:sz w:val="24"/>
          <w:szCs w:val="24"/>
          <w:lang w:bidi="zh-CN"/>
        </w:rPr>
        <w:t>；</w:t>
      </w:r>
    </w:p>
    <w:p w14:paraId="0D59CC52">
      <w:pPr>
        <w:snapToGrid w:val="0"/>
        <w:spacing w:line="360" w:lineRule="auto"/>
        <w:outlineLvl w:val="0"/>
        <w:rPr>
          <w:rFonts w:hint="default" w:ascii="Times New Roman" w:hAnsi="Times New Roman" w:eastAsia="宋体" w:cs="Times New Roman"/>
          <w:color w:val="auto"/>
          <w:sz w:val="24"/>
          <w:szCs w:val="24"/>
          <w:lang w:bidi="zh-CN"/>
        </w:rPr>
      </w:pPr>
      <w:r>
        <w:rPr>
          <w:rFonts w:hint="default" w:ascii="Times New Roman" w:hAnsi="Times New Roman" w:eastAsia="宋体" w:cs="Times New Roman"/>
          <w:color w:val="auto"/>
          <w:sz w:val="24"/>
          <w:szCs w:val="24"/>
          <w:lang w:bidi="zh-CN"/>
        </w:rPr>
        <w:t>2.</w:t>
      </w:r>
      <w:r>
        <w:rPr>
          <w:rFonts w:hint="default" w:ascii="Times New Roman" w:hAnsi="Times New Roman" w:eastAsia="宋体" w:cs="Times New Roman"/>
          <w:i/>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 xml:space="preserve">（标的名称） </w:t>
      </w:r>
      <w:r>
        <w:rPr>
          <w:rFonts w:hint="default" w:ascii="Times New Roman" w:hAnsi="Times New Roman" w:eastAsia="宋体" w:cs="Times New Roman"/>
          <w:color w:val="auto"/>
          <w:sz w:val="24"/>
          <w:szCs w:val="24"/>
          <w:lang w:bidi="zh-CN"/>
        </w:rPr>
        <w:t>，属于</w:t>
      </w:r>
      <w:r>
        <w:rPr>
          <w:rFonts w:hint="default" w:ascii="Times New Roman" w:hAnsi="Times New Roman" w:eastAsia="宋体" w:cs="Times New Roman"/>
          <w:color w:val="auto"/>
          <w:sz w:val="24"/>
          <w:szCs w:val="24"/>
          <w:u w:val="single"/>
          <w:lang w:bidi="zh-CN"/>
        </w:rPr>
        <w:t>（采购文件中明确的所属行业）</w:t>
      </w:r>
      <w:r>
        <w:rPr>
          <w:rFonts w:hint="default" w:ascii="Times New Roman" w:hAnsi="Times New Roman" w:eastAsia="宋体" w:cs="Times New Roman"/>
          <w:color w:val="auto"/>
          <w:sz w:val="24"/>
          <w:szCs w:val="24"/>
          <w:lang w:bidi="zh-CN"/>
        </w:rPr>
        <w:t>行业；制造商为</w:t>
      </w:r>
      <w:r>
        <w:rPr>
          <w:rFonts w:hint="default" w:ascii="Times New Roman" w:hAnsi="Times New Roman" w:eastAsia="宋体" w:cs="Times New Roman"/>
          <w:color w:val="auto"/>
          <w:sz w:val="24"/>
          <w:szCs w:val="24"/>
          <w:u w:val="single"/>
          <w:lang w:bidi="zh-CN"/>
        </w:rPr>
        <w:t>（企业名称）</w:t>
      </w:r>
      <w:r>
        <w:rPr>
          <w:rFonts w:hint="default" w:ascii="Times New Roman" w:hAnsi="Times New Roman" w:eastAsia="宋体" w:cs="Times New Roman"/>
          <w:color w:val="auto"/>
          <w:sz w:val="24"/>
          <w:szCs w:val="24"/>
          <w:lang w:bidi="zh-CN"/>
        </w:rPr>
        <w:t>，从业人员</w:t>
      </w:r>
      <w:r>
        <w:rPr>
          <w:rFonts w:hint="default" w:ascii="Times New Roman" w:hAnsi="Times New Roman" w:eastAsia="宋体" w:cs="Times New Roman"/>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ab/>
      </w:r>
      <w:r>
        <w:rPr>
          <w:rFonts w:hint="default" w:ascii="Times New Roman" w:hAnsi="Times New Roman" w:eastAsia="宋体" w:cs="Times New Roman"/>
          <w:color w:val="auto"/>
          <w:sz w:val="24"/>
          <w:szCs w:val="24"/>
          <w:lang w:bidi="zh-CN"/>
        </w:rPr>
        <w:t>人，营业收入为</w:t>
      </w:r>
      <w:r>
        <w:rPr>
          <w:rFonts w:hint="default" w:ascii="Times New Roman" w:hAnsi="Times New Roman" w:eastAsia="宋体" w:cs="Times New Roman"/>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ab/>
      </w:r>
      <w:r>
        <w:rPr>
          <w:rFonts w:hint="default" w:ascii="Times New Roman" w:hAnsi="Times New Roman" w:eastAsia="宋体" w:cs="Times New Roman"/>
          <w:color w:val="auto"/>
          <w:sz w:val="24"/>
          <w:szCs w:val="24"/>
          <w:lang w:bidi="zh-CN"/>
        </w:rPr>
        <w:t>万元，资产总额为</w:t>
      </w:r>
      <w:r>
        <w:rPr>
          <w:rFonts w:hint="default" w:ascii="Times New Roman" w:hAnsi="Times New Roman" w:eastAsia="宋体" w:cs="Times New Roman"/>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ab/>
      </w:r>
      <w:r>
        <w:rPr>
          <w:rFonts w:hint="default" w:ascii="Times New Roman" w:hAnsi="Times New Roman" w:eastAsia="宋体" w:cs="Times New Roman"/>
          <w:color w:val="auto"/>
          <w:sz w:val="24"/>
          <w:szCs w:val="24"/>
          <w:lang w:bidi="zh-CN"/>
        </w:rPr>
        <w:t>万元，属于</w:t>
      </w:r>
      <w:r>
        <w:rPr>
          <w:rFonts w:hint="default" w:ascii="Times New Roman" w:hAnsi="Times New Roman" w:eastAsia="宋体" w:cs="Times New Roman"/>
          <w:color w:val="auto"/>
          <w:sz w:val="24"/>
          <w:szCs w:val="24"/>
          <w:u w:val="single"/>
          <w:lang w:bidi="zh-CN"/>
        </w:rPr>
        <w:t>（中型企业、小型企业、微型企业）</w:t>
      </w:r>
      <w:r>
        <w:rPr>
          <w:rFonts w:hint="default" w:ascii="Times New Roman" w:hAnsi="Times New Roman" w:eastAsia="宋体" w:cs="Times New Roman"/>
          <w:color w:val="auto"/>
          <w:sz w:val="24"/>
          <w:szCs w:val="24"/>
          <w:lang w:bidi="zh-CN"/>
        </w:rPr>
        <w:t>；</w:t>
      </w:r>
    </w:p>
    <w:p w14:paraId="0D0E2ED4">
      <w:pPr>
        <w:snapToGrid w:val="0"/>
        <w:spacing w:line="360" w:lineRule="auto"/>
        <w:outlineLvl w:val="0"/>
        <w:rPr>
          <w:rFonts w:hint="default" w:ascii="Times New Roman" w:hAnsi="Times New Roman" w:eastAsia="宋体" w:cs="Times New Roman"/>
          <w:color w:val="auto"/>
          <w:sz w:val="24"/>
          <w:szCs w:val="24"/>
          <w:lang w:bidi="zh-CN"/>
        </w:rPr>
      </w:pPr>
      <w:r>
        <w:rPr>
          <w:rFonts w:hint="default" w:ascii="Times New Roman" w:hAnsi="Times New Roman" w:eastAsia="宋体" w:cs="Times New Roman"/>
          <w:color w:val="auto"/>
          <w:sz w:val="24"/>
          <w:szCs w:val="24"/>
          <w:lang w:bidi="zh-CN"/>
        </w:rPr>
        <w:t>……</w:t>
      </w:r>
    </w:p>
    <w:p w14:paraId="412479B1">
      <w:pPr>
        <w:snapToGrid w:val="0"/>
        <w:spacing w:line="360" w:lineRule="auto"/>
        <w:ind w:firstLine="480" w:firstLineChars="200"/>
        <w:outlineLvl w:val="0"/>
        <w:rPr>
          <w:rFonts w:hint="default" w:ascii="Times New Roman" w:hAnsi="Times New Roman" w:eastAsia="宋体" w:cs="Times New Roman"/>
          <w:color w:val="auto"/>
          <w:sz w:val="24"/>
          <w:szCs w:val="24"/>
          <w:lang w:bidi="zh-CN"/>
        </w:rPr>
      </w:pPr>
      <w:r>
        <w:rPr>
          <w:rFonts w:hint="default" w:ascii="Times New Roman" w:hAnsi="Times New Roman" w:eastAsia="宋体" w:cs="Times New Roman"/>
          <w:color w:val="auto"/>
          <w:sz w:val="24"/>
          <w:szCs w:val="24"/>
          <w:lang w:bidi="zh-CN"/>
        </w:rPr>
        <w:t>以上企业，不属于大企业的分支机构，不存在控股股东为大企业的情形，也不存在与大企业的负责人为同一人的情形。</w:t>
      </w:r>
    </w:p>
    <w:p w14:paraId="00098EFA">
      <w:pPr>
        <w:snapToGrid w:val="0"/>
        <w:spacing w:line="360" w:lineRule="auto"/>
        <w:ind w:firstLine="480" w:firstLineChars="200"/>
        <w:outlineLvl w:val="0"/>
        <w:rPr>
          <w:rFonts w:hint="default" w:ascii="Times New Roman" w:hAnsi="Times New Roman" w:eastAsia="宋体" w:cs="Times New Roman"/>
          <w:color w:val="auto"/>
          <w:sz w:val="24"/>
          <w:szCs w:val="24"/>
          <w:lang w:bidi="zh-CN"/>
        </w:rPr>
      </w:pPr>
      <w:r>
        <w:rPr>
          <w:rFonts w:hint="default" w:ascii="Times New Roman" w:hAnsi="Times New Roman" w:eastAsia="宋体" w:cs="Times New Roman"/>
          <w:color w:val="auto"/>
          <w:sz w:val="24"/>
          <w:szCs w:val="24"/>
          <w:lang w:bidi="zh-CN"/>
        </w:rPr>
        <w:t>本企业对上述声明内容的真实性负责。如有虚假，将依法承担相应责任。</w:t>
      </w:r>
    </w:p>
    <w:p w14:paraId="75291536">
      <w:pPr>
        <w:snapToGrid w:val="0"/>
        <w:spacing w:line="360" w:lineRule="auto"/>
        <w:outlineLvl w:val="0"/>
        <w:rPr>
          <w:rFonts w:hint="default" w:ascii="Times New Roman" w:hAnsi="Times New Roman" w:eastAsia="宋体" w:cs="Times New Roman"/>
          <w:color w:val="auto"/>
          <w:sz w:val="24"/>
          <w:szCs w:val="24"/>
          <w:highlight w:val="green"/>
          <w:lang w:bidi="zh-CN"/>
        </w:rPr>
      </w:pPr>
    </w:p>
    <w:p w14:paraId="722F80FA">
      <w:pPr>
        <w:snapToGrid w:val="0"/>
        <w:spacing w:line="360" w:lineRule="auto"/>
        <w:outlineLvl w:val="0"/>
        <w:rPr>
          <w:rFonts w:hint="default" w:ascii="Times New Roman" w:hAnsi="Times New Roman" w:eastAsia="宋体" w:cs="Times New Roman"/>
          <w:color w:val="auto"/>
          <w:sz w:val="24"/>
          <w:szCs w:val="24"/>
          <w:lang w:bidi="zh-CN"/>
        </w:rPr>
      </w:pPr>
      <w:r>
        <w:rPr>
          <w:rFonts w:hint="default" w:ascii="Times New Roman" w:hAnsi="Times New Roman" w:eastAsia="宋体" w:cs="Times New Roman"/>
          <w:color w:val="auto"/>
          <w:sz w:val="24"/>
          <w:szCs w:val="24"/>
          <w:lang w:bidi="zh-CN"/>
        </w:rPr>
        <w:t>注：1.如项目属性为“货物”，请按本表填写。</w:t>
      </w:r>
    </w:p>
    <w:p w14:paraId="6646C777">
      <w:pPr>
        <w:snapToGrid w:val="0"/>
        <w:spacing w:line="360" w:lineRule="auto"/>
        <w:ind w:firstLine="480" w:firstLineChars="200"/>
        <w:outlineLvl w:val="0"/>
        <w:rPr>
          <w:rFonts w:hint="default" w:ascii="Times New Roman" w:hAnsi="Times New Roman" w:eastAsia="宋体" w:cs="Times New Roman"/>
          <w:color w:val="auto"/>
          <w:sz w:val="24"/>
          <w:szCs w:val="24"/>
          <w:lang w:bidi="zh-CN"/>
        </w:rPr>
      </w:pPr>
      <w:r>
        <w:rPr>
          <w:rFonts w:hint="default" w:ascii="Times New Roman" w:hAnsi="Times New Roman" w:eastAsia="宋体" w:cs="Times New Roman"/>
          <w:color w:val="auto"/>
          <w:sz w:val="24"/>
          <w:szCs w:val="24"/>
          <w:lang w:bidi="zh-CN"/>
        </w:rPr>
        <w:t>2.从业人员、营业收入、资产总额填报上一年度数据，无上一年度数据的新成立企业可不填报。</w:t>
      </w:r>
    </w:p>
    <w:p w14:paraId="5B4E4C80">
      <w:pPr>
        <w:snapToGrid w:val="0"/>
        <w:spacing w:line="360" w:lineRule="auto"/>
        <w:ind w:firstLine="480" w:firstLineChars="200"/>
        <w:outlineLvl w:val="0"/>
        <w:rPr>
          <w:rFonts w:hint="default" w:ascii="Times New Roman" w:hAnsi="Times New Roman" w:eastAsia="宋体" w:cs="Times New Roman"/>
          <w:color w:val="auto"/>
          <w:sz w:val="24"/>
          <w:szCs w:val="24"/>
          <w:lang w:bidi="zh-CN"/>
        </w:rPr>
      </w:pPr>
      <w:r>
        <w:rPr>
          <w:rFonts w:hint="default" w:ascii="Times New Roman" w:hAnsi="Times New Roman" w:eastAsia="宋体" w:cs="Times New Roman"/>
          <w:color w:val="auto"/>
          <w:sz w:val="24"/>
          <w:szCs w:val="24"/>
          <w:lang w:bidi="zh-CN"/>
        </w:rPr>
        <w:t>3.投标供应商须根据上述要求，详细列明货物清单中所有产品制造商的具体情况，否则不能享受中小企业扶持政策。</w:t>
      </w:r>
    </w:p>
    <w:p w14:paraId="0F0F5FB6">
      <w:pPr>
        <w:snapToGrid w:val="0"/>
        <w:spacing w:line="360" w:lineRule="auto"/>
        <w:ind w:firstLine="480" w:firstLineChars="200"/>
        <w:outlineLvl w:val="0"/>
        <w:rPr>
          <w:rFonts w:hint="default" w:ascii="Times New Roman" w:hAnsi="Times New Roman" w:eastAsia="宋体" w:cs="Times New Roman"/>
          <w:color w:val="auto"/>
          <w:sz w:val="24"/>
          <w:szCs w:val="24"/>
          <w:lang w:bidi="zh-CN"/>
        </w:rPr>
      </w:pPr>
      <w:r>
        <w:rPr>
          <w:rFonts w:hint="default" w:ascii="Times New Roman" w:hAnsi="Times New Roman" w:eastAsia="宋体" w:cs="Times New Roman"/>
          <w:color w:val="auto"/>
          <w:sz w:val="24"/>
          <w:szCs w:val="24"/>
          <w:lang w:bidi="zh-CN"/>
        </w:rPr>
        <w:t>4.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6C4FDDF2">
      <w:pPr>
        <w:snapToGrid w:val="0"/>
        <w:spacing w:line="360" w:lineRule="auto"/>
        <w:outlineLvl w:val="0"/>
        <w:rPr>
          <w:rFonts w:hint="default" w:ascii="Times New Roman" w:hAnsi="Times New Roman" w:eastAsia="宋体" w:cs="Times New Roman"/>
          <w:color w:val="auto"/>
          <w:sz w:val="24"/>
          <w:szCs w:val="24"/>
          <w:lang w:bidi="zh-CN"/>
        </w:rPr>
      </w:pPr>
    </w:p>
    <w:p w14:paraId="72A22478">
      <w:pPr>
        <w:spacing w:line="360" w:lineRule="auto"/>
        <w:ind w:firstLine="4200"/>
        <w:jc w:val="center"/>
        <w:outlineLvl w:val="0"/>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lang w:bidi="zh-CN"/>
        </w:rPr>
        <w:t>企业名称（</w:t>
      </w:r>
      <w:r>
        <w:rPr>
          <w:rFonts w:hint="default" w:ascii="Times New Roman" w:hAnsi="Times New Roman" w:eastAsia="宋体" w:cs="Times New Roman"/>
          <w:bCs/>
          <w:color w:val="auto"/>
          <w:sz w:val="24"/>
        </w:rPr>
        <w:t>加盖CA电子签章</w:t>
      </w:r>
      <w:r>
        <w:rPr>
          <w:rFonts w:hint="default" w:ascii="Times New Roman" w:hAnsi="Times New Roman" w:eastAsia="宋体" w:cs="Times New Roman"/>
          <w:color w:val="auto"/>
          <w:sz w:val="24"/>
          <w:szCs w:val="28"/>
          <w:lang w:bidi="zh-CN"/>
        </w:rPr>
        <w:t>）：</w:t>
      </w:r>
    </w:p>
    <w:p w14:paraId="702BE0B2">
      <w:pPr>
        <w:spacing w:line="360" w:lineRule="auto"/>
        <w:ind w:firstLine="4800" w:firstLineChars="2000"/>
        <w:outlineLvl w:val="0"/>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sz w:val="24"/>
          <w:szCs w:val="28"/>
          <w:lang w:bidi="zh-CN"/>
        </w:rPr>
        <w:t>日 期：</w:t>
      </w:r>
    </w:p>
    <w:p w14:paraId="72C2A193">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sz w:val="24"/>
          <w:szCs w:val="21"/>
        </w:rPr>
        <w:br w:type="page" w:clear="all"/>
      </w:r>
      <w:r>
        <w:rPr>
          <w:rFonts w:hint="default" w:ascii="Times New Roman" w:hAnsi="Times New Roman" w:eastAsia="宋体" w:cs="Times New Roman"/>
          <w:b/>
          <w:bCs/>
          <w:color w:val="auto"/>
          <w:sz w:val="28"/>
          <w:szCs w:val="28"/>
        </w:rPr>
        <w:t>残疾人福利性单位声明函</w:t>
      </w:r>
    </w:p>
    <w:p w14:paraId="70B1C095">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本单位郑重声明，根据《财政部 民政部 中国残疾人联合会关于促进残疾人就业政府采购政策的通知》（财库〔2017〕 141号</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的规定，本单位为符合条件的残疾人福利性单位，且本单位参加______单位的______项目采购活动提供本单位制造的货物（由本单位承担工程/提供服务</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，或者提供其他残疾人福利性单位制造的货物（不包括使用非残疾人福利性单位注册商标的货物</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w:t>
      </w:r>
    </w:p>
    <w:p w14:paraId="1CC4C8B6">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本单位对上述声明的真实性负责。如有虚假，将依法承担相应责任。</w:t>
      </w:r>
    </w:p>
    <w:p w14:paraId="4BFE1D23">
      <w:pPr>
        <w:spacing w:line="360" w:lineRule="auto"/>
        <w:ind w:firstLine="48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供应商公章：</w:t>
      </w:r>
    </w:p>
    <w:p w14:paraId="6F61DF85">
      <w:pPr>
        <w:spacing w:line="360" w:lineRule="auto"/>
        <w:ind w:firstLine="48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日期：</w:t>
      </w:r>
    </w:p>
    <w:p w14:paraId="056C382A">
      <w:pPr>
        <w:spacing w:line="360" w:lineRule="auto"/>
        <w:ind w:firstLine="566"/>
        <w:rPr>
          <w:rFonts w:hint="default" w:ascii="Times New Roman" w:hAnsi="Times New Roman" w:eastAsia="宋体" w:cs="Times New Roman"/>
          <w:color w:val="auto"/>
          <w:sz w:val="24"/>
          <w:szCs w:val="26"/>
        </w:rPr>
      </w:pPr>
    </w:p>
    <w:p w14:paraId="0AFDD0AE">
      <w:pPr>
        <w:spacing w:line="360" w:lineRule="auto"/>
        <w:ind w:firstLine="566"/>
        <w:rPr>
          <w:rFonts w:hint="default" w:ascii="Times New Roman" w:hAnsi="Times New Roman" w:eastAsia="宋体" w:cs="Times New Roman"/>
          <w:color w:val="auto"/>
          <w:sz w:val="24"/>
          <w:szCs w:val="26"/>
        </w:rPr>
      </w:pPr>
      <w:r>
        <w:rPr>
          <w:rFonts w:hint="default" w:ascii="Times New Roman" w:hAnsi="Times New Roman" w:eastAsia="宋体" w:cs="Times New Roman"/>
          <w:color w:val="auto"/>
          <w:sz w:val="24"/>
          <w:szCs w:val="26"/>
        </w:rPr>
        <w:t>享受政府采购支持政策的残疾人福利性单位应当同时满足以下条件：</w:t>
      </w:r>
    </w:p>
    <w:p w14:paraId="7A0E9888">
      <w:pPr>
        <w:spacing w:line="360" w:lineRule="auto"/>
        <w:ind w:firstLine="480"/>
        <w:rPr>
          <w:rFonts w:hint="default" w:ascii="Times New Roman" w:hAnsi="Times New Roman" w:eastAsia="宋体" w:cs="Times New Roman"/>
          <w:color w:val="auto"/>
          <w:sz w:val="24"/>
          <w:szCs w:val="26"/>
        </w:rPr>
      </w:pPr>
      <w:r>
        <w:rPr>
          <w:rFonts w:hint="default" w:ascii="Times New Roman" w:hAnsi="Times New Roman" w:eastAsia="宋体" w:cs="Times New Roman"/>
          <w:color w:val="auto"/>
          <w:sz w:val="24"/>
          <w:szCs w:val="26"/>
        </w:rPr>
        <w:t>（一</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安置的残疾人占本单位在职职工人数的比例不低于25%（含25%</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，并且安置的残疾人人数不少于10人（含10人</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w:t>
      </w:r>
    </w:p>
    <w:p w14:paraId="09B8AAE4">
      <w:pPr>
        <w:spacing w:line="360" w:lineRule="auto"/>
        <w:ind w:firstLine="480"/>
        <w:rPr>
          <w:rFonts w:hint="default" w:ascii="Times New Roman" w:hAnsi="Times New Roman" w:eastAsia="宋体" w:cs="Times New Roman"/>
          <w:color w:val="auto"/>
          <w:sz w:val="24"/>
          <w:szCs w:val="26"/>
        </w:rPr>
      </w:pPr>
      <w:r>
        <w:rPr>
          <w:rFonts w:hint="default" w:ascii="Times New Roman" w:hAnsi="Times New Roman" w:eastAsia="宋体" w:cs="Times New Roman"/>
          <w:color w:val="auto"/>
          <w:sz w:val="24"/>
          <w:szCs w:val="26"/>
        </w:rPr>
        <w:t>（二</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依法与安置的每位残疾人签订了一年以上（含一年</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的劳动合同或服务协议；</w:t>
      </w:r>
    </w:p>
    <w:p w14:paraId="60E58A11">
      <w:pPr>
        <w:spacing w:line="360" w:lineRule="auto"/>
        <w:ind w:firstLine="480"/>
        <w:rPr>
          <w:rFonts w:hint="default" w:ascii="Times New Roman" w:hAnsi="Times New Roman" w:eastAsia="宋体" w:cs="Times New Roman"/>
          <w:color w:val="auto"/>
          <w:sz w:val="24"/>
          <w:szCs w:val="26"/>
        </w:rPr>
      </w:pPr>
      <w:r>
        <w:rPr>
          <w:rFonts w:hint="default" w:ascii="Times New Roman" w:hAnsi="Times New Roman" w:eastAsia="宋体" w:cs="Times New Roman"/>
          <w:color w:val="auto"/>
          <w:sz w:val="24"/>
          <w:szCs w:val="26"/>
        </w:rPr>
        <w:t>（三</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为安置的每位残疾人按月足额缴纳了基本养老保险、基本医疗保险、失业保险、工伤保险和生育保险等社会保险费；</w:t>
      </w:r>
    </w:p>
    <w:p w14:paraId="61E41F52">
      <w:pPr>
        <w:spacing w:line="360" w:lineRule="auto"/>
        <w:ind w:firstLine="480"/>
        <w:rPr>
          <w:rFonts w:hint="default" w:ascii="Times New Roman" w:hAnsi="Times New Roman" w:eastAsia="宋体" w:cs="Times New Roman"/>
          <w:color w:val="auto"/>
          <w:sz w:val="24"/>
          <w:szCs w:val="26"/>
        </w:rPr>
      </w:pPr>
      <w:r>
        <w:rPr>
          <w:rFonts w:hint="default" w:ascii="Times New Roman" w:hAnsi="Times New Roman" w:eastAsia="宋体" w:cs="Times New Roman"/>
          <w:color w:val="auto"/>
          <w:sz w:val="24"/>
          <w:szCs w:val="26"/>
        </w:rPr>
        <w:t>（四</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通过银行等金融机构向安置的每位残疾人，按月支付了不低于单位所在区县适用的经省级人民政府批准的月最低工资标准的工资；</w:t>
      </w:r>
    </w:p>
    <w:p w14:paraId="6CFA927D">
      <w:pPr>
        <w:spacing w:line="360" w:lineRule="auto"/>
        <w:ind w:firstLine="480"/>
        <w:rPr>
          <w:rFonts w:hint="default" w:ascii="Times New Roman" w:hAnsi="Times New Roman" w:eastAsia="宋体" w:cs="Times New Roman"/>
          <w:color w:val="auto"/>
          <w:sz w:val="24"/>
          <w:szCs w:val="26"/>
        </w:rPr>
      </w:pPr>
      <w:r>
        <w:rPr>
          <w:rFonts w:hint="default" w:ascii="Times New Roman" w:hAnsi="Times New Roman" w:eastAsia="宋体" w:cs="Times New Roman"/>
          <w:color w:val="auto"/>
          <w:sz w:val="24"/>
          <w:szCs w:val="26"/>
        </w:rPr>
        <w:t>（五</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提供本单位制造的货物、承担的工程或者服务（以下简称产品</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，或者提供其他残疾人福利性单位制造的货物（不包括使用非残疾人福利性单位注册商标的货物</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w:t>
      </w:r>
    </w:p>
    <w:p w14:paraId="3066A855">
      <w:pPr>
        <w:spacing w:line="360" w:lineRule="auto"/>
        <w:ind w:firstLine="480"/>
        <w:rPr>
          <w:rFonts w:hint="default" w:ascii="Times New Roman" w:hAnsi="Times New Roman" w:eastAsia="宋体" w:cs="Times New Roman"/>
          <w:color w:val="auto"/>
        </w:rPr>
      </w:pPr>
      <w:r>
        <w:rPr>
          <w:rFonts w:hint="default" w:ascii="Times New Roman" w:hAnsi="Times New Roman" w:eastAsia="宋体" w:cs="Times New Roman"/>
          <w:color w:val="auto"/>
          <w:sz w:val="24"/>
          <w:szCs w:val="26"/>
        </w:rPr>
        <w:t>前款所称残疾人是指法定劳动年龄内，持有《中华人民共和国残疾人证》或者《中华人民共和国残疾军人证（1至8级</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》的自然人，包括具有劳动条件和劳动意愿的精神残疾人。在职职工人数是指与残疾人福利性单位建立劳动关系并依法签订劳动合同或者服务协议的雇员人数。</w:t>
      </w:r>
      <w:r>
        <w:rPr>
          <w:rFonts w:hint="default" w:ascii="Times New Roman" w:hAnsi="Times New Roman" w:eastAsia="宋体" w:cs="Times New Roman"/>
          <w:color w:val="auto"/>
        </w:rPr>
        <w:t xml:space="preserve">  </w:t>
      </w:r>
    </w:p>
    <w:p w14:paraId="1D996B93">
      <w:pPr>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br w:type="page"/>
      </w:r>
    </w:p>
    <w:p w14:paraId="2FCD66BD">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监狱企业的证明</w:t>
      </w:r>
    </w:p>
    <w:p w14:paraId="4ABE1708">
      <w:pPr>
        <w:spacing w:line="360" w:lineRule="auto"/>
        <w:jc w:val="center"/>
        <w:rPr>
          <w:rFonts w:hint="default" w:ascii="Times New Roman" w:hAnsi="Times New Roman" w:eastAsia="宋体" w:cs="Times New Roman"/>
          <w:color w:val="auto"/>
          <w:sz w:val="24"/>
          <w:szCs w:val="26"/>
          <w:lang w:eastAsia="zh-CN"/>
        </w:rPr>
      </w:pPr>
      <w:r>
        <w:rPr>
          <w:rFonts w:hint="default" w:ascii="Times New Roman" w:hAnsi="Times New Roman" w:eastAsia="宋体" w:cs="Times New Roman"/>
          <w:color w:val="auto"/>
          <w:sz w:val="24"/>
          <w:szCs w:val="26"/>
        </w:rPr>
        <w:t>（格式自拟</w:t>
      </w:r>
      <w:r>
        <w:rPr>
          <w:rFonts w:hint="default" w:ascii="Times New Roman" w:hAnsi="Times New Roman" w:eastAsia="宋体" w:cs="Times New Roman"/>
          <w:color w:val="auto"/>
          <w:sz w:val="24"/>
          <w:szCs w:val="26"/>
          <w:lang w:eastAsia="zh-CN"/>
        </w:rPr>
        <w:t>）</w:t>
      </w:r>
    </w:p>
    <w:p w14:paraId="09000C5C">
      <w:pPr>
        <w:spacing w:line="360" w:lineRule="auto"/>
        <w:ind w:firstLine="566"/>
        <w:rPr>
          <w:rFonts w:hint="default" w:ascii="Times New Roman" w:hAnsi="Times New Roman" w:eastAsia="宋体" w:cs="Times New Roman"/>
          <w:color w:val="auto"/>
          <w:sz w:val="24"/>
          <w:szCs w:val="26"/>
        </w:rPr>
      </w:pPr>
      <w:r>
        <w:rPr>
          <w:rFonts w:hint="default" w:ascii="Times New Roman" w:hAnsi="Times New Roman" w:eastAsia="宋体" w:cs="Times New Roman"/>
          <w:color w:val="auto"/>
          <w:sz w:val="24"/>
          <w:szCs w:val="26"/>
        </w:rPr>
        <w:t>根据《财政部司法部关于政府采购支持监狱企业发展有关问题的通知》（财库〔2014〕68号</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，监狱企业参加政府采购活动时，应当提供由省级以上监狱管理局、戒毒管理局（含新疆生产建设兵团</w:t>
      </w:r>
      <w:r>
        <w:rPr>
          <w:rFonts w:hint="default" w:ascii="Times New Roman" w:hAnsi="Times New Roman" w:eastAsia="宋体" w:cs="Times New Roman"/>
          <w:color w:val="auto"/>
          <w:sz w:val="24"/>
          <w:szCs w:val="26"/>
          <w:lang w:eastAsia="zh-CN"/>
        </w:rPr>
        <w:t>）</w:t>
      </w:r>
      <w:r>
        <w:rPr>
          <w:rFonts w:hint="default" w:ascii="Times New Roman" w:hAnsi="Times New Roman" w:eastAsia="宋体" w:cs="Times New Roman"/>
          <w:color w:val="auto"/>
          <w:sz w:val="24"/>
          <w:szCs w:val="26"/>
        </w:rPr>
        <w:t>出具的，供应商属于监狱企业的证明文件。</w:t>
      </w:r>
    </w:p>
    <w:p w14:paraId="12AA90B2">
      <w:pPr>
        <w:spacing w:line="360" w:lineRule="auto"/>
        <w:ind w:firstLine="566"/>
        <w:rPr>
          <w:rFonts w:hint="default" w:ascii="Times New Roman" w:hAnsi="Times New Roman" w:eastAsia="宋体" w:cs="Times New Roman"/>
          <w:color w:val="auto"/>
          <w:sz w:val="24"/>
          <w:szCs w:val="26"/>
        </w:rPr>
      </w:pPr>
    </w:p>
    <w:p w14:paraId="59983888">
      <w:pPr>
        <w:spacing w:line="360" w:lineRule="auto"/>
        <w:ind w:firstLine="566"/>
        <w:rPr>
          <w:rFonts w:hint="default" w:ascii="Times New Roman" w:hAnsi="Times New Roman" w:eastAsia="宋体" w:cs="Times New Roman"/>
          <w:color w:val="auto"/>
          <w:sz w:val="24"/>
          <w:szCs w:val="26"/>
        </w:rPr>
      </w:pPr>
    </w:p>
    <w:p w14:paraId="4DD546D2">
      <w:pPr>
        <w:rPr>
          <w:rFonts w:hint="default" w:ascii="Times New Roman" w:hAnsi="Times New Roman" w:eastAsia="宋体" w:cs="Times New Roman"/>
          <w:color w:val="auto"/>
          <w:sz w:val="24"/>
          <w:szCs w:val="26"/>
        </w:rPr>
      </w:pPr>
      <w:r>
        <w:rPr>
          <w:rFonts w:hint="default" w:ascii="Times New Roman" w:hAnsi="Times New Roman" w:eastAsia="宋体" w:cs="Times New Roman"/>
          <w:color w:val="auto"/>
          <w:sz w:val="24"/>
          <w:szCs w:val="26"/>
        </w:rPr>
        <w:br w:type="page"/>
      </w:r>
    </w:p>
    <w:p w14:paraId="1BE26904">
      <w:pPr>
        <w:shd w:val="clear"/>
        <w:spacing w:line="380" w:lineRule="exact"/>
        <w:jc w:val="left"/>
        <w:rPr>
          <w:rFonts w:hint="default" w:ascii="Times New Roman" w:hAnsi="Times New Roman" w:eastAsia="宋体" w:cs="Times New Roman"/>
          <w:b/>
          <w:color w:val="000000"/>
          <w:sz w:val="21"/>
          <w:szCs w:val="22"/>
        </w:rPr>
      </w:pPr>
      <w:r>
        <w:rPr>
          <w:rFonts w:hint="default" w:ascii="Times New Roman" w:hAnsi="Times New Roman" w:eastAsia="宋体" w:cs="Times New Roman"/>
          <w:color w:val="000000"/>
        </w:rPr>
        <w:t>附件：</w:t>
      </w:r>
    </w:p>
    <w:p w14:paraId="108E5975">
      <w:pPr>
        <w:shd w:val="clear"/>
        <w:spacing w:line="380" w:lineRule="exact"/>
        <w:ind w:right="561"/>
        <w:jc w:val="center"/>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中小企业划型标准规定</w:t>
      </w:r>
    </w:p>
    <w:p w14:paraId="57118D24">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808D4C2">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各行业划型标准为：</w:t>
      </w:r>
    </w:p>
    <w:p w14:paraId="34D77D43">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（一）农、林、牧、渔业。营业收入20000万元以下的为中小微型企业。其中，营业收入500万元及以上的为中型企业，营业收入50万元及以上的为小型企业，营业收入50万元以下的为微型企业。</w:t>
      </w:r>
    </w:p>
    <w:p w14:paraId="6CC0A26D">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D3AD59A">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C78E2B2">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9FF817D">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A6A25A4">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EE32A6">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494F9D4">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B0B3BB4">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3BE691">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7A79F1">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C3DBAC">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6E22D10">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F7608B7">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F64F475">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7EAAE6">
      <w:pPr>
        <w:shd w:val="clear"/>
        <w:spacing w:line="380" w:lineRule="exact"/>
        <w:ind w:firstLine="48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（十六）其他未列明行业。从业人员300人以下的为中小微型企业。其中，从业人员100人及以上的为中型企业；从业人员10人及以上的为小型企业；从业人员10人以下的为微型企业。</w:t>
      </w:r>
    </w:p>
    <w:p w14:paraId="199E60B8">
      <w:pPr>
        <w:shd w:val="clear"/>
        <w:rPr>
          <w:rFonts w:hint="default" w:ascii="Times New Roman" w:hAnsi="Times New Roman" w:eastAsia="宋体" w:cs="Times New Roman"/>
          <w:b/>
          <w:bCs/>
          <w:color w:val="auto"/>
          <w:sz w:val="24"/>
          <w:szCs w:val="21"/>
        </w:rPr>
      </w:pPr>
      <w:r>
        <w:rPr>
          <w:rFonts w:hint="default" w:ascii="Times New Roman" w:hAnsi="Times New Roman" w:eastAsia="宋体" w:cs="Times New Roman"/>
          <w:b/>
          <w:bCs/>
          <w:color w:val="auto"/>
          <w:sz w:val="24"/>
          <w:szCs w:val="21"/>
        </w:rPr>
        <w:br w:type="page"/>
      </w:r>
    </w:p>
    <w:p w14:paraId="44CFC7D3">
      <w:pPr>
        <w:spacing w:line="360" w:lineRule="auto"/>
        <w:jc w:val="left"/>
        <w:outlineLvl w:val="3"/>
        <w:rPr>
          <w:rFonts w:hint="default" w:ascii="Times New Roman" w:hAnsi="Times New Roman" w:eastAsia="宋体" w:cs="Times New Roman"/>
          <w:b/>
          <w:bCs/>
          <w:color w:val="auto"/>
          <w:sz w:val="24"/>
          <w:szCs w:val="21"/>
        </w:rPr>
      </w:pPr>
      <w:r>
        <w:rPr>
          <w:rFonts w:hint="default" w:ascii="Times New Roman" w:hAnsi="Times New Roman" w:eastAsia="宋体" w:cs="Times New Roman"/>
          <w:b/>
          <w:bCs/>
          <w:color w:val="auto"/>
          <w:sz w:val="24"/>
          <w:szCs w:val="21"/>
        </w:rPr>
        <w:t>附件：</w:t>
      </w:r>
      <w:r>
        <w:rPr>
          <w:rFonts w:hint="default" w:ascii="Times New Roman" w:hAnsi="Times New Roman" w:eastAsia="宋体" w:cs="Times New Roman"/>
          <w:b/>
          <w:bCs/>
          <w:color w:val="auto"/>
          <w:sz w:val="24"/>
          <w:szCs w:val="21"/>
          <w:lang w:val="en-US" w:eastAsia="zh-CN"/>
        </w:rPr>
        <w:t>14</w:t>
      </w:r>
    </w:p>
    <w:p w14:paraId="0B99EAF6">
      <w:pPr>
        <w:spacing w:line="360" w:lineRule="auto"/>
        <w:jc w:val="center"/>
        <w:outlineLvl w:val="3"/>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关于符合本国产品标准的声明函</w:t>
      </w:r>
    </w:p>
    <w:p w14:paraId="5A384884">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Times New Roman" w:hAnsi="Times New Roman" w:eastAsia="宋体" w:cs="Times New Roman"/>
          <w:i w:val="0"/>
          <w:iCs w:val="0"/>
          <w:caps w:val="0"/>
          <w:color w:val="auto"/>
          <w:spacing w:val="0"/>
          <w:sz w:val="24"/>
          <w:szCs w:val="24"/>
        </w:rPr>
      </w:pPr>
    </w:p>
    <w:p w14:paraId="35219088">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rPr>
        <w:t>本公司（单位</w:t>
      </w:r>
      <w:r>
        <w:rPr>
          <w:rFonts w:hint="default" w:ascii="Times New Roman" w:hAnsi="Times New Roman" w:cs="Times New Roman"/>
          <w:i w:val="0"/>
          <w:iCs w:val="0"/>
          <w:caps w:val="0"/>
          <w:color w:val="auto"/>
          <w:spacing w:val="0"/>
          <w:sz w:val="24"/>
          <w:szCs w:val="24"/>
          <w:lang w:eastAsia="zh-CN"/>
        </w:rPr>
        <w:t>）</w:t>
      </w:r>
      <w:r>
        <w:rPr>
          <w:rFonts w:hint="default" w:ascii="Times New Roman" w:hAnsi="Times New Roman" w:eastAsia="宋体" w:cs="Times New Roman"/>
          <w:i w:val="0"/>
          <w:iCs w:val="0"/>
          <w:caps w:val="0"/>
          <w:color w:val="auto"/>
          <w:spacing w:val="0"/>
          <w:sz w:val="24"/>
          <w:szCs w:val="24"/>
        </w:rPr>
        <w:t>郑重声明，根据《国务院办公厅关于在政府采购中实施本国产品标准及相关政策的通知》（国办发〔2025〕34号</w:t>
      </w:r>
      <w:r>
        <w:rPr>
          <w:rFonts w:hint="default" w:ascii="Times New Roman" w:hAnsi="Times New Roman" w:cs="Times New Roman"/>
          <w:i w:val="0"/>
          <w:iCs w:val="0"/>
          <w:caps w:val="0"/>
          <w:color w:val="auto"/>
          <w:spacing w:val="0"/>
          <w:sz w:val="24"/>
          <w:szCs w:val="24"/>
          <w:lang w:eastAsia="zh-CN"/>
        </w:rPr>
        <w:t>）</w:t>
      </w:r>
      <w:r>
        <w:rPr>
          <w:rFonts w:hint="default" w:ascii="Times New Roman" w:hAnsi="Times New Roman" w:eastAsia="宋体" w:cs="Times New Roman"/>
          <w:i w:val="0"/>
          <w:iCs w:val="0"/>
          <w:caps w:val="0"/>
          <w:color w:val="auto"/>
          <w:spacing w:val="0"/>
          <w:sz w:val="24"/>
          <w:szCs w:val="24"/>
        </w:rPr>
        <w:t>的规定，本公司（单位</w:t>
      </w:r>
      <w:r>
        <w:rPr>
          <w:rFonts w:hint="default" w:ascii="Times New Roman" w:hAnsi="Times New Roman" w:cs="Times New Roman"/>
          <w:i w:val="0"/>
          <w:iCs w:val="0"/>
          <w:caps w:val="0"/>
          <w:color w:val="auto"/>
          <w:spacing w:val="0"/>
          <w:sz w:val="24"/>
          <w:szCs w:val="24"/>
          <w:lang w:eastAsia="zh-CN"/>
        </w:rPr>
        <w:t>）</w:t>
      </w:r>
      <w:r>
        <w:rPr>
          <w:rFonts w:hint="default" w:ascii="Times New Roman" w:hAnsi="Times New Roman" w:eastAsia="宋体" w:cs="Times New Roman"/>
          <w:i w:val="0"/>
          <w:iCs w:val="0"/>
          <w:caps w:val="0"/>
          <w:color w:val="auto"/>
          <w:spacing w:val="0"/>
          <w:sz w:val="24"/>
          <w:szCs w:val="24"/>
        </w:rPr>
        <w:t>提供的以下产品属于本国产品。具体情况如下：</w:t>
      </w:r>
    </w:p>
    <w:p w14:paraId="11484647">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color="auto" w:fill="FFFFFF"/>
        </w:rPr>
        <w:t>1.</w:t>
      </w:r>
      <w:r>
        <w:rPr>
          <w:rStyle w:val="39"/>
          <w:rFonts w:hint="default" w:ascii="Times New Roman" w:hAnsi="Times New Roman" w:eastAsia="宋体" w:cs="Times New Roman"/>
          <w:i w:val="0"/>
          <w:iCs w:val="0"/>
          <w:caps w:val="0"/>
          <w:color w:val="auto"/>
          <w:spacing w:val="0"/>
          <w:sz w:val="24"/>
          <w:szCs w:val="24"/>
          <w:u w:val="single"/>
          <w:shd w:val="clear" w:color="auto" w:fill="FFFFFF"/>
        </w:rPr>
        <w:t>（产品名称1</w:t>
      </w:r>
      <w:r>
        <w:rPr>
          <w:rStyle w:val="39"/>
          <w:rFonts w:hint="default" w:ascii="Times New Roman" w:hAnsi="Times New Roman" w:cs="Times New Roman"/>
          <w:i w:val="0"/>
          <w:iCs w:val="0"/>
          <w:caps w:val="0"/>
          <w:color w:val="auto"/>
          <w:spacing w:val="0"/>
          <w:sz w:val="24"/>
          <w:szCs w:val="24"/>
          <w:u w:val="single"/>
          <w:shd w:val="clear" w:color="auto" w:fill="FFFFFF"/>
          <w:lang w:eastAsia="zh-CN"/>
        </w:rPr>
        <w:t>）</w:t>
      </w:r>
      <w:r>
        <w:rPr>
          <w:rStyle w:val="39"/>
          <w:rFonts w:hint="default" w:ascii="Times New Roman" w:hAnsi="Times New Roman" w:eastAsia="宋体" w:cs="Times New Roman"/>
          <w:i w:val="0"/>
          <w:iCs w:val="0"/>
          <w:caps w:val="0"/>
          <w:color w:val="auto"/>
          <w:spacing w:val="0"/>
          <w:sz w:val="24"/>
          <w:szCs w:val="24"/>
          <w:u w:val="none"/>
          <w:shd w:val="clear" w:color="auto" w:fill="FFFFFF"/>
          <w:vertAlign w:val="superscript"/>
        </w:rPr>
        <w:t>1</w:t>
      </w:r>
      <w:r>
        <w:rPr>
          <w:rFonts w:hint="default" w:ascii="Times New Roman" w:hAnsi="Times New Roman" w:eastAsia="宋体" w:cs="Times New Roman"/>
          <w:i w:val="0"/>
          <w:iCs w:val="0"/>
          <w:caps w:val="0"/>
          <w:color w:val="auto"/>
          <w:spacing w:val="0"/>
          <w:sz w:val="24"/>
          <w:szCs w:val="24"/>
          <w:shd w:val="clear" w:color="auto" w:fill="FFFFFF"/>
        </w:rPr>
        <w:t>，生产厂为</w:t>
      </w:r>
      <w:r>
        <w:rPr>
          <w:rStyle w:val="39"/>
          <w:rFonts w:hint="default" w:ascii="Times New Roman" w:hAnsi="Times New Roman" w:eastAsia="宋体" w:cs="Times New Roman"/>
          <w:i w:val="0"/>
          <w:iCs w:val="0"/>
          <w:caps w:val="0"/>
          <w:color w:val="auto"/>
          <w:spacing w:val="0"/>
          <w:sz w:val="24"/>
          <w:szCs w:val="24"/>
          <w:u w:val="single"/>
          <w:shd w:val="clear" w:color="auto" w:fill="FFFFFF"/>
        </w:rPr>
        <w:t>（厂名</w:t>
      </w:r>
      <w:r>
        <w:rPr>
          <w:rStyle w:val="39"/>
          <w:rFonts w:hint="default" w:ascii="Times New Roman" w:hAnsi="Times New Roman" w:cs="Times New Roman"/>
          <w:i w:val="0"/>
          <w:iCs w:val="0"/>
          <w:caps w:val="0"/>
          <w:color w:val="auto"/>
          <w:spacing w:val="0"/>
          <w:sz w:val="24"/>
          <w:szCs w:val="24"/>
          <w:u w:val="single"/>
          <w:shd w:val="clear" w:color="auto" w:fill="FFFFFF"/>
          <w:lang w:eastAsia="zh-CN"/>
        </w:rPr>
        <w:t>）</w:t>
      </w:r>
      <w:r>
        <w:rPr>
          <w:rStyle w:val="39"/>
          <w:rFonts w:hint="default" w:ascii="Times New Roman" w:hAnsi="Times New Roman" w:eastAsia="宋体" w:cs="Times New Roman"/>
          <w:i w:val="0"/>
          <w:iCs w:val="0"/>
          <w:caps w:val="0"/>
          <w:color w:val="auto"/>
          <w:spacing w:val="0"/>
          <w:sz w:val="24"/>
          <w:szCs w:val="24"/>
          <w:u w:val="none"/>
          <w:shd w:val="clear" w:color="auto" w:fill="FFFFFF"/>
          <w:vertAlign w:val="superscript"/>
        </w:rPr>
        <w:t>2</w:t>
      </w:r>
      <w:r>
        <w:rPr>
          <w:rFonts w:hint="default" w:ascii="Times New Roman" w:hAnsi="Times New Roman" w:eastAsia="宋体" w:cs="Times New Roman"/>
          <w:i w:val="0"/>
          <w:iCs w:val="0"/>
          <w:caps w:val="0"/>
          <w:color w:val="auto"/>
          <w:spacing w:val="0"/>
          <w:sz w:val="24"/>
          <w:szCs w:val="24"/>
          <w:shd w:val="clear" w:color="auto" w:fill="FFFFFF"/>
        </w:rPr>
        <w:t>，厂址为</w:t>
      </w:r>
      <w:r>
        <w:rPr>
          <w:rStyle w:val="39"/>
          <w:rFonts w:hint="default" w:ascii="Times New Roman" w:hAnsi="Times New Roman" w:eastAsia="宋体" w:cs="Times New Roman"/>
          <w:i w:val="0"/>
          <w:iCs w:val="0"/>
          <w:caps w:val="0"/>
          <w:color w:val="auto"/>
          <w:spacing w:val="0"/>
          <w:sz w:val="24"/>
          <w:szCs w:val="24"/>
          <w:u w:val="single"/>
          <w:shd w:val="clear" w:color="auto" w:fill="FFFFFF"/>
        </w:rPr>
        <w:t>（生产厂址</w:t>
      </w:r>
      <w:r>
        <w:rPr>
          <w:rStyle w:val="39"/>
          <w:rFonts w:hint="default" w:ascii="Times New Roman" w:hAnsi="Times New Roman" w:cs="Times New Roman"/>
          <w:i w:val="0"/>
          <w:iCs w:val="0"/>
          <w:caps w:val="0"/>
          <w:color w:val="auto"/>
          <w:spacing w:val="0"/>
          <w:sz w:val="24"/>
          <w:szCs w:val="24"/>
          <w:u w:val="single"/>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rPr>
        <w:t>。</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rPr>
        <w:t>的中国境内生产的组件成本占比≥</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none"/>
          <w:shd w:val="clear" w:color="auto" w:fill="FFFFFF"/>
          <w:vertAlign w:val="superscript"/>
        </w:rPr>
        <w:t>3</w:t>
      </w:r>
      <w:r>
        <w:rPr>
          <w:rFonts w:hint="default" w:ascii="Times New Roman" w:hAnsi="Times New Roman" w:eastAsia="宋体" w:cs="Times New Roman"/>
          <w:i w:val="0"/>
          <w:iCs w:val="0"/>
          <w:caps w:val="0"/>
          <w:color w:val="auto"/>
          <w:spacing w:val="0"/>
          <w:sz w:val="24"/>
          <w:szCs w:val="24"/>
          <w:shd w:val="clear" w:color="auto" w:fill="FFFFFF"/>
        </w:rPr>
        <w:t>。</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rPr>
        <w:t>的</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none"/>
          <w:shd w:val="clear" w:color="auto" w:fill="FFFFFF"/>
          <w:vertAlign w:val="superscript"/>
        </w:rPr>
        <w:t>4</w:t>
      </w:r>
      <w:r>
        <w:rPr>
          <w:rFonts w:hint="default" w:ascii="Times New Roman" w:hAnsi="Times New Roman" w:eastAsia="宋体" w:cs="Times New Roman"/>
          <w:i w:val="0"/>
          <w:iCs w:val="0"/>
          <w:caps w:val="0"/>
          <w:color w:val="auto"/>
          <w:spacing w:val="0"/>
          <w:sz w:val="24"/>
          <w:szCs w:val="24"/>
          <w:shd w:val="clear" w:color="auto" w:fill="FFFFFF"/>
        </w:rPr>
        <w:t>在中国境内生产。</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rPr>
        <w:t>的</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none"/>
          <w:shd w:val="clear" w:color="auto" w:fill="FFFFFF"/>
          <w:vertAlign w:val="superscript"/>
        </w:rPr>
        <w:t>5</w:t>
      </w:r>
      <w:r>
        <w:rPr>
          <w:rFonts w:hint="default" w:ascii="Times New Roman" w:hAnsi="Times New Roman" w:eastAsia="宋体" w:cs="Times New Roman"/>
          <w:i w:val="0"/>
          <w:iCs w:val="0"/>
          <w:caps w:val="0"/>
          <w:color w:val="auto"/>
          <w:spacing w:val="0"/>
          <w:sz w:val="24"/>
          <w:szCs w:val="24"/>
          <w:shd w:val="clear" w:color="auto" w:fill="FFFFFF"/>
        </w:rPr>
        <w:t>在中国境内完成。</w:t>
      </w:r>
    </w:p>
    <w:p w14:paraId="33BAC40A">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color="auto" w:fill="FFFFFF"/>
          <w:lang w:val="en-US" w:eastAsia="zh-CN"/>
        </w:rPr>
        <w:t>2</w:t>
      </w:r>
      <w:r>
        <w:rPr>
          <w:rFonts w:hint="default" w:ascii="Times New Roman" w:hAnsi="Times New Roman" w:eastAsia="宋体" w:cs="Times New Roman"/>
          <w:i w:val="0"/>
          <w:iCs w:val="0"/>
          <w:caps w:val="0"/>
          <w:color w:val="auto"/>
          <w:spacing w:val="0"/>
          <w:sz w:val="24"/>
          <w:szCs w:val="24"/>
          <w:shd w:val="clear" w:color="auto" w:fill="FFFFFF"/>
        </w:rPr>
        <w:t>.</w:t>
      </w:r>
      <w:r>
        <w:rPr>
          <w:rStyle w:val="39"/>
          <w:rFonts w:hint="default" w:ascii="Times New Roman" w:hAnsi="Times New Roman" w:eastAsia="宋体" w:cs="Times New Roman"/>
          <w:i w:val="0"/>
          <w:iCs w:val="0"/>
          <w:caps w:val="0"/>
          <w:color w:val="auto"/>
          <w:spacing w:val="0"/>
          <w:sz w:val="24"/>
          <w:szCs w:val="24"/>
          <w:u w:val="single"/>
          <w:shd w:val="clear" w:color="auto" w:fill="FFFFFF"/>
        </w:rPr>
        <w:t>（产品名称</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2</w:t>
      </w:r>
      <w:r>
        <w:rPr>
          <w:rStyle w:val="39"/>
          <w:rFonts w:hint="default" w:ascii="Times New Roman" w:hAnsi="Times New Roman" w:cs="Times New Roman"/>
          <w:i w:val="0"/>
          <w:iCs w:val="0"/>
          <w:caps w:val="0"/>
          <w:color w:val="auto"/>
          <w:spacing w:val="0"/>
          <w:sz w:val="24"/>
          <w:szCs w:val="24"/>
          <w:u w:val="single"/>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rPr>
        <w:t>，生产厂为</w:t>
      </w:r>
      <w:r>
        <w:rPr>
          <w:rStyle w:val="39"/>
          <w:rFonts w:hint="default" w:ascii="Times New Roman" w:hAnsi="Times New Roman" w:eastAsia="宋体" w:cs="Times New Roman"/>
          <w:i w:val="0"/>
          <w:iCs w:val="0"/>
          <w:caps w:val="0"/>
          <w:color w:val="auto"/>
          <w:spacing w:val="0"/>
          <w:sz w:val="24"/>
          <w:szCs w:val="24"/>
          <w:u w:val="single"/>
          <w:shd w:val="clear" w:color="auto" w:fill="FFFFFF"/>
        </w:rPr>
        <w:t>（厂名</w:t>
      </w:r>
      <w:r>
        <w:rPr>
          <w:rStyle w:val="39"/>
          <w:rFonts w:hint="default" w:ascii="Times New Roman" w:hAnsi="Times New Roman" w:cs="Times New Roman"/>
          <w:i w:val="0"/>
          <w:iCs w:val="0"/>
          <w:caps w:val="0"/>
          <w:color w:val="auto"/>
          <w:spacing w:val="0"/>
          <w:sz w:val="24"/>
          <w:szCs w:val="24"/>
          <w:u w:val="single"/>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rPr>
        <w:t>，厂址为</w:t>
      </w:r>
      <w:r>
        <w:rPr>
          <w:rStyle w:val="39"/>
          <w:rFonts w:hint="default" w:ascii="Times New Roman" w:hAnsi="Times New Roman" w:eastAsia="宋体" w:cs="Times New Roman"/>
          <w:i w:val="0"/>
          <w:iCs w:val="0"/>
          <w:caps w:val="0"/>
          <w:color w:val="auto"/>
          <w:spacing w:val="0"/>
          <w:sz w:val="24"/>
          <w:szCs w:val="24"/>
          <w:u w:val="single"/>
          <w:shd w:val="clear" w:color="auto" w:fill="FFFFFF"/>
        </w:rPr>
        <w:t>（生产厂址</w:t>
      </w:r>
      <w:r>
        <w:rPr>
          <w:rStyle w:val="39"/>
          <w:rFonts w:hint="default" w:ascii="Times New Roman" w:hAnsi="Times New Roman" w:cs="Times New Roman"/>
          <w:i w:val="0"/>
          <w:iCs w:val="0"/>
          <w:caps w:val="0"/>
          <w:color w:val="auto"/>
          <w:spacing w:val="0"/>
          <w:sz w:val="24"/>
          <w:szCs w:val="24"/>
          <w:u w:val="single"/>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rPr>
        <w:t>。</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rPr>
        <w:t>的中国境内生产的组件成本占比≥</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rPr>
        <w:t>。</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rPr>
        <w:t>的</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rPr>
        <w:t>在中国境内生产。</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rPr>
        <w:t>的</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rPr>
        <w:t>在中国境内完成。</w:t>
      </w:r>
    </w:p>
    <w:p w14:paraId="38EA5BC7">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color="auto" w:fill="FFFFFF"/>
        </w:rPr>
        <w:t>……</w:t>
      </w:r>
    </w:p>
    <w:p w14:paraId="45F0AB28">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color="auto" w:fill="FFFFFF"/>
        </w:rPr>
        <w:t>本公司（单位</w:t>
      </w:r>
      <w:r>
        <w:rPr>
          <w:rFonts w:hint="default" w:ascii="Times New Roman" w:hAnsi="Times New Roman" w:cs="Times New Roman"/>
          <w:i w:val="0"/>
          <w:iCs w:val="0"/>
          <w:caps w:val="0"/>
          <w:color w:val="auto"/>
          <w:spacing w:val="0"/>
          <w:sz w:val="24"/>
          <w:szCs w:val="24"/>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rPr>
        <w:t>对上述声明内容的真实性负责。如有虚假，愿承担相应法律责任。</w:t>
      </w:r>
    </w:p>
    <w:p w14:paraId="593598DF">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0"/>
        <w:textAlignment w:val="auto"/>
        <w:rPr>
          <w:rFonts w:hint="default" w:ascii="Times New Roman" w:hAnsi="Times New Roman" w:eastAsia="宋体" w:cs="Times New Roman"/>
          <w:i w:val="0"/>
          <w:iCs w:val="0"/>
          <w:caps w:val="0"/>
          <w:color w:val="auto"/>
          <w:spacing w:val="0"/>
          <w:sz w:val="24"/>
          <w:szCs w:val="24"/>
        </w:rPr>
      </w:pPr>
    </w:p>
    <w:p w14:paraId="04EACB7F">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rPr>
        <w:t>公司（单位</w:t>
      </w:r>
      <w:r>
        <w:rPr>
          <w:rFonts w:hint="default" w:ascii="Times New Roman" w:hAnsi="Times New Roman" w:cs="Times New Roman"/>
          <w:i w:val="0"/>
          <w:iCs w:val="0"/>
          <w:caps w:val="0"/>
          <w:color w:val="auto"/>
          <w:spacing w:val="0"/>
          <w:sz w:val="24"/>
          <w:szCs w:val="24"/>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rPr>
        <w:t>名称（</w:t>
      </w:r>
      <w:r>
        <w:rPr>
          <w:rFonts w:hint="default" w:ascii="Times New Roman" w:hAnsi="Times New Roman" w:eastAsia="宋体" w:cs="Times New Roman"/>
          <w:i w:val="0"/>
          <w:iCs w:val="0"/>
          <w:caps w:val="0"/>
          <w:color w:val="auto"/>
          <w:spacing w:val="0"/>
          <w:sz w:val="24"/>
          <w:szCs w:val="24"/>
          <w:shd w:val="clear" w:color="auto" w:fill="FFFFFF"/>
          <w:lang w:eastAsia="zh-CN"/>
        </w:rPr>
        <w:t>加盖</w:t>
      </w:r>
      <w:r>
        <w:rPr>
          <w:rFonts w:hint="default" w:ascii="Times New Roman" w:hAnsi="Times New Roman" w:eastAsia="宋体" w:cs="Times New Roman"/>
          <w:i w:val="0"/>
          <w:iCs w:val="0"/>
          <w:caps w:val="0"/>
          <w:color w:val="auto"/>
          <w:spacing w:val="0"/>
          <w:sz w:val="24"/>
          <w:szCs w:val="24"/>
          <w:shd w:val="clear" w:color="auto" w:fill="FFFFFF"/>
          <w:lang w:val="en-US" w:eastAsia="zh-CN"/>
        </w:rPr>
        <w:t>CA电子公章</w:t>
      </w:r>
      <w:r>
        <w:rPr>
          <w:rFonts w:hint="default" w:ascii="Times New Roman" w:hAnsi="Times New Roman" w:cs="Times New Roman"/>
          <w:i w:val="0"/>
          <w:iCs w:val="0"/>
          <w:caps w:val="0"/>
          <w:color w:val="auto"/>
          <w:spacing w:val="0"/>
          <w:sz w:val="24"/>
          <w:szCs w:val="24"/>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rPr>
        <w:t>：　        </w:t>
      </w:r>
    </w:p>
    <w:p w14:paraId="6CA416C9">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color="auto" w:fill="FFFFFF"/>
          <w:lang w:val="en-US" w:eastAsia="zh-CN"/>
        </w:rPr>
        <w:t xml:space="preserve">          </w:t>
      </w:r>
      <w:r>
        <w:rPr>
          <w:rFonts w:hint="default" w:ascii="Times New Roman" w:hAnsi="Times New Roman" w:cs="Times New Roman"/>
          <w:i w:val="0"/>
          <w:iCs w:val="0"/>
          <w:caps w:val="0"/>
          <w:color w:val="auto"/>
          <w:spacing w:val="0"/>
          <w:sz w:val="24"/>
          <w:szCs w:val="24"/>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rPr>
        <w:t>日期：　     年　  月　  日         </w:t>
      </w:r>
    </w:p>
    <w:p w14:paraId="1CCB5CB2">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0"/>
        <w:jc w:val="left"/>
        <w:textAlignment w:val="auto"/>
        <w:rPr>
          <w:rFonts w:hint="default" w:ascii="Times New Roman" w:hAnsi="Times New Roman" w:eastAsia="宋体" w:cs="Times New Roman"/>
          <w:i w:val="0"/>
          <w:iCs w:val="0"/>
          <w:caps w:val="0"/>
          <w:color w:val="auto"/>
          <w:spacing w:val="0"/>
          <w:sz w:val="24"/>
          <w:szCs w:val="24"/>
          <w:shd w:val="clear" w:color="auto" w:fill="FFFFFF"/>
        </w:rPr>
      </w:pPr>
    </w:p>
    <w:p w14:paraId="46753B71">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0"/>
        <w:jc w:val="left"/>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color="auto" w:fill="FFFFFF"/>
        </w:rPr>
        <w:t>_________________</w:t>
      </w:r>
    </w:p>
    <w:p w14:paraId="306E9A5C">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right="0"/>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color="auto" w:fill="FFFFFF"/>
        </w:rPr>
        <w:t>1.产品如有型号，请在“产品名称”栏一并填写。</w:t>
      </w:r>
    </w:p>
    <w:p w14:paraId="701AB91F">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right="0"/>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color="auto" w:fill="FFFFFF"/>
        </w:rPr>
        <w:t>2.生产厂名与厂址应与生产厂营业执照载明的相关信息保持一致。</w:t>
      </w:r>
    </w:p>
    <w:p w14:paraId="3F7816A3">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right="0"/>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color="auto" w:fill="FFFFFF"/>
        </w:rPr>
        <w:t>3.该产品的中国境内生产的组件成本占比相关要求实施前，“规定比例”栏可不填，下同。</w:t>
      </w:r>
    </w:p>
    <w:p w14:paraId="6DA349B0">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right="0"/>
        <w:textAlignment w:val="auto"/>
        <w:rPr>
          <w:rFonts w:hint="default" w:ascii="Times New Roman" w:hAnsi="Times New Roman" w:eastAsia="宋体" w:cs="Times New Roman"/>
          <w:i w:val="0"/>
          <w:iCs w:val="0"/>
          <w:caps w:val="0"/>
          <w:color w:val="auto"/>
          <w:spacing w:val="0"/>
          <w:sz w:val="24"/>
          <w:szCs w:val="24"/>
        </w:rPr>
      </w:pPr>
      <w:r>
        <w:rPr>
          <w:rFonts w:hint="default" w:ascii="Times New Roman" w:hAnsi="Times New Roman" w:eastAsia="宋体" w:cs="Times New Roman"/>
          <w:i w:val="0"/>
          <w:iCs w:val="0"/>
          <w:caps w:val="0"/>
          <w:color w:val="auto"/>
          <w:spacing w:val="0"/>
          <w:sz w:val="24"/>
          <w:szCs w:val="24"/>
          <w:shd w:val="clear" w:color="auto" w:fill="FFFFFF"/>
        </w:rPr>
        <w:t>4.该产品的关键组件要求实施前，“关键组件”栏可不填，下同。</w:t>
      </w:r>
    </w:p>
    <w:p w14:paraId="530319D5">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auto"/>
        <w:kinsoku/>
        <w:wordWrap/>
        <w:overflowPunct/>
        <w:topLinePunct w:val="0"/>
        <w:autoSpaceDE/>
        <w:autoSpaceDN/>
        <w:bidi w:val="0"/>
        <w:adjustRightInd/>
        <w:snapToGrid/>
        <w:spacing w:before="30" w:beforeAutospacing="0" w:after="30" w:afterAutospacing="0" w:line="360" w:lineRule="auto"/>
        <w:ind w:right="0"/>
        <w:textAlignment w:val="auto"/>
        <w:rPr>
          <w:rFonts w:hint="default" w:ascii="Times New Roman" w:hAnsi="Times New Roman" w:eastAsia="宋体" w:cs="Times New Roman"/>
          <w:i w:val="0"/>
          <w:iCs w:val="0"/>
          <w:caps w:val="0"/>
          <w:color w:val="auto"/>
          <w:spacing w:val="0"/>
          <w:sz w:val="24"/>
          <w:szCs w:val="24"/>
          <w:shd w:val="clear" w:color="auto" w:fill="FFFFFF"/>
        </w:rPr>
      </w:pPr>
      <w:r>
        <w:rPr>
          <w:rFonts w:hint="default" w:ascii="Times New Roman" w:hAnsi="Times New Roman" w:eastAsia="宋体" w:cs="Times New Roman"/>
          <w:i w:val="0"/>
          <w:iCs w:val="0"/>
          <w:caps w:val="0"/>
          <w:color w:val="auto"/>
          <w:spacing w:val="0"/>
          <w:sz w:val="24"/>
          <w:szCs w:val="24"/>
          <w:shd w:val="clear" w:color="auto" w:fill="FFFFFF"/>
        </w:rPr>
        <w:t>5.该产品的关键工序要求实施前，“关键工序”栏可不填，下同。</w:t>
      </w:r>
    </w:p>
    <w:p w14:paraId="3A485760">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6"/>
        </w:rPr>
      </w:pPr>
      <w:r>
        <w:rPr>
          <w:rFonts w:hint="default" w:ascii="Times New Roman" w:hAnsi="Times New Roman" w:eastAsia="宋体" w:cs="Times New Roman"/>
          <w:i w:val="0"/>
          <w:iCs w:val="0"/>
          <w:caps w:val="0"/>
          <w:color w:val="auto"/>
          <w:spacing w:val="0"/>
          <w:sz w:val="24"/>
          <w:szCs w:val="24"/>
          <w:shd w:val="clear" w:color="auto" w:fill="FFFFFF"/>
          <w:lang w:val="en-US" w:eastAsia="zh-CN"/>
        </w:rPr>
        <w:t>6.《声明函》中标注“</w:t>
      </w:r>
      <w:r>
        <w:rPr>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Style w:val="39"/>
          <w:rFonts w:hint="default" w:ascii="Times New Roman" w:hAnsi="Times New Roman" w:eastAsia="宋体" w:cs="Times New Roman"/>
          <w:i w:val="0"/>
          <w:iCs w:val="0"/>
          <w:caps w:val="0"/>
          <w:color w:val="auto"/>
          <w:spacing w:val="0"/>
          <w:sz w:val="24"/>
          <w:szCs w:val="24"/>
          <w:u w:val="single"/>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4"/>
          <w:shd w:val="clear" w:color="auto" w:fill="FFFFFF"/>
          <w:lang w:val="en-US" w:eastAsia="zh-CN"/>
        </w:rPr>
        <w:t>”的地方无需填写。</w:t>
      </w:r>
    </w:p>
    <w:p w14:paraId="1E9BBDB2">
      <w:pPr>
        <w:spacing w:line="360" w:lineRule="auto"/>
        <w:rPr>
          <w:rFonts w:hint="default" w:ascii="Times New Roman" w:hAnsi="Times New Roman" w:eastAsia="宋体" w:cs="Times New Roman"/>
          <w:color w:val="auto"/>
        </w:rPr>
      </w:pPr>
    </w:p>
    <w:p w14:paraId="513FE6A5">
      <w:pPr>
        <w:rPr>
          <w:rFonts w:hint="default" w:ascii="Times New Roman" w:hAnsi="Times New Roman" w:eastAsia="楷体_GB2312" w:cs="Times New Roman"/>
          <w:color w:val="auto"/>
          <w:lang w:val="en-US" w:eastAsia="zh-CN"/>
        </w:rPr>
      </w:pPr>
    </w:p>
    <w:sectPr>
      <w:headerReference r:id="rId10" w:type="first"/>
      <w:footerReference r:id="rId12" w:type="first"/>
      <w:headerReference r:id="rId9" w:type="default"/>
      <w:footerReference r:id="rId11" w:type="default"/>
      <w:pgSz w:w="11906" w:h="16838"/>
      <w:pgMar w:top="1588" w:right="1418" w:bottom="1418" w:left="1701" w:header="851" w:footer="992" w:gutter="0"/>
      <w:pgBorders>
        <w:top w:val="none" w:sz="0" w:space="0"/>
        <w:left w:val="none" w:sz="0" w:space="0"/>
        <w:bottom w:val="none" w:sz="0" w:space="0"/>
        <w:right w:val="none" w:sz="0" w:space="0"/>
      </w:pgBorders>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BD56">
    <w:pPr>
      <w:pStyle w:val="2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106</w:t>
    </w:r>
    <w:r>
      <w:rPr>
        <w:b/>
        <w:sz w:val="24"/>
        <w:szCs w:val="24"/>
      </w:rPr>
      <w:fldChar w:fldCharType="end"/>
    </w:r>
  </w:p>
  <w:p w14:paraId="0E99E13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93582">
    <w:pPr>
      <w:pStyle w:val="28"/>
      <w:framePr w:wrap="around" w:vAnchor="text" w:hAnchor="margin" w:xAlign="right" w:y="1"/>
      <w:rPr>
        <w:rStyle w:val="29"/>
      </w:rPr>
    </w:pPr>
    <w:r>
      <w:fldChar w:fldCharType="begin"/>
    </w:r>
    <w:r>
      <w:rPr>
        <w:rStyle w:val="29"/>
      </w:rPr>
      <w:instrText xml:space="preserve">PAGE  </w:instrText>
    </w:r>
    <w:r>
      <w:fldChar w:fldCharType="end"/>
    </w:r>
  </w:p>
  <w:p w14:paraId="0C5CC26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78DA3">
    <w:pPr>
      <w:pStyle w:val="2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34</w:t>
    </w:r>
    <w:r>
      <w:rPr>
        <w:b/>
        <w:sz w:val="24"/>
        <w:szCs w:val="24"/>
      </w:rPr>
      <w:fldChar w:fldCharType="end"/>
    </w:r>
    <w:r>
      <w:rPr>
        <w:rFonts w:hint="eastAsia"/>
        <w:b/>
        <w:sz w:val="24"/>
        <w:szCs w:val="24"/>
      </w:rPr>
      <w:t xml:space="preserve"> </w:t>
    </w:r>
  </w:p>
  <w:p w14:paraId="7245F8B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B4E9">
    <w:pPr>
      <w:pStyle w:val="28"/>
      <w:ind w:firstLine="36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106</w:t>
    </w:r>
    <w:r>
      <w:rPr>
        <w:b/>
        <w:sz w:val="24"/>
        <w:szCs w:val="24"/>
      </w:rPr>
      <w:fldChar w:fldCharType="end"/>
    </w:r>
  </w:p>
  <w:p w14:paraId="688F543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43984">
    <w:pPr>
      <w:pStyle w:val="28"/>
      <w:ind w:right="18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22350" cy="18923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022350" cy="189230"/>
                      </a:xfrm>
                      <a:prstGeom prst="rect">
                        <a:avLst/>
                      </a:prstGeom>
                      <a:noFill/>
                      <a:ln>
                        <a:noFill/>
                      </a:ln>
                    </wps:spPr>
                    <wps:txbx>
                      <w:txbxContent>
                        <w:p w14:paraId="4EAF5B65">
                          <w:pP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fldChar w:fldCharType="begin"/>
                          </w:r>
                          <w:r>
                            <w:instrText xml:space="preserve">NUMPAGES \* MERGEFORMAT</w:instrText>
                          </w:r>
                          <w:r>
                            <w:fldChar w:fldCharType="separate"/>
                          </w:r>
                          <w:r>
                            <w:rPr>
                              <w:sz w:val="18"/>
                            </w:rPr>
                            <w:t>66</w:t>
                          </w:r>
                          <w:r>
                            <w:rPr>
                              <w:sz w:val="18"/>
                            </w:rPr>
                            <w:fldChar w:fldCharType="end"/>
                          </w:r>
                          <w:r>
                            <w:rPr>
                              <w:rFonts w:hint="eastAsia"/>
                              <w:sz w:val="18"/>
                            </w:rPr>
                            <w:t xml:space="preserve"> 页</w:t>
                          </w:r>
                        </w:p>
                        <w:p w14:paraId="0A2EC632"/>
                        <w:p w14:paraId="4A22A99C"/>
                      </w:txbxContent>
                    </wps:txbx>
                    <wps:bodyPr wrap="square" lIns="0" tIns="0" rIns="0" bIns="0" upright="1"/>
                  </wps:wsp>
                </a:graphicData>
              </a:graphic>
            </wp:anchor>
          </w:drawing>
        </mc:Choice>
        <mc:Fallback>
          <w:pict>
            <v:shape id="_x0000_s1026" o:spid="_x0000_s1026" o:spt="202" type="#_x0000_t202" style="position:absolute;left:0pt;margin-top:0pt;height:14.9pt;width:80.5pt;mso-position-horizontal:center;mso-position-horizontal-relative:margin;z-index:251659264;mso-width-relative:page;mso-height-relative:page;" filled="f" stroked="f" coordsize="21600,21600" o:gfxdata="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3Ue9PTAAAABAEAAA8AAAAAAAAAAQAgAAAAIgAAAGRycy9k&#10;b3ducmV2LnhtbFBLAQIUABQAAAAIAIdO4kBG6pyhzgEAAI4DAAAOAAAAAAAAAAEAIAAAACIBAABk&#10;cnMvZTJvRG9jLnhtbFBLBQYAAAAABgAGAFkBAABiBQAAAAA=&#10;">
              <v:fill on="f" focussize="0,0"/>
              <v:stroke on="f"/>
              <v:imagedata o:title=""/>
              <o:lock v:ext="edit" aspectratio="f"/>
              <v:textbox inset="0mm,0mm,0mm,0mm">
                <w:txbxContent>
                  <w:p w14:paraId="4EAF5B65">
                    <w:pP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fldChar w:fldCharType="begin"/>
                    </w:r>
                    <w:r>
                      <w:instrText xml:space="preserve">NUMPAGES \* MERGEFORMAT</w:instrText>
                    </w:r>
                    <w:r>
                      <w:fldChar w:fldCharType="separate"/>
                    </w:r>
                    <w:r>
                      <w:rPr>
                        <w:sz w:val="18"/>
                      </w:rPr>
                      <w:t>66</w:t>
                    </w:r>
                    <w:r>
                      <w:rPr>
                        <w:sz w:val="18"/>
                      </w:rPr>
                      <w:fldChar w:fldCharType="end"/>
                    </w:r>
                    <w:r>
                      <w:rPr>
                        <w:rFonts w:hint="eastAsia"/>
                        <w:sz w:val="18"/>
                      </w:rPr>
                      <w:t xml:space="preserve"> 页</w:t>
                    </w:r>
                  </w:p>
                  <w:p w14:paraId="0A2EC632"/>
                  <w:p w14:paraId="4A22A99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92FCC">
    <w:pPr>
      <w:pStyle w:val="27"/>
    </w:pPr>
    <w:r>
      <w:rPr>
        <w:rFonts w:hint="eastAsia"/>
      </w:rPr>
      <w:t>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D7F2">
    <w:pPr>
      <w:tabs>
        <w:tab w:val="left" w:pos="6300"/>
      </w:tabs>
      <w:spacing w:line="300" w:lineRule="auto"/>
      <w:rPr>
        <w:b/>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22A0">
    <w:pPr>
      <w:pStyle w:val="27"/>
      <w:pBdr>
        <w:bottom w:val="none" w:color="000000" w:sz="0" w:space="0"/>
      </w:pBdr>
      <w:tabs>
        <w:tab w:val="left" w:pos="540"/>
      </w:tabs>
      <w:jc w:val="both"/>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09F9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2270">
    <w:pPr>
      <w:tabs>
        <w:tab w:val="left" w:pos="6300"/>
      </w:tabs>
      <w:spacing w:line="300" w:lineRule="auto"/>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ABF9E"/>
    <w:multiLevelType w:val="singleLevel"/>
    <w:tmpl w:val="97CABF9E"/>
    <w:lvl w:ilvl="0" w:tentative="0">
      <w:start w:val="3"/>
      <w:numFmt w:val="decimal"/>
      <w:suff w:val="nothing"/>
      <w:lvlText w:val="（%1）"/>
      <w:lvlJc w:val="left"/>
    </w:lvl>
  </w:abstractNum>
  <w:abstractNum w:abstractNumId="1">
    <w:nsid w:val="D0AF848E"/>
    <w:multiLevelType w:val="multilevel"/>
    <w:tmpl w:val="D0AF848E"/>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pStyle w:val="4"/>
      <w:suff w:val="nothing"/>
      <w:lvlText w:val="（%4）"/>
      <w:lvlJc w:val="left"/>
      <w:pPr>
        <w:ind w:left="0" w:firstLine="402"/>
      </w:pPr>
      <w:rPr>
        <w:rFonts w:hint="eastAsia"/>
        <w:color w:val="auto"/>
      </w:rPr>
    </w:lvl>
    <w:lvl w:ilvl="4" w:tentative="0">
      <w:start w:val="1"/>
      <w:numFmt w:val="decimal"/>
      <w:suff w:val="nothing"/>
      <w:lvlText w:val="%5）"/>
      <w:lvlJc w:val="left"/>
      <w:pPr>
        <w:ind w:left="0" w:firstLine="402"/>
      </w:pPr>
      <w:rPr>
        <w:rFonts w:hint="eastAsia"/>
      </w:rPr>
    </w:lvl>
    <w:lvl w:ilvl="5" w:tentative="0">
      <w:start w:val="1"/>
      <w:numFmt w:val="decimalEnclosedCircleChinese"/>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000000C"/>
    <w:multiLevelType w:val="multilevel"/>
    <w:tmpl w:val="0000000C"/>
    <w:lvl w:ilvl="0" w:tentative="0">
      <w:start w:val="1"/>
      <w:numFmt w:val="decimal"/>
      <w:lvlText w:val="%1."/>
      <w:lvlJc w:val="left"/>
      <w:pPr>
        <w:ind w:left="360" w:hanging="360"/>
      </w:pPr>
    </w:lvl>
    <w:lvl w:ilvl="1" w:tentative="0">
      <w:start w:val="1"/>
      <w:numFmt w:val="decimal"/>
      <w:pStyle w:val="34"/>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29"/>
    <w:rsid w:val="00275829"/>
    <w:rsid w:val="005D198A"/>
    <w:rsid w:val="007858E0"/>
    <w:rsid w:val="008A10EF"/>
    <w:rsid w:val="00986C61"/>
    <w:rsid w:val="00A63B69"/>
    <w:rsid w:val="00AF3B86"/>
    <w:rsid w:val="00B92254"/>
    <w:rsid w:val="00F732D0"/>
    <w:rsid w:val="00FA3F9D"/>
    <w:rsid w:val="01176EA7"/>
    <w:rsid w:val="01483505"/>
    <w:rsid w:val="01812C9A"/>
    <w:rsid w:val="021138F7"/>
    <w:rsid w:val="02DF169E"/>
    <w:rsid w:val="0310698D"/>
    <w:rsid w:val="03204FFA"/>
    <w:rsid w:val="036D498E"/>
    <w:rsid w:val="03CC24C5"/>
    <w:rsid w:val="04A0784B"/>
    <w:rsid w:val="04DE6C9E"/>
    <w:rsid w:val="05017C52"/>
    <w:rsid w:val="058368B9"/>
    <w:rsid w:val="06D71A0B"/>
    <w:rsid w:val="088E7A4F"/>
    <w:rsid w:val="08F62494"/>
    <w:rsid w:val="091D4AEF"/>
    <w:rsid w:val="093B2EB9"/>
    <w:rsid w:val="09DC61BC"/>
    <w:rsid w:val="0A2B017E"/>
    <w:rsid w:val="0A825391"/>
    <w:rsid w:val="0AA5187B"/>
    <w:rsid w:val="0AD007F3"/>
    <w:rsid w:val="0B790BB4"/>
    <w:rsid w:val="0BA852CC"/>
    <w:rsid w:val="0C0266C4"/>
    <w:rsid w:val="0C662A91"/>
    <w:rsid w:val="0C680028"/>
    <w:rsid w:val="0CCE71E1"/>
    <w:rsid w:val="0E9E0743"/>
    <w:rsid w:val="0FAB78D4"/>
    <w:rsid w:val="0FDA1240"/>
    <w:rsid w:val="0FFC6728"/>
    <w:rsid w:val="10127E14"/>
    <w:rsid w:val="105B7B98"/>
    <w:rsid w:val="119836EC"/>
    <w:rsid w:val="12885796"/>
    <w:rsid w:val="12F2507E"/>
    <w:rsid w:val="13004352"/>
    <w:rsid w:val="132F5315"/>
    <w:rsid w:val="134B7737"/>
    <w:rsid w:val="13674B86"/>
    <w:rsid w:val="13BE226E"/>
    <w:rsid w:val="14172FEE"/>
    <w:rsid w:val="1424020F"/>
    <w:rsid w:val="14EA425F"/>
    <w:rsid w:val="153A14A5"/>
    <w:rsid w:val="15BB209F"/>
    <w:rsid w:val="15EF58A5"/>
    <w:rsid w:val="16201DAA"/>
    <w:rsid w:val="16216104"/>
    <w:rsid w:val="16F47617"/>
    <w:rsid w:val="17123F41"/>
    <w:rsid w:val="18745201"/>
    <w:rsid w:val="18B2778A"/>
    <w:rsid w:val="18C003B8"/>
    <w:rsid w:val="193A32DB"/>
    <w:rsid w:val="195B1BCF"/>
    <w:rsid w:val="19C50C07"/>
    <w:rsid w:val="19CF6119"/>
    <w:rsid w:val="1B866CAC"/>
    <w:rsid w:val="1C5A01B6"/>
    <w:rsid w:val="1C702A40"/>
    <w:rsid w:val="1D196362"/>
    <w:rsid w:val="1DC26578"/>
    <w:rsid w:val="1DC56CF6"/>
    <w:rsid w:val="1E16284D"/>
    <w:rsid w:val="1E221F74"/>
    <w:rsid w:val="1E4075E6"/>
    <w:rsid w:val="210965B1"/>
    <w:rsid w:val="21854854"/>
    <w:rsid w:val="218850C1"/>
    <w:rsid w:val="225A771D"/>
    <w:rsid w:val="23CF63C8"/>
    <w:rsid w:val="25031158"/>
    <w:rsid w:val="253357AE"/>
    <w:rsid w:val="25CD5C03"/>
    <w:rsid w:val="261F21D6"/>
    <w:rsid w:val="28814A83"/>
    <w:rsid w:val="288D1679"/>
    <w:rsid w:val="292518B2"/>
    <w:rsid w:val="293A4526"/>
    <w:rsid w:val="2A420242"/>
    <w:rsid w:val="2AAA1BA5"/>
    <w:rsid w:val="2BB346CD"/>
    <w:rsid w:val="2BB67139"/>
    <w:rsid w:val="2BB9561E"/>
    <w:rsid w:val="2C413FB4"/>
    <w:rsid w:val="2C4E7372"/>
    <w:rsid w:val="2C520517"/>
    <w:rsid w:val="2CEA709A"/>
    <w:rsid w:val="2D003229"/>
    <w:rsid w:val="2D6B1955"/>
    <w:rsid w:val="2DE64964"/>
    <w:rsid w:val="2E3864F6"/>
    <w:rsid w:val="2E582CD9"/>
    <w:rsid w:val="2EE55777"/>
    <w:rsid w:val="2EF71CCB"/>
    <w:rsid w:val="2F8A6913"/>
    <w:rsid w:val="2FAA7CE5"/>
    <w:rsid w:val="302C5C1C"/>
    <w:rsid w:val="30A6426C"/>
    <w:rsid w:val="312B2DD9"/>
    <w:rsid w:val="317F3B29"/>
    <w:rsid w:val="321626E0"/>
    <w:rsid w:val="33FF6246"/>
    <w:rsid w:val="34F6666B"/>
    <w:rsid w:val="358A766C"/>
    <w:rsid w:val="35A61FCC"/>
    <w:rsid w:val="36C070BE"/>
    <w:rsid w:val="36F347AA"/>
    <w:rsid w:val="383205AD"/>
    <w:rsid w:val="38B92017"/>
    <w:rsid w:val="38FD4EFA"/>
    <w:rsid w:val="39074B30"/>
    <w:rsid w:val="395539E3"/>
    <w:rsid w:val="39671A73"/>
    <w:rsid w:val="39C944DB"/>
    <w:rsid w:val="3A6D4E67"/>
    <w:rsid w:val="3B3B31B7"/>
    <w:rsid w:val="3BB71E98"/>
    <w:rsid w:val="3BBF16F2"/>
    <w:rsid w:val="3CBE0765"/>
    <w:rsid w:val="3CFA1149"/>
    <w:rsid w:val="3D1858FD"/>
    <w:rsid w:val="3D91697A"/>
    <w:rsid w:val="3DA31A68"/>
    <w:rsid w:val="3DE73182"/>
    <w:rsid w:val="3EF17DB6"/>
    <w:rsid w:val="3EF45B57"/>
    <w:rsid w:val="3F75726F"/>
    <w:rsid w:val="3F964334"/>
    <w:rsid w:val="3FBB6674"/>
    <w:rsid w:val="40490997"/>
    <w:rsid w:val="40734047"/>
    <w:rsid w:val="411C3143"/>
    <w:rsid w:val="414D2714"/>
    <w:rsid w:val="417B430D"/>
    <w:rsid w:val="429C278D"/>
    <w:rsid w:val="42BF022A"/>
    <w:rsid w:val="43291B47"/>
    <w:rsid w:val="438C0A54"/>
    <w:rsid w:val="43CE6E5E"/>
    <w:rsid w:val="44AE49FA"/>
    <w:rsid w:val="45D27072"/>
    <w:rsid w:val="461E441A"/>
    <w:rsid w:val="462705C0"/>
    <w:rsid w:val="463F1DAD"/>
    <w:rsid w:val="49883A6B"/>
    <w:rsid w:val="49BB2948"/>
    <w:rsid w:val="4A2F14A3"/>
    <w:rsid w:val="4ACA4B94"/>
    <w:rsid w:val="4B335C59"/>
    <w:rsid w:val="4B46773A"/>
    <w:rsid w:val="4C324162"/>
    <w:rsid w:val="4CA87F80"/>
    <w:rsid w:val="4DD23507"/>
    <w:rsid w:val="4E606DC7"/>
    <w:rsid w:val="4EB250E6"/>
    <w:rsid w:val="4ECC6F2F"/>
    <w:rsid w:val="4F0E056F"/>
    <w:rsid w:val="51945803"/>
    <w:rsid w:val="51B25198"/>
    <w:rsid w:val="51D50E2C"/>
    <w:rsid w:val="52796647"/>
    <w:rsid w:val="52F11A09"/>
    <w:rsid w:val="531154E9"/>
    <w:rsid w:val="53736F8F"/>
    <w:rsid w:val="53EE096F"/>
    <w:rsid w:val="540B4634"/>
    <w:rsid w:val="541F7183"/>
    <w:rsid w:val="54790B80"/>
    <w:rsid w:val="54C45F02"/>
    <w:rsid w:val="552F7491"/>
    <w:rsid w:val="55344AA7"/>
    <w:rsid w:val="55DB5764"/>
    <w:rsid w:val="5613290E"/>
    <w:rsid w:val="562A5AAB"/>
    <w:rsid w:val="56847368"/>
    <w:rsid w:val="56C360E3"/>
    <w:rsid w:val="57001653"/>
    <w:rsid w:val="57124959"/>
    <w:rsid w:val="575635E0"/>
    <w:rsid w:val="575923DF"/>
    <w:rsid w:val="57A37CC2"/>
    <w:rsid w:val="58F76517"/>
    <w:rsid w:val="593B15B0"/>
    <w:rsid w:val="5944063D"/>
    <w:rsid w:val="59804C51"/>
    <w:rsid w:val="59D51767"/>
    <w:rsid w:val="59E070CE"/>
    <w:rsid w:val="59FD190B"/>
    <w:rsid w:val="5A2A6479"/>
    <w:rsid w:val="5A795CB8"/>
    <w:rsid w:val="5B3D1BF1"/>
    <w:rsid w:val="5B614207"/>
    <w:rsid w:val="5BB71F8E"/>
    <w:rsid w:val="5BCD4635"/>
    <w:rsid w:val="5CB62246"/>
    <w:rsid w:val="5CD01559"/>
    <w:rsid w:val="5E233C33"/>
    <w:rsid w:val="5E2E29DB"/>
    <w:rsid w:val="5F437A68"/>
    <w:rsid w:val="5FA66073"/>
    <w:rsid w:val="5FFE02C7"/>
    <w:rsid w:val="607665DF"/>
    <w:rsid w:val="60DF620F"/>
    <w:rsid w:val="616262B0"/>
    <w:rsid w:val="61FC4B9F"/>
    <w:rsid w:val="624C748C"/>
    <w:rsid w:val="62834523"/>
    <w:rsid w:val="628A3F58"/>
    <w:rsid w:val="62C531E2"/>
    <w:rsid w:val="632113B2"/>
    <w:rsid w:val="63FB781E"/>
    <w:rsid w:val="64102317"/>
    <w:rsid w:val="642D7291"/>
    <w:rsid w:val="644F5459"/>
    <w:rsid w:val="64B13135"/>
    <w:rsid w:val="6577615D"/>
    <w:rsid w:val="657B5DDA"/>
    <w:rsid w:val="66140709"/>
    <w:rsid w:val="6636362C"/>
    <w:rsid w:val="668313EA"/>
    <w:rsid w:val="66911D59"/>
    <w:rsid w:val="66952ECC"/>
    <w:rsid w:val="67744E6E"/>
    <w:rsid w:val="68005520"/>
    <w:rsid w:val="68005D6A"/>
    <w:rsid w:val="684D0A38"/>
    <w:rsid w:val="68777408"/>
    <w:rsid w:val="68DB72BC"/>
    <w:rsid w:val="69065E71"/>
    <w:rsid w:val="6938639F"/>
    <w:rsid w:val="698060B5"/>
    <w:rsid w:val="6A022F6E"/>
    <w:rsid w:val="6ACB7804"/>
    <w:rsid w:val="6B376C47"/>
    <w:rsid w:val="6C1825D5"/>
    <w:rsid w:val="6CAB51F7"/>
    <w:rsid w:val="6CE70FC9"/>
    <w:rsid w:val="6D0C7466"/>
    <w:rsid w:val="6D435473"/>
    <w:rsid w:val="6D7F608B"/>
    <w:rsid w:val="6E866F50"/>
    <w:rsid w:val="6F1C062E"/>
    <w:rsid w:val="6F527ABA"/>
    <w:rsid w:val="6F977CB5"/>
    <w:rsid w:val="71755DD4"/>
    <w:rsid w:val="719E4651"/>
    <w:rsid w:val="73BA20B9"/>
    <w:rsid w:val="73C83867"/>
    <w:rsid w:val="742324DB"/>
    <w:rsid w:val="743E4BA3"/>
    <w:rsid w:val="74AE389F"/>
    <w:rsid w:val="74BC1621"/>
    <w:rsid w:val="754E350B"/>
    <w:rsid w:val="75E11C8A"/>
    <w:rsid w:val="762F0C47"/>
    <w:rsid w:val="7740193B"/>
    <w:rsid w:val="77975DC7"/>
    <w:rsid w:val="794F1B75"/>
    <w:rsid w:val="7A6A4943"/>
    <w:rsid w:val="7B4231CA"/>
    <w:rsid w:val="7B871525"/>
    <w:rsid w:val="7B9264F3"/>
    <w:rsid w:val="7BB11548"/>
    <w:rsid w:val="7BC5229C"/>
    <w:rsid w:val="7C947A56"/>
    <w:rsid w:val="7CBE22E7"/>
    <w:rsid w:val="7D172435"/>
    <w:rsid w:val="7DD20F07"/>
    <w:rsid w:val="7F4219EB"/>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9"/>
    <w:qFormat/>
    <w:uiPriority w:val="0"/>
    <w:pPr>
      <w:widowControl w:val="0"/>
      <w:jc w:val="both"/>
    </w:pPr>
    <w:rPr>
      <w:rFonts w:ascii="Times New Roman" w:hAnsi="Times New Roman" w:eastAsia="楷体_GB2312" w:cs="Times New Roman"/>
      <w:sz w:val="26"/>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3">
    <w:name w:val="heading 3"/>
    <w:basedOn w:val="1"/>
    <w:next w:val="1"/>
    <w:unhideWhenUsed/>
    <w:qFormat/>
    <w:uiPriority w:val="9"/>
    <w:pPr>
      <w:keepNext/>
      <w:keepLines/>
      <w:numPr>
        <w:ilvl w:val="2"/>
        <w:numId w:val="1"/>
      </w:numPr>
      <w:spacing w:line="413" w:lineRule="auto"/>
      <w:ind w:firstLine="560" w:firstLineChars="200"/>
      <w:outlineLvl w:val="2"/>
    </w:pPr>
    <w:rPr>
      <w:rFonts w:eastAsiaTheme="majorEastAsia" w:cstheme="minorEastAsia"/>
      <w:b/>
    </w:rPr>
  </w:style>
  <w:style w:type="paragraph" w:styleId="4">
    <w:name w:val="heading 4"/>
    <w:basedOn w:val="1"/>
    <w:next w:val="1"/>
    <w:unhideWhenUsed/>
    <w:qFormat/>
    <w:uiPriority w:val="9"/>
    <w:pPr>
      <w:keepNext/>
      <w:keepLines/>
      <w:numPr>
        <w:ilvl w:val="3"/>
        <w:numId w:val="1"/>
      </w:numPr>
      <w:spacing w:line="372" w:lineRule="auto"/>
      <w:ind w:firstLine="560" w:firstLineChars="200"/>
      <w:outlineLvl w:val="3"/>
    </w:pPr>
    <w:rPr>
      <w:rFonts w:asciiTheme="majorHAnsi" w:hAnsiTheme="majorHAnsi" w:eastAsiaTheme="majorEastAsia" w:cstheme="majorEastAsia"/>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qFormat/>
    <w:uiPriority w:val="0"/>
    <w:pPr>
      <w:jc w:val="left"/>
    </w:pPr>
  </w:style>
  <w:style w:type="paragraph" w:styleId="6">
    <w:name w:val="Body Text"/>
    <w:basedOn w:val="1"/>
    <w:unhideWhenUsed/>
    <w:qFormat/>
    <w:uiPriority w:val="99"/>
    <w:pPr>
      <w:spacing w:line="315" w:lineRule="atLeast"/>
    </w:pPr>
    <w:rPr>
      <w:rFonts w:ascii="仿宋_GB2312" w:eastAsia="仿宋_GB2312"/>
    </w:rPr>
  </w:style>
  <w:style w:type="paragraph" w:styleId="7">
    <w:name w:val="Plain Text"/>
    <w:basedOn w:val="1"/>
    <w:qFormat/>
    <w:uiPriority w:val="0"/>
    <w:rPr>
      <w:rFonts w:hAnsi="Courier New"/>
      <w:sz w:val="20"/>
      <w:szCs w:val="21"/>
    </w:rPr>
  </w:style>
  <w:style w:type="paragraph" w:styleId="8">
    <w:name w:val="Balloon Text"/>
    <w:basedOn w:val="1"/>
    <w:link w:val="31"/>
    <w:qFormat/>
    <w:uiPriority w:val="0"/>
    <w:rPr>
      <w:sz w:val="18"/>
      <w:szCs w:val="18"/>
    </w:rPr>
  </w:style>
  <w:style w:type="paragraph" w:styleId="9">
    <w:name w:val="toc 1"/>
    <w:basedOn w:val="1"/>
    <w:next w:val="1"/>
    <w:unhideWhenUsed/>
    <w:qFormat/>
    <w:uiPriority w:val="39"/>
    <w:pPr>
      <w:spacing w:after="57"/>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33"/>
    <w:qFormat/>
    <w:uiPriority w:val="0"/>
    <w:rPr>
      <w:b/>
      <w:bCs/>
    </w:rPr>
  </w:style>
  <w:style w:type="table" w:styleId="13">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customStyle="1" w:styleId="16">
    <w:name w:val="正文首行缩进 211"/>
    <w:basedOn w:val="17"/>
    <w:unhideWhenUsed/>
    <w:qFormat/>
    <w:uiPriority w:val="0"/>
    <w:pPr>
      <w:spacing w:line="360" w:lineRule="auto"/>
      <w:ind w:left="0"/>
      <w:jc w:val="center"/>
    </w:pPr>
    <w:rPr>
      <w:rFonts w:ascii="Times New Roman" w:eastAsia="宋体" w:cs="宋体"/>
      <w:b/>
      <w:color w:val="000000"/>
      <w:sz w:val="48"/>
      <w:szCs w:val="48"/>
    </w:rPr>
  </w:style>
  <w:style w:type="paragraph" w:customStyle="1" w:styleId="17">
    <w:name w:val="正文文本缩进11"/>
    <w:basedOn w:val="1"/>
    <w:next w:val="18"/>
    <w:qFormat/>
    <w:uiPriority w:val="0"/>
    <w:pPr>
      <w:spacing w:line="520" w:lineRule="exact"/>
      <w:ind w:left="570"/>
    </w:pPr>
    <w:rPr>
      <w:rFonts w:hint="eastAsia" w:ascii="楷体_GB2312"/>
    </w:rPr>
  </w:style>
  <w:style w:type="paragraph" w:customStyle="1" w:styleId="18">
    <w:name w:val="寄信人地址11"/>
    <w:basedOn w:val="1"/>
    <w:unhideWhenUsed/>
    <w:qFormat/>
    <w:uiPriority w:val="99"/>
    <w:rPr>
      <w:rFonts w:ascii="Arial" w:hAnsi="Arial"/>
    </w:rPr>
  </w:style>
  <w:style w:type="paragraph" w:customStyle="1" w:styleId="19">
    <w:name w:val="正文文本1"/>
    <w:basedOn w:val="1"/>
    <w:next w:val="1"/>
    <w:qFormat/>
    <w:uiPriority w:val="0"/>
    <w:pPr>
      <w:spacing w:line="400" w:lineRule="exact"/>
    </w:pPr>
    <w:rPr>
      <w:rFonts w:ascii="楷体_GB2312"/>
      <w:sz w:val="28"/>
    </w:rPr>
  </w:style>
  <w:style w:type="paragraph" w:customStyle="1" w:styleId="20">
    <w:name w:val="正文缩进1"/>
    <w:basedOn w:val="1"/>
    <w:qFormat/>
    <w:uiPriority w:val="0"/>
    <w:pPr>
      <w:spacing w:line="360" w:lineRule="auto"/>
      <w:jc w:val="center"/>
    </w:pPr>
    <w:rPr>
      <w:rFonts w:ascii="宋体" w:hAnsi="宋体" w:eastAsia="宋体"/>
      <w:b/>
      <w:sz w:val="36"/>
    </w:rPr>
  </w:style>
  <w:style w:type="character" w:customStyle="1" w:styleId="21">
    <w:name w:val="超链接1"/>
    <w:qFormat/>
    <w:uiPriority w:val="99"/>
    <w:rPr>
      <w:rFonts w:hint="default" w:ascii="Times New Roman" w:hAnsi="Times New Roman" w:eastAsia="楷体_GB2312" w:cs="Times New Roman"/>
      <w:sz w:val="26"/>
      <w:lang w:val="en-US" w:eastAsia="zh-CN" w:bidi="ar-SA"/>
    </w:rPr>
  </w:style>
  <w:style w:type="paragraph" w:customStyle="1" w:styleId="22">
    <w:name w:val="标题 211"/>
    <w:basedOn w:val="1"/>
    <w:next w:val="1"/>
    <w:qFormat/>
    <w:uiPriority w:val="0"/>
    <w:pPr>
      <w:keepNext/>
      <w:keepLines/>
      <w:jc w:val="left"/>
      <w:outlineLvl w:val="1"/>
    </w:pPr>
    <w:rPr>
      <w:rFonts w:ascii="宋体" w:hAnsi="宋体"/>
      <w:b/>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null3"/>
    <w:qFormat/>
    <w:uiPriority w:val="0"/>
    <w:rPr>
      <w:rFonts w:hint="eastAsia" w:ascii="Calibri" w:hAnsi="Calibri" w:eastAsia="宋体" w:cs="Times New Roman"/>
      <w:lang w:val="en-US" w:eastAsia="zh-Hans" w:bidi="ar-SA"/>
    </w:rPr>
  </w:style>
  <w:style w:type="paragraph" w:customStyle="1" w:styleId="25">
    <w:name w:val="目录 11"/>
    <w:basedOn w:val="1"/>
    <w:next w:val="1"/>
    <w:qFormat/>
    <w:uiPriority w:val="0"/>
    <w:pPr>
      <w:jc w:val="left"/>
    </w:pPr>
    <w:rPr>
      <w:sz w:val="24"/>
    </w:rPr>
  </w:style>
  <w:style w:type="paragraph" w:customStyle="1" w:styleId="26">
    <w:name w:val="无间隔1"/>
    <w:qFormat/>
    <w:uiPriority w:val="0"/>
    <w:pPr>
      <w:widowControl w:val="0"/>
      <w:spacing w:line="300" w:lineRule="auto"/>
    </w:pPr>
    <w:rPr>
      <w:rFonts w:ascii="Times New Roman" w:hAnsi="Times New Roman" w:eastAsia="华文仿宋" w:cs="Times New Roman"/>
      <w:sz w:val="24"/>
      <w:szCs w:val="21"/>
      <w:lang w:val="en-US" w:eastAsia="zh-CN" w:bidi="ar-SA"/>
    </w:rPr>
  </w:style>
  <w:style w:type="paragraph" w:customStyle="1" w:styleId="27">
    <w:name w:val="页眉11"/>
    <w:basedOn w:val="1"/>
    <w:qFormat/>
    <w:uiPriority w:val="99"/>
    <w:pPr>
      <w:pBdr>
        <w:bottom w:val="single" w:color="000000" w:sz="6" w:space="1"/>
      </w:pBdr>
      <w:tabs>
        <w:tab w:val="center" w:pos="4153"/>
        <w:tab w:val="right" w:pos="8306"/>
      </w:tabs>
      <w:jc w:val="center"/>
    </w:pPr>
    <w:rPr>
      <w:sz w:val="18"/>
    </w:rPr>
  </w:style>
  <w:style w:type="paragraph" w:customStyle="1" w:styleId="28">
    <w:name w:val="页脚11"/>
    <w:basedOn w:val="1"/>
    <w:qFormat/>
    <w:uiPriority w:val="99"/>
    <w:pPr>
      <w:tabs>
        <w:tab w:val="center" w:pos="4153"/>
        <w:tab w:val="right" w:pos="8306"/>
      </w:tabs>
      <w:jc w:val="left"/>
    </w:pPr>
    <w:rPr>
      <w:sz w:val="18"/>
    </w:rPr>
  </w:style>
  <w:style w:type="character" w:customStyle="1" w:styleId="29">
    <w:name w:val="页码1"/>
    <w:qFormat/>
    <w:uiPriority w:val="0"/>
  </w:style>
  <w:style w:type="paragraph" w:customStyle="1" w:styleId="30">
    <w:name w:val="GW-正文"/>
    <w:basedOn w:val="1"/>
    <w:qFormat/>
    <w:uiPriority w:val="99"/>
    <w:pPr>
      <w:spacing w:line="360" w:lineRule="auto"/>
      <w:ind w:firstLine="200" w:firstLineChars="200"/>
    </w:pPr>
    <w:rPr>
      <w:rFonts w:eastAsia="仿宋_GB2312"/>
      <w:sz w:val="24"/>
      <w:szCs w:val="24"/>
    </w:rPr>
  </w:style>
  <w:style w:type="character" w:customStyle="1" w:styleId="31">
    <w:name w:val="批注框文本 Char"/>
    <w:basedOn w:val="14"/>
    <w:link w:val="8"/>
    <w:qFormat/>
    <w:uiPriority w:val="0"/>
    <w:rPr>
      <w:rFonts w:ascii="Times New Roman" w:hAnsi="Times New Roman" w:eastAsia="楷体_GB2312" w:cs="Times New Roman"/>
      <w:sz w:val="18"/>
      <w:szCs w:val="18"/>
    </w:rPr>
  </w:style>
  <w:style w:type="character" w:customStyle="1" w:styleId="32">
    <w:name w:val="批注文字 Char"/>
    <w:basedOn w:val="14"/>
    <w:link w:val="5"/>
    <w:qFormat/>
    <w:uiPriority w:val="0"/>
    <w:rPr>
      <w:rFonts w:ascii="Times New Roman" w:hAnsi="Times New Roman" w:eastAsia="楷体_GB2312" w:cs="Times New Roman"/>
      <w:sz w:val="26"/>
    </w:rPr>
  </w:style>
  <w:style w:type="character" w:customStyle="1" w:styleId="33">
    <w:name w:val="批注主题 Char"/>
    <w:basedOn w:val="32"/>
    <w:link w:val="11"/>
    <w:qFormat/>
    <w:uiPriority w:val="0"/>
    <w:rPr>
      <w:rFonts w:ascii="Times New Roman" w:hAnsi="Times New Roman" w:eastAsia="楷体_GB2312" w:cs="Times New Roman"/>
      <w:b/>
      <w:bCs/>
      <w:sz w:val="26"/>
    </w:rPr>
  </w:style>
  <w:style w:type="paragraph" w:customStyle="1" w:styleId="34">
    <w:name w:val="3DS Title 2"/>
    <w:basedOn w:val="1"/>
    <w:qFormat/>
    <w:uiPriority w:val="0"/>
    <w:pPr>
      <w:keepNext/>
      <w:keepLines/>
      <w:numPr>
        <w:ilvl w:val="1"/>
        <w:numId w:val="2"/>
      </w:numPr>
      <w:autoSpaceDE w:val="0"/>
      <w:autoSpaceDN w:val="0"/>
      <w:adjustRightInd w:val="0"/>
      <w:spacing w:before="240" w:after="120" w:line="300" w:lineRule="auto"/>
      <w:jc w:val="center"/>
      <w:outlineLvl w:val="0"/>
    </w:pPr>
    <w:rPr>
      <w:rFonts w:ascii="Arial" w:hAnsi="Arial" w:cs="Arial"/>
      <w:kern w:val="44"/>
      <w:sz w:val="28"/>
    </w:rPr>
  </w:style>
  <w:style w:type="paragraph" w:styleId="35">
    <w:name w:val="List Paragraph"/>
    <w:basedOn w:val="1"/>
    <w:qFormat/>
    <w:uiPriority w:val="34"/>
    <w:pPr>
      <w:ind w:left="720"/>
      <w:contextualSpacing/>
    </w:pPr>
  </w:style>
  <w:style w:type="paragraph" w:customStyle="1" w:styleId="36">
    <w:name w:val="普通(网站)1"/>
    <w:basedOn w:val="1"/>
    <w:qFormat/>
    <w:uiPriority w:val="99"/>
    <w:pPr>
      <w:widowControl/>
      <w:spacing w:before="100" w:beforeAutospacing="1" w:after="100" w:afterAutospacing="1"/>
      <w:jc w:val="left"/>
    </w:pPr>
    <w:rPr>
      <w:rFonts w:ascii="宋体" w:hAnsi="宋体" w:eastAsia="宋体" w:cs="宋体"/>
      <w:sz w:val="24"/>
      <w:szCs w:val="24"/>
    </w:rPr>
  </w:style>
  <w:style w:type="character" w:customStyle="1" w:styleId="37">
    <w:name w:val="要点1"/>
    <w:basedOn w:val="38"/>
    <w:link w:val="1"/>
    <w:qFormat/>
    <w:uiPriority w:val="0"/>
    <w:rPr>
      <w:rFonts w:ascii="Times New Roman" w:hAnsi="Times New Roman" w:eastAsia="楷体_GB2312" w:cs="Times New Roman"/>
      <w:sz w:val="26"/>
      <w:lang w:val="en-US" w:eastAsia="zh-CN" w:bidi="ar-SA"/>
    </w:rPr>
  </w:style>
  <w:style w:type="character" w:customStyle="1" w:styleId="38">
    <w:name w:val="默认段落字体1"/>
    <w:link w:val="1"/>
    <w:unhideWhenUsed/>
    <w:qFormat/>
    <w:uiPriority w:val="1"/>
  </w:style>
  <w:style w:type="character" w:customStyle="1" w:styleId="39">
    <w:name w:val="强调1"/>
    <w:basedOn w:val="38"/>
    <w:link w:val="1"/>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D65D7D-B3B7-43A3-8665-C7F1910E18E6}">
  <ds:schemaRefs/>
</ds:datastoreItem>
</file>

<file path=docProps/app.xml><?xml version="1.0" encoding="utf-8"?>
<Properties xmlns="http://schemas.openxmlformats.org/officeDocument/2006/extended-properties" xmlns:vt="http://schemas.openxmlformats.org/officeDocument/2006/docPropsVTypes">
  <Template>Normal</Template>
  <Pages>83</Pages>
  <Words>45365</Words>
  <Characters>47867</Characters>
  <Lines>582</Lines>
  <Paragraphs>163</Paragraphs>
  <TotalTime>42</TotalTime>
  <ScaleCrop>false</ScaleCrop>
  <LinksUpToDate>false</LinksUpToDate>
  <CharactersWithSpaces>49098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2025-11-04T03:59:00Z</dcterms:created>
  <dc:creator>HUAWEI</dc:creator>
  <cp:lastModifiedBy>余管琦</cp:lastModifiedBy>
  <cp:lastPrinted>2026-07-14T01:05:00Z</cp:lastPrinted>
  <dcterms:modified xsi:type="dcterms:W3CDTF">2026-07-22T01:11:28Z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eyJoZGlkIjoiNzczMDFlYjNmNWE2MjNkODg5YjBlYjc2NzVlYzJiY2EiLCJ1c2VySWQiOiIzMTEyNzcyNzUifQ==</vt:lpwstr>
  </property>
  <property fmtid="{D5CDD505-2E9C-101B-9397-08002B2CF9AE}" pid="4" name="ICV">
    <vt:lpwstr>00E7F9D39988494EAE907A0013E43F90_13</vt:lpwstr>
  </property>
</Properties>
</file>