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BE637B">
      <w:pPr>
        <w:pStyle w:val="33"/>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685A627B">
      <w:pPr>
        <w:pStyle w:val="33"/>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84"/>
          <w:szCs w:val="84"/>
          <w:highlight w:val="none"/>
        </w:rPr>
        <w:t>招 标 文 件</w:t>
      </w:r>
    </w:p>
    <w:p w14:paraId="4F9A212E">
      <w:pPr>
        <w:pStyle w:val="33"/>
        <w:spacing w:before="120" w:beforeAutospacing="0" w:after="120" w:afterAutospacing="0" w:line="360" w:lineRule="auto"/>
        <w:rPr>
          <w:rFonts w:hint="eastAsia" w:ascii="宋体" w:hAnsi="宋体" w:eastAsia="宋体" w:cs="宋体"/>
          <w:b/>
          <w:color w:val="auto"/>
          <w:sz w:val="32"/>
          <w:szCs w:val="32"/>
          <w:highlight w:val="none"/>
        </w:rPr>
      </w:pPr>
    </w:p>
    <w:p w14:paraId="46670ADA">
      <w:pPr>
        <w:pStyle w:val="33"/>
        <w:spacing w:before="120" w:beforeAutospacing="0" w:after="120" w:afterAutospacing="0" w:line="360" w:lineRule="auto"/>
        <w:rPr>
          <w:rFonts w:hint="eastAsia" w:ascii="宋体" w:hAnsi="宋体" w:eastAsia="宋体" w:cs="宋体"/>
          <w:b/>
          <w:color w:val="auto"/>
          <w:sz w:val="32"/>
          <w:szCs w:val="32"/>
          <w:highlight w:val="none"/>
        </w:rPr>
      </w:pPr>
    </w:p>
    <w:p w14:paraId="42F1BEA8">
      <w:pPr>
        <w:pStyle w:val="33"/>
        <w:spacing w:before="120" w:beforeAutospacing="0" w:after="120" w:afterAutospacing="0" w:line="360" w:lineRule="auto"/>
        <w:rPr>
          <w:rFonts w:hint="eastAsia" w:ascii="宋体" w:hAnsi="宋体" w:eastAsia="宋体" w:cs="宋体"/>
          <w:color w:val="auto"/>
          <w:highlight w:val="none"/>
          <w:lang w:eastAsia="zh-CN"/>
        </w:rPr>
      </w:pPr>
      <w:r>
        <w:rPr>
          <w:rFonts w:hint="eastAsia" w:ascii="宋体" w:hAnsi="宋体" w:eastAsia="宋体" w:cs="宋体"/>
          <w:b/>
          <w:color w:val="auto"/>
          <w:sz w:val="32"/>
          <w:szCs w:val="32"/>
          <w:highlight w:val="none"/>
        </w:rPr>
        <w:t>项目名称：</w:t>
      </w:r>
      <w:r>
        <w:rPr>
          <w:rFonts w:hint="eastAsia" w:ascii="宋体" w:hAnsi="宋体" w:eastAsia="宋体" w:cs="宋体"/>
          <w:b/>
          <w:color w:val="auto"/>
          <w:sz w:val="32"/>
          <w:szCs w:val="32"/>
          <w:highlight w:val="none"/>
          <w:lang w:eastAsia="zh-CN"/>
        </w:rPr>
        <w:t>滨海县滨淮镇街道、农村市容服务外包(27个村居和集镇范围)采购项目</w:t>
      </w:r>
    </w:p>
    <w:p w14:paraId="3D68D396">
      <w:pPr>
        <w:pStyle w:val="33"/>
        <w:spacing w:beforeAutospacing="0" w:afterAutospacing="0"/>
        <w:jc w:val="both"/>
        <w:rPr>
          <w:rFonts w:hint="default" w:ascii="宋体" w:hAnsi="宋体" w:eastAsia="宋体" w:cs="宋体"/>
          <w:color w:val="auto"/>
          <w:highlight w:val="none"/>
          <w:lang w:val="en-US" w:eastAsia="zh-CN"/>
        </w:rPr>
      </w:pPr>
      <w:r>
        <w:rPr>
          <w:rFonts w:hint="eastAsia" w:ascii="宋体" w:hAnsi="宋体" w:eastAsia="宋体" w:cs="宋体"/>
          <w:b/>
          <w:color w:val="auto"/>
          <w:sz w:val="32"/>
          <w:szCs w:val="32"/>
          <w:highlight w:val="none"/>
        </w:rPr>
        <w:t>项目编号：JSZC-320922-YCJD-G2026-0001</w:t>
      </w:r>
    </w:p>
    <w:p w14:paraId="74A1C6EF">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16BFB641">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74ACDD97">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4990AADC">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64690E03">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C538A04">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2C14E39F">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w:t>
      </w:r>
    </w:p>
    <w:p w14:paraId="5945DE28">
      <w:pPr>
        <w:pStyle w:val="33"/>
        <w:spacing w:beforeAutospacing="0" w:afterAutospacing="0" w:line="360" w:lineRule="auto"/>
        <w:rPr>
          <w:rFonts w:hint="eastAsia" w:ascii="宋体" w:hAnsi="宋体" w:eastAsia="宋体" w:cs="宋体"/>
          <w:b/>
          <w:color w:val="auto"/>
          <w:sz w:val="32"/>
          <w:szCs w:val="32"/>
          <w:highlight w:val="none"/>
        </w:rPr>
      </w:pPr>
    </w:p>
    <w:p w14:paraId="1DF0BCF2">
      <w:pPr>
        <w:pStyle w:val="33"/>
        <w:spacing w:beforeAutospacing="0" w:afterAutospacing="0" w:line="360" w:lineRule="auto"/>
        <w:rPr>
          <w:rFonts w:hint="eastAsia" w:ascii="宋体" w:hAnsi="宋体" w:eastAsia="宋体" w:cs="宋体"/>
          <w:b/>
          <w:color w:val="auto"/>
          <w:sz w:val="32"/>
          <w:szCs w:val="32"/>
          <w:highlight w:val="none"/>
        </w:rPr>
      </w:pPr>
    </w:p>
    <w:p w14:paraId="28226878">
      <w:pPr>
        <w:pStyle w:val="33"/>
        <w:spacing w:beforeAutospacing="0" w:afterAutospacing="0" w:line="360" w:lineRule="auto"/>
        <w:ind w:firstLine="1606" w:firstLineChars="500"/>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rPr>
        <w:t>采购单位</w:t>
      </w:r>
      <w:r>
        <w:rPr>
          <w:rFonts w:hint="eastAsia" w:ascii="宋体" w:hAnsi="宋体" w:eastAsia="宋体" w:cs="宋体"/>
          <w:b/>
          <w:color w:val="auto"/>
          <w:sz w:val="32"/>
          <w:szCs w:val="32"/>
          <w:highlight w:val="none"/>
          <w:lang w:eastAsia="zh-CN"/>
        </w:rPr>
        <w:t>：</w:t>
      </w:r>
      <w:r>
        <w:rPr>
          <w:rFonts w:hint="eastAsia" w:ascii="宋体" w:hAnsi="宋体" w:eastAsia="宋体" w:cs="宋体"/>
          <w:b/>
          <w:color w:val="auto"/>
          <w:sz w:val="32"/>
          <w:szCs w:val="32"/>
          <w:highlight w:val="none"/>
          <w:lang w:val="en-US" w:eastAsia="zh-CN"/>
        </w:rPr>
        <w:t>滨海县滨淮镇人民政府</w:t>
      </w:r>
    </w:p>
    <w:p w14:paraId="6E5BB3A3">
      <w:pPr>
        <w:pStyle w:val="33"/>
        <w:spacing w:before="120" w:beforeAutospacing="0" w:after="120" w:afterAutospacing="0" w:line="360" w:lineRule="auto"/>
        <w:jc w:val="center"/>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 xml:space="preserve">代理机构：盐城市鲸咚项目管理有限公司 </w:t>
      </w:r>
    </w:p>
    <w:p w14:paraId="69086D4A">
      <w:pPr>
        <w:pStyle w:val="33"/>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lang w:val="en-US" w:eastAsia="zh-CN"/>
        </w:rPr>
        <w:t>2026</w:t>
      </w:r>
      <w:r>
        <w:rPr>
          <w:rFonts w:hint="eastAsia" w:ascii="宋体" w:hAnsi="宋体" w:eastAsia="宋体" w:cs="宋体"/>
          <w:b/>
          <w:color w:val="auto"/>
          <w:sz w:val="32"/>
          <w:szCs w:val="32"/>
          <w:highlight w:val="none"/>
        </w:rPr>
        <w:t>年</w:t>
      </w:r>
      <w:r>
        <w:rPr>
          <w:rFonts w:hint="eastAsia" w:ascii="宋体" w:hAnsi="宋体" w:eastAsia="宋体" w:cs="宋体"/>
          <w:b/>
          <w:color w:val="auto"/>
          <w:sz w:val="32"/>
          <w:szCs w:val="32"/>
          <w:highlight w:val="none"/>
          <w:lang w:val="en-US" w:eastAsia="zh-CN"/>
        </w:rPr>
        <w:t>8</w:t>
      </w:r>
      <w:r>
        <w:rPr>
          <w:rFonts w:hint="eastAsia" w:ascii="宋体" w:hAnsi="宋体" w:eastAsia="宋体" w:cs="宋体"/>
          <w:b/>
          <w:color w:val="auto"/>
          <w:sz w:val="32"/>
          <w:szCs w:val="32"/>
          <w:highlight w:val="none"/>
        </w:rPr>
        <w:t>月</w:t>
      </w:r>
    </w:p>
    <w:p w14:paraId="51623855">
      <w:pPr>
        <w:pStyle w:val="33"/>
        <w:spacing w:before="120" w:beforeAutospacing="0" w:after="12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0B1BC67C">
      <w:pPr>
        <w:pStyle w:val="33"/>
        <w:spacing w:before="120" w:beforeAutospacing="0" w:after="120" w:afterAutospacing="0" w:line="360" w:lineRule="auto"/>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1105EF9">
      <w:pPr>
        <w:pStyle w:val="33"/>
        <w:spacing w:beforeAutospacing="0" w:afterAutospacing="0" w:line="480" w:lineRule="auto"/>
        <w:jc w:val="center"/>
        <w:rPr>
          <w:rFonts w:hint="eastAsia" w:ascii="宋体" w:hAnsi="宋体" w:eastAsia="宋体" w:cs="宋体"/>
          <w:color w:val="auto"/>
          <w:highlight w:val="none"/>
        </w:rPr>
      </w:pPr>
      <w:r>
        <w:rPr>
          <w:rFonts w:hint="eastAsia" w:ascii="宋体" w:hAnsi="宋体" w:eastAsia="宋体" w:cs="宋体"/>
          <w:color w:val="auto"/>
          <w:sz w:val="21"/>
          <w:szCs w:val="21"/>
          <w:highlight w:val="none"/>
        </w:rPr>
        <w:br w:type="page" w:clear="all"/>
      </w:r>
      <w:r>
        <w:rPr>
          <w:rFonts w:hint="eastAsia" w:ascii="宋体" w:hAnsi="宋体" w:eastAsia="宋体" w:cs="宋体"/>
          <w:color w:val="auto"/>
          <w:sz w:val="21"/>
          <w:szCs w:val="21"/>
          <w:highlight w:val="none"/>
        </w:rPr>
        <w:t> </w:t>
      </w:r>
      <w:bookmarkStart w:id="0" w:name="_Toc523127445"/>
      <w:bookmarkStart w:id="1" w:name="_Toc16938516"/>
      <w:bookmarkStart w:id="2" w:name="_Toc120614210"/>
      <w:bookmarkStart w:id="3" w:name="_Toc20823272"/>
      <w:bookmarkStart w:id="4" w:name="_Toc513029200"/>
      <w:bookmarkStart w:id="5" w:name="_Toc479757206"/>
      <w:r>
        <w:rPr>
          <w:rFonts w:hint="eastAsia" w:ascii="宋体" w:hAnsi="宋体" w:eastAsia="宋体" w:cs="宋体"/>
          <w:color w:val="auto"/>
          <w:sz w:val="21"/>
          <w:szCs w:val="21"/>
          <w:highlight w:val="none"/>
        </w:rPr>
        <w:t> </w:t>
      </w:r>
      <w:r>
        <w:rPr>
          <w:rFonts w:hint="eastAsia" w:ascii="宋体" w:hAnsi="宋体" w:eastAsia="宋体" w:cs="宋体"/>
          <w:b/>
          <w:color w:val="auto"/>
          <w:sz w:val="44"/>
          <w:szCs w:val="44"/>
          <w:highlight w:val="none"/>
        </w:rPr>
        <w:t>总  目  录</w:t>
      </w:r>
      <w:bookmarkEnd w:id="0"/>
      <w:bookmarkEnd w:id="1"/>
      <w:bookmarkEnd w:id="2"/>
      <w:bookmarkEnd w:id="3"/>
      <w:bookmarkEnd w:id="4"/>
      <w:bookmarkEnd w:id="5"/>
    </w:p>
    <w:p w14:paraId="7CB15582">
      <w:pPr>
        <w:pStyle w:val="33"/>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4D2CE6A">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lang w:val="en-US" w:eastAsia="zh-CN"/>
        </w:rPr>
        <w:t>招标公告</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lang w:val="en-US" w:eastAsia="zh-CN"/>
        </w:rPr>
        <w:t>3</w:t>
      </w:r>
      <w:r>
        <w:rPr>
          <w:rFonts w:hint="eastAsia" w:ascii="宋体" w:hAnsi="宋体" w:eastAsia="宋体" w:cs="宋体"/>
          <w:color w:val="auto"/>
          <w:sz w:val="36"/>
          <w:szCs w:val="36"/>
          <w:highlight w:val="none"/>
        </w:rPr>
        <w:t xml:space="preserve"> </w:t>
      </w:r>
    </w:p>
    <w:p w14:paraId="12C43EA1">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rPr>
      </w:pPr>
      <w:r>
        <w:rPr>
          <w:rFonts w:hint="eastAsia" w:ascii="宋体" w:hAnsi="宋体" w:eastAsia="宋体" w:cs="宋体"/>
          <w:color w:val="auto"/>
          <w:sz w:val="36"/>
          <w:szCs w:val="36"/>
          <w:highlight w:val="none"/>
        </w:rPr>
        <w:t>投标人须知…………………………………</w:t>
      </w:r>
      <w:r>
        <w:rPr>
          <w:rFonts w:hint="eastAsia" w:ascii="宋体" w:hAnsi="宋体" w:eastAsia="宋体" w:cs="宋体"/>
          <w:color w:val="auto"/>
          <w:sz w:val="36"/>
          <w:szCs w:val="36"/>
          <w:highlight w:val="none"/>
          <w:lang w:val="en-US" w:eastAsia="zh-CN"/>
        </w:rPr>
        <w:t>6</w:t>
      </w:r>
      <w:r>
        <w:rPr>
          <w:rFonts w:hint="eastAsia" w:ascii="宋体" w:hAnsi="宋体" w:eastAsia="宋体" w:cs="宋体"/>
          <w:color w:val="auto"/>
          <w:sz w:val="36"/>
          <w:szCs w:val="36"/>
          <w:highlight w:val="none"/>
        </w:rPr>
        <w:t xml:space="preserve">  </w:t>
      </w:r>
    </w:p>
    <w:p w14:paraId="2F6CDCD3">
      <w:pPr>
        <w:pStyle w:val="33"/>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合同文本…………………………………</w:t>
      </w:r>
      <w:r>
        <w:rPr>
          <w:rFonts w:hint="eastAsia" w:ascii="宋体" w:hAnsi="宋体" w:eastAsia="宋体" w:cs="宋体"/>
          <w:color w:val="auto"/>
          <w:sz w:val="36"/>
          <w:szCs w:val="36"/>
          <w:highlight w:val="none"/>
          <w:lang w:val="en-US" w:eastAsia="zh-CN"/>
        </w:rPr>
        <w:t xml:space="preserve"> 21</w:t>
      </w:r>
    </w:p>
    <w:p w14:paraId="046FCF4A">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采购需求…………………………………</w:t>
      </w:r>
      <w:r>
        <w:rPr>
          <w:rFonts w:hint="eastAsia" w:ascii="宋体" w:hAnsi="宋体" w:eastAsia="宋体" w:cs="宋体"/>
          <w:color w:val="auto"/>
          <w:sz w:val="36"/>
          <w:szCs w:val="36"/>
          <w:highlight w:val="none"/>
          <w:lang w:val="en-US" w:eastAsia="zh-CN"/>
        </w:rPr>
        <w:t xml:space="preserve"> 27</w:t>
      </w:r>
    </w:p>
    <w:p w14:paraId="3CA5D390">
      <w:pPr>
        <w:pStyle w:val="33"/>
        <w:tabs>
          <w:tab w:val="left" w:pos="1441"/>
        </w:tabs>
        <w:spacing w:beforeAutospacing="0" w:afterAutospacing="0" w:line="480" w:lineRule="auto"/>
        <w:ind w:left="2160" w:hanging="1440"/>
        <w:jc w:val="both"/>
        <w:rPr>
          <w:rFonts w:hint="eastAsia" w:ascii="宋体" w:hAnsi="宋体" w:eastAsia="宋体" w:cs="宋体"/>
          <w:color w:val="auto"/>
          <w:highlight w:val="none"/>
          <w:lang w:val="en-US" w:eastAsia="zh-CN"/>
        </w:rPr>
      </w:pPr>
      <w:r>
        <w:rPr>
          <w:rFonts w:hint="eastAsia" w:ascii="宋体" w:hAnsi="宋体" w:eastAsia="宋体" w:cs="宋体"/>
          <w:color w:val="auto"/>
          <w:sz w:val="36"/>
          <w:szCs w:val="36"/>
          <w:highlight w:val="none"/>
        </w:rPr>
        <w:t>评标方法与评标标准……………………</w:t>
      </w:r>
      <w:r>
        <w:rPr>
          <w:rFonts w:hint="eastAsia" w:ascii="宋体" w:hAnsi="宋体" w:eastAsia="宋体" w:cs="宋体"/>
          <w:color w:val="auto"/>
          <w:sz w:val="36"/>
          <w:szCs w:val="36"/>
          <w:highlight w:val="none"/>
          <w:lang w:val="en-US" w:eastAsia="zh-CN"/>
        </w:rPr>
        <w:t xml:space="preserve"> 33</w:t>
      </w:r>
    </w:p>
    <w:p w14:paraId="67B593D0">
      <w:pPr>
        <w:pStyle w:val="33"/>
        <w:tabs>
          <w:tab w:val="left" w:pos="1441"/>
        </w:tabs>
        <w:spacing w:beforeAutospacing="0" w:afterAutospacing="0" w:line="480" w:lineRule="auto"/>
        <w:ind w:left="2160" w:hanging="1440"/>
        <w:jc w:val="both"/>
        <w:rPr>
          <w:rFonts w:hint="default" w:ascii="宋体" w:hAnsi="宋体" w:eastAsia="宋体" w:cs="宋体"/>
          <w:color w:val="auto"/>
          <w:highlight w:val="none"/>
          <w:lang w:val="en-US" w:eastAsia="zh-CN"/>
        </w:rPr>
      </w:pPr>
      <w:r>
        <w:rPr>
          <w:rFonts w:hint="eastAsia" w:ascii="宋体" w:hAnsi="宋体" w:eastAsia="宋体" w:cs="宋体"/>
          <w:color w:val="auto"/>
          <w:sz w:val="36"/>
          <w:szCs w:val="36"/>
          <w:highlight w:val="none"/>
        </w:rPr>
        <w:t>投标文件格式……………………………</w:t>
      </w:r>
      <w:r>
        <w:rPr>
          <w:rFonts w:hint="eastAsia" w:ascii="宋体" w:hAnsi="宋体" w:eastAsia="宋体" w:cs="宋体"/>
          <w:color w:val="auto"/>
          <w:sz w:val="36"/>
          <w:szCs w:val="36"/>
          <w:highlight w:val="none"/>
          <w:lang w:val="en-US" w:eastAsia="zh-CN"/>
        </w:rPr>
        <w:t xml:space="preserve"> 35</w:t>
      </w:r>
    </w:p>
    <w:p w14:paraId="5CBB81FE">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540C653">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FEC89EF">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67AB30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474987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12BA915">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D0476E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30289D5">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4836AFA">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D507F2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A515BF">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D29A1D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3475A7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8061B5B">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DA15FE4">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49922B3">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093FD5A">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4DA4696">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8BB4067">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B40267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4B96D8">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90464A6">
      <w:pPr>
        <w:pStyle w:val="33"/>
        <w:spacing w:beforeAutospacing="0" w:afterAutospacing="0"/>
        <w:jc w:val="center"/>
        <w:rPr>
          <w:rFonts w:hint="eastAsia" w:ascii="宋体" w:hAnsi="宋体" w:eastAsia="宋体" w:cs="宋体"/>
          <w:color w:val="auto"/>
          <w:highlight w:val="none"/>
          <w:lang w:val="en-US" w:eastAsia="zh-CN"/>
        </w:rPr>
      </w:pPr>
      <w:r>
        <w:rPr>
          <w:rFonts w:hint="eastAsia" w:ascii="宋体" w:hAnsi="宋体" w:eastAsia="宋体" w:cs="宋体"/>
          <w:color w:val="auto"/>
          <w:sz w:val="44"/>
          <w:szCs w:val="44"/>
          <w:highlight w:val="none"/>
        </w:rPr>
        <w:t>第一章 </w:t>
      </w:r>
      <w:r>
        <w:rPr>
          <w:rFonts w:hint="eastAsia" w:ascii="宋体" w:hAnsi="宋体" w:eastAsia="宋体" w:cs="宋体"/>
          <w:color w:val="auto"/>
          <w:sz w:val="44"/>
          <w:szCs w:val="44"/>
          <w:highlight w:val="none"/>
          <w:lang w:val="en-US" w:eastAsia="zh-CN"/>
        </w:rPr>
        <w:t>招标公告</w:t>
      </w:r>
    </w:p>
    <w:p w14:paraId="1E2F9E6A">
      <w:pPr>
        <w:pStyle w:val="33"/>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项目概况</w:t>
      </w:r>
    </w:p>
    <w:p w14:paraId="39770F46">
      <w:pPr>
        <w:pStyle w:val="33"/>
        <w:keepNext w:val="0"/>
        <w:keepLines w:val="0"/>
        <w:pageBreakBefore w:val="0"/>
        <w:widowControl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Autospacing="0" w:afterAutospacing="0" w:line="40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lang w:eastAsia="zh-CN"/>
        </w:rPr>
        <w:t>滨海县滨淮镇街道、农村市容服务外包(27个村居和集镇范围)采购项目</w:t>
      </w:r>
      <w:r>
        <w:rPr>
          <w:rFonts w:hint="eastAsia" w:ascii="宋体" w:hAnsi="宋体" w:eastAsia="宋体" w:cs="宋体"/>
          <w:color w:val="auto"/>
          <w:sz w:val="24"/>
          <w:szCs w:val="24"/>
          <w:highlight w:val="none"/>
        </w:rPr>
        <w:t>招标项目的潜在投标人可在</w:t>
      </w:r>
      <w:r>
        <w:rPr>
          <w:rFonts w:hint="eastAsia" w:ascii="宋体" w:hAnsi="宋体" w:eastAsia="宋体" w:cs="宋体"/>
          <w:i w:val="0"/>
          <w:iCs w:val="0"/>
          <w:caps w:val="0"/>
          <w:color w:val="auto"/>
          <w:spacing w:val="0"/>
          <w:sz w:val="24"/>
          <w:szCs w:val="24"/>
          <w:highlight w:val="none"/>
          <w:shd w:val="clear" w:color="auto" w:fill="FFFFFF"/>
        </w:rPr>
        <w:t>“苏采云”系统内免费下载（投标人必须在苏采云系统中获取采购文件，方能参与政府采购项目）</w:t>
      </w:r>
      <w:r>
        <w:rPr>
          <w:rFonts w:hint="eastAsia" w:ascii="宋体" w:hAnsi="宋体" w:eastAsia="宋体" w:cs="宋体"/>
          <w:color w:val="auto"/>
          <w:sz w:val="24"/>
          <w:szCs w:val="24"/>
          <w:highlight w:val="none"/>
        </w:rPr>
        <w:t>，并于</w:t>
      </w:r>
      <w:r>
        <w:rPr>
          <w:rFonts w:hint="eastAsia" w:ascii="宋体" w:hAnsi="宋体" w:eastAsia="宋体" w:cs="宋体"/>
          <w:color w:val="auto"/>
          <w:sz w:val="24"/>
          <w:szCs w:val="24"/>
          <w:highlight w:val="none"/>
          <w:u w:val="single"/>
          <w:lang w:val="en-US" w:eastAsia="zh-CN"/>
        </w:rPr>
        <w:t>2026</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eastAsia="zh-CN"/>
        </w:rPr>
        <w:t>8</w:t>
      </w:r>
      <w:r>
        <w:rPr>
          <w:rFonts w:hint="eastAsia" w:ascii="宋体" w:hAnsi="宋体" w:eastAsia="宋体" w:cs="宋体"/>
          <w:color w:val="auto"/>
          <w:sz w:val="24"/>
          <w:szCs w:val="24"/>
          <w:highlight w:val="none"/>
          <w:u w:val="single"/>
        </w:rPr>
        <w:t>月</w:t>
      </w:r>
      <w:r>
        <w:rPr>
          <w:rFonts w:hint="eastAsia" w:ascii="宋体" w:hAnsi="宋体" w:eastAsia="宋体" w:cs="宋体"/>
          <w:color w:val="auto"/>
          <w:sz w:val="24"/>
          <w:szCs w:val="24"/>
          <w:highlight w:val="none"/>
          <w:u w:val="single"/>
          <w:lang w:val="en-US" w:eastAsia="zh-CN"/>
        </w:rPr>
        <w:t>3</w:t>
      </w:r>
      <w:r>
        <w:rPr>
          <w:rFonts w:hint="eastAsia" w:ascii="宋体" w:hAnsi="宋体" w:eastAsia="宋体" w:cs="宋体"/>
          <w:color w:val="auto"/>
          <w:sz w:val="24"/>
          <w:szCs w:val="24"/>
          <w:highlight w:val="none"/>
          <w:u w:val="single"/>
        </w:rPr>
        <w:t>日</w:t>
      </w:r>
      <w:r>
        <w:rPr>
          <w:rFonts w:hint="eastAsia" w:ascii="宋体" w:hAnsi="宋体" w:eastAsia="宋体" w:cs="宋体"/>
          <w:color w:val="auto"/>
          <w:sz w:val="24"/>
          <w:szCs w:val="24"/>
          <w:highlight w:val="none"/>
          <w:u w:val="single"/>
          <w:lang w:val="en-US" w:eastAsia="zh-CN"/>
        </w:rPr>
        <w:t>09</w:t>
      </w:r>
      <w:r>
        <w:rPr>
          <w:rFonts w:hint="eastAsia" w:ascii="宋体" w:hAnsi="宋体" w:eastAsia="宋体" w:cs="宋体"/>
          <w:color w:val="auto"/>
          <w:sz w:val="24"/>
          <w:szCs w:val="24"/>
          <w:highlight w:val="none"/>
          <w:u w:val="single"/>
        </w:rPr>
        <w:t>点</w:t>
      </w:r>
      <w:r>
        <w:rPr>
          <w:rFonts w:hint="eastAsia" w:ascii="宋体" w:hAnsi="宋体" w:eastAsia="宋体" w:cs="宋体"/>
          <w:color w:val="auto"/>
          <w:sz w:val="24"/>
          <w:szCs w:val="24"/>
          <w:highlight w:val="none"/>
          <w:u w:val="single"/>
          <w:lang w:val="en-US" w:eastAsia="zh-CN"/>
        </w:rPr>
        <w:t>00</w:t>
      </w:r>
      <w:r>
        <w:rPr>
          <w:rFonts w:hint="eastAsia" w:ascii="宋体" w:hAnsi="宋体" w:eastAsia="宋体" w:cs="宋体"/>
          <w:color w:val="auto"/>
          <w:sz w:val="24"/>
          <w:szCs w:val="24"/>
          <w:highlight w:val="none"/>
          <w:u w:val="single"/>
        </w:rPr>
        <w:t>分</w:t>
      </w:r>
      <w:r>
        <w:rPr>
          <w:rFonts w:hint="eastAsia" w:ascii="宋体" w:hAnsi="宋体" w:eastAsia="宋体" w:cs="宋体"/>
          <w:color w:val="auto"/>
          <w:sz w:val="24"/>
          <w:szCs w:val="24"/>
          <w:highlight w:val="none"/>
          <w:u w:val="single"/>
          <w:lang w:val="en-US" w:eastAsia="zh-CN"/>
        </w:rPr>
        <w:t>00秒</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北京时间）前递交投标文件。</w:t>
      </w:r>
    </w:p>
    <w:p w14:paraId="49891F07">
      <w:pPr>
        <w:pStyle w:val="33"/>
        <w:keepNext/>
        <w:keepLines/>
        <w:pageBreakBefore w:val="0"/>
        <w:kinsoku/>
        <w:wordWrap/>
        <w:overflowPunct/>
        <w:topLinePunct w:val="0"/>
        <w:autoSpaceDE/>
        <w:autoSpaceDN/>
        <w:bidi w:val="0"/>
        <w:adjustRightInd/>
        <w:snapToGrid/>
        <w:spacing w:beforeAutospacing="0" w:afterAutospacing="0" w:line="440" w:lineRule="exact"/>
        <w:ind w:firstLine="498"/>
        <w:jc w:val="both"/>
        <w:textAlignment w:val="auto"/>
        <w:rPr>
          <w:rFonts w:hint="eastAsia" w:ascii="宋体" w:hAnsi="宋体" w:eastAsia="宋体" w:cs="宋体"/>
          <w:color w:val="auto"/>
          <w:sz w:val="24"/>
          <w:szCs w:val="24"/>
          <w:highlight w:val="none"/>
        </w:rPr>
      </w:pPr>
      <w:bookmarkStart w:id="6" w:name="_Toc28359002"/>
      <w:bookmarkStart w:id="7" w:name="_Hlk24379207"/>
      <w:bookmarkStart w:id="8" w:name="_Toc35393790"/>
      <w:bookmarkStart w:id="9" w:name="_Toc38985263"/>
      <w:bookmarkStart w:id="10" w:name="_Toc35393621"/>
      <w:bookmarkStart w:id="11" w:name="_Toc28359079"/>
      <w:r>
        <w:rPr>
          <w:rFonts w:hint="eastAsia" w:ascii="宋体" w:hAnsi="宋体" w:eastAsia="宋体" w:cs="宋体"/>
          <w:b/>
          <w:color w:val="auto"/>
          <w:sz w:val="24"/>
          <w:szCs w:val="24"/>
          <w:highlight w:val="none"/>
        </w:rPr>
        <w:t>一、项目基本情况</w:t>
      </w:r>
      <w:bookmarkEnd w:id="6"/>
      <w:bookmarkEnd w:id="7"/>
      <w:bookmarkEnd w:id="8"/>
      <w:bookmarkEnd w:id="9"/>
      <w:bookmarkEnd w:id="10"/>
      <w:bookmarkEnd w:id="11"/>
    </w:p>
    <w:p w14:paraId="600593E9">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val="en-US" w:eastAsia="zh-CN"/>
        </w:rPr>
        <w:t>JSZC-320922-YCJD-G2026-0001</w:t>
      </w:r>
      <w:r>
        <w:rPr>
          <w:rFonts w:hint="eastAsia" w:ascii="宋体" w:hAnsi="宋体" w:eastAsia="宋体" w:cs="宋体"/>
          <w:color w:val="auto"/>
          <w:sz w:val="24"/>
          <w:szCs w:val="24"/>
          <w:highlight w:val="none"/>
          <w:lang w:eastAsia="zh-CN"/>
        </w:rPr>
        <w:t>；</w:t>
      </w:r>
    </w:p>
    <w:p w14:paraId="18F4DAE2">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2.项目名称：</w:t>
      </w:r>
      <w:r>
        <w:rPr>
          <w:rFonts w:hint="eastAsia" w:ascii="宋体" w:hAnsi="宋体" w:eastAsia="宋体" w:cs="宋体"/>
          <w:color w:val="auto"/>
          <w:sz w:val="24"/>
          <w:szCs w:val="24"/>
          <w:highlight w:val="none"/>
          <w:lang w:eastAsia="zh-CN"/>
        </w:rPr>
        <w:t>滨海县滨淮镇街道、农村市容服务外包(27个村居和集镇范围)采购项目；</w:t>
      </w:r>
    </w:p>
    <w:p w14:paraId="6BB8027A">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3.</w:t>
      </w:r>
      <w:r>
        <w:rPr>
          <w:rFonts w:hint="eastAsia" w:ascii="宋体" w:hAnsi="宋体" w:eastAsia="宋体" w:cs="宋体"/>
          <w:i w:val="0"/>
          <w:iCs w:val="0"/>
          <w:caps w:val="0"/>
          <w:color w:val="auto"/>
          <w:spacing w:val="0"/>
          <w:sz w:val="24"/>
          <w:szCs w:val="24"/>
          <w:highlight w:val="none"/>
          <w:shd w:val="clear" w:color="auto" w:fill="FFFFFF"/>
        </w:rPr>
        <w:t>采购方式：</w:t>
      </w:r>
      <w:r>
        <w:rPr>
          <w:rFonts w:hint="eastAsia" w:ascii="宋体" w:hAnsi="宋体" w:eastAsia="宋体" w:cs="宋体"/>
          <w:i w:val="0"/>
          <w:iCs w:val="0"/>
          <w:caps w:val="0"/>
          <w:color w:val="auto"/>
          <w:spacing w:val="0"/>
          <w:sz w:val="24"/>
          <w:szCs w:val="24"/>
          <w:highlight w:val="none"/>
          <w:shd w:val="clear" w:color="auto" w:fill="FFFFFF"/>
          <w:lang w:val="en-US" w:eastAsia="zh-CN"/>
        </w:rPr>
        <w:t>公开招标</w:t>
      </w:r>
    </w:p>
    <w:p w14:paraId="19224F92">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.预算金额：</w:t>
      </w:r>
      <w:r>
        <w:rPr>
          <w:rFonts w:hint="eastAsia" w:ascii="宋体" w:hAnsi="宋体" w:eastAsia="宋体" w:cs="宋体"/>
          <w:color w:val="auto"/>
          <w:sz w:val="24"/>
          <w:szCs w:val="24"/>
          <w:highlight w:val="none"/>
          <w:lang w:val="en-US" w:eastAsia="zh-CN"/>
        </w:rPr>
        <w:t>370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p>
    <w:p w14:paraId="7C10C4E9">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en-US" w:eastAsia="zh-CN"/>
        </w:rPr>
        <w:t>370</w:t>
      </w:r>
      <w:r>
        <w:rPr>
          <w:rFonts w:hint="eastAsia" w:ascii="宋体" w:hAnsi="宋体" w:eastAsia="宋体" w:cs="宋体"/>
          <w:color w:val="auto"/>
          <w:sz w:val="24"/>
          <w:szCs w:val="24"/>
          <w:highlight w:val="none"/>
        </w:rPr>
        <w:t>万元</w:t>
      </w:r>
      <w:r>
        <w:rPr>
          <w:rFonts w:hint="eastAsia" w:ascii="宋体" w:hAnsi="宋体" w:eastAsia="宋体" w:cs="宋体"/>
          <w:color w:val="auto"/>
          <w:sz w:val="24"/>
          <w:szCs w:val="24"/>
          <w:highlight w:val="none"/>
          <w:lang w:eastAsia="zh-CN"/>
        </w:rPr>
        <w:t>；</w:t>
      </w:r>
    </w:p>
    <w:p w14:paraId="13AFFA49">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.采购需求（简介）：采购需求详见</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文件第四章</w:t>
      </w:r>
      <w:r>
        <w:rPr>
          <w:rFonts w:hint="eastAsia" w:ascii="宋体" w:hAnsi="宋体" w:eastAsia="宋体" w:cs="宋体"/>
          <w:color w:val="auto"/>
          <w:sz w:val="24"/>
          <w:szCs w:val="24"/>
          <w:highlight w:val="none"/>
          <w:lang w:eastAsia="zh-CN"/>
        </w:rPr>
        <w:t>。</w:t>
      </w:r>
    </w:p>
    <w:p w14:paraId="1096D76A">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lang w:val="en-US" w:eastAsia="zh-CN"/>
        </w:rPr>
        <w:t>合同签订之日起一年。</w:t>
      </w:r>
    </w:p>
    <w:p w14:paraId="11B9EF64">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本项目</w:t>
      </w:r>
      <w:r>
        <w:rPr>
          <w:rFonts w:hint="eastAsia" w:ascii="宋体" w:hAnsi="宋体" w:eastAsia="宋体" w:cs="宋体"/>
          <w:color w:val="auto"/>
          <w:sz w:val="24"/>
          <w:szCs w:val="24"/>
          <w:highlight w:val="none"/>
          <w:u w:val="single"/>
          <w:lang w:val="en-US" w:eastAsia="zh-CN"/>
        </w:rPr>
        <w:t>不</w:t>
      </w:r>
      <w:r>
        <w:rPr>
          <w:rFonts w:hint="eastAsia" w:ascii="宋体" w:hAnsi="宋体" w:eastAsia="宋体" w:cs="宋体"/>
          <w:color w:val="auto"/>
          <w:sz w:val="24"/>
          <w:szCs w:val="24"/>
          <w:highlight w:val="none"/>
          <w:u w:val="single"/>
        </w:rPr>
        <w:t>接受</w:t>
      </w:r>
      <w:r>
        <w:rPr>
          <w:rFonts w:hint="eastAsia" w:ascii="宋体" w:hAnsi="宋体" w:eastAsia="宋体" w:cs="宋体"/>
          <w:color w:val="auto"/>
          <w:sz w:val="24"/>
          <w:szCs w:val="24"/>
          <w:highlight w:val="none"/>
        </w:rPr>
        <w:t>联合体参与</w:t>
      </w:r>
      <w:r>
        <w:rPr>
          <w:rFonts w:hint="eastAsia" w:ascii="宋体"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lang w:eastAsia="zh-CN"/>
        </w:rPr>
        <w:t>。</w:t>
      </w:r>
    </w:p>
    <w:p w14:paraId="65150642">
      <w:pPr>
        <w:pStyle w:val="33"/>
        <w:keepNext/>
        <w:keepLines/>
        <w:pageBreakBefore w:val="0"/>
        <w:kinsoku/>
        <w:wordWrap/>
        <w:overflowPunct/>
        <w:topLinePunct w:val="0"/>
        <w:autoSpaceDE/>
        <w:autoSpaceDN/>
        <w:bidi w:val="0"/>
        <w:adjustRightInd/>
        <w:snapToGrid/>
        <w:spacing w:beforeAutospacing="0" w:afterAutospacing="0" w:line="440" w:lineRule="exact"/>
        <w:ind w:firstLine="498"/>
        <w:jc w:val="both"/>
        <w:textAlignment w:val="auto"/>
        <w:rPr>
          <w:rFonts w:hint="eastAsia" w:ascii="宋体" w:hAnsi="宋体" w:eastAsia="宋体" w:cs="宋体"/>
          <w:color w:val="auto"/>
          <w:sz w:val="24"/>
          <w:szCs w:val="24"/>
          <w:highlight w:val="none"/>
        </w:rPr>
      </w:pPr>
      <w:bookmarkStart w:id="12" w:name="_Toc35393622"/>
      <w:bookmarkStart w:id="13" w:name="_Toc28359080"/>
      <w:bookmarkStart w:id="14" w:name="_Toc35393791"/>
      <w:bookmarkStart w:id="15" w:name="_Toc38985264"/>
      <w:bookmarkStart w:id="16" w:name="_Toc28359003"/>
      <w:r>
        <w:rPr>
          <w:rFonts w:hint="eastAsia" w:ascii="宋体" w:hAnsi="宋体" w:eastAsia="宋体" w:cs="宋体"/>
          <w:b/>
          <w:color w:val="auto"/>
          <w:sz w:val="24"/>
          <w:szCs w:val="24"/>
          <w:highlight w:val="none"/>
        </w:rPr>
        <w:t>二、申请人的资格要求：</w:t>
      </w:r>
      <w:bookmarkEnd w:id="12"/>
      <w:bookmarkEnd w:id="13"/>
      <w:bookmarkEnd w:id="14"/>
      <w:bookmarkEnd w:id="15"/>
      <w:bookmarkEnd w:id="16"/>
    </w:p>
    <w:p w14:paraId="0F9F9C79">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1.满足《中华人民共和国政府采购法》第二十二条规定，并提供下列材料：</w:t>
      </w:r>
    </w:p>
    <w:p w14:paraId="474FB70B">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 法人或者其他组织的营业执照等证明文件，自然人的身份证明；</w:t>
      </w:r>
    </w:p>
    <w:p w14:paraId="6848B615">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1.2上一年度的财务状况报</w:t>
      </w:r>
      <w:r>
        <w:rPr>
          <w:rFonts w:hint="eastAsia" w:ascii="宋体" w:hAnsi="宋体" w:eastAsia="宋体" w:cs="宋体"/>
          <w:color w:val="auto"/>
          <w:sz w:val="24"/>
          <w:szCs w:val="24"/>
          <w:highlight w:val="none"/>
          <w:lang w:val="en-US" w:eastAsia="zh-CN"/>
        </w:rPr>
        <w:t>告</w:t>
      </w:r>
      <w:r>
        <w:rPr>
          <w:rFonts w:hint="eastAsia" w:ascii="宋体" w:hAnsi="宋体" w:eastAsia="宋体" w:cs="宋体"/>
          <w:color w:val="auto"/>
          <w:sz w:val="24"/>
          <w:szCs w:val="24"/>
          <w:highlight w:val="none"/>
        </w:rPr>
        <w:t>（至少提供资产负债表、利润表、现金流量表，供应商成立不满一年无需提供）；</w:t>
      </w:r>
    </w:p>
    <w:p w14:paraId="3C0E7DE9">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1.3</w:t>
      </w:r>
      <w:r>
        <w:rPr>
          <w:rFonts w:hint="eastAsia" w:ascii="宋体" w:hAnsi="宋体" w:eastAsia="宋体" w:cs="宋体"/>
          <w:color w:val="auto"/>
          <w:sz w:val="24"/>
          <w:szCs w:val="24"/>
          <w:highlight w:val="none"/>
        </w:rPr>
        <w:t>具备履行合同所必需的设备和专业技术能力的书面声明；</w:t>
      </w:r>
    </w:p>
    <w:p w14:paraId="2B75F447">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08BB73D0">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.5参加政府采购活动前3年内在经营活动中没有重大违法记录的书面声明。</w:t>
      </w:r>
    </w:p>
    <w:p w14:paraId="4C00EF2B">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1.6法律、行政法规规定的其他条件。</w:t>
      </w:r>
    </w:p>
    <w:p w14:paraId="488D673D">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1.7</w:t>
      </w:r>
      <w:r>
        <w:rPr>
          <w:rFonts w:hint="eastAsia" w:ascii="宋体" w:hAnsi="宋体" w:eastAsia="宋体" w:cs="宋体"/>
          <w:color w:val="auto"/>
          <w:sz w:val="24"/>
          <w:szCs w:val="24"/>
          <w:highlight w:val="none"/>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43F5CE88">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1.8</w:t>
      </w:r>
      <w:r>
        <w:rPr>
          <w:rFonts w:hint="eastAsia" w:ascii="宋体" w:hAnsi="宋体" w:eastAsia="宋体" w:cs="宋体"/>
          <w:color w:val="auto"/>
          <w:sz w:val="24"/>
          <w:szCs w:val="24"/>
          <w:highlight w:val="none"/>
        </w:rPr>
        <w:t>单位负责人为同一人或者存在直接控股、管理关系的不同供应商，不得参加同一合同项下的政府采购活动。</w:t>
      </w:r>
    </w:p>
    <w:p w14:paraId="5EBDDDDB">
      <w:pPr>
        <w:pStyle w:val="33"/>
        <w:pageBreakBefore w:val="0"/>
        <w:kinsoku/>
        <w:wordWrap/>
        <w:overflowPunct/>
        <w:topLinePunct w:val="0"/>
        <w:autoSpaceDE/>
        <w:autoSpaceDN/>
        <w:bidi w:val="0"/>
        <w:adjustRightInd/>
        <w:snapToGrid/>
        <w:spacing w:beforeAutospacing="0" w:afterAutospacing="0" w:line="440" w:lineRule="exact"/>
        <w:ind w:firstLine="48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val="en-US" w:eastAsia="zh-CN"/>
        </w:rPr>
        <w:t>本项目落实小微型企业、残疾人福利性单位及监狱企业扶持等相关政府采购政策。对符合(财库[2020]46号)规定的小微企业报价给予20%的价格扣除，用扣除后的价格参与评审。参加政府采购活动的小微企业如实提供《中小企业声明函》</w:t>
      </w:r>
      <w:r>
        <w:rPr>
          <w:rFonts w:hint="eastAsia" w:ascii="宋体" w:hAnsi="宋体" w:eastAsia="宋体" w:cs="宋体"/>
          <w:color w:val="auto"/>
          <w:sz w:val="24"/>
          <w:szCs w:val="24"/>
          <w:highlight w:val="none"/>
          <w:lang w:eastAsia="zh-CN"/>
        </w:rPr>
        <w:t>。</w:t>
      </w:r>
      <w:bookmarkStart w:id="204" w:name="_GoBack"/>
      <w:bookmarkEnd w:id="204"/>
    </w:p>
    <w:p w14:paraId="6F6CB8E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right="0"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本项目的特定资格要求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具备省公安部门颁发的《保安服务许可证》</w:t>
      </w:r>
      <w:r>
        <w:rPr>
          <w:rFonts w:hint="eastAsia" w:ascii="宋体" w:hAnsi="宋体" w:eastAsia="宋体" w:cs="宋体"/>
          <w:color w:val="auto"/>
          <w:sz w:val="24"/>
          <w:szCs w:val="24"/>
          <w:highlight w:val="none"/>
          <w:lang w:val="en-US" w:eastAsia="zh-CN"/>
        </w:rPr>
        <w:t>。</w:t>
      </w:r>
    </w:p>
    <w:p w14:paraId="3861830E">
      <w:pPr>
        <w:pStyle w:val="33"/>
        <w:keepNext/>
        <w:keepLines/>
        <w:pageBreakBefore w:val="0"/>
        <w:kinsoku/>
        <w:wordWrap/>
        <w:overflowPunct/>
        <w:topLinePunct w:val="0"/>
        <w:autoSpaceDE/>
        <w:autoSpaceDN/>
        <w:bidi w:val="0"/>
        <w:adjustRightInd/>
        <w:snapToGrid/>
        <w:spacing w:beforeAutospacing="0" w:afterAutospacing="0" w:line="44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三、获取招标文件</w:t>
      </w:r>
    </w:p>
    <w:p w14:paraId="3FF92F56">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bookmarkStart w:id="17" w:name="_Toc28359082"/>
      <w:bookmarkStart w:id="18" w:name="_Toc35393793"/>
      <w:bookmarkStart w:id="19" w:name="_Toc28359005"/>
      <w:bookmarkStart w:id="20" w:name="_Toc38985266"/>
      <w:bookmarkStart w:id="21" w:name="_Toc35393624"/>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lang w:val="en-US" w:eastAsia="zh-CN" w:bidi="ar-SA"/>
        </w:rPr>
        <w:t>：</w:t>
      </w:r>
      <w:bookmarkEnd w:id="17"/>
      <w:bookmarkEnd w:id="18"/>
      <w:bookmarkEnd w:id="19"/>
      <w:bookmarkEnd w:id="20"/>
      <w:bookmarkEnd w:id="21"/>
      <w:r>
        <w:rPr>
          <w:rFonts w:hint="eastAsia" w:ascii="宋体" w:hAnsi="宋体" w:eastAsia="宋体" w:cs="宋体"/>
          <w:color w:val="auto"/>
          <w:sz w:val="24"/>
          <w:szCs w:val="24"/>
          <w:highlight w:val="none"/>
          <w:lang w:val="en-US" w:eastAsia="zh-CN" w:bidi="ar-SA"/>
        </w:rPr>
        <w:t>自招标文件公告发布之日起5个工作日。</w:t>
      </w:r>
    </w:p>
    <w:p w14:paraId="05CA50E9">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2.地点：“苏采云”系统内免费下载（投标人必须在苏采云系统中获取采购文件，方能参与政府采购项目）；</w:t>
      </w:r>
    </w:p>
    <w:p w14:paraId="417914D4">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3.方式：本项目采用网上注册登记方式。 </w:t>
      </w:r>
    </w:p>
    <w:p w14:paraId="72550223">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4.售价：0元</w:t>
      </w:r>
    </w:p>
    <w:p w14:paraId="6B3A1009">
      <w:pPr>
        <w:pStyle w:val="33"/>
        <w:keepNext/>
        <w:keepLines/>
        <w:pageBreakBefore w:val="0"/>
        <w:kinsoku/>
        <w:wordWrap/>
        <w:overflowPunct/>
        <w:topLinePunct w:val="0"/>
        <w:autoSpaceDE/>
        <w:autoSpaceDN/>
        <w:bidi w:val="0"/>
        <w:adjustRightInd/>
        <w:snapToGrid/>
        <w:spacing w:beforeAutospacing="0" w:afterAutospacing="0" w:line="44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444ECC23">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bidi="ar-SA"/>
        </w:rPr>
        <w:t>时间：2026年8月3日09点00分00秒（北京时间）</w:t>
      </w:r>
    </w:p>
    <w:p w14:paraId="6E874A6D">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2.地点：苏采云“不见面”开标大厅。</w:t>
      </w:r>
    </w:p>
    <w:p w14:paraId="0F4A970F">
      <w:pPr>
        <w:pStyle w:val="33"/>
        <w:keepNext/>
        <w:keepLines/>
        <w:pageBreakBefore w:val="0"/>
        <w:kinsoku/>
        <w:wordWrap/>
        <w:overflowPunct/>
        <w:topLinePunct w:val="0"/>
        <w:autoSpaceDE/>
        <w:autoSpaceDN/>
        <w:bidi w:val="0"/>
        <w:adjustRightInd/>
        <w:snapToGrid/>
        <w:spacing w:beforeAutospacing="0" w:afterAutospacing="0" w:line="440" w:lineRule="exact"/>
        <w:ind w:firstLine="498"/>
        <w:jc w:val="both"/>
        <w:textAlignment w:val="auto"/>
        <w:rPr>
          <w:rFonts w:hint="eastAsia" w:ascii="宋体" w:hAnsi="宋体" w:eastAsia="宋体" w:cs="宋体"/>
          <w:color w:val="auto"/>
          <w:sz w:val="24"/>
          <w:szCs w:val="24"/>
          <w:highlight w:val="none"/>
        </w:rPr>
      </w:pPr>
      <w:bookmarkStart w:id="22" w:name="_Toc38985267"/>
      <w:bookmarkStart w:id="23" w:name="_Toc35393794"/>
      <w:bookmarkStart w:id="24" w:name="_Toc28359084"/>
      <w:bookmarkStart w:id="25" w:name="_Toc28359007"/>
      <w:bookmarkStart w:id="26" w:name="_Toc35393625"/>
      <w:r>
        <w:rPr>
          <w:rFonts w:hint="eastAsia" w:ascii="宋体" w:hAnsi="宋体" w:eastAsia="宋体" w:cs="宋体"/>
          <w:b/>
          <w:color w:val="auto"/>
          <w:sz w:val="24"/>
          <w:szCs w:val="24"/>
          <w:highlight w:val="none"/>
        </w:rPr>
        <w:t>五、公告期限</w:t>
      </w:r>
      <w:bookmarkEnd w:id="22"/>
      <w:bookmarkEnd w:id="23"/>
      <w:bookmarkEnd w:id="24"/>
      <w:bookmarkEnd w:id="25"/>
      <w:bookmarkEnd w:id="26"/>
    </w:p>
    <w:p w14:paraId="232484D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27" w:name="_Toc38985268"/>
      <w:bookmarkStart w:id="28" w:name="_Toc35393795"/>
      <w:bookmarkStart w:id="29" w:name="_Toc35393626"/>
      <w:r>
        <w:rPr>
          <w:rFonts w:hint="eastAsia" w:ascii="宋体" w:hAnsi="宋体" w:eastAsia="宋体" w:cs="宋体"/>
          <w:i w:val="0"/>
          <w:iCs w:val="0"/>
          <w:caps w:val="0"/>
          <w:color w:val="auto"/>
          <w:spacing w:val="0"/>
          <w:sz w:val="24"/>
          <w:szCs w:val="24"/>
          <w:highlight w:val="none"/>
          <w:shd w:val="clear" w:color="auto" w:fill="FFFFFF"/>
          <w:lang w:val="en-US" w:eastAsia="zh-CN"/>
        </w:rPr>
        <w:t>自本公告发布之日起5个工作日。</w:t>
      </w:r>
      <w:bookmarkEnd w:id="27"/>
      <w:bookmarkEnd w:id="28"/>
      <w:bookmarkEnd w:id="29"/>
    </w:p>
    <w:p w14:paraId="4BE2F0F9">
      <w:pPr>
        <w:pStyle w:val="33"/>
        <w:keepNext/>
        <w:keepLines/>
        <w:pageBreakBefore w:val="0"/>
        <w:kinsoku/>
        <w:wordWrap/>
        <w:overflowPunct/>
        <w:topLinePunct w:val="0"/>
        <w:autoSpaceDE/>
        <w:autoSpaceDN/>
        <w:bidi w:val="0"/>
        <w:adjustRightInd/>
        <w:snapToGrid/>
        <w:spacing w:beforeAutospacing="0" w:afterAutospacing="0" w:line="440" w:lineRule="exact"/>
        <w:ind w:firstLine="498"/>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六、其他补充事宜</w:t>
      </w:r>
    </w:p>
    <w:p w14:paraId="5DE206F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bookmarkStart w:id="30" w:name="_Toc28359018"/>
      <w:r>
        <w:rPr>
          <w:rFonts w:hint="eastAsia" w:ascii="宋体" w:hAnsi="宋体" w:eastAsia="宋体" w:cs="宋体"/>
          <w:i w:val="0"/>
          <w:iCs w:val="0"/>
          <w:caps w:val="0"/>
          <w:color w:val="333333"/>
          <w:spacing w:val="0"/>
          <w:sz w:val="24"/>
          <w:szCs w:val="24"/>
          <w:highlight w:val="none"/>
          <w:shd w:val="clear" w:fill="FFFFFF"/>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rPr>
          <w:rFonts w:hint="eastAsia" w:ascii="宋体" w:hAnsi="宋体" w:eastAsia="宋体" w:cs="宋体"/>
          <w:i w:val="0"/>
          <w:iCs w:val="0"/>
          <w:caps w:val="0"/>
          <w:color w:val="auto"/>
          <w:spacing w:val="0"/>
          <w:sz w:val="24"/>
          <w:szCs w:val="24"/>
          <w:highlight w:val="none"/>
          <w:shd w:val="clear" w:color="auto" w:fill="FFFFFF"/>
          <w:lang w:val="en-US" w:eastAsia="zh-CN"/>
        </w:rPr>
        <w:t>。</w:t>
      </w:r>
    </w:p>
    <w:p w14:paraId="093E042C">
      <w:pPr>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440" w:lineRule="exact"/>
        <w:ind w:left="0" w:right="0" w:firstLine="560"/>
        <w:jc w:val="both"/>
        <w:textAlignment w:val="auto"/>
        <w:rPr>
          <w:rFonts w:hint="eastAsia" w:ascii="宋体" w:hAnsi="宋体" w:eastAsia="宋体" w:cs="宋体"/>
          <w:i w:val="0"/>
          <w:iCs w:val="0"/>
          <w:caps w:val="0"/>
          <w:color w:val="333333"/>
          <w:spacing w:val="0"/>
          <w:kern w:val="0"/>
          <w:sz w:val="24"/>
          <w:szCs w:val="24"/>
          <w:highlight w:val="none"/>
          <w:shd w:val="clear" w:fill="FFFFFF"/>
          <w:lang w:val="en-US" w:eastAsia="zh-CN" w:bidi="ar-SA"/>
        </w:rPr>
      </w:pPr>
      <w:r>
        <w:rPr>
          <w:rFonts w:hint="eastAsia" w:ascii="宋体" w:hAnsi="宋体" w:eastAsia="宋体" w:cs="宋体"/>
          <w:i w:val="0"/>
          <w:iCs w:val="0"/>
          <w:caps w:val="0"/>
          <w:color w:val="333333"/>
          <w:spacing w:val="0"/>
          <w:kern w:val="0"/>
          <w:sz w:val="24"/>
          <w:szCs w:val="24"/>
          <w:highlight w:val="none"/>
          <w:shd w:val="clear" w:fill="FFFFFF"/>
          <w:lang w:val="en-US" w:eastAsia="zh-CN" w:bidi="ar-SA"/>
        </w:rPr>
        <w:t>领取CA和办理电子签章（请至亭湖区政务服务中心二楼226窗口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p>
    <w:p w14:paraId="28F63D8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 潜在供应商访问电子招标响应交易平台的网络地址和方法： </w:t>
      </w:r>
    </w:p>
    <w:p w14:paraId="32A21B87">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p>
    <w:p w14:paraId="26A0387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2.2 潜在投标人访问“苏采云”系统方法：江苏省政府采购网首页-“苏采云”链接。 </w:t>
      </w:r>
    </w:p>
    <w:p w14:paraId="5B5DA34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2.3 采购文件（后缀名为“.kedt”）、供应商操作手册及政府采购客户端 工具可通过“苏采云”系统相应链接进行下载。 </w:t>
      </w:r>
    </w:p>
    <w:p w14:paraId="49157009">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2.4 采购代理机构将数据电文形式的采购文件加载至“苏采云”系统，供潜在供应商下载或者查阅。 </w:t>
      </w:r>
    </w:p>
    <w:p w14:paraId="721EE1E1">
      <w:pPr>
        <w:keepNext w:val="0"/>
        <w:keepLines w:val="0"/>
        <w:pageBreakBefore w:val="0"/>
        <w:widowControl/>
        <w:suppressLineNumbers w:val="0"/>
        <w:kinsoku/>
        <w:wordWrap/>
        <w:overflowPunct/>
        <w:topLinePunct w:val="0"/>
        <w:autoSpaceDE/>
        <w:autoSpaceDN/>
        <w:bidi w:val="0"/>
        <w:adjustRightInd/>
        <w:snapToGrid/>
        <w:spacing w:line="440" w:lineRule="exact"/>
        <w:ind w:firstLine="480" w:firstLineChars="200"/>
        <w:jc w:val="left"/>
        <w:textAlignment w:val="auto"/>
        <w:rPr>
          <w:rFonts w:hint="eastAsia" w:ascii="宋体" w:hAnsi="宋体" w:eastAsia="宋体" w:cs="宋体"/>
          <w:color w:val="000000"/>
          <w:kern w:val="0"/>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 xml:space="preserve">2.5 请潜在投标单位提前安装相应的控件（详见《“苏采云”系统供应商操作手册》）并使用谷歌浏览器登录“苏采云”系统参与不见面开评标。 </w:t>
      </w:r>
    </w:p>
    <w:p w14:paraId="13276DA1">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000000"/>
          <w:kern w:val="0"/>
          <w:sz w:val="24"/>
          <w:szCs w:val="24"/>
          <w:highlight w:val="none"/>
          <w:lang w:val="en-US" w:eastAsia="zh-CN" w:bidi="ar-SA"/>
        </w:rPr>
        <w:t>如潜在投标人未按上述要求操作，将自行承担所产生的风险</w:t>
      </w:r>
      <w:r>
        <w:rPr>
          <w:rFonts w:hint="eastAsia" w:ascii="宋体" w:hAnsi="宋体" w:eastAsia="宋体" w:cs="宋体"/>
          <w:color w:val="auto"/>
          <w:sz w:val="24"/>
          <w:szCs w:val="24"/>
          <w:highlight w:val="none"/>
          <w:lang w:val="en-US" w:eastAsia="zh-CN" w:bidi="ar-SA"/>
        </w:rPr>
        <w:t>。</w:t>
      </w:r>
    </w:p>
    <w:p w14:paraId="0B3CCF6B">
      <w:pPr>
        <w:keepNext w:val="0"/>
        <w:keepLines w:val="0"/>
        <w:pageBreakBefore w:val="0"/>
        <w:widowControl/>
        <w:suppressLineNumbers w:val="0"/>
        <w:kinsoku/>
        <w:wordWrap/>
        <w:overflowPunct/>
        <w:topLinePunct w:val="0"/>
        <w:autoSpaceDE/>
        <w:autoSpaceDN/>
        <w:bidi w:val="0"/>
        <w:adjustRightInd/>
        <w:snapToGrid/>
        <w:spacing w:line="44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3.有关本次招标的事项若存在变动或修改，敬请及时关注采购人在“中国政府采购网”“江苏政府采购网”“盐城市政府采购网”发布的更正公告。</w:t>
      </w:r>
    </w:p>
    <w:p w14:paraId="3D256668">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i w:val="0"/>
          <w:iCs w:val="0"/>
          <w:caps w:val="0"/>
          <w:color w:val="auto"/>
          <w:spacing w:val="0"/>
          <w:sz w:val="24"/>
          <w:szCs w:val="24"/>
          <w:highlight w:val="none"/>
          <w:shd w:val="clear" w:color="auto" w:fill="FFFFFF"/>
          <w:lang w:val="en-US" w:eastAsia="zh-CN"/>
        </w:rPr>
        <w:t>4.本次招标不收取投标保证金，不收取质量保证金。</w:t>
      </w:r>
    </w:p>
    <w:p w14:paraId="33963CD2">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440" w:lineRule="exact"/>
        <w:ind w:left="0" w:right="0" w:firstLine="480"/>
        <w:jc w:val="both"/>
        <w:textAlignment w:val="auto"/>
        <w:rPr>
          <w:rFonts w:hint="eastAsia" w:ascii="宋体" w:hAnsi="宋体" w:eastAsia="宋体" w:cs="宋体"/>
          <w:b w:val="0"/>
          <w:bCs w:val="0"/>
          <w:i w:val="0"/>
          <w:iCs w:val="0"/>
          <w:caps w:val="0"/>
          <w:color w:val="auto"/>
          <w:spacing w:val="0"/>
          <w:sz w:val="24"/>
          <w:szCs w:val="24"/>
          <w:highlight w:val="none"/>
        </w:rPr>
      </w:pP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七</w:t>
      </w:r>
      <w:r>
        <w:rPr>
          <w:rFonts w:hint="eastAsia" w:ascii="宋体" w:hAnsi="宋体" w:eastAsia="宋体" w:cs="宋体"/>
          <w:b w:val="0"/>
          <w:bCs w:val="0"/>
          <w:i w:val="0"/>
          <w:iCs w:val="0"/>
          <w:caps w:val="0"/>
          <w:color w:val="auto"/>
          <w:spacing w:val="0"/>
          <w:sz w:val="24"/>
          <w:szCs w:val="24"/>
          <w:highlight w:val="none"/>
          <w:u w:val="none"/>
          <w:shd w:val="clear" w:color="auto" w:fill="FFFFFF"/>
        </w:rPr>
        <w:t>、对本次</w:t>
      </w:r>
      <w:r>
        <w:rPr>
          <w:rFonts w:hint="eastAsia" w:ascii="宋体" w:hAnsi="宋体" w:eastAsia="宋体" w:cs="宋体"/>
          <w:b w:val="0"/>
          <w:bCs w:val="0"/>
          <w:i w:val="0"/>
          <w:iCs w:val="0"/>
          <w:caps w:val="0"/>
          <w:color w:val="auto"/>
          <w:spacing w:val="0"/>
          <w:sz w:val="24"/>
          <w:szCs w:val="24"/>
          <w:highlight w:val="none"/>
          <w:u w:val="none"/>
          <w:shd w:val="clear" w:color="auto" w:fill="FFFFFF"/>
          <w:lang w:val="en-US" w:eastAsia="zh-CN"/>
        </w:rPr>
        <w:t>招标</w:t>
      </w:r>
      <w:r>
        <w:rPr>
          <w:rFonts w:hint="eastAsia" w:ascii="宋体" w:hAnsi="宋体" w:eastAsia="宋体" w:cs="宋体"/>
          <w:b w:val="0"/>
          <w:bCs w:val="0"/>
          <w:i w:val="0"/>
          <w:iCs w:val="0"/>
          <w:caps w:val="0"/>
          <w:color w:val="auto"/>
          <w:spacing w:val="0"/>
          <w:sz w:val="24"/>
          <w:szCs w:val="24"/>
          <w:highlight w:val="none"/>
          <w:u w:val="none"/>
          <w:shd w:val="clear" w:color="auto" w:fill="FFFFFF"/>
        </w:rPr>
        <w:t>提出询问，请按以下方式联系。</w:t>
      </w:r>
      <w:bookmarkEnd w:id="30"/>
    </w:p>
    <w:p w14:paraId="5B23BF4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bookmarkStart w:id="31" w:name="_Toc28359009"/>
      <w:r>
        <w:rPr>
          <w:rFonts w:hint="eastAsia" w:ascii="宋体" w:hAnsi="宋体" w:eastAsia="宋体" w:cs="宋体"/>
          <w:color w:val="auto"/>
          <w:sz w:val="24"/>
          <w:szCs w:val="24"/>
          <w:highlight w:val="none"/>
        </w:rPr>
        <w:t>1.采购人信息</w:t>
      </w:r>
    </w:p>
    <w:p w14:paraId="7BB8B092">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滨海县滨淮镇人民政府</w:t>
      </w:r>
      <w:r>
        <w:rPr>
          <w:rFonts w:hint="eastAsia" w:ascii="宋体" w:hAnsi="宋体" w:eastAsia="宋体" w:cs="宋体"/>
          <w:color w:val="auto"/>
          <w:sz w:val="24"/>
          <w:szCs w:val="24"/>
          <w:highlight w:val="none"/>
        </w:rPr>
        <w:t xml:space="preserve">  </w:t>
      </w:r>
    </w:p>
    <w:p w14:paraId="3DF5499B">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址：</w:t>
      </w:r>
      <w:r>
        <w:rPr>
          <w:rFonts w:hint="eastAsia" w:ascii="宋体" w:hAnsi="宋体" w:eastAsia="宋体" w:cs="宋体"/>
          <w:color w:val="auto"/>
          <w:sz w:val="24"/>
          <w:szCs w:val="24"/>
          <w:highlight w:val="none"/>
          <w:lang w:val="en-US" w:eastAsia="zh-CN"/>
        </w:rPr>
        <w:t xml:space="preserve">滨海县滨淮镇新岭街 </w:t>
      </w:r>
      <w:r>
        <w:rPr>
          <w:rFonts w:hint="eastAsia" w:ascii="宋体" w:hAnsi="宋体" w:eastAsia="宋体" w:cs="宋体"/>
          <w:color w:val="auto"/>
          <w:sz w:val="24"/>
          <w:szCs w:val="24"/>
          <w:highlight w:val="none"/>
        </w:rPr>
        <w:t xml:space="preserve">  </w:t>
      </w:r>
    </w:p>
    <w:p w14:paraId="68DBD3CF">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张</w:t>
      </w:r>
      <w:r>
        <w:rPr>
          <w:rFonts w:hint="eastAsia" w:ascii="宋体" w:hAnsi="宋体" w:eastAsia="宋体" w:cs="宋体"/>
          <w:color w:val="auto"/>
          <w:sz w:val="24"/>
          <w:szCs w:val="24"/>
          <w:highlight w:val="none"/>
        </w:rPr>
        <w:t xml:space="preserve">先生              </w:t>
      </w:r>
    </w:p>
    <w:p w14:paraId="29CE80B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13815516630</w:t>
      </w:r>
      <w:r>
        <w:rPr>
          <w:rFonts w:hint="eastAsia" w:ascii="宋体" w:hAnsi="宋体" w:eastAsia="宋体" w:cs="宋体"/>
          <w:color w:val="auto"/>
          <w:sz w:val="24"/>
          <w:szCs w:val="24"/>
          <w:highlight w:val="none"/>
        </w:rPr>
        <w:t xml:space="preserve">           </w:t>
      </w:r>
    </w:p>
    <w:p w14:paraId="4244DFE9">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14:paraId="7328333A">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 称：</w:t>
      </w:r>
      <w:r>
        <w:rPr>
          <w:rFonts w:hint="eastAsia" w:ascii="宋体" w:hAnsi="宋体" w:eastAsia="宋体" w:cs="宋体"/>
          <w:color w:val="auto"/>
          <w:sz w:val="24"/>
          <w:szCs w:val="24"/>
          <w:highlight w:val="none"/>
          <w:lang w:eastAsia="zh-CN"/>
        </w:rPr>
        <w:t xml:space="preserve">盐城市鲸咚项目管理有限公司 </w:t>
      </w:r>
    </w:p>
    <w:p w14:paraId="50C2109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 址：</w:t>
      </w:r>
      <w:r>
        <w:rPr>
          <w:rFonts w:hint="eastAsia" w:ascii="宋体" w:hAnsi="宋体" w:eastAsia="宋体" w:cs="宋体"/>
          <w:color w:val="auto"/>
          <w:sz w:val="24"/>
          <w:szCs w:val="24"/>
          <w:lang w:eastAsia="zh-CN"/>
        </w:rPr>
        <w:t>滨海县坎北街道大学生创业园C东103-2</w:t>
      </w:r>
    </w:p>
    <w:p w14:paraId="6567CD8C">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val="en-US" w:eastAsia="zh-CN"/>
        </w:rPr>
        <w:t>刘女士</w:t>
      </w:r>
      <w:r>
        <w:rPr>
          <w:rFonts w:hint="eastAsia" w:ascii="宋体" w:hAnsi="宋体" w:eastAsia="宋体" w:cs="宋体"/>
          <w:color w:val="auto"/>
          <w:sz w:val="24"/>
          <w:szCs w:val="24"/>
          <w:highlight w:val="none"/>
        </w:rPr>
        <w:t xml:space="preserve">                     </w:t>
      </w:r>
    </w:p>
    <w:p w14:paraId="481414B3">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19962308462</w:t>
      </w:r>
      <w:r>
        <w:rPr>
          <w:rFonts w:hint="eastAsia" w:ascii="宋体" w:hAnsi="宋体" w:eastAsia="宋体" w:cs="宋体"/>
          <w:color w:val="auto"/>
          <w:sz w:val="24"/>
          <w:szCs w:val="24"/>
          <w:highlight w:val="none"/>
        </w:rPr>
        <w:t xml:space="preserve">                      </w:t>
      </w:r>
    </w:p>
    <w:p w14:paraId="482B9D9E">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p>
    <w:p w14:paraId="3E83C1D0">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val="en-US" w:eastAsia="zh-CN"/>
        </w:rPr>
        <w:t>刘女士</w:t>
      </w:r>
    </w:p>
    <w:p w14:paraId="6DAD0F31">
      <w:pPr>
        <w:pStyle w:val="3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Autospacing="0" w:afterAutospacing="0" w:line="440" w:lineRule="exact"/>
        <w:ind w:left="0" w:right="0" w:firstLine="560"/>
        <w:jc w:val="both"/>
        <w:textAlignment w:val="auto"/>
        <w:rPr>
          <w:rFonts w:hint="eastAsia" w:ascii="宋体" w:hAnsi="宋体" w:eastAsia="宋体" w:cs="宋体"/>
          <w:i w:val="0"/>
          <w:iCs w:val="0"/>
          <w:caps w:val="0"/>
          <w:color w:val="auto"/>
          <w:spacing w:val="0"/>
          <w:sz w:val="24"/>
          <w:szCs w:val="24"/>
          <w:highlight w:val="none"/>
          <w:shd w:val="clear" w:color="auto" w:fill="FFFFFF"/>
          <w:lang w:val="en-US" w:eastAsia="zh-CN"/>
        </w:rPr>
      </w:pPr>
      <w:r>
        <w:rPr>
          <w:rFonts w:hint="eastAsia" w:ascii="宋体" w:hAnsi="宋体" w:eastAsia="宋体" w:cs="宋体"/>
          <w:color w:val="auto"/>
          <w:sz w:val="24"/>
          <w:szCs w:val="24"/>
          <w:highlight w:val="none"/>
        </w:rPr>
        <w:t>联系电话：</w:t>
      </w:r>
      <w:r>
        <w:rPr>
          <w:rFonts w:hint="eastAsia" w:ascii="宋体" w:hAnsi="宋体" w:eastAsia="宋体" w:cs="宋体"/>
          <w:color w:val="auto"/>
          <w:sz w:val="24"/>
          <w:szCs w:val="24"/>
          <w:highlight w:val="none"/>
          <w:lang w:val="en-US" w:eastAsia="zh-CN"/>
        </w:rPr>
        <w:t>19962308462</w:t>
      </w:r>
      <w:r>
        <w:rPr>
          <w:rFonts w:hint="eastAsia" w:ascii="宋体" w:hAnsi="宋体" w:eastAsia="宋体" w:cs="宋体"/>
          <w:color w:val="auto"/>
          <w:sz w:val="24"/>
          <w:szCs w:val="24"/>
          <w:highlight w:val="none"/>
        </w:rPr>
        <w:t> </w:t>
      </w:r>
      <w:r>
        <w:rPr>
          <w:rFonts w:hint="eastAsia" w:ascii="宋体" w:hAnsi="宋体" w:eastAsia="宋体" w:cs="宋体"/>
          <w:i w:val="0"/>
          <w:iCs w:val="0"/>
          <w:caps w:val="0"/>
          <w:color w:val="auto"/>
          <w:spacing w:val="0"/>
          <w:sz w:val="24"/>
          <w:szCs w:val="24"/>
          <w:highlight w:val="none"/>
          <w:shd w:val="clear" w:color="auto" w:fill="FFFFFF"/>
          <w:lang w:val="en-US" w:eastAsia="zh-CN"/>
        </w:rPr>
        <w:t>　　　　　　　</w:t>
      </w:r>
    </w:p>
    <w:p w14:paraId="246A7063">
      <w:pPr>
        <w:pageBreakBefore w:val="0"/>
        <w:spacing w:line="500" w:lineRule="exact"/>
        <w:jc w:val="center"/>
        <w:rPr>
          <w:rFonts w:hint="eastAsia" w:ascii="宋体" w:hAnsi="宋体" w:eastAsia="宋体" w:cs="宋体"/>
          <w:color w:val="auto"/>
          <w:highlight w:val="none"/>
        </w:rPr>
      </w:pPr>
      <w:bookmarkStart w:id="32" w:name="_Toc120614211"/>
      <w:r>
        <w:rPr>
          <w:rFonts w:hint="eastAsia" w:ascii="宋体" w:hAnsi="宋体" w:eastAsia="宋体" w:cs="宋体"/>
          <w:b/>
          <w:color w:val="auto"/>
          <w:sz w:val="44"/>
          <w:szCs w:val="44"/>
          <w:highlight w:val="none"/>
        </w:rPr>
        <w:t xml:space="preserve">第二章  </w:t>
      </w:r>
      <w:bookmarkEnd w:id="32"/>
      <w:bookmarkStart w:id="33" w:name="_Toc513029202"/>
      <w:bookmarkStart w:id="34" w:name="_Toc120614213"/>
      <w:bookmarkStart w:id="35" w:name="_Toc20823274"/>
      <w:bookmarkStart w:id="36" w:name="_Toc16938518"/>
      <w:r>
        <w:rPr>
          <w:rFonts w:hint="eastAsia" w:ascii="宋体" w:hAnsi="宋体" w:eastAsia="宋体" w:cs="宋体"/>
          <w:b/>
          <w:color w:val="auto"/>
          <w:sz w:val="44"/>
          <w:szCs w:val="44"/>
          <w:highlight w:val="none"/>
        </w:rPr>
        <w:t>投标人须知</w:t>
      </w:r>
      <w:bookmarkEnd w:id="33"/>
      <w:bookmarkEnd w:id="34"/>
      <w:bookmarkEnd w:id="35"/>
      <w:bookmarkEnd w:id="36"/>
    </w:p>
    <w:p w14:paraId="61E26A7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98"/>
        <w:jc w:val="both"/>
        <w:textAlignment w:val="auto"/>
        <w:rPr>
          <w:rFonts w:hint="eastAsia" w:ascii="宋体" w:hAnsi="宋体" w:eastAsia="宋体" w:cs="宋体"/>
          <w:color w:val="auto"/>
          <w:sz w:val="24"/>
          <w:szCs w:val="24"/>
          <w:highlight w:val="none"/>
        </w:rPr>
      </w:pPr>
      <w:bookmarkStart w:id="37" w:name="_Toc513029203"/>
      <w:bookmarkStart w:id="38" w:name="_Toc20823275"/>
      <w:bookmarkStart w:id="39" w:name="_Toc120614214"/>
      <w:bookmarkStart w:id="40" w:name="_Toc16938519"/>
      <w:r>
        <w:rPr>
          <w:rFonts w:hint="eastAsia" w:ascii="宋体" w:hAnsi="宋体" w:eastAsia="宋体" w:cs="宋体"/>
          <w:b/>
          <w:color w:val="auto"/>
          <w:sz w:val="24"/>
          <w:szCs w:val="24"/>
          <w:highlight w:val="none"/>
        </w:rPr>
        <w:t>一、总则</w:t>
      </w:r>
      <w:bookmarkEnd w:id="37"/>
      <w:bookmarkEnd w:id="38"/>
      <w:bookmarkEnd w:id="39"/>
      <w:bookmarkEnd w:id="40"/>
    </w:p>
    <w:p w14:paraId="09A19F5E">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41" w:name="_Toc16938520"/>
      <w:bookmarkStart w:id="42" w:name="_Toc513029204"/>
      <w:bookmarkStart w:id="43" w:name="_Toc20823276"/>
      <w:bookmarkStart w:id="44" w:name="_Toc458694821"/>
      <w:bookmarkStart w:id="45" w:name="_Hlt16619475"/>
      <w:r>
        <w:rPr>
          <w:rFonts w:hint="eastAsia" w:ascii="宋体" w:hAnsi="宋体" w:eastAsia="宋体" w:cs="宋体"/>
          <w:color w:val="auto"/>
          <w:sz w:val="24"/>
          <w:szCs w:val="24"/>
          <w:highlight w:val="none"/>
        </w:rPr>
        <w:t>1</w:t>
      </w:r>
      <w:bookmarkEnd w:id="41"/>
      <w:r>
        <w:rPr>
          <w:rFonts w:hint="eastAsia" w:ascii="宋体" w:hAnsi="宋体" w:eastAsia="宋体" w:cs="宋体"/>
          <w:color w:val="auto"/>
          <w:sz w:val="24"/>
          <w:szCs w:val="24"/>
          <w:highlight w:val="none"/>
        </w:rPr>
        <w:t>、招标方式</w:t>
      </w:r>
      <w:bookmarkEnd w:id="42"/>
      <w:bookmarkEnd w:id="43"/>
      <w:bookmarkEnd w:id="44"/>
    </w:p>
    <w:p w14:paraId="12F9EDF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1.1本次招标采取公开招标方式，本招标文件仅适用于招标公告中所述项目。</w:t>
      </w:r>
    </w:p>
    <w:p w14:paraId="10ED8223">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46" w:name="_Toc20823277"/>
      <w:bookmarkStart w:id="47" w:name="_Toc16938521"/>
      <w:bookmarkStart w:id="48" w:name="_Toc513029205"/>
      <w:r>
        <w:rPr>
          <w:rFonts w:hint="eastAsia" w:ascii="宋体" w:hAnsi="宋体" w:eastAsia="宋体" w:cs="宋体"/>
          <w:color w:val="auto"/>
          <w:sz w:val="24"/>
          <w:szCs w:val="24"/>
          <w:highlight w:val="none"/>
        </w:rPr>
        <w:t>2、合格的投标人</w:t>
      </w:r>
      <w:bookmarkEnd w:id="46"/>
      <w:bookmarkEnd w:id="47"/>
      <w:bookmarkEnd w:id="48"/>
    </w:p>
    <w:p w14:paraId="3950E39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2.1满足招标公告中供应商的资格要求的规定。</w:t>
      </w:r>
    </w:p>
    <w:p w14:paraId="7003211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2.2满足本文件实质性要求和条件的规定。</w:t>
      </w:r>
    </w:p>
    <w:p w14:paraId="098AAC10">
      <w:pPr>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1"/>
          <w:highlight w:val="none"/>
        </w:rPr>
      </w:pPr>
      <w:bookmarkStart w:id="49" w:name="_Toc20823278"/>
      <w:bookmarkStart w:id="50" w:name="_Toc513029206"/>
      <w:bookmarkStart w:id="51" w:name="_Toc16938522"/>
      <w:bookmarkStart w:id="52" w:name="_Toc513029207"/>
      <w:bookmarkStart w:id="53" w:name="_Toc16938523"/>
      <w:bookmarkStart w:id="54" w:name="_Toc20823279"/>
      <w:bookmarkStart w:id="55" w:name="_Toc462564067"/>
      <w:r>
        <w:rPr>
          <w:rFonts w:hint="eastAsia" w:ascii="宋体" w:hAnsi="宋体" w:eastAsia="宋体" w:cs="宋体"/>
          <w:color w:val="auto"/>
          <w:sz w:val="24"/>
          <w:szCs w:val="21"/>
          <w:highlight w:val="none"/>
        </w:rPr>
        <w:t>3、适用法律</w:t>
      </w:r>
      <w:bookmarkEnd w:id="49"/>
      <w:bookmarkEnd w:id="50"/>
      <w:bookmarkEnd w:id="51"/>
      <w:r>
        <w:rPr>
          <w:rFonts w:hint="eastAsia" w:ascii="宋体" w:hAnsi="宋体" w:eastAsia="宋体" w:cs="宋体"/>
          <w:color w:val="auto"/>
          <w:sz w:val="24"/>
          <w:szCs w:val="21"/>
          <w:highlight w:val="none"/>
        </w:rPr>
        <w:t>和标准</w:t>
      </w:r>
    </w:p>
    <w:p w14:paraId="33A8FDCC">
      <w:pPr>
        <w:pStyle w:val="33"/>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 本次招标及由此产生的合同受中华人民共和国有关的法律法规制约和保护。</w:t>
      </w:r>
    </w:p>
    <w:p w14:paraId="04D2242A">
      <w:pPr>
        <w:pageBreakBefore w:val="0"/>
        <w:widowControl w:val="0"/>
        <w:kinsoku/>
        <w:wordWrap/>
        <w:overflowPunct/>
        <w:topLinePunct w:val="0"/>
        <w:autoSpaceDE/>
        <w:autoSpaceDN/>
        <w:bidi w:val="0"/>
        <w:adjustRightInd/>
        <w:snapToGrid/>
        <w:spacing w:line="4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rPr>
        <w:t>3.2 在本项目政府采购活动过程中，如果所执行的标准有更新的，按照最新标准执行。</w:t>
      </w:r>
      <w:bookmarkEnd w:id="52"/>
      <w:bookmarkEnd w:id="53"/>
      <w:bookmarkEnd w:id="54"/>
      <w:bookmarkEnd w:id="55"/>
    </w:p>
    <w:p w14:paraId="6919539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4、投标费用</w:t>
      </w:r>
    </w:p>
    <w:p w14:paraId="0B740EA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4.1 投标人应自行承担所有与参加投标有关的费用，无论投标过程中的做法和结果如何，采购人及代理机构在任何情况下均无义务和责任承担这些费用。</w:t>
      </w:r>
    </w:p>
    <w:p w14:paraId="59D793F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u w:val="none"/>
        </w:rPr>
        <w:t>4.2本次招标代理机构和采购人不收取标书工本费。</w:t>
      </w:r>
    </w:p>
    <w:p w14:paraId="1AA9952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b w:val="0"/>
          <w:bCs w:val="0"/>
          <w:color w:val="auto"/>
          <w:sz w:val="24"/>
          <w:szCs w:val="24"/>
          <w:highlight w:val="none"/>
          <w:u w:val="none"/>
        </w:rPr>
      </w:pPr>
      <w:r>
        <w:rPr>
          <w:rFonts w:hint="eastAsia" w:ascii="宋体" w:hAnsi="宋体" w:eastAsia="宋体" w:cs="宋体"/>
          <w:b w:val="0"/>
          <w:bCs w:val="0"/>
          <w:color w:val="auto"/>
          <w:sz w:val="24"/>
          <w:szCs w:val="24"/>
          <w:highlight w:val="none"/>
          <w:u w:val="none"/>
        </w:rPr>
        <w:t>4.3</w:t>
      </w:r>
      <w:r>
        <w:rPr>
          <w:rFonts w:hint="eastAsia" w:ascii="宋体" w:hAnsi="宋体" w:eastAsia="宋体" w:cs="宋体"/>
          <w:b w:val="0"/>
          <w:bCs w:val="0"/>
          <w:color w:val="auto"/>
          <w:sz w:val="24"/>
          <w:szCs w:val="24"/>
          <w:highlight w:val="none"/>
          <w:lang w:val="en-US" w:eastAsia="zh-CN"/>
        </w:rPr>
        <w:t>本次招标代理服务费：</w:t>
      </w:r>
      <w:r>
        <w:rPr>
          <w:rFonts w:hint="eastAsia" w:ascii="宋体" w:hAnsi="宋体" w:eastAsia="宋体" w:cs="宋体"/>
          <w:b w:val="0"/>
          <w:bCs w:val="0"/>
          <w:color w:val="auto"/>
          <w:sz w:val="24"/>
          <w:szCs w:val="24"/>
          <w:highlight w:val="none"/>
          <w:lang w:val="en-US" w:eastAsia="zh-CN" w:bidi="ar-SA"/>
        </w:rPr>
        <w:t>本项目代理服务费按《江苏省政府采购代理服务收费指导意见》（苏政采协〔2024〕20号）折后按10400元向中标供应商收取</w:t>
      </w:r>
      <w:r>
        <w:rPr>
          <w:rFonts w:hint="eastAsia" w:ascii="宋体" w:hAnsi="宋体" w:eastAsia="宋体" w:cs="宋体"/>
          <w:b w:val="0"/>
          <w:bCs w:val="0"/>
          <w:color w:val="auto"/>
          <w:sz w:val="24"/>
          <w:szCs w:val="24"/>
          <w:highlight w:val="none"/>
          <w:lang w:val="en-US" w:eastAsia="zh-CN"/>
        </w:rPr>
        <w:t>。招标代理服务费由中标人承担，不单独列项，由投标人在报价时综合考虑。在成交供应商在领取成交通知书前，向采购代理机构一次性支付</w:t>
      </w:r>
      <w:r>
        <w:rPr>
          <w:rFonts w:hint="eastAsia" w:ascii="宋体" w:hAnsi="宋体" w:eastAsia="宋体" w:cs="宋体"/>
          <w:b w:val="0"/>
          <w:bCs w:val="0"/>
          <w:color w:val="auto"/>
          <w:sz w:val="24"/>
          <w:szCs w:val="24"/>
          <w:highlight w:val="none"/>
          <w:u w:val="none"/>
        </w:rPr>
        <w:t>，招标人不另行支付。</w:t>
      </w:r>
    </w:p>
    <w:p w14:paraId="04C8B047">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b w:val="0"/>
          <w:bCs/>
          <w:color w:val="auto"/>
          <w:sz w:val="24"/>
          <w:szCs w:val="24"/>
          <w:highlight w:val="none"/>
        </w:rPr>
        <w:t>5、</w:t>
      </w:r>
      <w:r>
        <w:rPr>
          <w:rFonts w:hint="eastAsia" w:ascii="宋体" w:hAnsi="宋体" w:eastAsia="宋体" w:cs="宋体"/>
          <w:color w:val="auto"/>
          <w:sz w:val="24"/>
          <w:szCs w:val="24"/>
          <w:highlight w:val="none"/>
        </w:rPr>
        <w:t>招标文件的约束力</w:t>
      </w:r>
    </w:p>
    <w:p w14:paraId="51DD00F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5.1投标人一旦参加本项目采购活动，即被认为接受了本招标文件的规定和约束。</w:t>
      </w:r>
    </w:p>
    <w:p w14:paraId="55D991B7">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321"/>
        <w:jc w:val="both"/>
        <w:textAlignment w:val="auto"/>
        <w:rPr>
          <w:rFonts w:hint="eastAsia" w:ascii="宋体" w:hAnsi="宋体" w:eastAsia="宋体" w:cs="宋体"/>
          <w:color w:val="auto"/>
          <w:sz w:val="24"/>
          <w:szCs w:val="24"/>
          <w:highlight w:val="none"/>
        </w:rPr>
      </w:pPr>
      <w:bookmarkStart w:id="56" w:name="_Toc16938525"/>
      <w:bookmarkStart w:id="57" w:name="_Toc20823281"/>
      <w:bookmarkStart w:id="58" w:name="_Toc120614215"/>
      <w:bookmarkStart w:id="59" w:name="_Toc513029209"/>
      <w:r>
        <w:rPr>
          <w:rFonts w:hint="eastAsia" w:ascii="宋体" w:hAnsi="宋体" w:eastAsia="宋体" w:cs="宋体"/>
          <w:b/>
          <w:color w:val="auto"/>
          <w:sz w:val="24"/>
          <w:szCs w:val="24"/>
          <w:highlight w:val="none"/>
        </w:rPr>
        <w:t>二、招标文件</w:t>
      </w:r>
      <w:bookmarkEnd w:id="56"/>
      <w:bookmarkEnd w:id="57"/>
      <w:bookmarkEnd w:id="58"/>
      <w:bookmarkEnd w:id="59"/>
    </w:p>
    <w:p w14:paraId="011588B5">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60" w:name="_Toc20823282"/>
      <w:bookmarkStart w:id="61" w:name="_Toc513029210"/>
      <w:bookmarkStart w:id="62" w:name="_Toc16938526"/>
      <w:r>
        <w:rPr>
          <w:rFonts w:hint="eastAsia" w:ascii="宋体" w:hAnsi="宋体" w:eastAsia="宋体" w:cs="宋体"/>
          <w:color w:val="auto"/>
          <w:sz w:val="24"/>
          <w:szCs w:val="24"/>
          <w:highlight w:val="none"/>
        </w:rPr>
        <w:t>6、招标文件构成</w:t>
      </w:r>
      <w:bookmarkEnd w:id="60"/>
      <w:bookmarkEnd w:id="61"/>
      <w:bookmarkEnd w:id="62"/>
    </w:p>
    <w:p w14:paraId="6639F55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 招标文件由以下部分组成：</w:t>
      </w:r>
    </w:p>
    <w:p w14:paraId="5495E6E6">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招标公告</w:t>
      </w:r>
    </w:p>
    <w:p w14:paraId="034C5D0D">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（2）投标人须知</w:t>
      </w:r>
    </w:p>
    <w:p w14:paraId="2E63A97E">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（3）合同文本</w:t>
      </w:r>
    </w:p>
    <w:p w14:paraId="3CDF1A25">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（4）采购需求</w:t>
      </w:r>
    </w:p>
    <w:p w14:paraId="24189A18">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（5）评标方法与评标标准</w:t>
      </w:r>
    </w:p>
    <w:p w14:paraId="7AC7396E">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（6）投标文件格式</w:t>
      </w:r>
    </w:p>
    <w:p w14:paraId="287ACD9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请仔细检查招标文件是否齐全，如有缺漏请立即与</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联系解决。</w:t>
      </w:r>
    </w:p>
    <w:p w14:paraId="620414E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55CFCFF5">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color w:val="auto"/>
          <w:sz w:val="24"/>
          <w:szCs w:val="24"/>
          <w:highlight w:val="none"/>
        </w:rPr>
      </w:pPr>
      <w:bookmarkStart w:id="63" w:name="_Toc16938527"/>
      <w:bookmarkStart w:id="64" w:name="_Toc462564070"/>
      <w:bookmarkStart w:id="65" w:name="_Toc20823283"/>
      <w:bookmarkStart w:id="66" w:name="_Toc513029211"/>
      <w:r>
        <w:rPr>
          <w:rFonts w:hint="eastAsia" w:ascii="宋体" w:hAnsi="宋体" w:eastAsia="宋体" w:cs="宋体"/>
          <w:color w:val="auto"/>
          <w:sz w:val="24"/>
          <w:szCs w:val="24"/>
          <w:highlight w:val="none"/>
        </w:rPr>
        <w:t>7、招标文件的澄清</w:t>
      </w:r>
      <w:bookmarkEnd w:id="63"/>
      <w:bookmarkEnd w:id="64"/>
      <w:bookmarkEnd w:id="65"/>
      <w:bookmarkEnd w:id="66"/>
    </w:p>
    <w:p w14:paraId="77FF938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7.1任何要求对招标文件进行澄清的投标人，应在投标截止期</w:t>
      </w:r>
      <w:r>
        <w:rPr>
          <w:rFonts w:hint="eastAsia" w:ascii="宋体" w:hAnsi="宋体" w:eastAsia="宋体" w:cs="宋体"/>
          <w:b/>
          <w:color w:val="auto"/>
          <w:sz w:val="24"/>
          <w:szCs w:val="24"/>
          <w:highlight w:val="none"/>
        </w:rPr>
        <w:t>十日</w:t>
      </w:r>
      <w:r>
        <w:rPr>
          <w:rFonts w:hint="eastAsia" w:ascii="宋体" w:hAnsi="宋体" w:eastAsia="宋体" w:cs="宋体"/>
          <w:color w:val="auto"/>
          <w:sz w:val="24"/>
          <w:szCs w:val="24"/>
          <w:highlight w:val="none"/>
        </w:rPr>
        <w:t>前按招标公告中的通讯地址，以书面形式通知采购人及代理机构。</w:t>
      </w:r>
    </w:p>
    <w:p w14:paraId="045B2E6A">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color w:val="auto"/>
          <w:sz w:val="24"/>
          <w:szCs w:val="24"/>
          <w:highlight w:val="none"/>
        </w:rPr>
      </w:pPr>
      <w:bookmarkStart w:id="67" w:name="_Toc20823284"/>
      <w:bookmarkStart w:id="68" w:name="_Toc16938528"/>
      <w:bookmarkStart w:id="69" w:name="_Toc513029212"/>
      <w:bookmarkStart w:id="70" w:name="_Toc462564071"/>
      <w:r>
        <w:rPr>
          <w:rFonts w:hint="eastAsia" w:ascii="宋体" w:hAnsi="宋体" w:eastAsia="宋体" w:cs="宋体"/>
          <w:color w:val="auto"/>
          <w:sz w:val="24"/>
          <w:szCs w:val="24"/>
          <w:highlight w:val="none"/>
        </w:rPr>
        <w:t>8、招标文件的修改</w:t>
      </w:r>
      <w:bookmarkEnd w:id="67"/>
      <w:bookmarkEnd w:id="68"/>
      <w:bookmarkEnd w:id="69"/>
      <w:bookmarkEnd w:id="70"/>
    </w:p>
    <w:p w14:paraId="45B2BDA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8.1在投标截止时间前，采购人及代理机构可以对招标文件进行修改。</w:t>
      </w:r>
    </w:p>
    <w:p w14:paraId="0A55E7E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8.2</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有权按照法定的要求推迟投标截止日期和开标日期。</w:t>
      </w:r>
    </w:p>
    <w:p w14:paraId="2EFF3AB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8.3招标文件的修改将在</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盐城市政府采购网公布，补充文件将作为招标文件的组成部分，并对投标人具有约束力。</w:t>
      </w:r>
    </w:p>
    <w:p w14:paraId="32F33610">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bookmarkStart w:id="71" w:name="_Toc16938529"/>
      <w:bookmarkStart w:id="72" w:name="_Toc20823285"/>
      <w:bookmarkStart w:id="73" w:name="_Toc462564072"/>
      <w:bookmarkStart w:id="74" w:name="_Toc513029213"/>
      <w:bookmarkStart w:id="75" w:name="_Toc120614216"/>
      <w:r>
        <w:rPr>
          <w:rFonts w:hint="eastAsia" w:ascii="宋体" w:hAnsi="宋体" w:eastAsia="宋体" w:cs="宋体"/>
          <w:b/>
          <w:color w:val="auto"/>
          <w:sz w:val="24"/>
          <w:szCs w:val="24"/>
          <w:highlight w:val="none"/>
        </w:rPr>
        <w:t>三、投标文件的编制</w:t>
      </w:r>
      <w:bookmarkEnd w:id="71"/>
      <w:bookmarkEnd w:id="72"/>
      <w:bookmarkEnd w:id="73"/>
      <w:bookmarkEnd w:id="74"/>
      <w:bookmarkEnd w:id="75"/>
    </w:p>
    <w:p w14:paraId="7E7331C0">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color w:val="auto"/>
          <w:sz w:val="24"/>
          <w:szCs w:val="24"/>
          <w:highlight w:val="none"/>
        </w:rPr>
      </w:pPr>
      <w:bookmarkStart w:id="76" w:name="_Toc20823286"/>
      <w:bookmarkStart w:id="77" w:name="_Toc513029214"/>
      <w:bookmarkStart w:id="78" w:name="_Toc16938530"/>
      <w:bookmarkStart w:id="79" w:name="_Toc462564073"/>
      <w:r>
        <w:rPr>
          <w:rFonts w:hint="eastAsia" w:ascii="宋体" w:hAnsi="宋体" w:eastAsia="宋体" w:cs="宋体"/>
          <w:color w:val="auto"/>
          <w:sz w:val="24"/>
          <w:szCs w:val="24"/>
          <w:highlight w:val="none"/>
        </w:rPr>
        <w:t>9、投标文件的语言及度量衡单位</w:t>
      </w:r>
      <w:bookmarkEnd w:id="76"/>
      <w:bookmarkEnd w:id="77"/>
      <w:bookmarkEnd w:id="78"/>
      <w:bookmarkEnd w:id="79"/>
    </w:p>
    <w:p w14:paraId="5842715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9.1投标人提交的投标文件以及投标人与</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就有关投标的所有来往通知、函件和文件均应使用</w:t>
      </w:r>
      <w:r>
        <w:rPr>
          <w:rFonts w:hint="eastAsia" w:ascii="宋体" w:hAnsi="宋体" w:eastAsia="宋体" w:cs="宋体"/>
          <w:b/>
          <w:color w:val="auto"/>
          <w:sz w:val="24"/>
          <w:szCs w:val="24"/>
          <w:highlight w:val="none"/>
        </w:rPr>
        <w:t>简体中文</w:t>
      </w:r>
      <w:r>
        <w:rPr>
          <w:rFonts w:hint="eastAsia" w:ascii="宋体" w:hAnsi="宋体" w:eastAsia="宋体" w:cs="宋体"/>
          <w:color w:val="auto"/>
          <w:sz w:val="24"/>
          <w:szCs w:val="24"/>
          <w:highlight w:val="none"/>
        </w:rPr>
        <w:t>。</w:t>
      </w:r>
    </w:p>
    <w:p w14:paraId="0E05E57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9.2除技术性能另有规定外，投标文件所使用的度量衡单位，均须采用国家法定计量单位。</w:t>
      </w:r>
    </w:p>
    <w:p w14:paraId="396A3B0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80" w:name="_Toc462564074"/>
      <w:bookmarkStart w:id="81" w:name="_Toc513029215"/>
      <w:bookmarkStart w:id="82" w:name="_Toc20823287"/>
      <w:bookmarkStart w:id="83" w:name="_Toc16938531"/>
      <w:r>
        <w:rPr>
          <w:rFonts w:hint="eastAsia" w:ascii="宋体" w:hAnsi="宋体" w:eastAsia="宋体" w:cs="宋体"/>
          <w:color w:val="auto"/>
          <w:sz w:val="24"/>
          <w:szCs w:val="24"/>
          <w:highlight w:val="none"/>
        </w:rPr>
        <w:t>10、投标文件构成</w:t>
      </w:r>
      <w:bookmarkEnd w:id="80"/>
      <w:bookmarkEnd w:id="81"/>
      <w:bookmarkEnd w:id="82"/>
      <w:bookmarkEnd w:id="83"/>
    </w:p>
    <w:p w14:paraId="4FDF8FB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10.1投标人编写的投标文件应包括资格证明文件、符合性证明文件、投标分项报价表、技术要求响应及偏离表、商务要求响应及偏离表、其他证明文件、投标函、开标一览表等部分。</w:t>
      </w:r>
    </w:p>
    <w:p w14:paraId="21D0122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10.2如标书制作工具中格式和内容与</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盐城市政府采购网”发布的招标文件不一致，请以</w:t>
      </w:r>
      <w:r>
        <w:rPr>
          <w:rFonts w:hint="eastAsia" w:ascii="宋体" w:hAnsi="宋体" w:eastAsia="宋体" w:cs="宋体"/>
          <w:i w:val="0"/>
          <w:iCs w:val="0"/>
          <w:caps w:val="0"/>
          <w:color w:val="auto"/>
          <w:spacing w:val="0"/>
          <w:sz w:val="24"/>
          <w:szCs w:val="24"/>
          <w:highlight w:val="none"/>
          <w:shd w:val="clear" w:color="auto" w:fill="FFFFFF"/>
          <w:lang w:val="en-US" w:eastAsia="zh-CN"/>
        </w:rPr>
        <w:t>“</w:t>
      </w:r>
      <w:r>
        <w:rPr>
          <w:rFonts w:hint="eastAsia" w:ascii="宋体" w:hAnsi="宋体" w:eastAsia="宋体" w:cs="宋体"/>
          <w:color w:val="auto"/>
          <w:sz w:val="24"/>
          <w:szCs w:val="24"/>
          <w:highlight w:val="none"/>
          <w:lang w:val="en-US" w:eastAsia="zh-CN" w:bidi="ar-SA"/>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盐城市政府采购网”发布的招标文件为准。</w:t>
      </w:r>
    </w:p>
    <w:p w14:paraId="4B7D5F3F">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84" w:name="_Toc49090509"/>
      <w:bookmarkStart w:id="85" w:name="_Toc49090507"/>
      <w:bookmarkStart w:id="86" w:name="_Toc14577357"/>
      <w:bookmarkStart w:id="87" w:name="_Toc513029219"/>
      <w:bookmarkStart w:id="88" w:name="_Toc513029216"/>
      <w:bookmarkStart w:id="89" w:name="_Toc14577354"/>
      <w:bookmarkStart w:id="90" w:name="_Hlt26670360"/>
      <w:bookmarkStart w:id="91" w:name="_Hlt26668975"/>
      <w:bookmarkStart w:id="92" w:name="_Hlt26954838"/>
      <w:r>
        <w:rPr>
          <w:rFonts w:hint="eastAsia" w:ascii="宋体" w:hAnsi="宋体" w:eastAsia="宋体" w:cs="宋体"/>
          <w:color w:val="auto"/>
          <w:sz w:val="24"/>
          <w:szCs w:val="24"/>
          <w:highlight w:val="none"/>
        </w:rPr>
        <w:t>11、证明投标人及投标标的符合招标文件规定的文件</w:t>
      </w:r>
      <w:bookmarkEnd w:id="84"/>
      <w:bookmarkEnd w:id="85"/>
      <w:bookmarkEnd w:id="86"/>
      <w:bookmarkEnd w:id="87"/>
      <w:bookmarkEnd w:id="88"/>
      <w:bookmarkEnd w:id="89"/>
    </w:p>
    <w:p w14:paraId="2FDA418E">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sz w:val="24"/>
          <w:szCs w:val="24"/>
          <w:highlight w:val="none"/>
        </w:rPr>
      </w:pPr>
      <w:bookmarkStart w:id="93" w:name="_Toc14577355"/>
      <w:bookmarkStart w:id="94" w:name="_Toc49090508"/>
      <w:r>
        <w:rPr>
          <w:rFonts w:hint="eastAsia" w:ascii="宋体" w:hAnsi="宋体" w:eastAsia="宋体" w:cs="宋体"/>
          <w:color w:val="auto"/>
          <w:sz w:val="24"/>
          <w:szCs w:val="24"/>
          <w:highlight w:val="none"/>
        </w:rPr>
        <w:t>  11.1投标人应按照法律、法规、规章和规范性文件以及招标文件要求提交证明文件，证明其及投标标的符合招标文件规定。</w:t>
      </w:r>
      <w:bookmarkEnd w:id="93"/>
      <w:bookmarkEnd w:id="94"/>
    </w:p>
    <w:p w14:paraId="4C6B024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11.2招标文件对证明文件无明确形式要求的，证明文件可以以文字资料、图纸和数据等形式提交。</w:t>
      </w:r>
    </w:p>
    <w:p w14:paraId="55AE1EB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12、投标分项报价</w:t>
      </w:r>
      <w:bookmarkStart w:id="95" w:name="_Hlt26670373"/>
      <w:r>
        <w:rPr>
          <w:rFonts w:hint="eastAsia" w:ascii="宋体" w:hAnsi="宋体" w:eastAsia="宋体" w:cs="宋体"/>
          <w:color w:val="auto"/>
          <w:sz w:val="24"/>
          <w:szCs w:val="24"/>
          <w:highlight w:val="none"/>
        </w:rPr>
        <w:t>表</w:t>
      </w:r>
    </w:p>
    <w:p w14:paraId="5C7A0A8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12.1投</w:t>
      </w:r>
      <w:bookmarkStart w:id="96" w:name="_Hlt26954840"/>
      <w:r>
        <w:rPr>
          <w:rFonts w:hint="eastAsia" w:ascii="宋体" w:hAnsi="宋体" w:eastAsia="宋体" w:cs="宋体"/>
          <w:color w:val="auto"/>
          <w:sz w:val="24"/>
          <w:szCs w:val="24"/>
          <w:highlight w:val="none"/>
        </w:rPr>
        <w:t>标人应按照招标文件规定格式填报投标分项报价表</w:t>
      </w:r>
      <w:bookmarkStart w:id="97" w:name="_Hlt26670399"/>
      <w:r>
        <w:rPr>
          <w:rFonts w:hint="eastAsia" w:ascii="宋体" w:hAnsi="宋体" w:eastAsia="宋体" w:cs="宋体"/>
          <w:color w:val="auto"/>
          <w:sz w:val="24"/>
          <w:szCs w:val="24"/>
          <w:highlight w:val="none"/>
        </w:rPr>
        <w:t>。</w:t>
      </w:r>
    </w:p>
    <w:p w14:paraId="1E580B8B">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12.2投标货币。投标文件中的单价和总价无特殊规定的采用人民币报价，以元为单位标注。招标文件中另有规定的按规定执行。</w:t>
      </w:r>
    </w:p>
    <w:p w14:paraId="15C7A57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98" w:name="_Hlt26954848"/>
      <w:bookmarkStart w:id="99" w:name="_Hlt26954844"/>
      <w:bookmarkStart w:id="100" w:name="_Hlt26670403"/>
      <w:bookmarkStart w:id="101" w:name="_Hlt26670482"/>
      <w:bookmarkStart w:id="102" w:name="_Hlt26954846"/>
      <w:bookmarkStart w:id="103" w:name="_Hlt26670486"/>
      <w:bookmarkStart w:id="104" w:name="_Hlt26668983"/>
      <w:bookmarkStart w:id="105" w:name="_Hlt26954731"/>
      <w:bookmarkStart w:id="106" w:name="_Hlt26670425"/>
      <w:bookmarkStart w:id="107" w:name="_Hlt26954842"/>
      <w:r>
        <w:rPr>
          <w:rFonts w:hint="eastAsia" w:ascii="宋体" w:hAnsi="宋体" w:eastAsia="宋体" w:cs="宋体"/>
          <w:color w:val="auto"/>
          <w:sz w:val="24"/>
          <w:szCs w:val="24"/>
          <w:highlight w:val="none"/>
        </w:rPr>
        <w:t>13、技术要求响应及偏离表、商务要求响应及偏离表</w:t>
      </w:r>
    </w:p>
    <w:p w14:paraId="738663E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13.1投标人需对招标文件中的技术要求与商务要求逐项作出响应或偏离，并说明原因。</w:t>
      </w:r>
    </w:p>
    <w:p w14:paraId="59919CA4">
      <w:pPr>
        <w:pStyle w:val="33"/>
        <w:pageBreakBefore w:val="0"/>
        <w:widowControl w:val="0"/>
        <w:tabs>
          <w:tab w:val="left" w:pos="1036"/>
        </w:tabs>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13.2投标人可在投标文件中提供认为需要的其他技术文件或说明。</w:t>
      </w:r>
    </w:p>
    <w:p w14:paraId="5C55B124">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08" w:name="_Toc49090510"/>
      <w:bookmarkStart w:id="109" w:name="_Toc14577359"/>
      <w:r>
        <w:rPr>
          <w:rFonts w:hint="eastAsia" w:ascii="宋体" w:hAnsi="宋体" w:eastAsia="宋体" w:cs="宋体"/>
          <w:color w:val="auto"/>
          <w:sz w:val="24"/>
          <w:szCs w:val="24"/>
          <w:highlight w:val="none"/>
        </w:rPr>
        <w:t>14、投标函和开标一览表</w:t>
      </w:r>
      <w:bookmarkEnd w:id="108"/>
      <w:bookmarkEnd w:id="109"/>
    </w:p>
    <w:p w14:paraId="009F4F6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14.1投标人应按照招标文件中提供的格式完整、正确填写投标函、开标一览表。</w:t>
      </w:r>
    </w:p>
    <w:p w14:paraId="36D61A7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14.2对于采用货币报价的项目，开标一览表中的投标总报价应与投标分项报价表中的投标总报价一致，如不一致，不作为无效投标处理，但评标时按开标一览表中价格为准</w:t>
      </w:r>
      <w:r>
        <w:rPr>
          <w:rFonts w:hint="eastAsia" w:ascii="宋体" w:hAnsi="宋体" w:eastAsia="宋体" w:cs="宋体"/>
          <w:b/>
          <w:color w:val="auto"/>
          <w:sz w:val="24"/>
          <w:szCs w:val="24"/>
          <w:highlight w:val="none"/>
        </w:rPr>
        <w:t>。</w:t>
      </w:r>
    </w:p>
    <w:p w14:paraId="485F5A0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10" w:name="_Toc49090511"/>
      <w:bookmarkStart w:id="111" w:name="_Toc14577360"/>
      <w:bookmarkStart w:id="112" w:name="_Hlt26954850"/>
      <w:bookmarkStart w:id="113" w:name="_Hlt26670489"/>
      <w:bookmarkStart w:id="114" w:name="_Hlt26954734"/>
      <w:r>
        <w:rPr>
          <w:rFonts w:hint="eastAsia" w:ascii="宋体" w:hAnsi="宋体" w:eastAsia="宋体" w:cs="宋体"/>
          <w:color w:val="auto"/>
          <w:sz w:val="24"/>
          <w:szCs w:val="24"/>
          <w:highlight w:val="none"/>
        </w:rPr>
        <w:t>15、投标有效期</w:t>
      </w:r>
      <w:bookmarkEnd w:id="110"/>
      <w:bookmarkEnd w:id="111"/>
    </w:p>
    <w:p w14:paraId="22D6EE0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15.1投标有效期为</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规定的开标之日后</w:t>
      </w:r>
      <w:r>
        <w:rPr>
          <w:rFonts w:hint="eastAsia" w:ascii="宋体" w:hAnsi="宋体" w:eastAsia="宋体" w:cs="宋体"/>
          <w:b/>
          <w:color w:val="auto"/>
          <w:sz w:val="24"/>
          <w:szCs w:val="24"/>
          <w:highlight w:val="none"/>
          <w:u w:val="single"/>
          <w:lang w:val="en-US" w:eastAsia="zh-CN"/>
        </w:rPr>
        <w:t>九</w:t>
      </w:r>
      <w:r>
        <w:rPr>
          <w:rFonts w:hint="eastAsia" w:ascii="宋体" w:hAnsi="宋体" w:eastAsia="宋体" w:cs="宋体"/>
          <w:b/>
          <w:color w:val="auto"/>
          <w:sz w:val="24"/>
          <w:szCs w:val="24"/>
          <w:highlight w:val="none"/>
          <w:u w:val="single"/>
        </w:rPr>
        <w:t>十（</w:t>
      </w:r>
      <w:r>
        <w:rPr>
          <w:rFonts w:hint="eastAsia" w:ascii="宋体" w:hAnsi="宋体" w:eastAsia="宋体" w:cs="宋体"/>
          <w:b/>
          <w:color w:val="auto"/>
          <w:sz w:val="24"/>
          <w:szCs w:val="24"/>
          <w:highlight w:val="none"/>
          <w:u w:val="single"/>
          <w:lang w:val="en-US" w:eastAsia="zh-CN"/>
        </w:rPr>
        <w:t>9</w:t>
      </w:r>
      <w:r>
        <w:rPr>
          <w:rFonts w:hint="eastAsia" w:ascii="宋体" w:hAnsi="宋体" w:eastAsia="宋体" w:cs="宋体"/>
          <w:b/>
          <w:color w:val="auto"/>
          <w:sz w:val="24"/>
          <w:szCs w:val="24"/>
          <w:highlight w:val="none"/>
          <w:u w:val="single"/>
        </w:rPr>
        <w:t>0）天</w:t>
      </w:r>
      <w:r>
        <w:rPr>
          <w:rFonts w:hint="eastAsia" w:ascii="宋体" w:hAnsi="宋体" w:eastAsia="宋体" w:cs="宋体"/>
          <w:color w:val="auto"/>
          <w:sz w:val="24"/>
          <w:szCs w:val="24"/>
          <w:highlight w:val="none"/>
        </w:rPr>
        <w:t>。投标有效期比规定短的将被视为未实质性响应招标文件而予以拒绝。</w:t>
      </w:r>
    </w:p>
    <w:p w14:paraId="69A2D33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16、投标有效期的延长</w:t>
      </w:r>
    </w:p>
    <w:p w14:paraId="5E5CBD3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16.1在特殊情况下，</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于原投标有效期满之前，可向投标人提出延长投标有效期的要求。这种要求与答复均应采用书面形式。投标人可以拒绝</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的这一要求而放弃投标。同意延长投标有效期的投标人既不能要求也不允许修改其投标文件，同时受投标有效期约束的所有权利与义务均延长至新的有效期。</w:t>
      </w:r>
    </w:p>
    <w:p w14:paraId="71FA6B44">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bookmarkStart w:id="115" w:name="_Toc513029224"/>
      <w:bookmarkStart w:id="116" w:name="_Toc16938540"/>
      <w:bookmarkStart w:id="117" w:name="_Toc20823296"/>
      <w:bookmarkStart w:id="118" w:name="_Toc120614217"/>
      <w:bookmarkStart w:id="119" w:name="_Hlt26954739"/>
      <w:bookmarkStart w:id="120" w:name="_Hlt26954852"/>
      <w:r>
        <w:rPr>
          <w:rFonts w:hint="eastAsia" w:ascii="宋体" w:hAnsi="宋体" w:eastAsia="宋体" w:cs="宋体"/>
          <w:b/>
          <w:color w:val="auto"/>
          <w:sz w:val="24"/>
          <w:szCs w:val="24"/>
          <w:highlight w:val="none"/>
        </w:rPr>
        <w:t>四、投标文件的递交</w:t>
      </w:r>
      <w:bookmarkEnd w:id="115"/>
      <w:bookmarkEnd w:id="116"/>
      <w:bookmarkEnd w:id="117"/>
      <w:bookmarkEnd w:id="118"/>
    </w:p>
    <w:p w14:paraId="2C102988">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560"/>
        <w:jc w:val="both"/>
        <w:textAlignment w:val="auto"/>
        <w:rPr>
          <w:rFonts w:hint="eastAsia" w:ascii="宋体" w:hAnsi="宋体" w:eastAsia="宋体" w:cs="宋体"/>
          <w:color w:val="auto"/>
          <w:sz w:val="24"/>
          <w:szCs w:val="24"/>
          <w:highlight w:val="none"/>
        </w:rPr>
      </w:pPr>
      <w:bookmarkStart w:id="121" w:name="_Toc513029225"/>
      <w:bookmarkStart w:id="122" w:name="_Toc16938541"/>
      <w:bookmarkStart w:id="123" w:name="_Toc20823297"/>
      <w:bookmarkStart w:id="124" w:name="_Toc462564084"/>
      <w:r>
        <w:rPr>
          <w:rFonts w:hint="eastAsia" w:ascii="宋体" w:hAnsi="宋体" w:eastAsia="宋体" w:cs="宋体"/>
          <w:color w:val="auto"/>
          <w:sz w:val="24"/>
          <w:szCs w:val="24"/>
          <w:highlight w:val="none"/>
        </w:rPr>
        <w:t>17、投标文件</w:t>
      </w:r>
      <w:bookmarkEnd w:id="121"/>
      <w:bookmarkEnd w:id="122"/>
      <w:bookmarkEnd w:id="123"/>
      <w:bookmarkEnd w:id="124"/>
      <w:r>
        <w:rPr>
          <w:rFonts w:hint="eastAsia" w:ascii="宋体" w:hAnsi="宋体" w:eastAsia="宋体" w:cs="宋体"/>
          <w:color w:val="auto"/>
          <w:sz w:val="24"/>
          <w:szCs w:val="24"/>
          <w:highlight w:val="none"/>
        </w:rPr>
        <w:t>的递交</w:t>
      </w:r>
    </w:p>
    <w:p w14:paraId="77B8826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17.1 电子投标文件的递交</w:t>
      </w:r>
    </w:p>
    <w:p w14:paraId="748D4B67">
      <w:pPr>
        <w:pStyle w:val="33"/>
        <w:pageBreakBefore w:val="0"/>
        <w:widowControl w:val="0"/>
        <w:kinsoku/>
        <w:wordWrap/>
        <w:overflowPunct/>
        <w:topLinePunct w:val="0"/>
        <w:autoSpaceDE/>
        <w:autoSpaceDN/>
        <w:bidi w:val="0"/>
        <w:adjustRightInd/>
        <w:snapToGrid/>
        <w:spacing w:beforeAutospacing="0" w:afterAutospacing="0" w:line="460" w:lineRule="exact"/>
        <w:ind w:left="525"/>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投标人应当按照《操作手册》规定，在投标截止时间前制作并上传电子投标文件。</w:t>
      </w:r>
      <w:bookmarkStart w:id="125" w:name="_Toc16938542"/>
      <w:bookmarkEnd w:id="125"/>
      <w:bookmarkStart w:id="126" w:name="_Toc20823298"/>
      <w:bookmarkEnd w:id="126"/>
      <w:bookmarkStart w:id="127" w:name="_Toc513029226"/>
    </w:p>
    <w:p w14:paraId="1DB0BF41">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18、投标截止时间</w:t>
      </w:r>
    </w:p>
    <w:p w14:paraId="5CCFA67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i/>
          <w:color w:val="auto"/>
          <w:sz w:val="24"/>
          <w:szCs w:val="24"/>
          <w:highlight w:val="none"/>
          <w:u w:val="single"/>
        </w:rPr>
        <w:t>18.1投标人上传电子投标文件的时间不得迟于招标公告中规定的投标截止时间。</w:t>
      </w:r>
    </w:p>
    <w:p w14:paraId="355E3D4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投标人应充分考虑到网络环境、网络带宽等风险因素，如因投标人自身原因造成的电子投标文件上传不成功的按照本招标文件第二章第26.1.2条 规定做无效投标处理。</w:t>
      </w:r>
    </w:p>
    <w:p w14:paraId="0CE27D4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18.2</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可以按照规定，通过修改招标文件酌情延长投标截止时间，在此情况下，投标人的所有权利和义务以及投标人受制的截止时间均应以延长后新的截止时间为准。</w:t>
      </w:r>
    </w:p>
    <w:p w14:paraId="646E3F8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28" w:name="_Toc16938543"/>
      <w:bookmarkStart w:id="129" w:name="_Toc20823299"/>
      <w:bookmarkStart w:id="130" w:name="_Toc513029227"/>
      <w:r>
        <w:rPr>
          <w:rFonts w:hint="eastAsia" w:ascii="宋体" w:hAnsi="宋体" w:eastAsia="宋体" w:cs="宋体"/>
          <w:color w:val="auto"/>
          <w:sz w:val="24"/>
          <w:szCs w:val="24"/>
          <w:highlight w:val="none"/>
        </w:rPr>
        <w:t>19、投标文件</w:t>
      </w:r>
      <w:bookmarkEnd w:id="128"/>
      <w:bookmarkEnd w:id="129"/>
      <w:bookmarkEnd w:id="130"/>
      <w:r>
        <w:rPr>
          <w:rFonts w:hint="eastAsia" w:ascii="宋体" w:hAnsi="宋体" w:eastAsia="宋体" w:cs="宋体"/>
          <w:color w:val="auto"/>
          <w:sz w:val="24"/>
          <w:szCs w:val="24"/>
          <w:highlight w:val="none"/>
        </w:rPr>
        <w:t>的拒收</w:t>
      </w:r>
    </w:p>
    <w:p w14:paraId="00B29CA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拒绝接收在其规定的投标截止时间后上传的任何投标文件。</w:t>
      </w:r>
    </w:p>
    <w:p w14:paraId="1220EFEB">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31" w:name="_Toc513029228"/>
      <w:bookmarkStart w:id="132" w:name="_Toc20823300"/>
      <w:bookmarkStart w:id="133" w:name="_Toc16938544"/>
      <w:r>
        <w:rPr>
          <w:rFonts w:hint="eastAsia" w:ascii="宋体" w:hAnsi="宋体" w:eastAsia="宋体" w:cs="宋体"/>
          <w:color w:val="auto"/>
          <w:sz w:val="24"/>
          <w:szCs w:val="24"/>
          <w:highlight w:val="none"/>
        </w:rPr>
        <w:t>20、投标文件的撤回和修改</w:t>
      </w:r>
      <w:bookmarkEnd w:id="131"/>
      <w:bookmarkEnd w:id="132"/>
      <w:bookmarkEnd w:id="133"/>
    </w:p>
    <w:p w14:paraId="6BE09FC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20.1投标文件的撤回</w:t>
      </w:r>
    </w:p>
    <w:p w14:paraId="116CCBE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.1.1电子投标文件的撤回</w:t>
      </w:r>
    </w:p>
    <w:p w14:paraId="342681C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投标人可在投标截止时间前，撤回其电子投标文件，具体操作方法见《操作手册》。</w:t>
      </w:r>
    </w:p>
    <w:p w14:paraId="02C5810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.1.2投标人撤回电子投标文件，则认为其不再参与本项目投标活动。</w:t>
      </w:r>
    </w:p>
    <w:p w14:paraId="5165608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 投标文件的修改</w:t>
      </w:r>
    </w:p>
    <w:p w14:paraId="419DC52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20.2.1投标人可在投标截止时间前，对其电子投标文件进行修改，具体操作方法见《操作手册》。</w:t>
      </w:r>
    </w:p>
    <w:p w14:paraId="39F9E2F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20.2.2在投标截止时间之后，投标人不得对其电子投标文件作任何修改。</w:t>
      </w:r>
    </w:p>
    <w:p w14:paraId="1C634A8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20.3在投标截止时间至招标文件中规定的投标有效期满之间的这段时间内，投标人不得撤回其投标。</w:t>
      </w:r>
    </w:p>
    <w:p w14:paraId="38FEAC76">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bookmarkStart w:id="134" w:name="_Toc16938545"/>
      <w:bookmarkStart w:id="135" w:name="_Toc513029229"/>
      <w:bookmarkStart w:id="136" w:name="_Toc20823301"/>
      <w:bookmarkStart w:id="137" w:name="_Toc120614218"/>
      <w:r>
        <w:rPr>
          <w:rFonts w:hint="eastAsia" w:ascii="宋体" w:hAnsi="宋体" w:eastAsia="宋体" w:cs="宋体"/>
          <w:b/>
          <w:color w:val="auto"/>
          <w:sz w:val="24"/>
          <w:szCs w:val="24"/>
          <w:highlight w:val="none"/>
        </w:rPr>
        <w:t>五、开标与评标</w:t>
      </w:r>
      <w:bookmarkEnd w:id="134"/>
      <w:bookmarkEnd w:id="135"/>
      <w:bookmarkEnd w:id="136"/>
      <w:bookmarkEnd w:id="137"/>
    </w:p>
    <w:p w14:paraId="3A603DBB">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38" w:name="_Toc513029230"/>
      <w:bookmarkStart w:id="139" w:name="_Toc20823302"/>
      <w:bookmarkStart w:id="140" w:name="_Toc16938546"/>
      <w:r>
        <w:rPr>
          <w:rFonts w:hint="eastAsia" w:ascii="宋体" w:hAnsi="宋体" w:eastAsia="宋体" w:cs="宋体"/>
          <w:color w:val="auto"/>
          <w:sz w:val="24"/>
          <w:szCs w:val="24"/>
          <w:highlight w:val="none"/>
        </w:rPr>
        <w:t>21、开标</w:t>
      </w:r>
      <w:bookmarkEnd w:id="138"/>
      <w:bookmarkEnd w:id="139"/>
      <w:bookmarkEnd w:id="140"/>
    </w:p>
    <w:p w14:paraId="3F9BB4F2">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21.1</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将在招标公告中规定的时间和地点组织公开开标。投标人应当按照《操作手册》规定，参加开标活动和在苏采云系统规定的时间内对投标文件进行解密。</w:t>
      </w:r>
    </w:p>
    <w:p w14:paraId="459451D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21.2开标仪式由</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组织。苏采云系统将自动对项目进行开标，并宣布各投标人名称和投标价格。</w:t>
      </w:r>
    </w:p>
    <w:p w14:paraId="4F8B32E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21.3投标人在开标过程中涉及到的投标文件解密、开标结果确认等工作，应按照《操作手册》规定执行。</w:t>
      </w:r>
    </w:p>
    <w:p w14:paraId="38ADC42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21.4投标人如果对开标过程和开标记录有疑义，应当根据《操作手册》规定提出，如苏采云系统中《开标记录表》宣布后5分钟内未提出的，视同认可开标结果。</w:t>
      </w:r>
    </w:p>
    <w:p w14:paraId="303E4B0F">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41" w:name="_Toc20823303"/>
      <w:bookmarkStart w:id="142" w:name="_Toc16938547"/>
      <w:bookmarkStart w:id="143" w:name="_Toc513029231"/>
      <w:r>
        <w:rPr>
          <w:rFonts w:hint="eastAsia" w:ascii="宋体" w:hAnsi="宋体" w:eastAsia="宋体" w:cs="宋体"/>
          <w:color w:val="auto"/>
          <w:sz w:val="24"/>
          <w:szCs w:val="24"/>
          <w:highlight w:val="none"/>
        </w:rPr>
        <w:t>22、评标委员会</w:t>
      </w:r>
      <w:bookmarkEnd w:id="141"/>
      <w:bookmarkEnd w:id="142"/>
      <w:bookmarkEnd w:id="143"/>
    </w:p>
    <w:p w14:paraId="4CEDBCF9">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22.1开标后，</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将立即组织评标委员会（以下简称评委会）进行评标。</w:t>
      </w:r>
    </w:p>
    <w:p w14:paraId="2B33A0B8">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22.2评委会由采购人代表和有关技术、经济等方面的专家组成，且人员构成符合政府采购有关规定。</w:t>
      </w:r>
    </w:p>
    <w:p w14:paraId="09CFCF1B">
      <w:pPr>
        <w:pStyle w:val="33"/>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22.3评委会独立工作，负责评审所有投标文件并确定中标</w:t>
      </w:r>
      <w:r>
        <w:rPr>
          <w:rFonts w:hint="eastAsia" w:ascii="宋体" w:hAnsi="宋体" w:eastAsia="宋体" w:cs="宋体"/>
          <w:color w:val="auto"/>
          <w:sz w:val="24"/>
          <w:szCs w:val="24"/>
          <w:highlight w:val="none"/>
          <w:lang w:eastAsia="zh-CN"/>
        </w:rPr>
        <w:t>候选人</w:t>
      </w:r>
      <w:r>
        <w:rPr>
          <w:rFonts w:hint="eastAsia" w:ascii="宋体" w:hAnsi="宋体" w:eastAsia="宋体" w:cs="宋体"/>
          <w:color w:val="auto"/>
          <w:sz w:val="24"/>
          <w:szCs w:val="24"/>
          <w:highlight w:val="none"/>
        </w:rPr>
        <w:t>。</w:t>
      </w:r>
    </w:p>
    <w:p w14:paraId="4AFEE858">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23、评标过程的保密与公正</w:t>
      </w:r>
    </w:p>
    <w:p w14:paraId="0E484D9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23.1凡是与审查、澄清、评价和比较投标的有关资料以及授标建议等，采购人、评委、</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均不得向投标人或与评标无关的其他人员透露。</w:t>
      </w:r>
    </w:p>
    <w:p w14:paraId="7354593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23.2在评标过程中，投标人不得以任何行为影响评标过程，否则其投标文件将被作为无效投标文件。</w:t>
      </w:r>
    </w:p>
    <w:p w14:paraId="6AA93BE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23.3</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和评标委员会不向未中标的投标人解释未中标原因，也不公布评标过程中的相关细节。</w:t>
      </w:r>
    </w:p>
    <w:p w14:paraId="4285C88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23.4采用综合评分法的项目，未中标的投标人可于中标结果公告期限届满之日起通过苏采云系统查看自己的评审得分及排序情况。</w:t>
      </w:r>
    </w:p>
    <w:p w14:paraId="25260D8C">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44" w:name="_Toc20823304"/>
      <w:bookmarkStart w:id="145" w:name="_Toc513029232"/>
      <w:bookmarkStart w:id="146" w:name="_Toc16938548"/>
      <w:r>
        <w:rPr>
          <w:rFonts w:hint="eastAsia" w:ascii="宋体" w:hAnsi="宋体" w:eastAsia="宋体" w:cs="宋体"/>
          <w:color w:val="auto"/>
          <w:sz w:val="24"/>
          <w:szCs w:val="24"/>
          <w:highlight w:val="none"/>
        </w:rPr>
        <w:t>24、投标文件的澄清</w:t>
      </w:r>
      <w:bookmarkEnd w:id="144"/>
      <w:bookmarkEnd w:id="145"/>
      <w:bookmarkEnd w:id="146"/>
    </w:p>
    <w:p w14:paraId="2D4A5BD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24.1评标期间，评委会对投标文件中含义不明确、同类问题表述不一致或者有明显文字和计算错误的内容 ，有权要求投标人作出必要的澄清、说明或者补正。</w:t>
      </w:r>
    </w:p>
    <w:p w14:paraId="3331073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投标人的澄清、说明或者补正不得超出投标文件的范围或者改变投标文件的实质性内容。</w:t>
      </w:r>
    </w:p>
    <w:p w14:paraId="6A48FEA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评标委员会并非对每个投标人都做澄清要求。</w:t>
      </w:r>
    </w:p>
    <w:p w14:paraId="48EB300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0702F2F">
      <w:pPr>
        <w:pStyle w:val="33"/>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24.3接到评委会澄清、说明和补正要求的投标人如未按规定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386657B4">
      <w:pPr>
        <w:pStyle w:val="33"/>
        <w:keepNext/>
        <w:keepLines/>
        <w:pageBreakBefore w:val="0"/>
        <w:widowControl w:val="0"/>
        <w:numPr>
          <w:ilvl w:val="0"/>
          <w:numId w:val="1"/>
        </w:numPr>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47" w:name="_Toc16938549"/>
      <w:bookmarkStart w:id="148" w:name="_Toc20823305"/>
      <w:bookmarkStart w:id="149" w:name="_Toc513029233"/>
      <w:r>
        <w:rPr>
          <w:rFonts w:hint="eastAsia" w:ascii="宋体" w:hAnsi="宋体" w:eastAsia="宋体" w:cs="宋体"/>
          <w:color w:val="auto"/>
          <w:sz w:val="24"/>
          <w:szCs w:val="24"/>
          <w:highlight w:val="none"/>
        </w:rPr>
        <w:t>对投标文件的初审</w:t>
      </w:r>
      <w:bookmarkEnd w:id="147"/>
      <w:bookmarkEnd w:id="148"/>
      <w:bookmarkEnd w:id="149"/>
    </w:p>
    <w:p w14:paraId="4CCE4524">
      <w:pPr>
        <w:pStyle w:val="33"/>
        <w:keepNext/>
        <w:keepLines/>
        <w:pageBreakBefore w:val="0"/>
        <w:widowControl w:val="0"/>
        <w:numPr>
          <w:ilvl w:val="0"/>
          <w:numId w:val="0"/>
        </w:numPr>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25.1投标文件初审分为资格审查和符合性审查。</w:t>
      </w:r>
    </w:p>
    <w:p w14:paraId="7975B17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25.1.1资格审查：依据法律法规和招标文件的规定，由采购人对投标文件中的资格证明文件进行审查。资格审查的结论，采购人以书面形式向评委会进行反馈。</w:t>
      </w:r>
    </w:p>
    <w:p w14:paraId="0620632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采购人在进行资格性审查的同时，将在“信用中国”网站（www.creditchina.gov.cn）查询投标人的信用记录，以确定投标人是否具备投标资格,查询结果留存并归档。</w:t>
      </w:r>
    </w:p>
    <w:p w14:paraId="512832B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接受联合体的项目，两个以上的自然人、法人或者其他组织组成一个联合体，以一个供应商的身份共同参加政府采购活动的,联合体成员存在不良信用记录的，视同联合体存在不良</w:t>
      </w:r>
      <w:r>
        <w:rPr>
          <w:rFonts w:hint="eastAsia" w:ascii="宋体" w:hAnsi="宋体" w:eastAsia="宋体" w:cs="宋体"/>
          <w:color w:val="auto"/>
          <w:sz w:val="24"/>
          <w:szCs w:val="24"/>
          <w:highlight w:val="none"/>
          <w:lang w:val="en-US" w:eastAsia="zh-CN"/>
        </w:rPr>
        <w:t>信</w:t>
      </w:r>
      <w:r>
        <w:rPr>
          <w:rFonts w:hint="eastAsia" w:ascii="宋体" w:hAnsi="宋体" w:eastAsia="宋体" w:cs="宋体"/>
          <w:color w:val="auto"/>
          <w:sz w:val="24"/>
          <w:szCs w:val="24"/>
          <w:highlight w:val="none"/>
        </w:rPr>
        <w:t>用记录。</w:t>
      </w:r>
    </w:p>
    <w:p w14:paraId="4CB355A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25.1.2符合性审查：依据招标文件的规定，由评委会从投标文件的有效性、完整性和对招标文件的响应程度进行审查，以确定是否对招标文件的实质性要求作出响应。</w:t>
      </w:r>
    </w:p>
    <w:p w14:paraId="4196081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25.1.3未通过资格审查或符合性审查的投标人，</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将在苏采云系统中告知未通过资格审查或符合性审查的原因，评标结束后，</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将不再告知未通过资格审查和符合性审查的原因。</w:t>
      </w:r>
    </w:p>
    <w:p w14:paraId="6DDD28E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25.2在详细评标之前，评委会将首先审查每份投标文件是否实质性响应了招标文件的要求。实质性响应的投标应该是与招标文件要求的全部条款、条件和规格相符，没有重大偏离或保留的投标。</w:t>
      </w:r>
    </w:p>
    <w:p w14:paraId="09D6EC2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所谓重大偏离或保留是指与招标文件规定的实质性要求存在负偏离，或者在实质上与招标文件不一致，而且限制了合同中买方和采购</w:t>
      </w:r>
      <w:r>
        <w:rPr>
          <w:rFonts w:hint="eastAsia" w:ascii="宋体" w:hAnsi="宋体" w:eastAsia="宋体" w:cs="宋体"/>
          <w:color w:val="auto"/>
          <w:sz w:val="24"/>
          <w:szCs w:val="24"/>
          <w:highlight w:val="none"/>
          <w:lang w:val="en-US" w:eastAsia="zh-CN"/>
        </w:rPr>
        <w:t>人</w:t>
      </w:r>
      <w:r>
        <w:rPr>
          <w:rFonts w:hint="eastAsia" w:ascii="宋体" w:hAnsi="宋体" w:eastAsia="宋体" w:cs="宋体"/>
          <w:color w:val="auto"/>
          <w:sz w:val="24"/>
          <w:szCs w:val="24"/>
          <w:highlight w:val="none"/>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40CBDF9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25.3如果投标文件实质上没有响应招标文件的要求，评委会将予以拒绝，投标人不得通过修改或撤销不合要求的偏离或保留而使其投标成为实质性响应的投标。</w:t>
      </w:r>
    </w:p>
    <w:p w14:paraId="3EA3CCC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25.4评委会将对确定为实质性响应的投标进行进一步审核，确定其是否有计算上或累加上的算术错误，修正错误的原则如下：</w:t>
      </w:r>
    </w:p>
    <w:p w14:paraId="1B8EEE8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（1）投标文件中开标一览表内容与投标文件中相应内容不一致的，以开标一览表为准。</w:t>
      </w:r>
    </w:p>
    <w:p w14:paraId="685E7E4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（2）大写金额和小写金额不一致的，以大写金额为准。</w:t>
      </w:r>
    </w:p>
    <w:p w14:paraId="5E54146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（3）单价金额小数点或者百分比有明显错位的，以开标一览表的总价为准，并修改单价。</w:t>
      </w:r>
    </w:p>
    <w:p w14:paraId="06EC5D0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（4）总价金额与按单价汇总金额不一致的，以单价金额计算结果为准。</w:t>
      </w:r>
    </w:p>
    <w:p w14:paraId="3F83133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同时出现两种以上错误的，按照前款规定的顺序修正。</w:t>
      </w:r>
    </w:p>
    <w:p w14:paraId="4F4E7FF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25.5评委会将按上述修正错误的方法调整投标文件中的投标报价，并通过苏采云系统告知投标人，调整后的价格应对投标人具有约束力。如果投标人不接受修正后的价格，则其投标将被拒绝。</w:t>
      </w:r>
    </w:p>
    <w:p w14:paraId="206DA098">
      <w:pPr>
        <w:pStyle w:val="33"/>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bookmarkStart w:id="150" w:name="_Toc16938550"/>
      <w:bookmarkStart w:id="151" w:name="_Toc20823306"/>
      <w:bookmarkStart w:id="152" w:name="_Toc513029234"/>
      <w:r>
        <w:rPr>
          <w:rFonts w:hint="eastAsia" w:ascii="宋体" w:hAnsi="宋体" w:eastAsia="宋体" w:cs="宋体"/>
          <w:color w:val="auto"/>
          <w:sz w:val="24"/>
          <w:szCs w:val="24"/>
          <w:highlight w:val="none"/>
        </w:rPr>
        <w:t>25.6投标人在开、评标全过程中应</w:t>
      </w:r>
      <w:r>
        <w:rPr>
          <w:rFonts w:hint="eastAsia" w:ascii="宋体" w:hAnsi="宋体" w:eastAsia="宋体" w:cs="宋体"/>
          <w:color w:val="auto"/>
          <w:sz w:val="24"/>
          <w:szCs w:val="24"/>
          <w:highlight w:val="none"/>
          <w:lang w:eastAsia="zh-CN"/>
        </w:rPr>
        <w:t>保持通信畅通</w:t>
      </w:r>
      <w:r>
        <w:rPr>
          <w:rFonts w:hint="eastAsia" w:ascii="宋体" w:hAnsi="宋体" w:eastAsia="宋体" w:cs="宋体"/>
          <w:color w:val="auto"/>
          <w:sz w:val="24"/>
          <w:szCs w:val="24"/>
          <w:highlight w:val="none"/>
        </w:rPr>
        <w:t>，及时登录苏采云系统查阅、答复相关信息，并安排专人与</w:t>
      </w:r>
      <w:r>
        <w:rPr>
          <w:rFonts w:hint="eastAsia" w:ascii="宋体" w:hAnsi="宋体" w:eastAsia="宋体" w:cs="宋体"/>
          <w:color w:val="auto"/>
          <w:sz w:val="24"/>
          <w:szCs w:val="24"/>
          <w:highlight w:val="none"/>
          <w:lang w:val="en-US" w:eastAsia="zh-CN"/>
        </w:rPr>
        <w:t>采购人或代理机构</w:t>
      </w:r>
      <w:r>
        <w:rPr>
          <w:rFonts w:hint="eastAsia" w:ascii="宋体" w:hAnsi="宋体" w:eastAsia="宋体" w:cs="宋体"/>
          <w:color w:val="auto"/>
          <w:sz w:val="24"/>
          <w:szCs w:val="24"/>
          <w:highlight w:val="none"/>
        </w:rPr>
        <w:t>及评标委员会联系。</w:t>
      </w:r>
      <w:bookmarkEnd w:id="150"/>
      <w:bookmarkEnd w:id="151"/>
      <w:bookmarkEnd w:id="152"/>
    </w:p>
    <w:p w14:paraId="0A230A9D">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2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26、无效投标条款和废标条款</w:t>
      </w:r>
    </w:p>
    <w:p w14:paraId="51420DCB">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bookmarkStart w:id="153" w:name="_Toc16938551"/>
      <w:bookmarkStart w:id="154" w:name="_Toc513029235"/>
      <w:bookmarkStart w:id="155" w:name="_Toc20823307"/>
      <w:r>
        <w:rPr>
          <w:rFonts w:hint="eastAsia" w:ascii="宋体" w:hAnsi="宋体" w:eastAsia="宋体" w:cs="宋体"/>
          <w:color w:val="auto"/>
          <w:sz w:val="24"/>
          <w:szCs w:val="24"/>
          <w:highlight w:val="none"/>
        </w:rPr>
        <w:t>26.1无效投标条款</w:t>
      </w:r>
      <w:bookmarkEnd w:id="153"/>
      <w:bookmarkEnd w:id="154"/>
      <w:bookmarkEnd w:id="155"/>
    </w:p>
    <w:p w14:paraId="70F1262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26.1.1投标人在苏采云系统规定的时间内未成功解密电子投标文件的。</w:t>
      </w:r>
    </w:p>
    <w:p w14:paraId="73CC886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26.1.2投标人未按照招标文件要求上传电子投标文件的。</w:t>
      </w:r>
    </w:p>
    <w:p w14:paraId="68F61D65">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26.1.3同一投标人提交两个（含两个）以上不同的投标报价的。</w:t>
      </w:r>
    </w:p>
    <w:p w14:paraId="2A9ED91A">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26.1.4投标人不具备招标文件中规定资格要求的。</w:t>
      </w:r>
    </w:p>
    <w:p w14:paraId="6514A30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26.1.5投标人的报价超过了采购预算或最高限价的。</w:t>
      </w:r>
    </w:p>
    <w:p w14:paraId="5A0488E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26.1.6未通过符合性审查的。</w:t>
      </w:r>
    </w:p>
    <w:p w14:paraId="7A607107">
      <w:pPr>
        <w:pStyle w:val="33"/>
        <w:pageBreakBefore w:val="0"/>
        <w:widowControl w:val="0"/>
        <w:kinsoku/>
        <w:wordWrap/>
        <w:overflowPunct/>
        <w:topLinePunct w:val="0"/>
        <w:autoSpaceDE/>
        <w:autoSpaceDN/>
        <w:bidi w:val="0"/>
        <w:adjustRightInd/>
        <w:snapToGrid/>
        <w:spacing w:beforeAutospacing="0" w:afterAutospacing="0" w:line="460" w:lineRule="exact"/>
        <w:ind w:firstLine="36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26.1.7不符合招标文件中规定的实质性要求和条件的（</w:t>
      </w:r>
      <w:r>
        <w:rPr>
          <w:rFonts w:hint="eastAsia" w:ascii="宋体" w:hAnsi="宋体" w:eastAsia="宋体" w:cs="宋体"/>
          <w:i/>
          <w:color w:val="auto"/>
          <w:sz w:val="24"/>
          <w:szCs w:val="24"/>
          <w:highlight w:val="none"/>
          <w:u w:val="single"/>
        </w:rPr>
        <w:t>本招标文件中斜体且有下划线部分为实质性要求和条件）。</w:t>
      </w:r>
    </w:p>
    <w:p w14:paraId="5EC76CB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45F4AB9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26.1.9投标文件含有采购人不能接受的附加条件的。</w:t>
      </w:r>
    </w:p>
    <w:p w14:paraId="62C2CF7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26.1.10投标人不能证明其报价合理性的，评</w:t>
      </w:r>
      <w:r>
        <w:rPr>
          <w:rFonts w:hint="eastAsia" w:ascii="宋体" w:hAnsi="宋体" w:eastAsia="宋体" w:cs="宋体"/>
          <w:color w:val="auto"/>
          <w:sz w:val="24"/>
          <w:szCs w:val="24"/>
          <w:highlight w:val="none"/>
          <w:lang w:val="en-US" w:eastAsia="zh-CN"/>
        </w:rPr>
        <w:t>标</w:t>
      </w:r>
      <w:r>
        <w:rPr>
          <w:rFonts w:hint="eastAsia" w:ascii="宋体" w:hAnsi="宋体" w:eastAsia="宋体" w:cs="宋体"/>
          <w:color w:val="auto"/>
          <w:sz w:val="24"/>
          <w:szCs w:val="24"/>
          <w:highlight w:val="none"/>
        </w:rPr>
        <w:t>委员会应当将其作为无效投标处理。</w:t>
      </w:r>
    </w:p>
    <w:p w14:paraId="6F27A04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（一）评审过程中出现下列情形之一的，评标委员会应当启动异常低价投标审查程序：</w:t>
      </w:r>
    </w:p>
    <w:p w14:paraId="07D8563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1.投标报价低于采购项目预算50% 的，即投标报价&lt;采购项目预算×50%；</w:t>
      </w:r>
    </w:p>
    <w:p w14:paraId="504B071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2.投标报价低于采购项目最高限价45% 的，即投标报价&lt;采购项目最高限价×45%；</w:t>
      </w:r>
    </w:p>
    <w:p w14:paraId="05605E0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3.评标委员会认定的供应商报价过低、有可能影响产品质量或者不能诚信履约的其他情形。</w:t>
      </w:r>
    </w:p>
    <w:p w14:paraId="7D39E84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二）启动异常低价投标审查后，评标委员会应当要求相关供应商在评标现场合理的时间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p>
    <w:p w14:paraId="01DC9F8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26.1.11投标文件未按照招标文件要求加盖CA电子公章的。</w:t>
      </w:r>
    </w:p>
    <w:p w14:paraId="224F72F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26.1.12其他法律、法规及本招标文件规定的属无效投标的情形。</w:t>
      </w:r>
    </w:p>
    <w:p w14:paraId="4C649EA8">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26.2废标条款</w:t>
      </w:r>
    </w:p>
    <w:p w14:paraId="21DD72C1">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26.2.1符合专业条件的供应商或者对招标文件作实质响应的供应商不足三家的。</w:t>
      </w:r>
    </w:p>
    <w:p w14:paraId="1DCD44FD">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26.2.2出现影响采购公正的违法、违规行为的。</w:t>
      </w:r>
    </w:p>
    <w:p w14:paraId="59CFDAE8">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26.2.3因重大变故，采购任务取消的。</w:t>
      </w:r>
    </w:p>
    <w:p w14:paraId="4F5BF7E2">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26.2.4评标委员会认定招标文件存在歧义、重大缺陷导致评审工作无法进行。</w:t>
      </w:r>
    </w:p>
    <w:p w14:paraId="153C0267">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26.2.5因苏采云系统系统故障原因造成开标不成功的。</w:t>
      </w:r>
    </w:p>
    <w:p w14:paraId="72AF2A35">
      <w:pPr>
        <w:pStyle w:val="33"/>
        <w:pageBreakBefore w:val="0"/>
        <w:widowControl w:val="0"/>
        <w:kinsoku/>
        <w:wordWrap/>
        <w:overflowPunct/>
        <w:topLinePunct w:val="0"/>
        <w:autoSpaceDE/>
        <w:autoSpaceDN/>
        <w:bidi w:val="0"/>
        <w:adjustRightInd/>
        <w:snapToGrid/>
        <w:spacing w:beforeAutospacing="0" w:afterAutospacing="0" w:line="460" w:lineRule="exact"/>
        <w:ind w:left="479"/>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 投标截止时间结束后参加投标的供应商不足三家的处理：</w:t>
      </w:r>
    </w:p>
    <w:p w14:paraId="408895E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26.3.1如出现投标截止时间结束后参加投标的供应商或者在评标期间对招标文件做出实质响应的供应商不足三家情况，按政府采购相关规定执行。</w:t>
      </w:r>
    </w:p>
    <w:p w14:paraId="2CEA48A2">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bookmarkStart w:id="156" w:name="_Toc120614219"/>
      <w:r>
        <w:rPr>
          <w:rFonts w:hint="eastAsia" w:ascii="宋体" w:hAnsi="宋体" w:eastAsia="宋体" w:cs="宋体"/>
          <w:b/>
          <w:color w:val="auto"/>
          <w:sz w:val="24"/>
          <w:szCs w:val="24"/>
          <w:highlight w:val="none"/>
        </w:rPr>
        <w:t>六、定标</w:t>
      </w:r>
      <w:bookmarkEnd w:id="156"/>
    </w:p>
    <w:p w14:paraId="623D2B7E">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bookmarkStart w:id="157" w:name="_Toc20823310"/>
      <w:bookmarkStart w:id="158" w:name="_Toc513029238"/>
      <w:bookmarkStart w:id="159" w:name="_Toc16938554"/>
      <w:r>
        <w:rPr>
          <w:rFonts w:hint="eastAsia" w:ascii="宋体" w:hAnsi="宋体" w:eastAsia="宋体" w:cs="宋体"/>
          <w:color w:val="auto"/>
          <w:sz w:val="24"/>
          <w:szCs w:val="24"/>
          <w:highlight w:val="none"/>
        </w:rPr>
        <w:t>27、</w:t>
      </w:r>
      <w:bookmarkEnd w:id="157"/>
      <w:r>
        <w:rPr>
          <w:rFonts w:hint="eastAsia" w:ascii="宋体" w:hAnsi="宋体" w:eastAsia="宋体" w:cs="宋体"/>
          <w:color w:val="auto"/>
          <w:sz w:val="24"/>
          <w:szCs w:val="24"/>
          <w:highlight w:val="none"/>
        </w:rPr>
        <w:t>确定</w:t>
      </w:r>
      <w:bookmarkEnd w:id="158"/>
      <w:bookmarkEnd w:id="159"/>
      <w:r>
        <w:rPr>
          <w:rFonts w:hint="eastAsia" w:ascii="宋体" w:hAnsi="宋体" w:eastAsia="宋体" w:cs="宋体"/>
          <w:color w:val="auto"/>
          <w:sz w:val="24"/>
          <w:szCs w:val="24"/>
          <w:highlight w:val="none"/>
        </w:rPr>
        <w:t>中标单位</w:t>
      </w:r>
    </w:p>
    <w:p w14:paraId="10924D7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27.1中标候选人的选取原则和数量见招标文件第五章规定。 </w:t>
      </w:r>
    </w:p>
    <w:p w14:paraId="387E64C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27.2采购人应根据评委会推荐的中标候选人确定中标人。</w:t>
      </w:r>
    </w:p>
    <w:p w14:paraId="1BE3B92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27.3</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中国政府采购网”“</w:t>
      </w:r>
      <w:r>
        <w:rPr>
          <w:rFonts w:hint="eastAsia" w:ascii="宋体" w:hAnsi="宋体" w:eastAsia="宋体" w:cs="宋体"/>
          <w:color w:val="auto"/>
          <w:sz w:val="24"/>
          <w:szCs w:val="24"/>
          <w:highlight w:val="none"/>
        </w:rPr>
        <w:t>江苏政府采购网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盐城市政府采购网”发布中标公告，公告期限为1个工作日。</w:t>
      </w:r>
    </w:p>
    <w:p w14:paraId="36638EB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27.4若有充分证据证明，中标人出现下列情况之一的，一经查实，将被取消中标资格：</w:t>
      </w:r>
    </w:p>
    <w:p w14:paraId="1DD453E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27.4.1提供虚假材料谋取中标的。</w:t>
      </w:r>
    </w:p>
    <w:p w14:paraId="74B1B19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27.4.2向采购人、采购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行贿或者提供其他不正当利益的。</w:t>
      </w:r>
    </w:p>
    <w:p w14:paraId="5E0DFA0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27.4.3属于本文件规定的无效条件，但在评标过程中又未被评委会发现的。</w:t>
      </w:r>
    </w:p>
    <w:p w14:paraId="4407AB7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27.4.4与采购人或者其他供应商恶意串通的。</w:t>
      </w:r>
    </w:p>
    <w:p w14:paraId="27EFAA0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27.4.5采取不正当手段诋毁、排挤其他供应商的。</w:t>
      </w:r>
    </w:p>
    <w:p w14:paraId="0BF1F78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bookmarkStart w:id="160" w:name="_Toc200451960"/>
      <w:r>
        <w:rPr>
          <w:rFonts w:hint="eastAsia" w:ascii="宋体" w:hAnsi="宋体" w:eastAsia="宋体" w:cs="宋体"/>
          <w:color w:val="auto"/>
          <w:sz w:val="24"/>
          <w:szCs w:val="24"/>
          <w:highlight w:val="none"/>
        </w:rPr>
        <w:t>27.5 有下列情形之一的，视为投标人串通投标，投标无效：</w:t>
      </w:r>
      <w:bookmarkEnd w:id="160"/>
    </w:p>
    <w:p w14:paraId="67C9A3C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27.5.1不同投标人的投标文件由同一单位或者个人编制。</w:t>
      </w:r>
    </w:p>
    <w:p w14:paraId="290F48F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27.5.2不同投标人委托同一单位或者个人办理投标事宜。</w:t>
      </w:r>
    </w:p>
    <w:p w14:paraId="5306369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27.5.3不同投标人的投标文件载明的项目管理成员或者联系人员为同一人。</w:t>
      </w:r>
    </w:p>
    <w:p w14:paraId="1CDE1EC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27.5.4不同投标人的投标文件异常一致或者投标报价呈规律性差异。</w:t>
      </w:r>
    </w:p>
    <w:p w14:paraId="7C680EAD">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28、质疑处理</w:t>
      </w:r>
    </w:p>
    <w:p w14:paraId="0ABACE4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28.1提出质疑的供应商应当是参与所质疑项目采购活动的供应商。潜在供应商依法获取其可质疑的采购文件的，可以对采购文件提出质疑。</w:t>
      </w:r>
    </w:p>
    <w:p w14:paraId="098CA66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28.2供应商认为采购文件、采购过程和采购结果使自己的权益受到损害的，可以在知道或应知其权益受到损害之日起七个工作日内，以书面形式根据下述</w:t>
      </w:r>
      <w:r>
        <w:rPr>
          <w:rFonts w:hint="eastAsia" w:ascii="宋体" w:hAnsi="宋体" w:eastAsia="宋体" w:cs="宋体"/>
          <w:color w:val="auto"/>
          <w:sz w:val="24"/>
          <w:szCs w:val="24"/>
          <w:highlight w:val="none"/>
          <w:lang w:val="en-US" w:eastAsia="zh-CN"/>
        </w:rPr>
        <w:t xml:space="preserve">      </w:t>
      </w:r>
    </w:p>
    <w:p w14:paraId="4DD8C0C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28.4条款的规定向采购</w:t>
      </w:r>
      <w:r>
        <w:rPr>
          <w:rFonts w:hint="eastAsia" w:ascii="宋体" w:hAnsi="宋体" w:eastAsia="宋体" w:cs="宋体"/>
          <w:color w:val="auto"/>
          <w:sz w:val="24"/>
          <w:szCs w:val="24"/>
          <w:highlight w:val="none"/>
          <w:lang w:val="en-US" w:eastAsia="zh-CN"/>
        </w:rPr>
        <w:t>代理机构</w:t>
      </w:r>
      <w:r>
        <w:rPr>
          <w:rFonts w:hint="eastAsia" w:ascii="宋体" w:hAnsi="宋体" w:eastAsia="宋体" w:cs="宋体"/>
          <w:color w:val="auto"/>
          <w:sz w:val="24"/>
          <w:szCs w:val="24"/>
          <w:highlight w:val="none"/>
        </w:rPr>
        <w:t>或采购人提出质疑。上述应知其权益受到损害之日，是指：</w:t>
      </w:r>
    </w:p>
    <w:p w14:paraId="073985A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28.2.1对可以质疑的采购文件提出质疑的，为收到采购文件之日或者采购文件公告期限届满之日；</w:t>
      </w:r>
    </w:p>
    <w:p w14:paraId="33C4B59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28.2.2对采购过程提出质疑的，为各采购程序环节结束之日；</w:t>
      </w:r>
    </w:p>
    <w:p w14:paraId="733114A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28.2.3对中标或者成交结果提出质疑的，为中标或者成交结果公告期限届满之日。</w:t>
      </w:r>
    </w:p>
    <w:p w14:paraId="4AF6C3C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供应商应当在法定质疑期内一次性提出针对同一采购程序环节的质疑。供应商如在法定期限内对同一采购程序环节提出多次质疑的，</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将只对供应商第一次质疑作出答复。</w:t>
      </w:r>
    </w:p>
    <w:p w14:paraId="7DA477C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28.3质疑函必须按照本招标文件中《质疑函范本》要求的格式和内容进行填写。供应商如组成联合体参加投标，则《质疑函范本》中要求签字、盖章、加盖公章之处，联合体各方均须按要求签字、盖章、加盖公章。</w:t>
      </w:r>
    </w:p>
    <w:p w14:paraId="78BB1D22">
      <w:pPr>
        <w:pStyle w:val="33"/>
        <w:pageBreakBefore w:val="0"/>
        <w:widowControl w:val="0"/>
        <w:kinsoku/>
        <w:wordWrap/>
        <w:overflowPunct/>
        <w:topLinePunct w:val="0"/>
        <w:autoSpaceDE/>
        <w:autoSpaceDN/>
        <w:bidi w:val="0"/>
        <w:adjustRightInd/>
        <w:snapToGrid/>
        <w:spacing w:beforeAutospacing="0" w:afterAutospacing="0" w:line="460" w:lineRule="exact"/>
        <w:ind w:firstLine="482"/>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提出，由</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负责答复。</w:t>
      </w:r>
    </w:p>
    <w:p w14:paraId="04BF3EE1">
      <w:pPr>
        <w:pageBreakBefore w:val="0"/>
        <w:widowControl w:val="0"/>
        <w:tabs>
          <w:tab w:val="left" w:pos="1331"/>
        </w:tabs>
        <w:kinsoku/>
        <w:wordWrap/>
        <w:overflowPunct/>
        <w:topLinePunct w:val="0"/>
        <w:autoSpaceDE/>
        <w:autoSpaceDN/>
        <w:bidi w:val="0"/>
        <w:adjustRightInd/>
        <w:snapToGrid/>
        <w:spacing w:line="460" w:lineRule="exact"/>
        <w:ind w:firstLine="480"/>
        <w:jc w:val="lef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lang w:val="en-US" w:eastAsia="zh-CN" w:bidi="ar-SA"/>
        </w:rPr>
        <w:t>只接收以纸质原件形式送达的质疑,</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lang w:val="en-US" w:eastAsia="zh-CN" w:bidi="ar-SA"/>
        </w:rPr>
        <w:t>不接受未填写快递运单的快件。质疑接收部门为盐城市鲸咚项目管理有限公司 业务受理处，联系地址：</w:t>
      </w:r>
      <w:r>
        <w:rPr>
          <w:rFonts w:ascii="宋体" w:hAnsi="宋体" w:eastAsia="宋体" w:cs="宋体"/>
          <w:sz w:val="24"/>
          <w:szCs w:val="24"/>
        </w:rPr>
        <w:t>滨海县坎北街道大学生创业园 C 东 103-2（盐城市鲸咚项目管理有限公司）</w:t>
      </w:r>
      <w:r>
        <w:rPr>
          <w:rFonts w:hint="eastAsia" w:ascii="宋体" w:hAnsi="宋体" w:eastAsia="宋体" w:cs="宋体"/>
          <w:color w:val="auto"/>
          <w:sz w:val="24"/>
          <w:szCs w:val="24"/>
          <w:highlight w:val="none"/>
          <w:lang w:val="en-US" w:eastAsia="zh-CN" w:bidi="ar-SA"/>
        </w:rPr>
        <w:t>，联系电话：19962308468。</w:t>
      </w:r>
    </w:p>
    <w:p w14:paraId="172479C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 以下情形的质疑不予受理</w:t>
      </w:r>
    </w:p>
    <w:p w14:paraId="35D6142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28.5.1内容不符合《政府采购质疑和投诉办法》第十二条规定的质疑。</w:t>
      </w:r>
    </w:p>
    <w:p w14:paraId="42F5C2F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28.5.2超出政府采购法定期限的质疑。</w:t>
      </w:r>
    </w:p>
    <w:p w14:paraId="1DD0D10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28.5.3以传真、电子邮件等方式递交的非原件形式的质疑。</w:t>
      </w:r>
    </w:p>
    <w:p w14:paraId="30A39C1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28.5.4未参加投标活动的供应商或在投标活动中自身权益未受到损害的供应商所提出的质疑。</w:t>
      </w:r>
    </w:p>
    <w:p w14:paraId="013FD9D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28.5.5供应商组成联合体参加投标，联合体中任何一方或多方未按要求签字、盖章、加盖公章的质疑。</w:t>
      </w:r>
    </w:p>
    <w:p w14:paraId="355C3B59">
      <w:pPr>
        <w:pStyle w:val="33"/>
        <w:pageBreakBefore w:val="0"/>
        <w:widowControl w:val="0"/>
        <w:kinsoku/>
        <w:wordWrap/>
        <w:overflowPunct/>
        <w:topLinePunct w:val="0"/>
        <w:autoSpaceDE/>
        <w:autoSpaceDN/>
        <w:bidi w:val="0"/>
        <w:adjustRightInd/>
        <w:snapToGrid/>
        <w:spacing w:beforeAutospacing="0" w:afterAutospacing="0" w:line="460" w:lineRule="exact"/>
        <w:ind w:firstLine="468"/>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28.6供应商提出书面质疑必须有理、有据，不得捏造事实、提供虚假材料进行恶意质疑。否则，一经查实，</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有权依据政府采购的有关规定，报请政府采购监管部门对该供应商进行相应的行政处罚和记录该供应商的失信信息。</w:t>
      </w:r>
    </w:p>
    <w:p w14:paraId="6C286AF8">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29、中标通知书</w:t>
      </w:r>
    </w:p>
    <w:p w14:paraId="64263B34">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29.l中标结果确定后，</w:t>
      </w:r>
      <w:r>
        <w:rPr>
          <w:rFonts w:hint="eastAsia" w:ascii="宋体" w:hAnsi="宋体" w:eastAsia="宋体" w:cs="宋体"/>
          <w:color w:val="auto"/>
          <w:sz w:val="24"/>
          <w:szCs w:val="24"/>
          <w:highlight w:val="none"/>
          <w:lang w:val="en-US" w:eastAsia="zh-CN"/>
        </w:rPr>
        <w:t>采购人及代理机构</w:t>
      </w:r>
      <w:r>
        <w:rPr>
          <w:rFonts w:hint="eastAsia" w:ascii="宋体" w:hAnsi="宋体" w:eastAsia="宋体" w:cs="宋体"/>
          <w:color w:val="auto"/>
          <w:sz w:val="24"/>
          <w:szCs w:val="24"/>
          <w:highlight w:val="none"/>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2E584E6E">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29.2中标通知书将是合同的一个组成部分。对采购人和中标人均具有法律效力。中标通知书发出后，采购人改变中标结果的，或者中标人放弃中标项目的，应当依法承担法律责任。</w:t>
      </w:r>
    </w:p>
    <w:p w14:paraId="17488BD2">
      <w:pPr>
        <w:pStyle w:val="33"/>
        <w:keepNext/>
        <w:keepLines/>
        <w:pageBreakBefore w:val="0"/>
        <w:widowControl w:val="0"/>
        <w:kinsoku/>
        <w:wordWrap/>
        <w:overflowPunct/>
        <w:topLinePunct w:val="0"/>
        <w:autoSpaceDE/>
        <w:autoSpaceDN/>
        <w:bidi w:val="0"/>
        <w:adjustRightInd/>
        <w:snapToGrid/>
        <w:spacing w:beforeAutospacing="0" w:afterAutospacing="0" w:line="460" w:lineRule="exact"/>
        <w:jc w:val="both"/>
        <w:textAlignment w:val="auto"/>
        <w:rPr>
          <w:rFonts w:hint="eastAsia" w:ascii="宋体" w:hAnsi="宋体" w:eastAsia="宋体" w:cs="宋体"/>
          <w:color w:val="auto"/>
          <w:sz w:val="24"/>
          <w:szCs w:val="24"/>
          <w:highlight w:val="none"/>
        </w:rPr>
      </w:pPr>
      <w:bookmarkStart w:id="161" w:name="_Toc16938552"/>
      <w:bookmarkStart w:id="162" w:name="_Toc120614220"/>
      <w:bookmarkStart w:id="163" w:name="_Toc513029236"/>
      <w:bookmarkStart w:id="164" w:name="_Toc20823308"/>
      <w:r>
        <w:rPr>
          <w:rFonts w:hint="eastAsia" w:ascii="宋体" w:hAnsi="宋体" w:eastAsia="宋体" w:cs="宋体"/>
          <w:b/>
          <w:color w:val="auto"/>
          <w:sz w:val="24"/>
          <w:szCs w:val="24"/>
          <w:highlight w:val="none"/>
        </w:rPr>
        <w:t>七、授予合同</w:t>
      </w:r>
      <w:bookmarkEnd w:id="161"/>
      <w:bookmarkEnd w:id="162"/>
      <w:bookmarkEnd w:id="163"/>
      <w:bookmarkEnd w:id="164"/>
    </w:p>
    <w:p w14:paraId="334CA433">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bookmarkStart w:id="165" w:name="_Toc20823309"/>
      <w:bookmarkStart w:id="166" w:name="_Toc513029237"/>
      <w:bookmarkStart w:id="167" w:name="_Toc16938553"/>
      <w:r>
        <w:rPr>
          <w:rFonts w:hint="eastAsia" w:ascii="宋体" w:hAnsi="宋体" w:eastAsia="宋体" w:cs="宋体"/>
          <w:color w:val="auto"/>
          <w:sz w:val="24"/>
          <w:szCs w:val="24"/>
          <w:highlight w:val="none"/>
        </w:rPr>
        <w:t>30.签订合同</w:t>
      </w:r>
      <w:bookmarkEnd w:id="165"/>
      <w:bookmarkEnd w:id="166"/>
      <w:bookmarkEnd w:id="167"/>
    </w:p>
    <w:p w14:paraId="40170919">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30.l中标人应当在中标通知书发出之日起三十日内，按照招标文件确定的事项与采购人签订政府采购合同。</w:t>
      </w:r>
    </w:p>
    <w:p w14:paraId="7EF57609">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30.2招标文件、中标人的投标文件及招标过程中有关澄清、承诺文件均应作为合同附件。</w:t>
      </w:r>
    </w:p>
    <w:p w14:paraId="1112FD2A">
      <w:pPr>
        <w:pStyle w:val="33"/>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30.3签订合同后，</w:t>
      </w:r>
      <w:r>
        <w:rPr>
          <w:rFonts w:hint="eastAsia" w:ascii="宋体" w:hAnsi="宋体" w:eastAsia="宋体" w:cs="宋体"/>
          <w:i/>
          <w:color w:val="auto"/>
          <w:sz w:val="24"/>
          <w:szCs w:val="24"/>
          <w:highlight w:val="none"/>
          <w:u w:val="single"/>
        </w:rPr>
        <w:t>中标人不得将合同标的进行转包</w:t>
      </w:r>
      <w:r>
        <w:rPr>
          <w:rFonts w:hint="eastAsia" w:ascii="宋体" w:hAnsi="宋体" w:eastAsia="宋体" w:cs="宋体"/>
          <w:color w:val="auto"/>
          <w:sz w:val="24"/>
          <w:szCs w:val="24"/>
          <w:highlight w:val="none"/>
        </w:rPr>
        <w:t>。未经采购人同意，中标人也不得采用分包的形式履行合同，否则采购人有权</w:t>
      </w:r>
      <w:r>
        <w:rPr>
          <w:rFonts w:ascii="宋体" w:hAnsi="宋体" w:eastAsia="宋体" w:cs="宋体"/>
          <w:sz w:val="24"/>
          <w:szCs w:val="24"/>
        </w:rPr>
        <w:t>单方解除合同</w:t>
      </w:r>
      <w:r>
        <w:rPr>
          <w:rFonts w:hint="eastAsia" w:ascii="宋体" w:hAnsi="宋体" w:eastAsia="宋体" w:cs="宋体"/>
          <w:color w:val="auto"/>
          <w:sz w:val="24"/>
          <w:szCs w:val="24"/>
          <w:highlight w:val="none"/>
        </w:rPr>
        <w:t>。转包或分包造成采购人损失的，中标人应承担相应赔偿责任。</w:t>
      </w:r>
    </w:p>
    <w:p w14:paraId="4CA1A84B">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31、服务（包含与服务相关的货物）的追加</w:t>
      </w:r>
    </w:p>
    <w:p w14:paraId="0B9BD7E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46AC70DE">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32.政府采购政策功能落实</w:t>
      </w:r>
    </w:p>
    <w:p w14:paraId="52882963">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32.1</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eastAsia="zh-CN"/>
        </w:rPr>
        <w:t>线上合同信用融资</w:t>
      </w:r>
      <w:r>
        <w:rPr>
          <w:rFonts w:hint="eastAsia" w:ascii="宋体" w:hAnsi="宋体" w:eastAsia="宋体" w:cs="宋体"/>
          <w:color w:val="auto"/>
          <w:sz w:val="24"/>
          <w:szCs w:val="24"/>
          <w:highlight w:val="none"/>
        </w:rPr>
        <w:t>政策</w:t>
      </w:r>
    </w:p>
    <w:p w14:paraId="0A456CE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根据《转发江苏省财政厅 中国人民银行南京分行&lt;关于深入推进政府采购线上合同信用融资工作的通知&gt;的通知》（盐财购〔2021〕20号）规定，中标供应商如有融资需求，可持政府采购合同在线向相关金融机构（具体信息详见</w:t>
      </w:r>
      <w:r>
        <w:rPr>
          <w:rFonts w:hint="eastAsia" w:ascii="宋体" w:hAnsi="宋体" w:eastAsia="宋体" w:cs="宋体"/>
          <w:color w:val="auto"/>
          <w:sz w:val="24"/>
          <w:szCs w:val="24"/>
          <w:highlight w:val="none"/>
          <w:lang w:val="en-US" w:eastAsia="zh-CN"/>
        </w:rPr>
        <w:t>江苏省</w:t>
      </w:r>
      <w:r>
        <w:rPr>
          <w:rFonts w:hint="eastAsia" w:ascii="宋体" w:hAnsi="宋体" w:eastAsia="宋体" w:cs="宋体"/>
          <w:color w:val="auto"/>
          <w:sz w:val="24"/>
          <w:szCs w:val="24"/>
          <w:highlight w:val="none"/>
        </w:rPr>
        <w:t>政府采购网“政采贷”栏目）申请贷款，相关金融机构按照双方自愿的原则提供便捷、优惠的贷款服务；具体操作流程请参考苏采云系统中操作手册。 </w:t>
      </w:r>
    </w:p>
    <w:p w14:paraId="577E08AF">
      <w:pPr>
        <w:pageBreakBefore w:val="0"/>
        <w:widowControl w:val="0"/>
        <w:tabs>
          <w:tab w:val="left" w:pos="1381"/>
        </w:tabs>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32.2进口产品</w:t>
      </w:r>
    </w:p>
    <w:p w14:paraId="2A54401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进口产品</w:t>
      </w:r>
      <w:r>
        <w:rPr>
          <w:rFonts w:hint="eastAsia" w:ascii="宋体" w:hAnsi="宋体" w:eastAsia="宋体" w:cs="宋体"/>
          <w:color w:val="auto"/>
          <w:sz w:val="24"/>
          <w:szCs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EA8D1AD">
      <w:pPr>
        <w:pageBreakBefore w:val="0"/>
        <w:widowControl w:val="0"/>
        <w:tabs>
          <w:tab w:val="left" w:pos="1381"/>
        </w:tabs>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32.3中小企业、监狱企业及残疾人福利性单位</w:t>
      </w:r>
    </w:p>
    <w:p w14:paraId="747B4B0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32.3.1中小企业定义：</w:t>
      </w:r>
    </w:p>
    <w:p w14:paraId="5E6C58A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4755426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32.3.2供应商提供的货物、工程或者服务符合下列情形的，享受中小企业扶持政策：</w:t>
      </w:r>
    </w:p>
    <w:p w14:paraId="4364627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32.3.2.1在货物采购项目中，货物由中小企业制造，即货物由中小企业生产且使用该中小企业商号或者注册商标；</w:t>
      </w:r>
    </w:p>
    <w:p w14:paraId="09AA9AF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32.3.2.2在工程采购项目中，工程由中小企业承建，即工程施工单位为中小企业；</w:t>
      </w:r>
    </w:p>
    <w:p w14:paraId="3923808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32.3.2.3在服务采购项目中，服务由中小企业承接，即提供服务的人员为中小企业依照《中华人民共和国劳动合同法》订立劳动合同的从业人员。</w:t>
      </w:r>
    </w:p>
    <w:p w14:paraId="6330C60D">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32.3.3在货物采购项目中，供应商提供的货物既有中小企业制造货物，也有大型企业制造货物的，不享受中小企业扶持政策。</w:t>
      </w:r>
    </w:p>
    <w:p w14:paraId="0FBD6BB2">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32.3.4以联合体形式参加政府采购活动，联合体各方均为中小企业的，联合体视同中小企业。其中，联合体各方均为小微企业的，联合体视同小微企业。</w:t>
      </w:r>
    </w:p>
    <w:p w14:paraId="44690427">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44DF5D3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32.3.6残疾人福利单位定义：享受政府采购支持政策的残疾人福利性单位应当同时满足以下条件：</w:t>
      </w:r>
    </w:p>
    <w:p w14:paraId="792C7A6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32.3.6.1安置的残疾人占本单位在职职工人数的比例不低于25%（含25%），并且安置的残疾人人数不少于10 人（含10 人）；</w:t>
      </w:r>
    </w:p>
    <w:p w14:paraId="1A1BC23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32.3.6.2依法与安置的每位残疾人签订了一年以上（含一年）的劳动合同或服务协议；</w:t>
      </w:r>
    </w:p>
    <w:p w14:paraId="60FEE21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32.3.6.3为安置的每位残疾人按月足额缴纳了基本养老保险、基本医疗保险、失业保险、工伤保险和生育保险等社会保险费；</w:t>
      </w:r>
    </w:p>
    <w:p w14:paraId="024D0885">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32.3.6.4通过银行等金融机构向安置的每位残疾人，按月支付了不低于单位所在区县适用的经省级人民政府批准的月最低工资标准的工资；</w:t>
      </w:r>
    </w:p>
    <w:p w14:paraId="55249D2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32.3.6.5提供本单位制造的货物、承担的工程或者服务（以下简称产品），或者提供其他残疾人福利性单位制造的货物（不包括使用非残疾人福利性单位注册商标的货物）；</w:t>
      </w:r>
    </w:p>
    <w:p w14:paraId="6859B3F9">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EB15E5E">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32.3.7本项目是否专门面向中小企业预留采购份额见第一章《招标公告》。</w:t>
      </w:r>
    </w:p>
    <w:p w14:paraId="1F523363">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32.3.8采购标的对应的中小企业划分标准所属行业见第四章《采购需求》。</w:t>
      </w:r>
    </w:p>
    <w:p w14:paraId="03790CBA">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32.3.9小微企业价格评审优惠的政策：见第五章《评标方法和评标标准》。</w:t>
      </w:r>
    </w:p>
    <w:p w14:paraId="64F9EEC7">
      <w:pPr>
        <w:pStyle w:val="33"/>
        <w:keepNext/>
        <w:keepLines/>
        <w:pageBreakBefore w:val="0"/>
        <w:widowControl w:val="0"/>
        <w:kinsoku/>
        <w:wordWrap/>
        <w:overflowPunct/>
        <w:topLinePunct w:val="0"/>
        <w:autoSpaceDE/>
        <w:autoSpaceDN/>
        <w:bidi w:val="0"/>
        <w:adjustRightInd/>
        <w:snapToGrid/>
        <w:spacing w:beforeAutospacing="0" w:afterAutospacing="0" w:line="460" w:lineRule="exact"/>
        <w:ind w:firstLine="60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32.4政府采购节能产品、环境标志产品</w:t>
      </w:r>
    </w:p>
    <w:p w14:paraId="0EE0F7C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1532E1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95BCE36">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32.5绿色包装</w:t>
      </w:r>
    </w:p>
    <w:p w14:paraId="12F5A788">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中涉及商品的包装应按照“财办库〔2020〕123号《关于印发《商品包装政府采购需求标准（试行）》、《快递包装政府采购需求标准（试行）》的通知》”执行,在供货、安装过程中能做到低碳物流、环保节约、提高资源利用率。</w:t>
      </w:r>
    </w:p>
    <w:p w14:paraId="6F8655CB">
      <w:pPr>
        <w:pageBreakBefore w:val="0"/>
        <w:widowControl w:val="0"/>
        <w:tabs>
          <w:tab w:val="left" w:pos="1381"/>
        </w:tabs>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32.6政府采购创新产品</w:t>
      </w:r>
    </w:p>
    <w:p w14:paraId="288D039F">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采购人优先采购各级政府部门公开发布的有效期内的创新产品、创新服务、首台套、首购首用等《目录》的创新产品。</w:t>
      </w:r>
    </w:p>
    <w:p w14:paraId="4C77A3F8">
      <w:pPr>
        <w:pageBreakBefore w:val="0"/>
        <w:widowControl w:val="0"/>
        <w:tabs>
          <w:tab w:val="left" w:pos="1381"/>
        </w:tabs>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32.7绿色数据中心政策 </w:t>
      </w:r>
    </w:p>
    <w:p w14:paraId="0AD70DB0">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348810B4">
      <w:pPr>
        <w:pageBreakBefore w:val="0"/>
        <w:widowControl w:val="0"/>
        <w:tabs>
          <w:tab w:val="left" w:pos="1381"/>
        </w:tabs>
        <w:kinsoku/>
        <w:wordWrap/>
        <w:overflowPunct/>
        <w:topLinePunct w:val="0"/>
        <w:autoSpaceDE/>
        <w:autoSpaceDN/>
        <w:bidi w:val="0"/>
        <w:adjustRightInd/>
        <w:snapToGrid/>
        <w:spacing w:line="460" w:lineRule="exact"/>
        <w:ind w:firstLine="482"/>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32.8履约保证金政策</w:t>
      </w:r>
    </w:p>
    <w:p w14:paraId="27B59F1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确需收取履约保证金的，履约保证金的缴纳形式：</w:t>
      </w:r>
    </w:p>
    <w:p w14:paraId="661CBC7C">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ascii="宋体" w:hAnsi="宋体" w:eastAsia="宋体" w:cs="宋体"/>
          <w:sz w:val="24"/>
          <w:szCs w:val="24"/>
        </w:rPr>
        <w:t>确需收取履约保证金的，履约保证</w:t>
      </w:r>
      <w:r>
        <w:rPr>
          <w:rFonts w:ascii="宋体" w:hAnsi="宋体" w:eastAsia="宋体" w:cs="宋体"/>
          <w:b w:val="0"/>
          <w:bCs w:val="0"/>
          <w:sz w:val="24"/>
          <w:szCs w:val="24"/>
        </w:rPr>
        <w:t>金</w:t>
      </w:r>
      <w:r>
        <w:rPr>
          <w:rStyle w:val="38"/>
          <w:rFonts w:ascii="宋体" w:hAnsi="宋体" w:eastAsia="宋体" w:cs="宋体"/>
          <w:b w:val="0"/>
          <w:bCs w:val="0"/>
          <w:color w:val="000000"/>
          <w:sz w:val="24"/>
          <w:szCs w:val="24"/>
        </w:rPr>
        <w:t>仅接受银行转账</w:t>
      </w:r>
      <w:r>
        <w:rPr>
          <w:rFonts w:ascii="宋体" w:hAnsi="宋体" w:eastAsia="宋体" w:cs="宋体"/>
          <w:b w:val="0"/>
          <w:bCs w:val="0"/>
          <w:sz w:val="24"/>
          <w:szCs w:val="24"/>
        </w:rPr>
        <w:t>方式</w:t>
      </w:r>
      <w:r>
        <w:rPr>
          <w:rFonts w:ascii="宋体" w:hAnsi="宋体" w:eastAsia="宋体" w:cs="宋体"/>
          <w:sz w:val="24"/>
          <w:szCs w:val="24"/>
        </w:rPr>
        <w:t>缴纳，不接受支票、汇票、本票、金融机构保函、电子履约保函（保险）等其他缴纳形式</w:t>
      </w:r>
      <w:r>
        <w:rPr>
          <w:rFonts w:hint="eastAsia" w:ascii="宋体" w:hAnsi="宋体" w:eastAsia="宋体" w:cs="宋体"/>
          <w:color w:val="auto"/>
          <w:sz w:val="24"/>
          <w:szCs w:val="24"/>
          <w:highlight w:val="none"/>
          <w:lang w:val="en-US" w:eastAsia="zh-CN"/>
        </w:rPr>
        <w:t>。</w:t>
      </w:r>
    </w:p>
    <w:p w14:paraId="73D37491">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33. 预付款制度</w:t>
      </w:r>
    </w:p>
    <w:p w14:paraId="40D3A714">
      <w:pPr>
        <w:pStyle w:val="33"/>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本项目落实预付款制度</w:t>
      </w:r>
      <w:r>
        <w:rPr>
          <w:rFonts w:hint="eastAsia" w:ascii="宋体" w:hAnsi="宋体" w:eastAsia="宋体" w:cs="宋体"/>
          <w:color w:val="auto"/>
          <w:sz w:val="24"/>
          <w:szCs w:val="24"/>
          <w:highlight w:val="none"/>
          <w:u w:val="none"/>
          <w:lang w:val="en-US" w:eastAsia="zh-CN"/>
        </w:rPr>
        <w:t xml:space="preserve">，预付款比例为 </w:t>
      </w:r>
      <w:r>
        <w:rPr>
          <w:rFonts w:hint="eastAsia" w:ascii="宋体" w:hAnsi="宋体" w:eastAsia="宋体" w:cs="宋体"/>
          <w:color w:val="auto"/>
          <w:sz w:val="24"/>
          <w:szCs w:val="24"/>
          <w:highlight w:val="none"/>
          <w:u w:val="single"/>
          <w:lang w:val="en-US" w:eastAsia="zh-CN"/>
        </w:rPr>
        <w:t xml:space="preserve"> / </w:t>
      </w:r>
      <w:r>
        <w:rPr>
          <w:rFonts w:hint="eastAsia" w:ascii="宋体" w:hAnsi="宋体" w:eastAsia="宋体" w:cs="宋体"/>
          <w:color w:val="auto"/>
          <w:sz w:val="24"/>
          <w:szCs w:val="24"/>
          <w:highlight w:val="none"/>
          <w:u w:val="none"/>
          <w:lang w:val="en-US" w:eastAsia="zh-CN"/>
        </w:rPr>
        <w:t>。在</w:t>
      </w:r>
      <w:r>
        <w:rPr>
          <w:rFonts w:hint="eastAsia" w:ascii="宋体" w:hAnsi="宋体" w:eastAsia="宋体" w:cs="宋体"/>
          <w:color w:val="auto"/>
          <w:sz w:val="24"/>
          <w:szCs w:val="24"/>
          <w:highlight w:val="none"/>
          <w:lang w:val="en-US" w:eastAsia="zh-CN"/>
        </w:rPr>
        <w:t>签订合同时，中标、成交供应商明确书面表示无需预付款或者主动要求降低预付款比例的，采购人可就预付款比例作相应调整。</w:t>
      </w:r>
    </w:p>
    <w:p w14:paraId="1DDDD55B">
      <w:pPr>
        <w:pStyle w:val="33"/>
        <w:pageBreakBefore w:val="0"/>
        <w:widowControl w:val="0"/>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sz w:val="24"/>
          <w:szCs w:val="24"/>
          <w:highlight w:val="none"/>
          <w:lang w:val="en-US" w:eastAsia="zh-CN"/>
        </w:rPr>
      </w:pPr>
    </w:p>
    <w:p w14:paraId="11D414ED">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21F3548">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220B7C1D">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17FB2CE4">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4D35B8E5">
      <w:pPr>
        <w:pStyle w:val="33"/>
        <w:spacing w:beforeAutospacing="0" w:afterAutospacing="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w:t>
      </w:r>
    </w:p>
    <w:p w14:paraId="7CB6FBBB">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2C7271CB">
      <w:pPr>
        <w:keepNext w:val="0"/>
        <w:keepLines w:val="0"/>
        <w:pageBreakBefore w:val="0"/>
        <w:widowControl w:val="0"/>
        <w:spacing w:line="500" w:lineRule="exact"/>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第三章  合同文本</w:t>
      </w:r>
    </w:p>
    <w:p w14:paraId="74969CA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jc w:val="both"/>
        <w:textAlignment w:val="auto"/>
        <w:rPr>
          <w:rFonts w:hint="eastAsia" w:ascii="宋体" w:hAnsi="宋体" w:eastAsia="宋体" w:cs="宋体"/>
          <w:color w:val="auto"/>
          <w:sz w:val="24"/>
          <w:szCs w:val="24"/>
          <w:highlight w:val="none"/>
        </w:rPr>
      </w:pPr>
      <w:bookmarkStart w:id="168" w:name="_Toc513029243"/>
      <w:bookmarkStart w:id="169" w:name="_Toc16938559"/>
      <w:bookmarkStart w:id="170" w:name="_Toc20823315"/>
      <w:r>
        <w:rPr>
          <w:rFonts w:hint="eastAsia" w:ascii="宋体" w:hAnsi="宋体" w:eastAsia="宋体" w:cs="宋体"/>
          <w:color w:val="auto"/>
          <w:sz w:val="24"/>
          <w:szCs w:val="24"/>
          <w:highlight w:val="none"/>
        </w:rPr>
        <w:t>以下为中标后</w:t>
      </w:r>
      <w:r>
        <w:rPr>
          <w:rFonts w:hint="eastAsia" w:ascii="宋体" w:hAnsi="宋体" w:eastAsia="宋体" w:cs="宋体"/>
          <w:color w:val="auto"/>
          <w:sz w:val="24"/>
          <w:szCs w:val="24"/>
          <w:highlight w:val="none"/>
          <w:lang w:eastAsia="zh-CN"/>
        </w:rPr>
        <w:t>签订</w:t>
      </w:r>
      <w:r>
        <w:rPr>
          <w:rFonts w:hint="eastAsia" w:ascii="宋体" w:hAnsi="宋体" w:eastAsia="宋体" w:cs="宋体"/>
          <w:color w:val="auto"/>
          <w:sz w:val="24"/>
          <w:szCs w:val="24"/>
          <w:highlight w:val="none"/>
        </w:rPr>
        <w:t>本项目合同的通用条款，中标人不得提出实质性的修改。</w:t>
      </w:r>
      <w:bookmarkEnd w:id="168"/>
      <w:bookmarkEnd w:id="169"/>
      <w:bookmarkEnd w:id="170"/>
    </w:p>
    <w:p w14:paraId="3F3B226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项目名称：滨海县滨淮镇街道、农村市容服务外包(27个村居和集镇范围)采购项目</w:t>
      </w:r>
    </w:p>
    <w:p w14:paraId="06E2B37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项目编号：___________</w:t>
      </w:r>
    </w:p>
    <w:p w14:paraId="311BE78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甲方（采购人）：滨海县滨淮镇人民政府</w:t>
      </w:r>
    </w:p>
    <w:p w14:paraId="254A616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乙方（中标供应商/服务方）：___________</w:t>
      </w:r>
    </w:p>
    <w:p w14:paraId="04391D7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根据《中华人民共和国政府采购法》《中华人民共和国民法典》等相关法律法规，本项目通过公开招标方式确定乙方为中标服务单位。甲乙双方本着平等自愿、公平诚信、履约尽责的原则，结合本项目招标文件、乙方投标文件及相关澄清承诺文件，订立本合同，双方共同遵照执行。</w:t>
      </w:r>
    </w:p>
    <w:p w14:paraId="498258A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第一条 合同服务内容与服务范围</w:t>
      </w:r>
    </w:p>
    <w:p w14:paraId="71DBBB7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 服务范围：服务区域为滨海县滨淮镇集镇建成区全域及下辖27个行政村（滨淮村、建东村、双建村、合兴村、新岭村、玉滩村、头罾村、罾塘村、东罾村、硝场村、长建村、建民村、河西村、公玉村、长兴村、樊集村、沿边村、陆塘村、新圩村、山滩村、五星村、同心村、中舍村、三友村、民主村、裕民村、兴淮村）全部行政区域，涵盖区域内所有主次干道、背街小巷、公共场地、河道沟渠、田间道路、闲置空地、村居出入口、企业作坊外围、公共设施周边等全部公共区域。</w:t>
      </w:r>
    </w:p>
    <w:p w14:paraId="18AE359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 核心服务内容</w:t>
      </w:r>
    </w:p>
    <w:p w14:paraId="5726F7B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1.2.1 全域常态化巡查管控：负责集镇及27个村居市容秩序、人居环境、违法建设日常巡查，全覆盖无死角排查乱堆乱放、乱搭乱建、占道经营、垃圾乱抛、污水直排、户外广告乱贴、车辆乱停、露天粪坑、废品堆放、河道漂浮垃圾、岸边杂草、私搭拦网、违建围堰等各类违规乱象。</w:t>
      </w:r>
    </w:p>
    <w:p w14:paraId="6DF8942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1.2.2 现场处置与上报：对巡查发现的各类问题第一时间现场劝阻、制止、整改；对拒不整改、新增违建、重大环境问题、排污行为等，即时拍照取证、登记台账，当日上报镇相关职能部门，重大突发问题30分钟内抵达现场并上报。</w:t>
      </w:r>
    </w:p>
    <w:p w14:paraId="0FAC20FF">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1.2.3 专项保障服务：全程配合甲方开展人居环境整治、集镇市容专项清理、违建排查拆除、河道清整、节庆安保、迎检督查、台风暴雨应急值守等各类专项工作，无条件服从甲方调度加班值守。</w:t>
      </w:r>
    </w:p>
    <w:p w14:paraId="1948A83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1.2.4 台账管理：建立每日巡查台账、问题照片台账、整改回访台账、月度培训台账，按月汇总整理提交甲方备案，做到问题可追溯、台账可核查。</w:t>
      </w:r>
    </w:p>
    <w:p w14:paraId="767D0A7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第二条 合同服务期限</w:t>
      </w:r>
    </w:p>
    <w:p w14:paraId="0D13855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本合同服务期限为自合同签订之日起1年，服务期满前，甲乙双方可根据履约考核情况协商后续合作事宜，无协商续约则合同自动终止。</w:t>
      </w:r>
    </w:p>
    <w:p w14:paraId="01E2A51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第三条 人员、设备及服务配置标准</w:t>
      </w:r>
    </w:p>
    <w:p w14:paraId="6034952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 人员配置硬性要求</w:t>
      </w:r>
    </w:p>
    <w:p w14:paraId="26142D0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3.1.1 乙方全程固定配备共计61名服务人员（含1名项目负责人），所有人员须经甲方面试、考核同意后方可上岗，人员配置全程满编在岗，不得缺岗、漏岗、空编。</w:t>
      </w:r>
    </w:p>
    <w:p w14:paraId="5105C7A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3.1.2 普通工作人员要求：中华人民共和国国籍，无违法犯罪、行政拘留、吸毒等不良记录，政审合格；男性，年龄18-45周岁，身高不低于1.65米，身体健康、无重大疾病、无色觉异常、无明显纹身、无传染病，可适应户外及田间河道高强度巡查作业；高中/中专及以上学历，具备基础文字记录、拍照上传、沟通协调能力，退伍军人、有市容管理经验者优先。</w:t>
      </w:r>
    </w:p>
    <w:p w14:paraId="1E5409D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3.1.3 项目负责人要求：18-45周岁，大专及以上学历，具备5年以上市容管理、农村环境外包项目管理经验，全程驻镇办公，专职负责人员调度、台账管理、对接甲方各部门、响应整改任务，不得兼职、脱岗。</w:t>
      </w:r>
    </w:p>
    <w:p w14:paraId="3D80C5C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3.1.4 人员管理：乙方更换工作人员必须提前书面报备甲方，经甲方审核同意后方可更换；私自更换人员的，每人每次扣除违约金1000元。所有人员上岗前需完成岗前安全、作业规范、应急处置培训，每周累计培训时长不少于2小时，培训签到、照片、记录按月提交甲方备案。</w:t>
      </w:r>
    </w:p>
    <w:p w14:paraId="022B662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3.1.5 </w:t>
      </w:r>
      <w:r>
        <w:rPr>
          <w:rFonts w:ascii="宋体" w:hAnsi="宋体" w:eastAsia="宋体" w:cs="宋体"/>
          <w:sz w:val="24"/>
          <w:szCs w:val="24"/>
        </w:rPr>
        <w:t>乙方须在合同签订前向甲方提交全部拟派驻人员身份证、无犯罪记录证明、体检报告、学历证书原件核验，未按期提交或材料造假的，甲方有权取消中标资格、不予签订合同，投标保证金（如有）不予退还</w:t>
      </w:r>
      <w:r>
        <w:rPr>
          <w:rFonts w:hint="eastAsia" w:ascii="宋体" w:hAnsi="宋体" w:eastAsia="宋体" w:cs="宋体"/>
          <w:sz w:val="24"/>
          <w:szCs w:val="24"/>
          <w:lang w:eastAsia="zh-CN"/>
        </w:rPr>
        <w:t>。</w:t>
      </w:r>
    </w:p>
    <w:p w14:paraId="0191F2C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 薪资与社保硬性规定（不可竞争条款）</w:t>
      </w:r>
    </w:p>
    <w:p w14:paraId="04F8763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3.2.1 所有在岗服务人员月度应发工资不得低于滨海县现行最低工资标准及本地同类外包岗位合理薪酬水平，人员工资、社会保险、住房公积金均属于法定不可竞争成本。</w:t>
      </w:r>
    </w:p>
    <w:p w14:paraId="2ACAF03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3.2.2 乙方必须按照滨海县社保最低缴费标准及国家、省、市、县现行社保政策，为全体服务人员足额缴纳五险；须为每一名在岗人员统一投保足额雇主责任险，规避作业工伤风险；乙方需与全部服务人员依法签订规范劳动合同，劳动合同、社保缴费凭证、保险保单等材料采购人可随时要求乙方提供原件备查。</w:t>
      </w:r>
    </w:p>
    <w:p w14:paraId="5C81324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3.2.3 服务人员全部劳动报酬、各类加班费、高温津贴、福利费、单位及个人社会保险、住房公积金、执勤服装、反光防护装备、巡查通讯设备、办公台账耗材、岗前及常态化培训、雇主责任险、人身意外险、项目管理费、税金、人工成本上涨预估等实施本项目全部费用，合同履行期间采购人不再额外支付任何款项。</w:t>
      </w:r>
    </w:p>
    <w:p w14:paraId="418535B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第四条 服务工作标准与作业规范</w:t>
      </w:r>
    </w:p>
    <w:p w14:paraId="58C5053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4.1 作业时间：每日服务时间为7:30-18:00，人居环境迎检、节假日、恶劣天气、专项整治、应急任务期间，乙方无条件全员加班值守，无时间限制。</w:t>
      </w:r>
    </w:p>
    <w:p w14:paraId="3604847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 巡查作业标准</w:t>
      </w:r>
    </w:p>
    <w:p w14:paraId="49E8443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4.2.1 实行网格化分片责任制，各片区专人固定值守，每日全域全覆盖巡查，无死角、无漏巡，留存完整巡查轨迹。</w:t>
      </w:r>
    </w:p>
    <w:p w14:paraId="0E75FBF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4.2.2 当日发现问题当日处置、当日登记、当日上报，拒不整改的点位全程跟踪回访，形成闭环管理。</w:t>
      </w:r>
    </w:p>
    <w:p w14:paraId="5CFF6BEB">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4.2.3 违建动态每日排查，新增搭建第一时间劝阻、拍照、书面上报甲方；河道沟渠每日巡岸，及时处置水面漂浮垃圾、岸边杂物，排查污水直排、河道围垦等违规行为。</w:t>
      </w:r>
    </w:p>
    <w:p w14:paraId="3717DB2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 响应时效</w:t>
      </w:r>
    </w:p>
    <w:p w14:paraId="5FF6C55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甲方交办常规问题1小时内到场处置；突发违建、河道污染、重大环境乱象等紧急问题30分钟内抵达现场并上报。</w:t>
      </w:r>
    </w:p>
    <w:p w14:paraId="106E3F9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4.4 安全作业要求</w:t>
      </w:r>
    </w:p>
    <w:p w14:paraId="7A0FD6A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乙方全面负责所有工作人员作业安全，全员开展岗前安全培训，所有户外、田间、河道作业风险、人员疾病、摔伤、溺水、交通意外等全部责任、费用由乙方自行承担，与甲方无关。</w:t>
      </w:r>
    </w:p>
    <w:p w14:paraId="6FDC782F">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第五条 合同金额与费用包干范围</w:t>
      </w:r>
    </w:p>
    <w:p w14:paraId="1627962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5.1 合同总金额：人民币___________元（大写：___________），合同总价为固定包干价。</w:t>
      </w:r>
    </w:p>
    <w:p w14:paraId="2A427AF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5.2 </w:t>
      </w:r>
      <w:r>
        <w:rPr>
          <w:rFonts w:ascii="宋体" w:hAnsi="宋体" w:eastAsia="宋体" w:cs="宋体"/>
          <w:sz w:val="24"/>
          <w:szCs w:val="24"/>
        </w:rPr>
        <w:t>合同总价为固定包干价。服务期内所有人工薪酬、社保、物料、管理、税费、各类政策性上调、市场涨价等全部风险与成本均包含在包干总价内，甲方不再另行支付任何增补费用</w:t>
      </w:r>
      <w:r>
        <w:rPr>
          <w:rFonts w:hint="eastAsia" w:ascii="宋体" w:hAnsi="宋体" w:eastAsia="宋体" w:cs="宋体"/>
          <w:color w:val="auto"/>
          <w:sz w:val="24"/>
          <w:szCs w:val="24"/>
          <w:highlight w:val="none"/>
          <w:lang w:val="en-US" w:eastAsia="zh-CN"/>
        </w:rPr>
        <w:t>。</w:t>
      </w:r>
    </w:p>
    <w:p w14:paraId="49A59F0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5.3 费用说明：本项目工资、社保为不可竞争费用，乙方报价低于成本价的视为无效投标，合同履约期间严禁降低人员薪资、社保缴纳标准。</w:t>
      </w:r>
    </w:p>
    <w:p w14:paraId="24A9CE9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第六条 付款方式与付款节点</w:t>
      </w:r>
    </w:p>
    <w:p w14:paraId="4A6C9CB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6.1 季度结算支付：</w:t>
      </w:r>
      <w:r>
        <w:rPr>
          <w:rFonts w:ascii="宋体" w:hAnsi="宋体" w:eastAsia="宋体" w:cs="宋体"/>
          <w:sz w:val="24"/>
          <w:szCs w:val="24"/>
        </w:rPr>
        <w:t>服务费按季度结算，结算款项扣除当季违约金、整改费用（如有）后支付</w:t>
      </w:r>
      <w:r>
        <w:rPr>
          <w:rFonts w:hint="eastAsia" w:ascii="宋体" w:hAnsi="宋体" w:eastAsia="宋体" w:cs="宋体"/>
          <w:color w:val="auto"/>
          <w:sz w:val="24"/>
          <w:szCs w:val="24"/>
          <w:highlight w:val="none"/>
          <w:lang w:val="en-US" w:eastAsia="zh-CN"/>
        </w:rPr>
        <w:t xml:space="preserve">。 </w:t>
      </w:r>
    </w:p>
    <w:p w14:paraId="0C6995C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6.2 付款约束：乙方未足额缴纳社保、未全员投保、人员缺岗、台账不全、考核不合格、存在有效投诉的，甲方有权暂缓付款、扣除相应违约金，直至乙方整改达标。</w:t>
      </w:r>
    </w:p>
    <w:p w14:paraId="1161FEE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第七条 履约保证金与信用政策</w:t>
      </w:r>
    </w:p>
    <w:p w14:paraId="5FC73E0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7.1 履约保证金标准：合同总金额10%（</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元）。</w:t>
      </w:r>
    </w:p>
    <w:p w14:paraId="2088705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7.2 缴纳形式：银行转账。</w:t>
      </w:r>
    </w:p>
    <w:p w14:paraId="302D370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7.3 退还规则：</w:t>
      </w:r>
      <w:r>
        <w:rPr>
          <w:rFonts w:ascii="宋体" w:hAnsi="宋体" w:eastAsia="宋体" w:cs="宋体"/>
          <w:sz w:val="24"/>
          <w:szCs w:val="24"/>
        </w:rPr>
        <w:t>服务期满、全部履约达标、验收合格、资料归档完整且乙方结清全部税费后30日内，甲方无息退还履约保证金</w:t>
      </w:r>
      <w:r>
        <w:rPr>
          <w:rFonts w:hint="eastAsia" w:ascii="宋体" w:hAnsi="宋体" w:eastAsia="宋体" w:cs="宋体"/>
          <w:color w:val="auto"/>
          <w:sz w:val="24"/>
          <w:szCs w:val="24"/>
          <w:highlight w:val="none"/>
          <w:lang w:val="en-US" w:eastAsia="zh-CN"/>
        </w:rPr>
        <w:t>。</w:t>
      </w:r>
    </w:p>
    <w:p w14:paraId="20BF490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7.4 不予退还情形：</w:t>
      </w:r>
      <w:r>
        <w:rPr>
          <w:rFonts w:ascii="宋体" w:hAnsi="宋体" w:eastAsia="宋体" w:cs="宋体"/>
          <w:sz w:val="24"/>
          <w:szCs w:val="24"/>
        </w:rPr>
        <w:t>乙方无正当理由拒签合同、擅自转包分包、履约不达标、弄虚作假、串通投标、恶意投诉、私自更换人员、未依法用工的，甲方有权部分或全部没收履约保证金，并追究乙方违约责任</w:t>
      </w:r>
      <w:r>
        <w:rPr>
          <w:rFonts w:hint="eastAsia" w:ascii="宋体" w:hAnsi="宋体" w:eastAsia="宋体" w:cs="宋体"/>
          <w:color w:val="auto"/>
          <w:sz w:val="24"/>
          <w:szCs w:val="24"/>
          <w:highlight w:val="none"/>
          <w:lang w:val="en-US" w:eastAsia="zh-CN"/>
        </w:rPr>
        <w:t>。</w:t>
      </w:r>
    </w:p>
    <w:p w14:paraId="58C341D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第八条 验收与考核标准</w:t>
      </w:r>
    </w:p>
    <w:p w14:paraId="7E4B889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8.1 日常验收：甲方每日抽查人员到岗、巡查轨迹、问题处置情况，当日履职达标视为当日验收合格。</w:t>
      </w:r>
    </w:p>
    <w:p w14:paraId="64475A4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8.2 月度考核：甲方每月核查人员在岗情况、台账完整度、问题处置完成率、群众投诉情况，形成月度考核记录。</w:t>
      </w:r>
    </w:p>
    <w:p w14:paraId="6243803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8.3 季度综合验收（付款依据）：</w:t>
      </w:r>
      <w:r>
        <w:rPr>
          <w:rFonts w:ascii="宋体" w:hAnsi="宋体" w:eastAsia="宋体" w:cs="宋体"/>
          <w:sz w:val="24"/>
          <w:szCs w:val="24"/>
        </w:rPr>
        <w:t>季度综合考核不合格，按考核细则扣除对应违约金；甲方下达整改通知书后限期整改仍未达标的，采购人有权单方解除服务合同</w:t>
      </w:r>
      <w:r>
        <w:rPr>
          <w:rFonts w:hint="eastAsia" w:ascii="宋体" w:hAnsi="宋体" w:eastAsia="宋体" w:cs="宋体"/>
          <w:color w:val="auto"/>
          <w:sz w:val="24"/>
          <w:szCs w:val="24"/>
          <w:highlight w:val="none"/>
          <w:lang w:val="en-US" w:eastAsia="zh-CN"/>
        </w:rPr>
        <w:t>。</w:t>
      </w:r>
    </w:p>
    <w:p w14:paraId="29F3183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第九条 转包、分包禁止条款</w:t>
      </w:r>
    </w:p>
    <w:p w14:paraId="318B229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项目严禁转包、违法分包，乙方不得将本合同全部或部分服务内容转交第三方实施。一经查实转包、分包行为，甲方有权立即解除合同、没收履约保证金、扣除全部未结款项，乙方承担由此造成的全部损失及法律责任。</w:t>
      </w:r>
    </w:p>
    <w:p w14:paraId="2E8FAF5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第十条 违约责任</w:t>
      </w:r>
    </w:p>
    <w:p w14:paraId="1C46CD6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乙方违约责任</w:t>
      </w:r>
    </w:p>
    <w:p w14:paraId="470AF5F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10.1.1 </w:t>
      </w:r>
      <w:r>
        <w:rPr>
          <w:rFonts w:ascii="宋体" w:hAnsi="宋体" w:eastAsia="宋体" w:cs="宋体"/>
          <w:sz w:val="24"/>
          <w:szCs w:val="24"/>
        </w:rPr>
        <w:t>未提前书面报备、未经采购人书面审核同意，擅自更换、内部调岗所有在岗服务人员的，每一人次扣除违约金 1000 元，乙方须 3 日内补齐同等条件人员</w:t>
      </w:r>
      <w:r>
        <w:rPr>
          <w:rFonts w:hint="eastAsia" w:ascii="宋体" w:hAnsi="宋体" w:eastAsia="宋体" w:cs="宋体"/>
          <w:color w:val="auto"/>
          <w:sz w:val="24"/>
          <w:szCs w:val="24"/>
          <w:highlight w:val="none"/>
          <w:lang w:val="en-US" w:eastAsia="zh-CN"/>
        </w:rPr>
        <w:t>；</w:t>
      </w:r>
    </w:p>
    <w:p w14:paraId="05AB1A5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10.1.2 </w:t>
      </w:r>
      <w:r>
        <w:rPr>
          <w:rFonts w:ascii="宋体" w:hAnsi="宋体" w:eastAsia="宋体" w:cs="宋体"/>
          <w:sz w:val="24"/>
          <w:szCs w:val="24"/>
        </w:rPr>
        <w:t>服务人员存在脱岗、空岗、片区漏巡、巡查履职不到位、工作消极敷衍，或经核实产生有效群众投诉的，每一人次扣除违约金 500 元，并扣除该人员当日全部薪酬</w:t>
      </w:r>
      <w:r>
        <w:rPr>
          <w:rFonts w:hint="eastAsia" w:ascii="宋体" w:hAnsi="宋体" w:eastAsia="宋体" w:cs="宋体"/>
          <w:color w:val="auto"/>
          <w:sz w:val="24"/>
          <w:szCs w:val="24"/>
          <w:highlight w:val="none"/>
          <w:lang w:val="en-US" w:eastAsia="zh-CN"/>
        </w:rPr>
        <w:t>；</w:t>
      </w:r>
    </w:p>
    <w:p w14:paraId="5D9377D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10.1.3 </w:t>
      </w:r>
      <w:r>
        <w:rPr>
          <w:rFonts w:ascii="宋体" w:hAnsi="宋体" w:eastAsia="宋体" w:cs="宋体"/>
          <w:sz w:val="24"/>
          <w:szCs w:val="24"/>
        </w:rPr>
        <w:t>未按要求建立完整巡查台账、问题整改台账、月度培训台账，或未落实每周累计不少于 2 小时全员培训、未留存完整培训资料的，每次扣除违约金 1000 元；限期 3 日内整改仍未达标的，采购人有权暂缓支付当期季度服务费</w:t>
      </w:r>
      <w:r>
        <w:rPr>
          <w:rFonts w:hint="eastAsia" w:ascii="宋体" w:hAnsi="宋体" w:eastAsia="宋体" w:cs="宋体"/>
          <w:color w:val="auto"/>
          <w:sz w:val="24"/>
          <w:szCs w:val="24"/>
          <w:highlight w:val="none"/>
          <w:lang w:val="en-US" w:eastAsia="zh-CN"/>
        </w:rPr>
        <w:t>；</w:t>
      </w:r>
    </w:p>
    <w:p w14:paraId="3B07756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10.1.4 乙方多次拒不配合集镇管理、农村人居环境整治、违章建筑排查整治等专项工作，经采购人多次督促整改后服务质量仍不达标，采购人有权单方面解除合同，因解约产生的全部经济损失由乙方承担；</w:t>
      </w:r>
    </w:p>
    <w:p w14:paraId="1B0D5F4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10.1.7 乙方未依法与人员签订劳动合同、未按规定足额缴纳社会保险、未全员投保雇主责任险的，采购人有权暂缓支付全部服务费用，并可</w:t>
      </w:r>
      <w:r>
        <w:rPr>
          <w:rFonts w:ascii="宋体" w:hAnsi="宋体" w:eastAsia="宋体" w:cs="宋体"/>
          <w:sz w:val="24"/>
          <w:szCs w:val="24"/>
        </w:rPr>
        <w:t>单方解除合同</w:t>
      </w:r>
      <w:r>
        <w:rPr>
          <w:rFonts w:hint="eastAsia" w:ascii="宋体" w:hAnsi="宋体" w:eastAsia="宋体" w:cs="宋体"/>
          <w:color w:val="auto"/>
          <w:sz w:val="24"/>
          <w:szCs w:val="24"/>
          <w:highlight w:val="none"/>
          <w:lang w:val="en-US" w:eastAsia="zh-CN"/>
        </w:rPr>
        <w:t>，同时追究乙方全部法律及经济责任；</w:t>
      </w:r>
    </w:p>
    <w:p w14:paraId="79B562A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10.1.8 乙方逾期履职、服务质量不达标，按合同总额每日千分之六支付违约金，逾期超10个工作日，甲方可解除合同并追偿全部损失；</w:t>
      </w:r>
    </w:p>
    <w:p w14:paraId="64DE097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10.1.9 乙方提供虚假材料、弄虚作假谋取中标的，甲方取消其中标资格、解除合同，并上报监管部门记入失信记录。</w:t>
      </w:r>
    </w:p>
    <w:p w14:paraId="6EF0F56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甲方违约责任</w:t>
      </w:r>
    </w:p>
    <w:p w14:paraId="47A6EA8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10.2.1 甲方无正当理由拒收乙方合格服务的，按拒收部分合同价款每日5‰支付违约金；</w:t>
      </w:r>
    </w:p>
    <w:p w14:paraId="361CBE1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10.2.2 甲方无故逾期支付服务费的，按逾期付款总额每日万分之五支付违约金。</w:t>
      </w:r>
    </w:p>
    <w:p w14:paraId="45D7E6B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第十一条 保密与数据安全条款</w:t>
      </w:r>
    </w:p>
    <w:p w14:paraId="31433A7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11.1 乙方须对所有在岗人员开展网络安全、数据安全、保密教育培训，与所有项目人员签订保密协议，建立一人一档保密资料，全程提交甲方备案。</w:t>
      </w:r>
    </w:p>
    <w:p w14:paraId="54A0C95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11.2 发生数据安全、信息泄露等违规事件：首次违规扣除违约金5万元；二次同类违规扣除违约金10万元并行业通报；三次同类违规，甲方单方面解除合同，乙方承担全部法律责任及经济损失。</w:t>
      </w:r>
    </w:p>
    <w:p w14:paraId="7A7CBBC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第十二条  不可抗力</w:t>
      </w:r>
    </w:p>
    <w:p w14:paraId="6154F4E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因地震、台风、暴雨、疫情等不可抗力因素导致合同无法正常履行的，受影响方需立即书面通知对方，并提供权威机构证明，双方可协商顺延服务期限或调整履约内容，互不承担违约责任。不可抗力持续超120天的，双方可协商解除合同。</w:t>
      </w:r>
    </w:p>
    <w:p w14:paraId="5361685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第十三条 争议解决</w:t>
      </w:r>
    </w:p>
    <w:p w14:paraId="0DA0412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本合同履行过程中发生争议，双方优先友好协商解决；协商不成的，依法向甲方住所地人民法院提起诉讼。</w:t>
      </w:r>
    </w:p>
    <w:p w14:paraId="3576B3C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第十四条 合同生效及其他</w:t>
      </w:r>
    </w:p>
    <w:p w14:paraId="330A67F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14.1 本合同自双方法定代表人/授权代表签字、加盖公章之日起生效。</w:t>
      </w:r>
    </w:p>
    <w:p w14:paraId="157B5DE1">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14.2 本合同由招标文件、乙方投标文件、中标通知书、答疑澄清文件、乙方承诺函、各类声明函共同组成，所有文件互为补充，具有同等法律效力。</w:t>
      </w:r>
    </w:p>
    <w:p w14:paraId="5045F78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14.3 服务期内，甲方可根据政府采购政策及项目实际需求，在不改变合同核心条款的前提下，追加不超过原合同金额10%的同类服务。</w:t>
      </w:r>
    </w:p>
    <w:p w14:paraId="571EA33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14.4 本合同未尽事宜，遵照《中华人民共和国政府采购法》《中华人民共和国民法典》相关规定执行。</w:t>
      </w:r>
    </w:p>
    <w:p w14:paraId="10D6959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38"/>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14.5 本合同正本一式肆份，甲乙双方各执贰份，具有同等法律效力。</w:t>
      </w:r>
    </w:p>
    <w:p w14:paraId="4FB06539">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（以下无正文）</w:t>
      </w:r>
    </w:p>
    <w:p w14:paraId="5045861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甲方（盖章）：滨海县滨淮镇人民政府</w:t>
      </w:r>
    </w:p>
    <w:p w14:paraId="4F36AE4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法定代表人/授权代表（签字）：___________</w:t>
      </w:r>
    </w:p>
    <w:p w14:paraId="05A90EB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联系电话：13815516630</w:t>
      </w:r>
    </w:p>
    <w:p w14:paraId="2C68940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签订日期：______年____月____日</w:t>
      </w:r>
    </w:p>
    <w:p w14:paraId="7695C1E2">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乙方（盖章）：___________</w:t>
      </w:r>
    </w:p>
    <w:p w14:paraId="50196A4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法定代表人/授权代表（签字）：___________</w:t>
      </w:r>
    </w:p>
    <w:p w14:paraId="74E8773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联系电话：___________</w:t>
      </w:r>
    </w:p>
    <w:p w14:paraId="3B50E4F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24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签订日期：______年____月____日</w:t>
      </w:r>
      <w:r>
        <w:rPr>
          <w:rFonts w:hint="eastAsia" w:ascii="宋体" w:hAnsi="宋体" w:eastAsia="宋体" w:cs="宋体"/>
          <w:color w:val="auto"/>
          <w:sz w:val="24"/>
          <w:szCs w:val="24"/>
          <w:highlight w:val="none"/>
        </w:rPr>
        <w:t xml:space="preserve">          </w:t>
      </w:r>
    </w:p>
    <w:p w14:paraId="374E3E72">
      <w:pPr>
        <w:rPr>
          <w:rFonts w:hint="eastAsia" w:ascii="宋体" w:hAnsi="宋体" w:eastAsia="宋体" w:cs="宋体"/>
          <w:color w:val="auto"/>
          <w:sz w:val="44"/>
          <w:szCs w:val="44"/>
          <w:highlight w:val="none"/>
        </w:rPr>
      </w:pPr>
      <w:bookmarkStart w:id="171" w:name="_Toc479757211"/>
      <w:bookmarkStart w:id="172" w:name="_Toc462564139"/>
      <w:bookmarkStart w:id="173" w:name="_Toc120614244"/>
      <w:bookmarkStart w:id="174" w:name="_Toc16938590"/>
      <w:bookmarkStart w:id="175" w:name="_Hlt16619350"/>
      <w:bookmarkStart w:id="176" w:name="_Toc20823346"/>
      <w:bookmarkStart w:id="177" w:name="_Hlt16619369"/>
      <w:r>
        <w:rPr>
          <w:rFonts w:hint="eastAsia" w:ascii="宋体" w:hAnsi="宋体" w:eastAsia="宋体" w:cs="宋体"/>
          <w:color w:val="auto"/>
          <w:sz w:val="44"/>
          <w:szCs w:val="44"/>
          <w:highlight w:val="none"/>
        </w:rPr>
        <w:br w:type="page"/>
      </w:r>
    </w:p>
    <w:p w14:paraId="09958319">
      <w:pPr>
        <w:jc w:val="center"/>
        <w:rPr>
          <w:rFonts w:hint="eastAsia" w:ascii="宋体" w:hAnsi="宋体" w:eastAsia="宋体" w:cs="宋体"/>
          <w:color w:val="auto"/>
          <w:highlight w:val="none"/>
        </w:rPr>
      </w:pPr>
      <w:r>
        <w:rPr>
          <w:rFonts w:hint="eastAsia" w:ascii="宋体" w:hAnsi="宋体" w:eastAsia="宋体" w:cs="宋体"/>
          <w:color w:val="auto"/>
          <w:sz w:val="44"/>
          <w:szCs w:val="44"/>
          <w:highlight w:val="none"/>
        </w:rPr>
        <w:t>第</w:t>
      </w:r>
      <w:bookmarkEnd w:id="171"/>
      <w:r>
        <w:rPr>
          <w:rFonts w:hint="eastAsia" w:ascii="宋体" w:hAnsi="宋体" w:eastAsia="宋体" w:cs="宋体"/>
          <w:color w:val="auto"/>
          <w:sz w:val="44"/>
          <w:szCs w:val="44"/>
          <w:highlight w:val="none"/>
        </w:rPr>
        <w:t>四章 采购需求</w:t>
      </w:r>
      <w:bookmarkEnd w:id="172"/>
      <w:bookmarkEnd w:id="173"/>
      <w:bookmarkEnd w:id="174"/>
      <w:bookmarkEnd w:id="175"/>
      <w:bookmarkEnd w:id="176"/>
    </w:p>
    <w:p w14:paraId="24BF6C41">
      <w:pPr>
        <w:pStyle w:val="33"/>
        <w:spacing w:beforeAutospacing="0" w:afterAutospacing="0" w:line="0" w:lineRule="atLeast"/>
        <w:ind w:firstLine="480"/>
        <w:jc w:val="both"/>
        <w:rPr>
          <w:rFonts w:hint="eastAsia" w:ascii="宋体" w:hAnsi="宋体" w:eastAsia="宋体" w:cs="宋体"/>
          <w:b/>
          <w:bCs/>
          <w:color w:val="auto"/>
          <w:sz w:val="24"/>
          <w:szCs w:val="24"/>
          <w:highlight w:val="none"/>
          <w:shd w:val="clear" w:color="auto" w:fill="auto"/>
        </w:rPr>
      </w:pPr>
      <w:bookmarkStart w:id="178" w:name="_Toc49090575"/>
      <w:bookmarkStart w:id="179" w:name="_Toc26554093"/>
    </w:p>
    <w:p w14:paraId="3DCAD928">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firstLineChars="200"/>
        <w:jc w:val="both"/>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rPr>
        <w:t>项目属性:服务类项目。</w:t>
      </w:r>
      <w:bookmarkEnd w:id="178"/>
      <w:bookmarkEnd w:id="179"/>
    </w:p>
    <w:p w14:paraId="29C1E215">
      <w:pPr>
        <w:keepNext w:val="0"/>
        <w:keepLines w:val="0"/>
        <w:pageBreakBefore w:val="0"/>
        <w:widowControl w:val="0"/>
        <w:kinsoku/>
        <w:wordWrap/>
        <w:overflowPunct/>
        <w:topLinePunct w:val="0"/>
        <w:autoSpaceDE/>
        <w:autoSpaceDN/>
        <w:bidi w:val="0"/>
        <w:adjustRightInd/>
        <w:snapToGrid/>
        <w:spacing w:line="460" w:lineRule="exact"/>
        <w:ind w:firstLine="482" w:firstLineChars="200"/>
        <w:textAlignment w:val="auto"/>
        <w:rPr>
          <w:rFonts w:hint="eastAsia" w:ascii="宋体" w:hAnsi="宋体" w:eastAsia="宋体" w:cs="宋体"/>
          <w:b/>
          <w:bCs/>
          <w:color w:val="auto"/>
          <w:sz w:val="24"/>
          <w:szCs w:val="24"/>
          <w:highlight w:val="none"/>
          <w:shd w:val="clear" w:color="auto" w:fill="auto"/>
        </w:rPr>
      </w:pPr>
      <w:bookmarkStart w:id="180" w:name="_Toc120614281"/>
      <w:r>
        <w:rPr>
          <w:rFonts w:hint="eastAsia" w:ascii="宋体" w:hAnsi="宋体" w:eastAsia="宋体" w:cs="宋体"/>
          <w:b/>
          <w:bCs/>
          <w:color w:val="auto"/>
          <w:sz w:val="24"/>
          <w:szCs w:val="24"/>
          <w:highlight w:val="none"/>
          <w:shd w:val="clear" w:color="auto" w:fill="auto"/>
        </w:rPr>
        <w:t>一、项目基本情况</w:t>
      </w:r>
    </w:p>
    <w:p w14:paraId="6D15B63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hint="eastAsia" w:ascii="宋体" w:hAnsi="宋体" w:eastAsia="宋体" w:cs="宋体"/>
          <w:b w:val="0"/>
          <w:bCs w:val="0"/>
          <w:color w:val="auto"/>
          <w:sz w:val="24"/>
          <w:szCs w:val="24"/>
          <w:highlight w:val="none"/>
          <w:shd w:val="clear" w:color="auto" w:fill="auto"/>
        </w:rPr>
        <w:t>项目名称：滨淮镇街道、农村市容服务外包 (27 个村居和集镇范围) 采购项目</w:t>
      </w:r>
    </w:p>
    <w:p w14:paraId="5EBE831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color w:val="auto"/>
          <w:sz w:val="24"/>
          <w:szCs w:val="24"/>
          <w:highlight w:val="none"/>
          <w:shd w:val="clear" w:color="auto" w:fill="auto"/>
        </w:rPr>
        <w:t>服务</w:t>
      </w:r>
      <w:r>
        <w:rPr>
          <w:rFonts w:hint="eastAsia" w:ascii="宋体" w:hAnsi="宋体" w:eastAsia="宋体" w:cs="宋体"/>
          <w:b w:val="0"/>
          <w:bCs w:val="0"/>
          <w:color w:val="auto"/>
          <w:sz w:val="24"/>
          <w:szCs w:val="24"/>
          <w:highlight w:val="none"/>
          <w:shd w:val="clear" w:color="auto" w:fill="auto"/>
          <w:lang w:val="en-US" w:eastAsia="zh-CN"/>
        </w:rPr>
        <w:t>范围</w:t>
      </w:r>
      <w:r>
        <w:rPr>
          <w:rFonts w:hint="eastAsia" w:ascii="宋体" w:hAnsi="宋体" w:eastAsia="宋体" w:cs="宋体"/>
          <w:b w:val="0"/>
          <w:bCs w:val="0"/>
          <w:color w:val="auto"/>
          <w:sz w:val="24"/>
          <w:szCs w:val="24"/>
          <w:highlight w:val="none"/>
          <w:shd w:val="clear" w:color="auto" w:fill="auto"/>
        </w:rPr>
        <w:t>：</w:t>
      </w:r>
      <w:r>
        <w:rPr>
          <w:rFonts w:hint="eastAsia" w:ascii="宋体" w:hAnsi="宋体" w:eastAsia="宋体" w:cs="宋体"/>
          <w:i w:val="0"/>
          <w:iCs w:val="0"/>
          <w:caps w:val="0"/>
          <w:color w:val="0F1115"/>
          <w:spacing w:val="0"/>
          <w:sz w:val="24"/>
          <w:szCs w:val="24"/>
          <w:highlight w:val="none"/>
          <w:shd w:val="clear" w:fill="FFFFFF"/>
        </w:rPr>
        <w:t>主要为滨海县滨淮镇集镇建成区全域及下辖27个行政村行政区域内的所有主次干道、背街小巷、公共场地、河道沟渠、田间道路及公共区域</w:t>
      </w:r>
      <w:r>
        <w:rPr>
          <w:rFonts w:hint="eastAsia" w:ascii="宋体" w:hAnsi="宋体" w:eastAsia="宋体" w:cs="宋体"/>
          <w:b w:val="0"/>
          <w:bCs w:val="0"/>
          <w:color w:val="auto"/>
          <w:sz w:val="24"/>
          <w:szCs w:val="24"/>
          <w:highlight w:val="none"/>
          <w:shd w:val="clear" w:color="auto" w:fill="auto"/>
        </w:rPr>
        <w:t>。</w:t>
      </w:r>
    </w:p>
    <w:p w14:paraId="664ED2A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3.</w:t>
      </w:r>
      <w:r>
        <w:rPr>
          <w:rFonts w:hint="eastAsia" w:ascii="宋体" w:hAnsi="宋体" w:eastAsia="宋体" w:cs="宋体"/>
          <w:b w:val="0"/>
          <w:bCs w:val="0"/>
          <w:color w:val="auto"/>
          <w:sz w:val="24"/>
          <w:szCs w:val="24"/>
          <w:highlight w:val="none"/>
          <w:shd w:val="clear" w:color="auto" w:fill="auto"/>
        </w:rPr>
        <w:t>服务地点：</w:t>
      </w:r>
      <w:r>
        <w:rPr>
          <w:rFonts w:hint="eastAsia" w:ascii="宋体" w:hAnsi="宋体" w:eastAsia="宋体" w:cs="宋体"/>
          <w:i w:val="0"/>
          <w:iCs w:val="0"/>
          <w:caps w:val="0"/>
          <w:color w:val="0F1115"/>
          <w:spacing w:val="0"/>
          <w:sz w:val="24"/>
          <w:szCs w:val="24"/>
          <w:highlight w:val="none"/>
          <w:shd w:val="clear" w:fill="FFFFFF"/>
        </w:rPr>
        <w:t>滨海县滨淮镇集镇建成区+滨淮镇全部27个行政村全域</w:t>
      </w:r>
    </w:p>
    <w:p w14:paraId="606BEE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4.</w:t>
      </w:r>
      <w:r>
        <w:rPr>
          <w:rFonts w:hint="eastAsia" w:ascii="宋体" w:hAnsi="宋体" w:eastAsia="宋体" w:cs="宋体"/>
          <w:b w:val="0"/>
          <w:bCs w:val="0"/>
          <w:color w:val="auto"/>
          <w:sz w:val="24"/>
          <w:szCs w:val="24"/>
          <w:highlight w:val="none"/>
          <w:shd w:val="clear" w:color="auto" w:fill="auto"/>
        </w:rPr>
        <w:t>项目期限：自合同签订之日起1年</w:t>
      </w:r>
    </w:p>
    <w:p w14:paraId="277E173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5.</w:t>
      </w:r>
      <w:r>
        <w:rPr>
          <w:rFonts w:hint="eastAsia" w:ascii="宋体" w:hAnsi="宋体" w:eastAsia="宋体" w:cs="宋体"/>
          <w:b w:val="0"/>
          <w:bCs w:val="0"/>
          <w:color w:val="auto"/>
          <w:sz w:val="24"/>
          <w:szCs w:val="24"/>
          <w:highlight w:val="none"/>
          <w:shd w:val="clear" w:color="auto" w:fill="auto"/>
        </w:rPr>
        <w:t>人员配备总额：本项目共须配备服务人员61名（含项目负责人1名</w:t>
      </w:r>
      <w:r>
        <w:rPr>
          <w:rFonts w:hint="eastAsia" w:ascii="宋体" w:hAnsi="宋体" w:eastAsia="宋体" w:cs="宋体"/>
          <w:b w:val="0"/>
          <w:bCs w:val="0"/>
          <w:color w:val="auto"/>
          <w:sz w:val="24"/>
          <w:szCs w:val="24"/>
          <w:highlight w:val="none"/>
          <w:shd w:val="clear" w:color="auto" w:fill="auto"/>
          <w:lang w:eastAsia="zh-CN"/>
        </w:rPr>
        <w:t>）</w:t>
      </w:r>
    </w:p>
    <w:p w14:paraId="4051048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二、采购需求</w:t>
      </w:r>
    </w:p>
    <w:p w14:paraId="3E8491F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（一）核心功能目标</w:t>
      </w:r>
    </w:p>
    <w:p w14:paraId="17E699F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hint="eastAsia" w:ascii="宋体" w:hAnsi="宋体" w:eastAsia="宋体" w:cs="宋体"/>
          <w:i w:val="0"/>
          <w:iCs w:val="0"/>
          <w:caps w:val="0"/>
          <w:color w:val="0F1115"/>
          <w:spacing w:val="0"/>
          <w:sz w:val="24"/>
          <w:szCs w:val="24"/>
          <w:highlight w:val="none"/>
          <w:shd w:val="clear" w:fill="FFFFFF"/>
        </w:rPr>
        <w:t>全面承担滨淮</w:t>
      </w:r>
      <w:r>
        <w:rPr>
          <w:rFonts w:hint="eastAsia" w:ascii="宋体" w:hAnsi="宋体" w:eastAsia="宋体" w:cs="宋体"/>
          <w:b w:val="0"/>
          <w:bCs w:val="0"/>
          <w:i w:val="0"/>
          <w:iCs w:val="0"/>
          <w:caps w:val="0"/>
          <w:color w:val="0F1115"/>
          <w:spacing w:val="0"/>
          <w:sz w:val="24"/>
          <w:szCs w:val="24"/>
          <w:highlight w:val="none"/>
          <w:shd w:val="clear" w:fill="FFFFFF"/>
        </w:rPr>
        <w:t>镇集镇市容秩序管理、全域违章建筑巡查管控、27个村居主次道路、背街小巷、村内公共场地、村级河道、沟渠、坑塘、田间环境常态化巡查；及时劝阻乱堆乱放、乱搭乱建、占道经营、垃圾乱抛、污水直排、违建搭建等各类影响村容镇貌、农村人居环境的行为，建立巡查台账，第一时间上报镇相关职能部门</w:t>
      </w:r>
      <w:r>
        <w:rPr>
          <w:rFonts w:hint="eastAsia" w:ascii="宋体" w:hAnsi="宋体" w:eastAsia="宋体" w:cs="宋体"/>
          <w:b w:val="0"/>
          <w:bCs w:val="0"/>
          <w:color w:val="auto"/>
          <w:sz w:val="24"/>
          <w:szCs w:val="24"/>
          <w:highlight w:val="none"/>
          <w:shd w:val="clear" w:color="auto" w:fill="auto"/>
        </w:rPr>
        <w:t>。</w:t>
      </w:r>
    </w:p>
    <w:p w14:paraId="34214D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i w:val="0"/>
          <w:iCs w:val="0"/>
          <w:caps w:val="0"/>
          <w:color w:val="0F1115"/>
          <w:spacing w:val="0"/>
          <w:sz w:val="24"/>
          <w:szCs w:val="24"/>
          <w:highlight w:val="none"/>
          <w:shd w:val="clear" w:fill="FFFFFF"/>
        </w:rPr>
        <w:t>全程配合镇政府开展人居环境整治、集镇专项清理、违建排查拆除、河道清整、节庆市容保障等各类专项行动，保障滨淮镇集镇、各村环境整洁、建设规范、秩序有序</w:t>
      </w:r>
      <w:r>
        <w:rPr>
          <w:rFonts w:hint="eastAsia" w:ascii="宋体" w:hAnsi="宋体" w:eastAsia="宋体" w:cs="宋体"/>
          <w:b w:val="0"/>
          <w:bCs w:val="0"/>
          <w:color w:val="auto"/>
          <w:sz w:val="24"/>
          <w:szCs w:val="24"/>
          <w:highlight w:val="none"/>
          <w:shd w:val="clear" w:color="auto" w:fill="auto"/>
        </w:rPr>
        <w:t>。</w:t>
      </w:r>
    </w:p>
    <w:p w14:paraId="04A9DC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二）</w:t>
      </w:r>
      <w:r>
        <w:rPr>
          <w:rFonts w:hint="eastAsia" w:ascii="宋体" w:hAnsi="宋体" w:eastAsia="宋体" w:cs="宋体"/>
          <w:b w:val="0"/>
          <w:bCs w:val="0"/>
          <w:color w:val="auto"/>
          <w:sz w:val="24"/>
          <w:szCs w:val="24"/>
          <w:highlight w:val="none"/>
          <w:shd w:val="clear" w:color="auto" w:fill="auto"/>
        </w:rPr>
        <w:t>采购标的需执行的国家相关标准、行业标准、地方标准</w:t>
      </w:r>
    </w:p>
    <w:p w14:paraId="7340BE3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hint="eastAsia" w:ascii="宋体" w:hAnsi="宋体" w:eastAsia="宋体" w:cs="宋体"/>
          <w:b w:val="0"/>
          <w:bCs w:val="0"/>
          <w:color w:val="auto"/>
          <w:sz w:val="24"/>
          <w:szCs w:val="24"/>
          <w:highlight w:val="none"/>
          <w:shd w:val="clear" w:color="auto" w:fill="auto"/>
        </w:rPr>
        <w:t>《中华人民共和国政府采购法》《中华人民共和国政府采购法实施条例》</w:t>
      </w:r>
    </w:p>
    <w:p w14:paraId="35D397F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color w:val="auto"/>
          <w:sz w:val="24"/>
          <w:szCs w:val="24"/>
          <w:highlight w:val="none"/>
          <w:shd w:val="clear" w:color="auto" w:fill="auto"/>
        </w:rPr>
        <w:t>《中华人民共和国劳动法》《中华人民共和国劳动合同法》《社会保险法》</w:t>
      </w:r>
    </w:p>
    <w:p w14:paraId="60EE15B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3.</w:t>
      </w:r>
      <w:r>
        <w:rPr>
          <w:rFonts w:hint="eastAsia" w:ascii="宋体" w:hAnsi="宋体" w:eastAsia="宋体" w:cs="宋体"/>
          <w:b w:val="0"/>
          <w:bCs w:val="0"/>
          <w:color w:val="auto"/>
          <w:sz w:val="24"/>
          <w:szCs w:val="24"/>
          <w:highlight w:val="none"/>
          <w:shd w:val="clear" w:color="auto" w:fill="auto"/>
        </w:rPr>
        <w:t>《城市市容和环境卫生管理条例》《江苏省城市市容和环境卫生管理条例》</w:t>
      </w:r>
    </w:p>
    <w:p w14:paraId="4F8E6DD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4.</w:t>
      </w:r>
      <w:r>
        <w:rPr>
          <w:rFonts w:hint="eastAsia" w:ascii="宋体" w:hAnsi="宋体" w:eastAsia="宋体" w:cs="宋体"/>
          <w:b w:val="0"/>
          <w:bCs w:val="0"/>
          <w:color w:val="auto"/>
          <w:sz w:val="24"/>
          <w:szCs w:val="24"/>
          <w:highlight w:val="none"/>
          <w:shd w:val="clear" w:color="auto" w:fill="auto"/>
        </w:rPr>
        <w:t>《江苏省农村人居环境整治提升实施方案》《江苏省河道管理条例》</w:t>
      </w:r>
    </w:p>
    <w:p w14:paraId="1AA447B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w:t>
      </w:r>
      <w:r>
        <w:rPr>
          <w:rFonts w:hint="eastAsia" w:ascii="宋体" w:hAnsi="宋体" w:eastAsia="宋体" w:cs="宋体"/>
          <w:b w:val="0"/>
          <w:bCs w:val="0"/>
          <w:color w:val="auto"/>
          <w:sz w:val="24"/>
          <w:szCs w:val="24"/>
          <w:highlight w:val="none"/>
          <w:shd w:val="clear" w:color="auto" w:fill="auto"/>
        </w:rPr>
        <w:t>《江苏省工资支付条例》、滨海县农村环境、集镇管理、违法建设管控相关考核管理办法</w:t>
      </w:r>
    </w:p>
    <w:p w14:paraId="30916AD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三）</w:t>
      </w:r>
      <w:r>
        <w:rPr>
          <w:rFonts w:hint="eastAsia" w:ascii="宋体" w:hAnsi="宋体" w:eastAsia="宋体" w:cs="宋体"/>
          <w:b w:val="0"/>
          <w:bCs w:val="0"/>
          <w:color w:val="auto"/>
          <w:sz w:val="24"/>
          <w:szCs w:val="24"/>
          <w:highlight w:val="none"/>
          <w:shd w:val="clear" w:color="auto" w:fill="auto"/>
        </w:rPr>
        <w:t>采购标的需满足的质量、安全、技术要求</w:t>
      </w:r>
    </w:p>
    <w:p w14:paraId="5653BF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1.</w:t>
      </w:r>
      <w:r>
        <w:rPr>
          <w:rFonts w:hint="eastAsia" w:ascii="宋体" w:hAnsi="宋体" w:eastAsia="宋体" w:cs="宋体"/>
          <w:b w:val="0"/>
          <w:bCs w:val="0"/>
          <w:color w:val="auto"/>
          <w:sz w:val="24"/>
          <w:szCs w:val="24"/>
          <w:highlight w:val="none"/>
          <w:shd w:val="clear" w:color="auto" w:fill="auto"/>
        </w:rPr>
        <w:t>质量要求：</w:t>
      </w:r>
      <w:r>
        <w:rPr>
          <w:rFonts w:hint="eastAsia" w:ascii="宋体" w:hAnsi="宋体" w:eastAsia="宋体" w:cs="宋体"/>
          <w:i w:val="0"/>
          <w:iCs w:val="0"/>
          <w:caps w:val="0"/>
          <w:color w:val="0F1115"/>
          <w:spacing w:val="0"/>
          <w:sz w:val="24"/>
          <w:szCs w:val="24"/>
          <w:highlight w:val="none"/>
          <w:shd w:val="clear" w:fill="FFFFFF"/>
        </w:rPr>
        <w:t>日常巡查全覆盖无死角，各类违规行为早发现、早劝阻、早登记、早上报；台账完整真实，月度、季度考核达到采购人合格标准</w:t>
      </w:r>
      <w:r>
        <w:rPr>
          <w:rFonts w:hint="eastAsia" w:ascii="宋体" w:hAnsi="宋体" w:eastAsia="宋体" w:cs="宋体"/>
          <w:b w:val="0"/>
          <w:bCs w:val="0"/>
          <w:color w:val="auto"/>
          <w:sz w:val="24"/>
          <w:szCs w:val="24"/>
          <w:highlight w:val="none"/>
          <w:shd w:val="clear" w:color="auto" w:fill="auto"/>
          <w:lang w:eastAsia="zh-CN"/>
        </w:rPr>
        <w:t>。</w:t>
      </w:r>
    </w:p>
    <w:p w14:paraId="672AF23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color w:val="auto"/>
          <w:sz w:val="24"/>
          <w:szCs w:val="24"/>
          <w:highlight w:val="none"/>
          <w:shd w:val="clear" w:color="auto" w:fill="auto"/>
        </w:rPr>
        <w:t>安全要求：</w:t>
      </w:r>
    </w:p>
    <w:p w14:paraId="497757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1）</w:t>
      </w:r>
      <w:r>
        <w:rPr>
          <w:rFonts w:hint="eastAsia" w:ascii="宋体" w:hAnsi="宋体" w:eastAsia="宋体" w:cs="宋体"/>
          <w:i w:val="0"/>
          <w:iCs w:val="0"/>
          <w:caps w:val="0"/>
          <w:color w:val="0F1115"/>
          <w:spacing w:val="0"/>
          <w:sz w:val="24"/>
          <w:szCs w:val="24"/>
          <w:highlight w:val="none"/>
          <w:shd w:val="clear" w:fill="FFFFFF"/>
        </w:rPr>
        <w:t>统一配备反光服、照明、防滑、涉水防护装备</w:t>
      </w:r>
      <w:r>
        <w:rPr>
          <w:rFonts w:hint="eastAsia" w:ascii="宋体" w:hAnsi="宋体" w:eastAsia="宋体" w:cs="宋体"/>
          <w:b w:val="0"/>
          <w:bCs w:val="0"/>
          <w:color w:val="auto"/>
          <w:sz w:val="24"/>
          <w:szCs w:val="24"/>
          <w:highlight w:val="none"/>
          <w:shd w:val="clear" w:color="auto" w:fill="auto"/>
        </w:rPr>
        <w:t>；</w:t>
      </w:r>
    </w:p>
    <w:p w14:paraId="6757F8B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color w:val="auto"/>
          <w:sz w:val="24"/>
          <w:szCs w:val="24"/>
          <w:highlight w:val="none"/>
          <w:shd w:val="clear" w:color="auto" w:fill="auto"/>
        </w:rPr>
        <w:t>开展岗前交通安全、河道巡查、户外作业安全培训；</w:t>
      </w:r>
    </w:p>
    <w:p w14:paraId="6A48173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3）</w:t>
      </w:r>
      <w:r>
        <w:rPr>
          <w:rFonts w:hint="eastAsia" w:ascii="宋体" w:hAnsi="宋体" w:eastAsia="宋体" w:cs="宋体"/>
          <w:i w:val="0"/>
          <w:iCs w:val="0"/>
          <w:caps w:val="0"/>
          <w:color w:val="0F1115"/>
          <w:spacing w:val="0"/>
          <w:sz w:val="24"/>
          <w:szCs w:val="24"/>
          <w:highlight w:val="none"/>
          <w:shd w:val="clear" w:fill="FFFFFF"/>
        </w:rPr>
        <w:t>人员上下班、田间、河道、集镇执勤发生疾病、摔伤、溺水、交通意外等全部责任、费用由供应商自行承担，与采购人无关</w:t>
      </w:r>
      <w:r>
        <w:rPr>
          <w:rFonts w:hint="eastAsia" w:ascii="宋体" w:hAnsi="宋体" w:eastAsia="宋体" w:cs="宋体"/>
          <w:b w:val="0"/>
          <w:bCs w:val="0"/>
          <w:color w:val="auto"/>
          <w:sz w:val="24"/>
          <w:szCs w:val="24"/>
          <w:highlight w:val="none"/>
          <w:shd w:val="clear" w:color="auto" w:fill="auto"/>
          <w:lang w:eastAsia="zh-CN"/>
        </w:rPr>
        <w:t>；</w:t>
      </w:r>
    </w:p>
    <w:p w14:paraId="67DB43E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（4）</w:t>
      </w:r>
      <w:r>
        <w:rPr>
          <w:rFonts w:hint="eastAsia" w:ascii="宋体" w:hAnsi="宋体" w:eastAsia="宋体" w:cs="宋体"/>
          <w:i w:val="0"/>
          <w:iCs w:val="0"/>
          <w:caps w:val="0"/>
          <w:color w:val="0F1115"/>
          <w:spacing w:val="0"/>
          <w:sz w:val="24"/>
          <w:szCs w:val="24"/>
          <w:highlight w:val="none"/>
          <w:shd w:val="clear" w:fill="FFFFFF"/>
        </w:rPr>
        <w:t>必须全员投保雇主责任险</w:t>
      </w:r>
      <w:r>
        <w:rPr>
          <w:rFonts w:hint="eastAsia" w:ascii="宋体" w:hAnsi="宋体" w:eastAsia="宋体" w:cs="宋体"/>
          <w:i w:val="0"/>
          <w:iCs w:val="0"/>
          <w:caps w:val="0"/>
          <w:color w:val="0F1115"/>
          <w:spacing w:val="0"/>
          <w:sz w:val="24"/>
          <w:szCs w:val="24"/>
          <w:highlight w:val="none"/>
          <w:shd w:val="clear" w:fill="FFFFFF"/>
          <w:lang w:eastAsia="zh-CN"/>
        </w:rPr>
        <w:t>。</w:t>
      </w:r>
    </w:p>
    <w:p w14:paraId="0CFE4CF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3.</w:t>
      </w:r>
      <w:r>
        <w:rPr>
          <w:rFonts w:hint="eastAsia" w:ascii="宋体" w:hAnsi="宋体" w:eastAsia="宋体" w:cs="宋体"/>
          <w:b w:val="0"/>
          <w:bCs w:val="0"/>
          <w:color w:val="auto"/>
          <w:sz w:val="24"/>
          <w:szCs w:val="24"/>
          <w:highlight w:val="none"/>
          <w:shd w:val="clear" w:color="auto" w:fill="auto"/>
        </w:rPr>
        <w:t>技术要求：</w:t>
      </w:r>
      <w:r>
        <w:rPr>
          <w:rFonts w:hint="eastAsia" w:ascii="宋体" w:hAnsi="宋体" w:eastAsia="宋体" w:cs="宋体"/>
          <w:i w:val="0"/>
          <w:iCs w:val="0"/>
          <w:caps w:val="0"/>
          <w:color w:val="0F1115"/>
          <w:spacing w:val="0"/>
          <w:sz w:val="24"/>
          <w:szCs w:val="24"/>
          <w:highlight w:val="none"/>
          <w:shd w:val="clear" w:fill="FFFFFF"/>
        </w:rPr>
        <w:t>实行网格化分片巡查制度，每个片区固定巡查人员，每日巡查轨迹、问题拍照登记，做到问题可追溯、台账可核查</w:t>
      </w:r>
      <w:r>
        <w:rPr>
          <w:rFonts w:hint="eastAsia" w:ascii="宋体" w:hAnsi="宋体" w:eastAsia="宋体" w:cs="宋体"/>
          <w:b w:val="0"/>
          <w:bCs w:val="0"/>
          <w:color w:val="auto"/>
          <w:sz w:val="24"/>
          <w:szCs w:val="24"/>
          <w:highlight w:val="none"/>
          <w:shd w:val="clear" w:color="auto" w:fill="auto"/>
        </w:rPr>
        <w:t>。</w:t>
      </w:r>
    </w:p>
    <w:p w14:paraId="295A1A8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四）</w:t>
      </w:r>
      <w:r>
        <w:rPr>
          <w:rFonts w:hint="eastAsia" w:ascii="宋体" w:hAnsi="宋体" w:eastAsia="宋体" w:cs="宋体"/>
          <w:b w:val="0"/>
          <w:bCs w:val="0"/>
          <w:color w:val="auto"/>
          <w:sz w:val="24"/>
          <w:szCs w:val="24"/>
          <w:highlight w:val="none"/>
          <w:shd w:val="clear" w:color="auto" w:fill="auto"/>
        </w:rPr>
        <w:t>采购标的数量、实施时间、细化服务范围</w:t>
      </w:r>
    </w:p>
    <w:p w14:paraId="1814568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4.1</w:t>
      </w:r>
      <w:r>
        <w:rPr>
          <w:rFonts w:hint="eastAsia" w:ascii="宋体" w:hAnsi="宋体" w:eastAsia="宋体" w:cs="宋体"/>
          <w:b w:val="0"/>
          <w:bCs w:val="0"/>
          <w:color w:val="auto"/>
          <w:sz w:val="24"/>
          <w:szCs w:val="24"/>
          <w:highlight w:val="none"/>
          <w:shd w:val="clear" w:color="auto" w:fill="auto"/>
        </w:rPr>
        <w:t>人员配备要求</w:t>
      </w:r>
    </w:p>
    <w:p w14:paraId="05DDD70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i w:val="0"/>
          <w:iCs w:val="0"/>
          <w:caps w:val="0"/>
          <w:color w:val="0F1115"/>
          <w:spacing w:val="0"/>
          <w:sz w:val="24"/>
          <w:szCs w:val="24"/>
          <w:highlight w:val="none"/>
          <w:shd w:val="clear" w:fill="FFFFFF"/>
        </w:rPr>
        <w:t>本项目须配备服务人员61名（含项目负责人1名），所有人员须经采购</w:t>
      </w:r>
      <w:r>
        <w:rPr>
          <w:rFonts w:hint="eastAsia" w:ascii="宋体" w:hAnsi="宋体" w:eastAsia="宋体" w:cs="宋体"/>
          <w:b w:val="0"/>
          <w:bCs w:val="0"/>
          <w:color w:val="auto"/>
          <w:sz w:val="24"/>
          <w:szCs w:val="24"/>
          <w:highlight w:val="none"/>
          <w:shd w:val="clear" w:color="auto" w:fill="auto"/>
          <w:lang w:val="en-US" w:eastAsia="zh-CN"/>
        </w:rPr>
        <w:t>人面试或考核同意后方可上岗。人员基本条件如下：</w:t>
      </w:r>
    </w:p>
    <w:p w14:paraId="010F8A2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（1）具有中华人民共和国国籍，拥护宪法，遵守法律法规，品行端正，无违法犯罪记录；</w:t>
      </w:r>
    </w:p>
    <w:p w14:paraId="3A7F08B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（2）男性，年龄在18周岁至45周岁之间；</w:t>
      </w:r>
    </w:p>
    <w:p w14:paraId="02F28B7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（3）身高不低于1.65米，身体健康，无重大疾病、无色觉异常、无明显纹身及传染病，能适应户外巡查及体力工作要求；</w:t>
      </w:r>
    </w:p>
    <w:p w14:paraId="6689E29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val="en-US" w:eastAsia="zh-CN"/>
        </w:rPr>
      </w:pPr>
      <w:r>
        <w:rPr>
          <w:rFonts w:hint="eastAsia" w:ascii="宋体" w:hAnsi="宋体" w:eastAsia="宋体" w:cs="宋体"/>
          <w:b w:val="0"/>
          <w:bCs w:val="0"/>
          <w:color w:val="auto"/>
          <w:sz w:val="24"/>
          <w:szCs w:val="24"/>
          <w:highlight w:val="none"/>
          <w:shd w:val="clear" w:color="auto" w:fill="auto"/>
          <w:lang w:val="en-US" w:eastAsia="zh-CN"/>
        </w:rPr>
        <w:t>（4）高中或中专以上文化程度，具备一定的沟通协调能力和文字记录能力；退伍军人或具有相关市容管理经验者优先录用。</w:t>
      </w:r>
    </w:p>
    <w:p w14:paraId="7ACCFB5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4.2</w:t>
      </w:r>
      <w:r>
        <w:rPr>
          <w:rFonts w:hint="eastAsia" w:ascii="宋体" w:hAnsi="宋体" w:eastAsia="宋体" w:cs="宋体"/>
          <w:b w:val="0"/>
          <w:bCs w:val="0"/>
          <w:color w:val="auto"/>
          <w:sz w:val="24"/>
          <w:szCs w:val="24"/>
          <w:highlight w:val="none"/>
          <w:shd w:val="clear" w:color="auto" w:fill="auto"/>
        </w:rPr>
        <w:t>项目负责人专项要求：</w:t>
      </w:r>
    </w:p>
    <w:p w14:paraId="0AAA060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hint="eastAsia" w:ascii="宋体" w:hAnsi="宋体" w:eastAsia="宋体" w:cs="宋体"/>
          <w:b w:val="0"/>
          <w:bCs w:val="0"/>
          <w:color w:val="auto"/>
          <w:sz w:val="24"/>
          <w:szCs w:val="24"/>
          <w:highlight w:val="none"/>
          <w:shd w:val="clear" w:color="auto" w:fill="auto"/>
        </w:rPr>
        <w:t>年龄18—45周岁，大专及以上学历；</w:t>
      </w:r>
    </w:p>
    <w:p w14:paraId="7710E3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color w:val="auto"/>
          <w:sz w:val="24"/>
          <w:szCs w:val="24"/>
          <w:highlight w:val="none"/>
          <w:shd w:val="clear" w:color="auto" w:fill="auto"/>
        </w:rPr>
        <w:t>具有5年以上市容管理/农村环境外包项目管理经验；</w:t>
      </w:r>
    </w:p>
    <w:p w14:paraId="3A974E7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lang w:eastAsia="zh-CN"/>
        </w:rPr>
      </w:pPr>
      <w:r>
        <w:rPr>
          <w:rFonts w:hint="eastAsia" w:ascii="宋体" w:hAnsi="宋体" w:eastAsia="宋体" w:cs="宋体"/>
          <w:b w:val="0"/>
          <w:bCs w:val="0"/>
          <w:color w:val="auto"/>
          <w:sz w:val="24"/>
          <w:szCs w:val="24"/>
          <w:highlight w:val="none"/>
          <w:shd w:val="clear" w:color="auto" w:fill="auto"/>
          <w:lang w:val="en-US" w:eastAsia="zh-CN"/>
        </w:rPr>
        <w:t>（3）</w:t>
      </w:r>
      <w:r>
        <w:rPr>
          <w:rFonts w:hint="eastAsia" w:ascii="宋体" w:hAnsi="宋体" w:eastAsia="宋体" w:cs="宋体"/>
          <w:b w:val="0"/>
          <w:bCs w:val="0"/>
          <w:color w:val="auto"/>
          <w:sz w:val="24"/>
          <w:szCs w:val="24"/>
          <w:highlight w:val="none"/>
          <w:shd w:val="clear" w:color="auto" w:fill="auto"/>
        </w:rPr>
        <w:t>全程驻镇办公，对接镇各部门，统筹人员调度、台账管理、整改响应</w:t>
      </w:r>
      <w:r>
        <w:rPr>
          <w:rFonts w:hint="eastAsia" w:ascii="宋体" w:hAnsi="宋体" w:eastAsia="宋体" w:cs="宋体"/>
          <w:b w:val="0"/>
          <w:bCs w:val="0"/>
          <w:color w:val="auto"/>
          <w:sz w:val="24"/>
          <w:szCs w:val="24"/>
          <w:highlight w:val="none"/>
          <w:shd w:val="clear" w:color="auto" w:fill="auto"/>
          <w:lang w:eastAsia="zh-CN"/>
        </w:rPr>
        <w:t>。</w:t>
      </w:r>
    </w:p>
    <w:p w14:paraId="3EAB170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w:t>
      </w:r>
      <w:r>
        <w:rPr>
          <w:rFonts w:hint="eastAsia" w:ascii="宋体" w:hAnsi="宋体" w:eastAsia="宋体" w:cs="宋体"/>
          <w:b w:val="0"/>
          <w:bCs w:val="0"/>
          <w:color w:val="auto"/>
          <w:sz w:val="24"/>
          <w:szCs w:val="24"/>
          <w:highlight w:val="none"/>
          <w:shd w:val="clear" w:color="auto" w:fill="auto"/>
          <w:lang w:val="en-US" w:eastAsia="zh-CN"/>
        </w:rPr>
        <w:t>二</w:t>
      </w:r>
      <w:r>
        <w:rPr>
          <w:rFonts w:hint="eastAsia" w:ascii="宋体" w:hAnsi="宋体" w:eastAsia="宋体" w:cs="宋体"/>
          <w:b w:val="0"/>
          <w:bCs w:val="0"/>
          <w:color w:val="auto"/>
          <w:sz w:val="24"/>
          <w:szCs w:val="24"/>
          <w:highlight w:val="none"/>
          <w:shd w:val="clear" w:color="auto" w:fill="auto"/>
        </w:rPr>
        <w:t>）详细服务范围</w:t>
      </w:r>
    </w:p>
    <w:p w14:paraId="5F55918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1. 集镇服务范围（滨淮镇集镇建成区全域）</w:t>
      </w:r>
    </w:p>
    <w:p w14:paraId="22098AD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i w:val="0"/>
          <w:iCs w:val="0"/>
          <w:caps w:val="0"/>
          <w:color w:val="0F1115"/>
          <w:spacing w:val="0"/>
          <w:sz w:val="24"/>
          <w:szCs w:val="24"/>
          <w:highlight w:val="none"/>
          <w:shd w:val="clear" w:fill="FFFFFF"/>
        </w:rPr>
        <w:t>滨淮镇集镇主次街道、所有背街小巷、农贸市场内外及周边、集镇沿街商铺门前区域、集镇所有公共广场、公厕、停车场、集镇河道两岸、集镇工业小区外围、集镇各村出入口连接线、集镇所有闲置空地、集镇拆迁待整治地块。</w:t>
      </w:r>
    </w:p>
    <w:p w14:paraId="7BEDAF4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服务内容：</w:t>
      </w:r>
      <w:r>
        <w:rPr>
          <w:rFonts w:hint="eastAsia" w:ascii="宋体" w:hAnsi="宋体" w:eastAsia="宋体" w:cs="宋体"/>
          <w:i w:val="0"/>
          <w:iCs w:val="0"/>
          <w:caps w:val="0"/>
          <w:color w:val="0F1115"/>
          <w:spacing w:val="0"/>
          <w:sz w:val="24"/>
          <w:szCs w:val="24"/>
          <w:highlight w:val="none"/>
          <w:shd w:val="clear" w:fill="FFFFFF"/>
        </w:rPr>
        <w:t>占道经营、店外堆放、户外广告乱贴、车辆乱停、垃圾杂物乱堆、私搭棚亭、违建、河道垃圾漂浮、杂草、露天粪坑、废品乱堆等巡查劝导、登记上报</w:t>
      </w:r>
      <w:r>
        <w:rPr>
          <w:rFonts w:hint="eastAsia" w:ascii="宋体" w:hAnsi="宋体" w:eastAsia="宋体" w:cs="宋体"/>
          <w:b w:val="0"/>
          <w:bCs w:val="0"/>
          <w:color w:val="auto"/>
          <w:sz w:val="24"/>
          <w:szCs w:val="24"/>
          <w:highlight w:val="none"/>
          <w:shd w:val="clear" w:color="auto" w:fill="auto"/>
        </w:rPr>
        <w:t>。</w:t>
      </w:r>
    </w:p>
    <w:p w14:paraId="22D0526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2. 27个行政村（全域覆盖）</w:t>
      </w:r>
    </w:p>
    <w:p w14:paraId="0E0859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滨淮村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建东村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双建村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合兴村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新岭村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玉滩村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头罾村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罾塘村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东罾村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硝场村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长建村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建民村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河西村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公玉村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长兴村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樊集村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沿边村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陆塘村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新圩村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山滩村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五星村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同心村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中舍村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三友村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民主村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裕民村</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兴淮村</w:t>
      </w:r>
    </w:p>
    <w:p w14:paraId="1EAE656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3. 各村统一巡查服务区域（每个村全部包含以下板块）</w:t>
      </w:r>
    </w:p>
    <w:p w14:paraId="6858FA2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① 村内所有主干道、村组支路、房前屋后背街巷道；</w:t>
      </w:r>
    </w:p>
    <w:p w14:paraId="56ECFE0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② 村内公共场地、文化广场、便民服务点、村级卫生室、村部周边；</w:t>
      </w:r>
    </w:p>
    <w:p w14:paraId="1EC3CDE9">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③ 全村所有河道、灌溉沟渠、水塘两岸（含水面漂浮垃圾、岸边杂草、乱堆杂物、污水直排、私搭拦网、违建围堰）；</w:t>
      </w:r>
    </w:p>
    <w:p w14:paraId="259AA76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④ 村内闲置宅基地、荒地、废弃房屋周边；</w:t>
      </w:r>
    </w:p>
    <w:p w14:paraId="69B4A8D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⑤ 田间道路、村庄与农田交界地带；</w:t>
      </w:r>
    </w:p>
    <w:p w14:paraId="2394208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⑥ 村内养殖棚、简易搭建、围墙、附属违建点位；</w:t>
      </w:r>
    </w:p>
    <w:p w14:paraId="547DB52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⑦ 村组垃圾堆放点、露天粪坑、杂物堆、柴火堆；</w:t>
      </w:r>
    </w:p>
    <w:p w14:paraId="2967607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⑧ 村级出入口、与集镇连接线道路两侧；</w:t>
      </w:r>
    </w:p>
    <w:p w14:paraId="2D284414">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⑨ 村内企业、小作坊外围市容、乱堆乱放点位。</w:t>
      </w:r>
    </w:p>
    <w:p w14:paraId="768F512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4. 专项覆盖范围</w:t>
      </w:r>
    </w:p>
    <w:p w14:paraId="2ED299E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全镇27村+集镇范围内所有新增在建房屋、围挡、临时搭建、畜禽简易棚、围墙扩建等违建动态巡查；全镇人居环境迎检点位、上级督查点位、镇政府临时划定重点管控区域。</w:t>
      </w:r>
    </w:p>
    <w:p w14:paraId="70EDD70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(五）</w:t>
      </w:r>
      <w:r>
        <w:rPr>
          <w:rFonts w:hint="eastAsia" w:ascii="宋体" w:hAnsi="宋体" w:eastAsia="宋体" w:cs="宋体"/>
          <w:b w:val="0"/>
          <w:bCs w:val="0"/>
          <w:color w:val="auto"/>
          <w:sz w:val="24"/>
          <w:szCs w:val="24"/>
          <w:highlight w:val="none"/>
          <w:shd w:val="clear" w:color="auto" w:fill="auto"/>
        </w:rPr>
        <w:t>服务标准、人员管理、工作要求</w:t>
      </w:r>
    </w:p>
    <w:p w14:paraId="4A4CFB0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5.1</w:t>
      </w:r>
      <w:r>
        <w:rPr>
          <w:rFonts w:hint="eastAsia" w:ascii="宋体" w:hAnsi="宋体" w:eastAsia="宋体" w:cs="宋体"/>
          <w:b w:val="0"/>
          <w:bCs w:val="0"/>
          <w:color w:val="auto"/>
          <w:sz w:val="24"/>
          <w:szCs w:val="24"/>
          <w:highlight w:val="none"/>
          <w:shd w:val="clear" w:color="auto" w:fill="auto"/>
        </w:rPr>
        <w:t>工作时间：每日7:30—18:00；人居环境迎检、节假日、暴雨台风、河道清理、违建集中整治等任务，无条件加班值守。</w:t>
      </w:r>
    </w:p>
    <w:p w14:paraId="377B269C">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5.2</w:t>
      </w:r>
      <w:r>
        <w:rPr>
          <w:rFonts w:hint="eastAsia" w:ascii="宋体" w:hAnsi="宋体" w:eastAsia="宋体" w:cs="宋体"/>
          <w:b w:val="0"/>
          <w:bCs w:val="0"/>
          <w:color w:val="auto"/>
          <w:sz w:val="24"/>
          <w:szCs w:val="24"/>
          <w:highlight w:val="none"/>
          <w:shd w:val="clear" w:color="auto" w:fill="auto"/>
        </w:rPr>
        <w:t>人员基础条件</w:t>
      </w:r>
    </w:p>
    <w:p w14:paraId="3FB0853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（1）无犯罪记录、无行政拘留、无吸毒等不良记录，政审合格；</w:t>
      </w:r>
    </w:p>
    <w:p w14:paraId="6E5D8D1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（2）身体健康，无传染病、重大基础疾病，能适应户外、田间、河道长期巡查；</w:t>
      </w:r>
    </w:p>
    <w:p w14:paraId="1121A3B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（3）中专/高中及以上学历，具备基础文字记录、拍照上传能力；</w:t>
      </w:r>
    </w:p>
    <w:p w14:paraId="34452A3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（4）服从镇政府、项目负责人统一调度。</w:t>
      </w:r>
    </w:p>
    <w:p w14:paraId="07FA361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5.3</w:t>
      </w:r>
      <w:r>
        <w:rPr>
          <w:rFonts w:hint="eastAsia" w:ascii="宋体" w:hAnsi="宋体" w:eastAsia="宋体" w:cs="宋体"/>
          <w:b w:val="0"/>
          <w:bCs w:val="0"/>
          <w:color w:val="auto"/>
          <w:sz w:val="24"/>
          <w:szCs w:val="24"/>
          <w:highlight w:val="none"/>
          <w:shd w:val="clear" w:color="auto" w:fill="auto"/>
        </w:rPr>
        <w:t>日常巡查服务标准</w:t>
      </w:r>
    </w:p>
    <w:p w14:paraId="3DF965C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（1）每日分片全覆盖巡查，当日发现占道、乱堆、违建、河道垃圾、污水、乱贴小广告等现场劝导制止，拒不整改的拍照登记，当日上报镇职能部门；</w:t>
      </w:r>
    </w:p>
    <w:p w14:paraId="2A88690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（2）违建实行每日动态排查，新增搭建第一时间现场劝阻并书面上报；</w:t>
      </w:r>
    </w:p>
    <w:p w14:paraId="6903AE9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（3）河道沟渠每日巡岸，清理岸边及水面漂浮垃圾，上报排污、围垦河道行为；</w:t>
      </w:r>
    </w:p>
    <w:p w14:paraId="7485C4CA">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（4）建立每日巡查台账、问题照片台账、整改回访台账，每月统一汇总提交采购人。</w:t>
      </w:r>
    </w:p>
    <w:p w14:paraId="0F77EB2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5.4</w:t>
      </w:r>
      <w:r>
        <w:rPr>
          <w:rFonts w:hint="eastAsia" w:ascii="宋体" w:hAnsi="宋体" w:eastAsia="宋体" w:cs="宋体"/>
          <w:b w:val="0"/>
          <w:bCs w:val="0"/>
          <w:color w:val="auto"/>
          <w:sz w:val="24"/>
          <w:szCs w:val="24"/>
          <w:highlight w:val="none"/>
          <w:shd w:val="clear" w:color="auto" w:fill="auto"/>
        </w:rPr>
        <w:t>培训要求：每周累计不少于2小时集中培训（</w:t>
      </w:r>
      <w:r>
        <w:rPr>
          <w:rFonts w:hint="eastAsia" w:ascii="宋体" w:hAnsi="宋体" w:eastAsia="宋体" w:cs="宋体"/>
          <w:i w:val="0"/>
          <w:iCs w:val="0"/>
          <w:caps w:val="0"/>
          <w:color w:val="0F1115"/>
          <w:spacing w:val="0"/>
          <w:sz w:val="24"/>
          <w:szCs w:val="24"/>
          <w:highlight w:val="none"/>
          <w:shd w:val="clear" w:fill="FFFFFF"/>
        </w:rPr>
        <w:t>内容涵盖环境巡查、违建识别、安全作业、沟通规范、应急处置），培训记录、签到、照片每月上交镇政府</w:t>
      </w:r>
      <w:r>
        <w:rPr>
          <w:rFonts w:hint="eastAsia" w:ascii="宋体" w:hAnsi="宋体" w:eastAsia="宋体" w:cs="宋体"/>
          <w:b w:val="0"/>
          <w:bCs w:val="0"/>
          <w:color w:val="auto"/>
          <w:sz w:val="24"/>
          <w:szCs w:val="24"/>
          <w:highlight w:val="none"/>
          <w:shd w:val="clear" w:color="auto" w:fill="auto"/>
        </w:rPr>
        <w:t>。</w:t>
      </w:r>
    </w:p>
    <w:p w14:paraId="15A2B7F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5.5</w:t>
      </w:r>
      <w:r>
        <w:rPr>
          <w:rFonts w:hint="eastAsia" w:ascii="宋体" w:hAnsi="宋体" w:eastAsia="宋体" w:cs="宋体"/>
          <w:b w:val="0"/>
          <w:bCs w:val="0"/>
          <w:color w:val="auto"/>
          <w:sz w:val="24"/>
          <w:szCs w:val="24"/>
          <w:highlight w:val="none"/>
          <w:shd w:val="clear" w:color="auto" w:fill="auto"/>
        </w:rPr>
        <w:t>响应时效：镇交办问题1小时到场处置</w:t>
      </w: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rPr>
        <w:t>突发违建、河道污染、环境乱象30分钟抵达现场并上报。</w:t>
      </w:r>
    </w:p>
    <w:p w14:paraId="5CD35CE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六）</w:t>
      </w:r>
      <w:r>
        <w:rPr>
          <w:rFonts w:hint="eastAsia" w:ascii="宋体" w:hAnsi="宋体" w:eastAsia="宋体" w:cs="宋体"/>
          <w:b w:val="0"/>
          <w:bCs w:val="0"/>
          <w:color w:val="auto"/>
          <w:sz w:val="24"/>
          <w:szCs w:val="24"/>
          <w:highlight w:val="none"/>
          <w:shd w:val="clear" w:color="auto" w:fill="auto"/>
        </w:rPr>
        <w:t>验收标准</w:t>
      </w:r>
    </w:p>
    <w:p w14:paraId="588422F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6.1</w:t>
      </w:r>
      <w:r>
        <w:rPr>
          <w:rFonts w:hint="eastAsia" w:ascii="宋体" w:hAnsi="宋体" w:eastAsia="宋体" w:cs="宋体"/>
          <w:b w:val="0"/>
          <w:bCs w:val="0"/>
          <w:color w:val="auto"/>
          <w:sz w:val="24"/>
          <w:szCs w:val="24"/>
          <w:highlight w:val="none"/>
          <w:shd w:val="clear" w:color="auto" w:fill="auto"/>
        </w:rPr>
        <w:t>日常验收：镇工作人员每日抽查人员到岗、巡查轨迹、现场处置，当日履职合格视为当日验收通过；</w:t>
      </w:r>
    </w:p>
    <w:p w14:paraId="4D8F307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6.2</w:t>
      </w:r>
      <w:r>
        <w:rPr>
          <w:rFonts w:hint="eastAsia" w:ascii="宋体" w:hAnsi="宋体" w:eastAsia="宋体" w:cs="宋体"/>
          <w:b w:val="0"/>
          <w:bCs w:val="0"/>
          <w:color w:val="auto"/>
          <w:sz w:val="24"/>
          <w:szCs w:val="24"/>
          <w:highlight w:val="none"/>
          <w:shd w:val="clear" w:color="auto" w:fill="auto"/>
        </w:rPr>
        <w:t>月度验收：核查人员在岗、台账完整度、问题处置完成率、投诉数量；</w:t>
      </w:r>
    </w:p>
    <w:p w14:paraId="2C090E87">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6.3</w:t>
      </w:r>
      <w:r>
        <w:rPr>
          <w:rFonts w:hint="eastAsia" w:ascii="宋体" w:hAnsi="宋体" w:eastAsia="宋体" w:cs="宋体"/>
          <w:b w:val="0"/>
          <w:bCs w:val="0"/>
          <w:color w:val="auto"/>
          <w:sz w:val="24"/>
          <w:szCs w:val="24"/>
          <w:highlight w:val="none"/>
          <w:shd w:val="clear" w:color="auto" w:fill="auto"/>
        </w:rPr>
        <w:t>季度综合验收（付款依据）：</w:t>
      </w:r>
      <w:r>
        <w:rPr>
          <w:rFonts w:ascii="宋体" w:hAnsi="宋体" w:eastAsia="宋体" w:cs="宋体"/>
          <w:sz w:val="24"/>
          <w:szCs w:val="24"/>
          <w:highlight w:val="none"/>
        </w:rPr>
        <w:t>季度综合考核不合格，按考核细则扣除对应违约金；甲方下达整改通知书后限期整改仍未达标的，采购人有权单方解除服务合同</w:t>
      </w:r>
      <w:r>
        <w:rPr>
          <w:rFonts w:hint="eastAsia" w:ascii="宋体" w:hAnsi="宋体" w:eastAsia="宋体" w:cs="宋体"/>
          <w:b w:val="0"/>
          <w:bCs w:val="0"/>
          <w:color w:val="auto"/>
          <w:sz w:val="24"/>
          <w:szCs w:val="24"/>
          <w:highlight w:val="none"/>
          <w:shd w:val="clear" w:color="auto" w:fill="auto"/>
        </w:rPr>
        <w:t>。</w:t>
      </w:r>
    </w:p>
    <w:p w14:paraId="10DB478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七）</w:t>
      </w:r>
      <w:r>
        <w:rPr>
          <w:rFonts w:hint="eastAsia" w:ascii="宋体" w:hAnsi="宋体" w:eastAsia="宋体" w:cs="宋体"/>
          <w:b w:val="0"/>
          <w:bCs w:val="0"/>
          <w:color w:val="auto"/>
          <w:sz w:val="24"/>
          <w:szCs w:val="24"/>
          <w:highlight w:val="none"/>
          <w:shd w:val="clear" w:color="auto" w:fill="auto"/>
        </w:rPr>
        <w:t>报价、用工相关硬性要求</w:t>
      </w:r>
    </w:p>
    <w:p w14:paraId="687F08B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ascii="宋体" w:hAnsi="宋体" w:eastAsia="宋体" w:cs="宋体"/>
          <w:sz w:val="24"/>
          <w:szCs w:val="24"/>
          <w:highlight w:val="none"/>
        </w:rPr>
        <w:t>本项目为总价包干报价，投标总价包含 61 名服务人员全部劳动报酬、各类加班费、高温津贴、福利费、单位及个人社会保险、住房公积金、执勤服装、反光防护装备、巡查通讯设备、办公台账耗材、岗前及常态化培训、雇主责任险、人身意外险、项目管理费、税金、人工成本上涨预估等实施本项目全部费用，合同履行期间采购人不再额外支付任何款项</w:t>
      </w:r>
      <w:r>
        <w:rPr>
          <w:rFonts w:hint="eastAsia" w:ascii="宋体" w:hAnsi="宋体" w:eastAsia="宋体" w:cs="宋体"/>
          <w:b w:val="0"/>
          <w:bCs w:val="0"/>
          <w:color w:val="auto"/>
          <w:sz w:val="24"/>
          <w:szCs w:val="24"/>
          <w:highlight w:val="none"/>
          <w:shd w:val="clear" w:color="auto" w:fill="auto"/>
        </w:rPr>
        <w:t>。</w:t>
      </w:r>
    </w:p>
    <w:p w14:paraId="6B9DB65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hint="eastAsia" w:ascii="宋体" w:hAnsi="宋体" w:eastAsia="宋体" w:cs="宋体"/>
          <w:b w:val="0"/>
          <w:bCs w:val="0"/>
          <w:color w:val="auto"/>
          <w:sz w:val="24"/>
          <w:szCs w:val="24"/>
          <w:highlight w:val="none"/>
          <w:shd w:val="clear" w:color="auto" w:fill="auto"/>
        </w:rPr>
        <w:t>人员工资底线：</w:t>
      </w:r>
      <w:r>
        <w:rPr>
          <w:rFonts w:ascii="宋体" w:hAnsi="宋体" w:eastAsia="宋体" w:cs="宋体"/>
          <w:sz w:val="24"/>
          <w:szCs w:val="24"/>
          <w:highlight w:val="none"/>
        </w:rPr>
        <w:t>所有在岗服务人员月度应发工资不得低于滨海县现行最低工资标准及本地同类外包岗位合理薪酬水平，人员工资、社会保险、住房公积金均属于法定不可竞争成本，投标报价测算成本低于法定用工底线的，按无效投标处理</w:t>
      </w:r>
      <w:r>
        <w:rPr>
          <w:rFonts w:hint="eastAsia" w:ascii="宋体" w:hAnsi="宋体" w:eastAsia="宋体" w:cs="宋体"/>
          <w:sz w:val="24"/>
          <w:szCs w:val="24"/>
          <w:highlight w:val="none"/>
          <w:lang w:eastAsia="zh-CN"/>
        </w:rPr>
        <w:t>。</w:t>
      </w:r>
    </w:p>
    <w:p w14:paraId="67D5719D">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3.</w:t>
      </w:r>
      <w:r>
        <w:rPr>
          <w:rFonts w:ascii="宋体" w:hAnsi="宋体" w:eastAsia="宋体" w:cs="宋体"/>
          <w:sz w:val="24"/>
          <w:szCs w:val="24"/>
          <w:highlight w:val="none"/>
        </w:rPr>
        <w:t>社会保险缴纳要求：乙方必须按照滨海县社保最低缴费标准及国家、省、市、县现行社保政策，为全体服务人员足额缴纳五险；须为每一名在岗人员统一投保足额雇主责任险，规避作业工伤风险；乙方需与全部服务人员依法签订规范劳动合同，劳动合同、社保缴费凭证、保险保单等材料采购人可随时要求乙方提供原件备查</w:t>
      </w:r>
      <w:r>
        <w:rPr>
          <w:rFonts w:hint="eastAsia" w:ascii="宋体" w:hAnsi="宋体" w:eastAsia="宋体" w:cs="宋体"/>
          <w:b w:val="0"/>
          <w:bCs w:val="0"/>
          <w:color w:val="auto"/>
          <w:sz w:val="24"/>
          <w:szCs w:val="24"/>
          <w:highlight w:val="none"/>
          <w:shd w:val="clear" w:color="auto" w:fill="auto"/>
        </w:rPr>
        <w:t>。</w:t>
      </w:r>
    </w:p>
    <w:p w14:paraId="7D4F4E9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4.</w:t>
      </w:r>
      <w:r>
        <w:rPr>
          <w:rFonts w:ascii="宋体" w:hAnsi="宋体" w:eastAsia="宋体" w:cs="宋体"/>
          <w:sz w:val="24"/>
          <w:szCs w:val="24"/>
          <w:highlight w:val="none"/>
        </w:rPr>
        <w:t>服务人员伙食费、个人通讯费、个人生活用品等全部由人员自行承担，采购人不提供食宿、通讯相关任何补贴</w:t>
      </w:r>
      <w:r>
        <w:rPr>
          <w:rFonts w:hint="eastAsia" w:ascii="宋体" w:hAnsi="宋体" w:eastAsia="宋体" w:cs="宋体"/>
          <w:b w:val="0"/>
          <w:bCs w:val="0"/>
          <w:color w:val="auto"/>
          <w:sz w:val="24"/>
          <w:szCs w:val="24"/>
          <w:highlight w:val="none"/>
          <w:shd w:val="clear" w:color="auto" w:fill="auto"/>
        </w:rPr>
        <w:t>。</w:t>
      </w:r>
    </w:p>
    <w:p w14:paraId="24783D3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ascii="宋体" w:hAnsi="宋体" w:eastAsia="宋体" w:cs="宋体"/>
          <w:sz w:val="24"/>
          <w:szCs w:val="24"/>
          <w:highlight w:val="none"/>
        </w:rPr>
      </w:pPr>
      <w:r>
        <w:rPr>
          <w:rFonts w:hint="eastAsia" w:ascii="宋体" w:hAnsi="宋体" w:eastAsia="宋体" w:cs="宋体"/>
          <w:b w:val="0"/>
          <w:bCs w:val="0"/>
          <w:color w:val="auto"/>
          <w:sz w:val="24"/>
          <w:szCs w:val="24"/>
          <w:highlight w:val="none"/>
          <w:shd w:val="clear" w:color="auto" w:fill="auto"/>
          <w:lang w:val="en-US" w:eastAsia="zh-CN"/>
        </w:rPr>
        <w:t>5.</w:t>
      </w:r>
      <w:r>
        <w:rPr>
          <w:rFonts w:ascii="宋体" w:hAnsi="宋体" w:eastAsia="宋体" w:cs="宋体"/>
          <w:sz w:val="24"/>
          <w:szCs w:val="24"/>
          <w:highlight w:val="none"/>
        </w:rPr>
        <w:t>政策性薪酬调整约定：合同履约期内，若国家、江苏省、盐城市、滨海县出台文件上调最低工资标准、社保缴费最低标准等政策性用工调整政策，自政策文件规定执行之日起，乙方服务人员工资、单位承担社保部分同步按政策要求相应上调；</w:t>
      </w:r>
    </w:p>
    <w:p w14:paraId="625F5AA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6.</w:t>
      </w:r>
      <w:r>
        <w:rPr>
          <w:rFonts w:ascii="宋体" w:hAnsi="宋体" w:eastAsia="宋体" w:cs="宋体"/>
          <w:sz w:val="24"/>
          <w:szCs w:val="24"/>
          <w:highlight w:val="none"/>
        </w:rPr>
        <w:t>本项目服务不得整体转包，亦不得拆分分项分包给任何第三方单位或个人，一经查实，采购人有权直接解除合同，由此产生一切损失由乙方自行承担</w:t>
      </w:r>
      <w:r>
        <w:rPr>
          <w:rFonts w:hint="eastAsia" w:ascii="宋体" w:hAnsi="宋体" w:eastAsia="宋体" w:cs="宋体"/>
          <w:b w:val="0"/>
          <w:bCs w:val="0"/>
          <w:color w:val="auto"/>
          <w:sz w:val="24"/>
          <w:szCs w:val="24"/>
          <w:highlight w:val="none"/>
          <w:shd w:val="clear" w:color="auto" w:fill="auto"/>
        </w:rPr>
        <w:t>。</w:t>
      </w:r>
    </w:p>
    <w:p w14:paraId="59EB4C0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八）</w:t>
      </w:r>
      <w:r>
        <w:rPr>
          <w:rFonts w:hint="eastAsia" w:ascii="宋体" w:hAnsi="宋体" w:eastAsia="宋体" w:cs="宋体"/>
          <w:b w:val="0"/>
          <w:bCs w:val="0"/>
          <w:color w:val="auto"/>
          <w:sz w:val="24"/>
          <w:szCs w:val="24"/>
          <w:highlight w:val="none"/>
          <w:shd w:val="clear" w:color="auto" w:fill="auto"/>
        </w:rPr>
        <w:t>违约责任</w:t>
      </w:r>
    </w:p>
    <w:p w14:paraId="33CCD5A3">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ascii="宋体" w:hAnsi="宋体" w:eastAsia="宋体" w:cs="宋体"/>
          <w:sz w:val="24"/>
          <w:szCs w:val="24"/>
          <w:highlight w:val="none"/>
        </w:rPr>
        <w:t>未提前书面报备、未经采购人书面审核同意，擅自更换、内部调岗所有在岗服务人员的，每一人次扣除违约金 1000 元，乙方须 3 日内补齐同等条件人员</w:t>
      </w:r>
      <w:r>
        <w:rPr>
          <w:rFonts w:hint="eastAsia" w:ascii="宋体" w:hAnsi="宋体" w:eastAsia="宋体" w:cs="宋体"/>
          <w:b w:val="0"/>
          <w:bCs w:val="0"/>
          <w:color w:val="auto"/>
          <w:sz w:val="24"/>
          <w:szCs w:val="24"/>
          <w:highlight w:val="none"/>
          <w:shd w:val="clear" w:color="auto" w:fill="auto"/>
        </w:rPr>
        <w:t>；</w:t>
      </w:r>
    </w:p>
    <w:p w14:paraId="79C84E9B">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ascii="宋体" w:hAnsi="宋体" w:eastAsia="宋体" w:cs="宋体"/>
          <w:sz w:val="24"/>
          <w:szCs w:val="24"/>
          <w:highlight w:val="none"/>
        </w:rPr>
        <w:t>服务人员存在脱岗、空岗、片区漏巡、巡查履职不到位、工作消极敷衍，或经核实产生有效群众投诉的，每一人次扣除违约金 500 元，并扣除该人员当日全部薪酬</w:t>
      </w:r>
      <w:r>
        <w:rPr>
          <w:rFonts w:hint="eastAsia" w:ascii="宋体" w:hAnsi="宋体" w:eastAsia="宋体" w:cs="宋体"/>
          <w:b w:val="0"/>
          <w:bCs w:val="0"/>
          <w:color w:val="auto"/>
          <w:sz w:val="24"/>
          <w:szCs w:val="24"/>
          <w:highlight w:val="none"/>
          <w:shd w:val="clear" w:color="auto" w:fill="auto"/>
        </w:rPr>
        <w:t>；</w:t>
      </w:r>
    </w:p>
    <w:p w14:paraId="29CCA7D5">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3.</w:t>
      </w:r>
      <w:r>
        <w:rPr>
          <w:rFonts w:ascii="宋体" w:hAnsi="宋体" w:eastAsia="宋体" w:cs="宋体"/>
          <w:sz w:val="24"/>
          <w:szCs w:val="24"/>
          <w:highlight w:val="none"/>
        </w:rPr>
        <w:t>未按要求建立完整巡查台账、问题整改台账、月度培训台账，或未落实每周累计不少于 2 小时全员培训、未留存完整培训资料的，每次扣除违约金 1000 元；限期 3 日内整改仍未达标的，采购人有权暂缓支付当期季度服务费</w:t>
      </w:r>
      <w:r>
        <w:rPr>
          <w:rFonts w:hint="eastAsia" w:ascii="宋体" w:hAnsi="宋体" w:eastAsia="宋体" w:cs="宋体"/>
          <w:b w:val="0"/>
          <w:bCs w:val="0"/>
          <w:color w:val="auto"/>
          <w:sz w:val="24"/>
          <w:szCs w:val="24"/>
          <w:highlight w:val="none"/>
          <w:shd w:val="clear" w:color="auto" w:fill="auto"/>
        </w:rPr>
        <w:t>；</w:t>
      </w:r>
    </w:p>
    <w:p w14:paraId="63ED2B41">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4.</w:t>
      </w:r>
      <w:r>
        <w:rPr>
          <w:rFonts w:ascii="宋体" w:hAnsi="宋体" w:eastAsia="宋体" w:cs="宋体"/>
          <w:sz w:val="24"/>
          <w:szCs w:val="24"/>
          <w:highlight w:val="none"/>
        </w:rPr>
        <w:t>乙方多次拒不配合集镇管理、农村人居环境整治、违章建筑排查整治等专项工作，经采购人多次督促整改后服务质量仍不达标，采购人有权单方面解除合同，因解约产生的全部经济损失由乙方承担</w:t>
      </w:r>
      <w:r>
        <w:rPr>
          <w:rFonts w:hint="eastAsia" w:ascii="宋体" w:hAnsi="宋体" w:eastAsia="宋体" w:cs="宋体"/>
          <w:b w:val="0"/>
          <w:bCs w:val="0"/>
          <w:color w:val="auto"/>
          <w:sz w:val="24"/>
          <w:szCs w:val="24"/>
          <w:highlight w:val="none"/>
          <w:shd w:val="clear" w:color="auto" w:fill="auto"/>
        </w:rPr>
        <w:t>；</w:t>
      </w:r>
    </w:p>
    <w:p w14:paraId="0D83552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5.</w:t>
      </w:r>
      <w:r>
        <w:rPr>
          <w:rFonts w:ascii="宋体" w:hAnsi="宋体" w:eastAsia="宋体" w:cs="宋体"/>
          <w:sz w:val="24"/>
          <w:szCs w:val="24"/>
          <w:highlight w:val="none"/>
        </w:rPr>
        <w:t>乙方未依法与人员签订劳动合同、未按规定足额缴纳社会保险、未全员投保雇主责任险的，采购人有权暂缓支付全部服务费用，并可单方解除合同，同时追究乙方全部法律及经济责任</w:t>
      </w:r>
      <w:r>
        <w:rPr>
          <w:rFonts w:hint="eastAsia" w:ascii="宋体" w:hAnsi="宋体" w:eastAsia="宋体" w:cs="宋体"/>
          <w:b w:val="0"/>
          <w:bCs w:val="0"/>
          <w:color w:val="auto"/>
          <w:sz w:val="24"/>
          <w:szCs w:val="24"/>
          <w:highlight w:val="none"/>
          <w:shd w:val="clear" w:color="auto" w:fill="auto"/>
        </w:rPr>
        <w:t>。</w:t>
      </w:r>
    </w:p>
    <w:p w14:paraId="231823F0">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eastAsia="zh-CN"/>
        </w:rPr>
        <w:t>（</w:t>
      </w:r>
      <w:r>
        <w:rPr>
          <w:rFonts w:hint="eastAsia" w:ascii="宋体" w:hAnsi="宋体" w:eastAsia="宋体" w:cs="宋体"/>
          <w:b w:val="0"/>
          <w:bCs w:val="0"/>
          <w:color w:val="auto"/>
          <w:sz w:val="24"/>
          <w:szCs w:val="24"/>
          <w:highlight w:val="none"/>
          <w:shd w:val="clear" w:color="auto" w:fill="auto"/>
          <w:lang w:val="en-US" w:eastAsia="zh-CN"/>
        </w:rPr>
        <w:t>九）</w:t>
      </w:r>
      <w:r>
        <w:rPr>
          <w:rFonts w:hint="eastAsia" w:ascii="宋体" w:hAnsi="宋体" w:eastAsia="宋体" w:cs="宋体"/>
          <w:b w:val="0"/>
          <w:bCs w:val="0"/>
          <w:color w:val="auto"/>
          <w:sz w:val="24"/>
          <w:szCs w:val="24"/>
          <w:highlight w:val="none"/>
          <w:shd w:val="clear" w:color="auto" w:fill="auto"/>
        </w:rPr>
        <w:t>其他承诺条款</w:t>
      </w:r>
    </w:p>
    <w:p w14:paraId="0750ACC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rPr>
        <w:t>响应人须提供书面承诺书（格式自拟），承诺内容包括但不限于：</w:t>
      </w:r>
    </w:p>
    <w:p w14:paraId="7C6B19EE">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1.</w:t>
      </w:r>
      <w:r>
        <w:rPr>
          <w:rFonts w:ascii="宋体" w:hAnsi="宋体" w:eastAsia="宋体" w:cs="宋体"/>
          <w:sz w:val="24"/>
          <w:szCs w:val="24"/>
          <w:highlight w:val="none"/>
        </w:rPr>
        <w:t>合同签订前向采购人提交全部拟派人员身份证、无犯罪记录证明、健康体检证明、学历证书等原件核验</w:t>
      </w:r>
      <w:r>
        <w:rPr>
          <w:rFonts w:hint="eastAsia" w:ascii="宋体" w:hAnsi="宋体" w:eastAsia="宋体" w:cs="宋体"/>
          <w:b w:val="0"/>
          <w:bCs w:val="0"/>
          <w:color w:val="auto"/>
          <w:sz w:val="24"/>
          <w:szCs w:val="24"/>
          <w:highlight w:val="none"/>
          <w:shd w:val="clear" w:color="auto" w:fill="auto"/>
        </w:rPr>
        <w:t>；</w:t>
      </w:r>
    </w:p>
    <w:p w14:paraId="73B33C9F">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2.</w:t>
      </w:r>
      <w:r>
        <w:rPr>
          <w:rFonts w:ascii="宋体" w:hAnsi="宋体" w:eastAsia="宋体" w:cs="宋体"/>
          <w:sz w:val="24"/>
          <w:szCs w:val="24"/>
          <w:highlight w:val="none"/>
        </w:rPr>
        <w:t>人员更换须提前书面报备、经镇政府审核同意后方可上岗</w:t>
      </w:r>
      <w:r>
        <w:rPr>
          <w:rFonts w:hint="eastAsia" w:ascii="宋体" w:hAnsi="宋体" w:eastAsia="宋体" w:cs="宋体"/>
          <w:b w:val="0"/>
          <w:bCs w:val="0"/>
          <w:color w:val="auto"/>
          <w:sz w:val="24"/>
          <w:szCs w:val="24"/>
          <w:highlight w:val="none"/>
          <w:shd w:val="clear" w:color="auto" w:fill="auto"/>
        </w:rPr>
        <w:t>；</w:t>
      </w:r>
    </w:p>
    <w:p w14:paraId="6117DFC6">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shd w:val="clear" w:color="auto" w:fill="auto"/>
        </w:rPr>
      </w:pPr>
      <w:r>
        <w:rPr>
          <w:rFonts w:hint="eastAsia" w:ascii="宋体" w:hAnsi="宋体" w:eastAsia="宋体" w:cs="宋体"/>
          <w:b w:val="0"/>
          <w:bCs w:val="0"/>
          <w:color w:val="auto"/>
          <w:sz w:val="24"/>
          <w:szCs w:val="24"/>
          <w:highlight w:val="none"/>
          <w:shd w:val="clear" w:color="auto" w:fill="auto"/>
          <w:lang w:val="en-US" w:eastAsia="zh-CN"/>
        </w:rPr>
        <w:t>3.</w:t>
      </w:r>
      <w:r>
        <w:rPr>
          <w:rFonts w:ascii="宋体" w:hAnsi="宋体" w:eastAsia="宋体" w:cs="宋体"/>
          <w:sz w:val="24"/>
          <w:szCs w:val="24"/>
          <w:highlight w:val="none"/>
        </w:rPr>
        <w:t>未按要求提交核验材料或未经同意私自更换人员，采购人有权拒绝签订合同、单方解除合同并没收履约保证金</w:t>
      </w:r>
      <w:r>
        <w:rPr>
          <w:rFonts w:hint="eastAsia" w:ascii="宋体" w:hAnsi="宋体" w:eastAsia="宋体" w:cs="宋体"/>
          <w:b w:val="0"/>
          <w:bCs w:val="0"/>
          <w:color w:val="auto"/>
          <w:sz w:val="24"/>
          <w:szCs w:val="24"/>
          <w:highlight w:val="none"/>
          <w:shd w:val="clear" w:color="auto" w:fill="auto"/>
        </w:rPr>
        <w:t>；</w:t>
      </w:r>
    </w:p>
    <w:p w14:paraId="2B6E06E2">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shd w:val="clear" w:color="auto" w:fill="auto"/>
          <w:lang w:val="en-US" w:eastAsia="zh-CN"/>
        </w:rPr>
        <w:t>4.</w:t>
      </w:r>
      <w:r>
        <w:rPr>
          <w:rFonts w:hint="eastAsia" w:ascii="宋体" w:hAnsi="宋体" w:eastAsia="宋体" w:cs="宋体"/>
          <w:b w:val="0"/>
          <w:bCs w:val="0"/>
          <w:color w:val="auto"/>
          <w:sz w:val="24"/>
          <w:szCs w:val="24"/>
          <w:highlight w:val="none"/>
          <w:shd w:val="clear" w:color="auto" w:fill="auto"/>
        </w:rPr>
        <w:t>在合同履行期间，采购人及采购代理机构有权要求中标人提供投标文件中的相关证明材料原件予以核实，如出现弄虚作假，按“提供虚假材料谋取中标”依法处理</w:t>
      </w:r>
      <w:r>
        <w:rPr>
          <w:rFonts w:hint="eastAsia" w:ascii="宋体" w:hAnsi="宋体" w:eastAsia="宋体" w:cs="宋体"/>
          <w:b w:val="0"/>
          <w:bCs w:val="0"/>
          <w:color w:val="auto"/>
          <w:sz w:val="24"/>
          <w:szCs w:val="24"/>
          <w:highlight w:val="none"/>
          <w:lang w:val="en-US" w:eastAsia="zh-CN"/>
        </w:rPr>
        <w:t>。</w:t>
      </w:r>
    </w:p>
    <w:p w14:paraId="2FD72B0B">
      <w:pPr>
        <w:pStyle w:val="33"/>
        <w:spacing w:beforeAutospacing="0" w:afterAutospacing="0"/>
        <w:jc w:val="both"/>
        <w:rPr>
          <w:rFonts w:hint="eastAsia" w:ascii="宋体" w:hAnsi="宋体" w:eastAsia="宋体" w:cs="宋体"/>
          <w:color w:val="auto"/>
          <w:sz w:val="24"/>
          <w:szCs w:val="24"/>
          <w:highlight w:val="none"/>
        </w:rPr>
      </w:pPr>
    </w:p>
    <w:p w14:paraId="2516C18C">
      <w:pPr>
        <w:pStyle w:val="197"/>
        <w:keepNext w:val="0"/>
        <w:keepLines w:val="0"/>
        <w:pageBreakBefore w:val="0"/>
        <w:widowControl w:val="0"/>
        <w:spacing w:line="460" w:lineRule="exact"/>
        <w:ind w:left="0" w:firstLine="473"/>
        <w:contextualSpacing w:val="0"/>
        <w:jc w:val="both"/>
        <w:rPr>
          <w:rFonts w:hint="eastAsia" w:ascii="宋体" w:hAnsi="宋体" w:eastAsia="宋体" w:cs="Times New Roman"/>
          <w:b/>
          <w:bCs/>
          <w:color w:val="auto"/>
          <w:sz w:val="21"/>
          <w:szCs w:val="21"/>
          <w:highlight w:val="none"/>
          <w:lang w:bidi="ar-SA"/>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十）</w:t>
      </w:r>
      <w:r>
        <w:rPr>
          <w:rFonts w:hint="eastAsia" w:ascii="宋体" w:hAnsi="宋体" w:eastAsia="宋体" w:cs="Times New Roman"/>
          <w:b/>
          <w:bCs/>
          <w:color w:val="auto"/>
          <w:sz w:val="21"/>
          <w:szCs w:val="21"/>
          <w:highlight w:val="none"/>
          <w:lang w:bidi="ar-SA"/>
        </w:rPr>
        <w:t>采购标的对应的中小企业划分标准所属行业一览表</w:t>
      </w:r>
    </w:p>
    <w:tbl>
      <w:tblPr>
        <w:tblStyle w:val="35"/>
        <w:tblW w:w="9355" w:type="dxa"/>
        <w:jc w:val="center"/>
        <w:tblCellSpacing w:w="0" w:type="dxa"/>
        <w:tblLayout w:type="fixed"/>
        <w:tblCellMar>
          <w:top w:w="0" w:type="dxa"/>
          <w:left w:w="108" w:type="dxa"/>
          <w:bottom w:w="0" w:type="dxa"/>
          <w:right w:w="108" w:type="dxa"/>
        </w:tblCellMar>
      </w:tblPr>
      <w:tblGrid>
        <w:gridCol w:w="925"/>
        <w:gridCol w:w="4267"/>
        <w:gridCol w:w="4163"/>
      </w:tblGrid>
      <w:tr w14:paraId="5EDBE54C">
        <w:tblPrEx>
          <w:tblCellMar>
            <w:top w:w="0" w:type="dxa"/>
            <w:left w:w="108" w:type="dxa"/>
            <w:bottom w:w="0" w:type="dxa"/>
            <w:right w:w="108" w:type="dxa"/>
          </w:tblCellMar>
        </w:tblPrEx>
        <w:trPr>
          <w:trHeight w:val="700"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54F173B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序号</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6779E43B">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采购标的</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6694AB0A">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对应中小企业划分标准所属行业</w:t>
            </w:r>
          </w:p>
        </w:tc>
      </w:tr>
      <w:tr w14:paraId="229D33AD">
        <w:tblPrEx>
          <w:tblCellMar>
            <w:top w:w="0" w:type="dxa"/>
            <w:left w:w="108" w:type="dxa"/>
            <w:bottom w:w="0" w:type="dxa"/>
            <w:right w:w="108" w:type="dxa"/>
          </w:tblCellMar>
        </w:tblPrEx>
        <w:trPr>
          <w:trHeight w:val="1045" w:hRule="atLeast"/>
          <w:tblCellSpacing w:w="0" w:type="dxa"/>
          <w:jc w:val="center"/>
        </w:trPr>
        <w:tc>
          <w:tcPr>
            <w:tcW w:w="925" w:type="dxa"/>
            <w:tcBorders>
              <w:top w:val="single" w:color="000000" w:sz="4" w:space="0"/>
              <w:left w:val="single" w:color="000000" w:sz="4" w:space="0"/>
              <w:bottom w:val="single" w:color="000000" w:sz="4" w:space="0"/>
              <w:right w:val="single" w:color="000000" w:sz="4" w:space="0"/>
            </w:tcBorders>
            <w:noWrap w:val="0"/>
            <w:vAlign w:val="center"/>
          </w:tcPr>
          <w:p w14:paraId="223E30F6">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w:t>
            </w:r>
          </w:p>
        </w:tc>
        <w:tc>
          <w:tcPr>
            <w:tcW w:w="4267" w:type="dxa"/>
            <w:tcBorders>
              <w:top w:val="single" w:color="000000" w:sz="4" w:space="0"/>
              <w:left w:val="single" w:color="000000" w:sz="4" w:space="0"/>
              <w:bottom w:val="single" w:color="000000" w:sz="4" w:space="0"/>
              <w:right w:val="single" w:color="000000" w:sz="4" w:space="0"/>
            </w:tcBorders>
            <w:noWrap w:val="0"/>
            <w:vAlign w:val="center"/>
          </w:tcPr>
          <w:p w14:paraId="23DB41D7">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滨海县滨淮镇街道、农村市容服务外包(27个村居和集镇范围)采购项目</w:t>
            </w:r>
          </w:p>
        </w:tc>
        <w:tc>
          <w:tcPr>
            <w:tcW w:w="4163" w:type="dxa"/>
            <w:tcBorders>
              <w:top w:val="single" w:color="000000" w:sz="4" w:space="0"/>
              <w:left w:val="single" w:color="000000" w:sz="4" w:space="0"/>
              <w:bottom w:val="single" w:color="000000" w:sz="4" w:space="0"/>
              <w:right w:val="single" w:color="000000" w:sz="4" w:space="0"/>
            </w:tcBorders>
            <w:noWrap w:val="0"/>
            <w:vAlign w:val="center"/>
          </w:tcPr>
          <w:p w14:paraId="4C9FDF9D">
            <w:pPr>
              <w:keepNext w:val="0"/>
              <w:keepLines w:val="0"/>
              <w:pageBreakBefore w:val="0"/>
              <w:widowControl w:val="0"/>
              <w:spacing w:beforeAutospacing="0" w:afterAutospacing="0" w:line="400" w:lineRule="exact"/>
              <w:jc w:val="cente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Times New Roman"/>
                <w:color w:val="auto"/>
                <w:sz w:val="21"/>
                <w:szCs w:val="21"/>
                <w:highlight w:val="none"/>
                <w:lang w:val="en-US" w:eastAsia="zh-CN" w:bidi="ar-SA"/>
              </w:rPr>
              <w:t>其他未列明行业</w:t>
            </w:r>
          </w:p>
        </w:tc>
      </w:tr>
    </w:tbl>
    <w:p w14:paraId="718F444C">
      <w:pPr>
        <w:pStyle w:val="33"/>
        <w:spacing w:beforeAutospacing="0" w:afterAutospacing="0"/>
        <w:ind w:firstLine="240" w:firstLineChars="100"/>
        <w:jc w:val="both"/>
        <w:rPr>
          <w:rFonts w:hint="default" w:ascii="宋体" w:hAnsi="宋体" w:eastAsia="宋体" w:cs="宋体"/>
          <w:color w:val="auto"/>
          <w:sz w:val="24"/>
          <w:szCs w:val="24"/>
          <w:highlight w:val="none"/>
          <w:lang w:val="en-US" w:eastAsia="zh-CN"/>
        </w:rPr>
      </w:pPr>
    </w:p>
    <w:p w14:paraId="6D9B155A">
      <w:pPr>
        <w:pStyle w:val="33"/>
        <w:spacing w:beforeAutospacing="0" w:afterAutospacing="0"/>
        <w:jc w:val="both"/>
        <w:rPr>
          <w:rFonts w:hint="eastAsia" w:ascii="宋体" w:hAnsi="宋体" w:eastAsia="宋体" w:cs="宋体"/>
          <w:color w:val="auto"/>
          <w:sz w:val="24"/>
          <w:szCs w:val="24"/>
          <w:highlight w:val="none"/>
        </w:rPr>
      </w:pPr>
    </w:p>
    <w:p w14:paraId="55A2030A">
      <w:pPr>
        <w:pStyle w:val="33"/>
        <w:spacing w:beforeAutospacing="0" w:afterAutospacing="0"/>
        <w:jc w:val="both"/>
        <w:rPr>
          <w:rFonts w:hint="eastAsia" w:ascii="宋体" w:hAnsi="宋体" w:eastAsia="宋体" w:cs="宋体"/>
          <w:color w:val="auto"/>
          <w:sz w:val="24"/>
          <w:szCs w:val="24"/>
          <w:highlight w:val="none"/>
        </w:rPr>
      </w:pPr>
    </w:p>
    <w:p w14:paraId="5FBC3927">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7C26B395">
      <w:pPr>
        <w:spacing w:line="360" w:lineRule="auto"/>
        <w:ind w:firstLine="482"/>
        <w:rPr>
          <w:rFonts w:hint="eastAsia" w:ascii="宋体" w:hAnsi="宋体" w:eastAsia="宋体" w:cs="宋体"/>
          <w:b/>
          <w:bCs/>
          <w:color w:val="auto"/>
          <w:sz w:val="24"/>
          <w:szCs w:val="24"/>
          <w:highlight w:val="none"/>
        </w:rPr>
      </w:pPr>
      <w:r>
        <w:rPr>
          <w:rFonts w:hint="eastAsia" w:ascii="宋体" w:hAnsi="宋体" w:eastAsia="宋体" w:cs="宋体"/>
          <w:color w:val="auto"/>
          <w:sz w:val="44"/>
          <w:szCs w:val="44"/>
          <w:highlight w:val="none"/>
        </w:rPr>
        <w:t xml:space="preserve">     第五章  </w:t>
      </w:r>
      <w:r>
        <w:rPr>
          <w:rFonts w:hint="eastAsia" w:ascii="宋体" w:hAnsi="宋体" w:eastAsia="宋体" w:cs="宋体"/>
          <w:b/>
          <w:color w:val="auto"/>
          <w:sz w:val="44"/>
          <w:szCs w:val="44"/>
          <w:highlight w:val="none"/>
        </w:rPr>
        <w:t>评标方法与评标标准</w:t>
      </w:r>
    </w:p>
    <w:p w14:paraId="5FF97CAA">
      <w:pPr>
        <w:keepNext w:val="0"/>
        <w:keepLines w:val="0"/>
        <w:pageBreakBefore w:val="0"/>
        <w:widowControl w:val="0"/>
        <w:kinsoku/>
        <w:wordWrap/>
        <w:overflowPunct/>
        <w:topLinePunct w:val="0"/>
        <w:autoSpaceDE/>
        <w:autoSpaceDN/>
        <w:bidi w:val="0"/>
        <w:adjustRightInd/>
        <w:snapToGrid/>
        <w:spacing w:line="460" w:lineRule="exact"/>
        <w:ind w:firstLine="482"/>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一、定标原则</w:t>
      </w:r>
    </w:p>
    <w:p w14:paraId="505F49BB">
      <w:pPr>
        <w:keepNext w:val="0"/>
        <w:keepLines w:val="0"/>
        <w:pageBreakBefore w:val="0"/>
        <w:widowControl w:val="0"/>
        <w:kinsoku/>
        <w:wordWrap/>
        <w:overflowPunct/>
        <w:topLinePunct w:val="0"/>
        <w:autoSpaceDE/>
        <w:autoSpaceDN/>
        <w:bidi w:val="0"/>
        <w:adjustRightInd/>
        <w:snapToGrid/>
        <w:spacing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本项目采用</w:t>
      </w:r>
      <w:r>
        <w:rPr>
          <w:rFonts w:hint="eastAsia" w:ascii="宋体" w:hAnsi="宋体" w:eastAsia="宋体" w:cs="宋体"/>
          <w:bCs/>
          <w:color w:val="auto"/>
          <w:sz w:val="24"/>
          <w:szCs w:val="24"/>
          <w:highlight w:val="none"/>
          <w:u w:val="single"/>
        </w:rPr>
        <w:t xml:space="preserve"> 最低评标价</w:t>
      </w:r>
      <w:r>
        <w:rPr>
          <w:rFonts w:hint="eastAsia" w:ascii="宋体" w:hAnsi="宋体" w:eastAsia="宋体" w:cs="宋体"/>
          <w:bCs/>
          <w:color w:val="auto"/>
          <w:sz w:val="24"/>
          <w:szCs w:val="24"/>
          <w:highlight w:val="none"/>
        </w:rPr>
        <w:t xml:space="preserve"> 法。评标委员会对满足招标文件实质性要求的投标文件，按照本招标文件规定的要求进行评审，并按最终通过评审的评标价由低到高顺序推荐中标候选人。最低评标报价相等的，由招标人确定，本项目选取1名中标候选人</w:t>
      </w:r>
      <w:r>
        <w:rPr>
          <w:rFonts w:hint="eastAsia" w:ascii="宋体" w:hAnsi="宋体" w:eastAsia="宋体" w:cs="宋体"/>
          <w:color w:val="auto"/>
          <w:sz w:val="24"/>
          <w:szCs w:val="24"/>
          <w:highlight w:val="none"/>
        </w:rPr>
        <w:t>。</w:t>
      </w:r>
    </w:p>
    <w:p w14:paraId="56418C3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41"/>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二、</w:t>
      </w:r>
      <w:r>
        <w:rPr>
          <w:rFonts w:hint="eastAsia" w:ascii="宋体" w:hAnsi="宋体" w:eastAsia="宋体" w:cs="宋体"/>
          <w:b/>
          <w:color w:val="auto"/>
          <w:sz w:val="24"/>
          <w:szCs w:val="24"/>
          <w:highlight w:val="none"/>
        </w:rPr>
        <w:t>政府采购政策功能落实</w:t>
      </w:r>
    </w:p>
    <w:p w14:paraId="7BAAA33E">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1、小微型企业价格扣除</w:t>
      </w:r>
    </w:p>
    <w:p w14:paraId="187A4FA4">
      <w:pPr>
        <w:pStyle w:val="194"/>
        <w:keepNext w:val="0"/>
        <w:keepLines w:val="0"/>
        <w:pageBreakBefore w:val="0"/>
        <w:widowControl w:val="0"/>
        <w:kinsoku/>
        <w:wordWrap/>
        <w:overflowPunct/>
        <w:topLinePunct w:val="0"/>
        <w:autoSpaceDE/>
        <w:autoSpaceDN/>
        <w:bidi w:val="0"/>
        <w:adjustRightInd/>
        <w:snapToGrid/>
        <w:spacing w:before="0" w:after="0" w:line="460" w:lineRule="exact"/>
        <w:ind w:firstLine="360" w:firstLineChars="15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（1）本项目若不专门面向中小企业采购，对</w:t>
      </w:r>
      <w:r>
        <w:rPr>
          <w:rFonts w:hint="eastAsia" w:ascii="宋体" w:hAnsi="宋体" w:eastAsia="宋体" w:cs="宋体"/>
          <w:color w:val="auto"/>
          <w:sz w:val="24"/>
          <w:szCs w:val="24"/>
          <w:highlight w:val="none"/>
          <w:lang w:val="en-US" w:eastAsia="zh-CN"/>
        </w:rPr>
        <w:t>符合规定的</w:t>
      </w:r>
      <w:r>
        <w:rPr>
          <w:rFonts w:hint="eastAsia" w:ascii="宋体" w:hAnsi="宋体" w:eastAsia="宋体" w:cs="宋体"/>
          <w:color w:val="auto"/>
          <w:sz w:val="24"/>
          <w:szCs w:val="24"/>
          <w:highlight w:val="none"/>
        </w:rPr>
        <w:t>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给予20%的扣除价格，用扣除后的价格参与评审；若专门面向中小企业采购，不再对小型和微型企业</w:t>
      </w:r>
      <w:r>
        <w:rPr>
          <w:rFonts w:hint="eastAsia" w:ascii="宋体" w:hAnsi="宋体" w:eastAsia="宋体" w:cs="宋体"/>
          <w:color w:val="auto"/>
          <w:sz w:val="24"/>
          <w:szCs w:val="24"/>
          <w:highlight w:val="none"/>
          <w:lang w:val="en-US" w:eastAsia="zh-CN"/>
        </w:rPr>
        <w:t>报价</w:t>
      </w:r>
      <w:r>
        <w:rPr>
          <w:rFonts w:hint="eastAsia" w:ascii="宋体" w:hAnsi="宋体" w:eastAsia="宋体" w:cs="宋体"/>
          <w:color w:val="auto"/>
          <w:sz w:val="24"/>
          <w:szCs w:val="24"/>
          <w:highlight w:val="none"/>
        </w:rPr>
        <w:t>给予价格扣除。</w:t>
      </w:r>
    </w:p>
    <w:p w14:paraId="393B146D">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（2）供应商需按照采购文件的要求提供相应的《</w:t>
      </w:r>
      <w:r>
        <w:rPr>
          <w:rFonts w:hint="eastAsia" w:ascii="宋体" w:hAnsi="宋体" w:eastAsia="宋体" w:cs="宋体"/>
          <w:color w:val="auto"/>
          <w:sz w:val="24"/>
          <w:szCs w:val="24"/>
          <w:highlight w:val="none"/>
          <w:lang w:val="en-US" w:eastAsia="zh-CN"/>
        </w:rPr>
        <w:t>中小</w:t>
      </w:r>
      <w:r>
        <w:rPr>
          <w:rFonts w:hint="eastAsia" w:ascii="宋体" w:hAnsi="宋体" w:eastAsia="宋体" w:cs="宋体"/>
          <w:color w:val="auto"/>
          <w:sz w:val="24"/>
          <w:szCs w:val="24"/>
          <w:highlight w:val="none"/>
        </w:rPr>
        <w:t>企业声明函》。</w:t>
      </w:r>
    </w:p>
    <w:p w14:paraId="07751C33">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（3）企业标准请参照《关于印发中小企业划型标准规定的通知》（工信部联企业</w:t>
      </w:r>
      <w:r>
        <w:rPr>
          <w:rFonts w:hint="eastAsia" w:ascii="宋体" w:hAnsi="宋体" w:eastAsia="宋体" w:cs="宋体"/>
          <w:color w:val="auto"/>
          <w:sz w:val="24"/>
          <w:szCs w:val="24"/>
          <w:highlight w:val="none"/>
          <w:lang w:eastAsia="zh-CN"/>
        </w:rPr>
        <w:t>〔2011〕300号</w:t>
      </w:r>
      <w:r>
        <w:rPr>
          <w:rFonts w:hint="eastAsia" w:ascii="宋体" w:hAnsi="宋体" w:eastAsia="宋体" w:cs="宋体"/>
          <w:color w:val="auto"/>
          <w:sz w:val="24"/>
          <w:szCs w:val="24"/>
          <w:highlight w:val="none"/>
        </w:rPr>
        <w:t>）文件规定自行填写。</w:t>
      </w:r>
    </w:p>
    <w:p w14:paraId="2DCA9D8F">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2、残疾人福利单位价格扣除</w:t>
      </w:r>
    </w:p>
    <w:p w14:paraId="0E8D4170">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120" w:firstLine="36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（1）本项目对残疾人福利性单位视同小型、微型企业，给予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441B7F1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（2）残疾人福利单位需按照采购文件的要求提供《残疾人福利性单位声明函》。</w:t>
      </w:r>
    </w:p>
    <w:p w14:paraId="574A996A">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120" w:firstLine="36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（3）残疾人福利单位标准请参照《关于促进残疾人就业政府采购政策的通知》（财库〔2017〕141号）。</w:t>
      </w:r>
    </w:p>
    <w:p w14:paraId="500E9357">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3、监狱和戒毒企业价格扣除</w:t>
      </w:r>
    </w:p>
    <w:p w14:paraId="78CD3014">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（1）本项目对监狱和戒毒企业（简称监狱企业）视同小型、微型企业，给予</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759EF746">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1CA36D0F">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（3）监狱企业标准请参照《关于政府采购支持监狱企业发展有关问题的通知》（财库</w:t>
      </w:r>
      <w:r>
        <w:rPr>
          <w:rFonts w:hint="eastAsia" w:ascii="宋体" w:hAnsi="宋体" w:eastAsia="宋体" w:cs="宋体"/>
          <w:color w:val="auto"/>
          <w:sz w:val="24"/>
          <w:szCs w:val="24"/>
          <w:highlight w:val="none"/>
          <w:lang w:eastAsia="zh-CN"/>
        </w:rPr>
        <w:t>〔2014〕68号</w:t>
      </w:r>
      <w:r>
        <w:rPr>
          <w:rFonts w:hint="eastAsia" w:ascii="宋体" w:hAnsi="宋体" w:eastAsia="宋体" w:cs="宋体"/>
          <w:color w:val="auto"/>
          <w:sz w:val="24"/>
          <w:szCs w:val="24"/>
          <w:highlight w:val="none"/>
        </w:rPr>
        <w:t>）。</w:t>
      </w:r>
    </w:p>
    <w:p w14:paraId="5AB6C78C">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4、残疾人福利单位、监狱企业属于小型、微型企业的，不重复享受政策。</w:t>
      </w:r>
    </w:p>
    <w:p w14:paraId="5C8243AF">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eastAsia="宋体" w:cs="宋体"/>
          <w:color w:val="auto"/>
          <w:sz w:val="24"/>
          <w:szCs w:val="24"/>
          <w:highlight w:val="none"/>
          <w:u w:val="single"/>
        </w:rPr>
        <w:t>6%</w:t>
      </w:r>
      <w:r>
        <w:rPr>
          <w:rFonts w:hint="eastAsia" w:ascii="宋体" w:hAnsi="宋体" w:eastAsia="宋体" w:cs="宋体"/>
          <w:color w:val="auto"/>
          <w:sz w:val="24"/>
          <w:szCs w:val="24"/>
          <w:highlight w:val="none"/>
        </w:rPr>
        <w:t>的价格扣除，用扣除后的价格参与评审。</w:t>
      </w:r>
    </w:p>
    <w:p w14:paraId="61AE2165">
      <w:pPr>
        <w:pStyle w:val="33"/>
        <w:keepNext w:val="0"/>
        <w:keepLines w:val="0"/>
        <w:pageBreakBefore w:val="0"/>
        <w:widowControl w:val="0"/>
        <w:kinsoku/>
        <w:wordWrap/>
        <w:overflowPunct/>
        <w:topLinePunct w:val="0"/>
        <w:autoSpaceDE/>
        <w:autoSpaceDN/>
        <w:bidi w:val="0"/>
        <w:adjustRightInd/>
        <w:snapToGrid/>
        <w:spacing w:beforeAutospacing="0" w:afterAutospacing="0" w:line="460" w:lineRule="exact"/>
        <w:ind w:left="120" w:firstLine="360"/>
        <w:textAlignment w:val="auto"/>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6、联合体各方均为小型、微型企业（残疾人福利单位、监狱企业）的，联合体享受</w:t>
      </w:r>
      <w:r>
        <w:rPr>
          <w:rFonts w:hint="eastAsia" w:ascii="宋体" w:hAnsi="宋体" w:eastAsia="宋体" w:cs="宋体"/>
          <w:color w:val="auto"/>
          <w:sz w:val="24"/>
          <w:szCs w:val="24"/>
          <w:highlight w:val="none"/>
          <w:u w:val="single"/>
        </w:rPr>
        <w:t>20%</w:t>
      </w:r>
      <w:r>
        <w:rPr>
          <w:rFonts w:hint="eastAsia" w:ascii="宋体" w:hAnsi="宋体" w:eastAsia="宋体" w:cs="宋体"/>
          <w:color w:val="auto"/>
          <w:sz w:val="24"/>
          <w:szCs w:val="24"/>
          <w:highlight w:val="none"/>
        </w:rPr>
        <w:t>的价格扣除</w:t>
      </w:r>
      <w:r>
        <w:rPr>
          <w:rFonts w:hint="eastAsia" w:ascii="宋体" w:hAnsi="宋体" w:eastAsia="宋体" w:cs="宋体"/>
          <w:color w:val="auto"/>
          <w:sz w:val="24"/>
          <w:szCs w:val="24"/>
          <w:highlight w:val="none"/>
          <w:lang w:eastAsia="zh-CN"/>
        </w:rPr>
        <w:t>。</w:t>
      </w:r>
    </w:p>
    <w:p w14:paraId="140A3498">
      <w:pPr>
        <w:keepNext w:val="0"/>
        <w:keepLines w:val="0"/>
        <w:pageBreakBefore w:val="0"/>
        <w:widowControl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
          <w:i/>
          <w:color w:val="auto"/>
          <w:kern w:val="0"/>
          <w:sz w:val="24"/>
          <w:highlight w:val="none"/>
        </w:rPr>
        <w:t>如属政府强制采购产品未提供认证证书的或认证证书提供不全的将视为未实质性响应采购要求</w:t>
      </w:r>
      <w:r>
        <w:rPr>
          <w:rFonts w:hint="eastAsia" w:ascii="宋体" w:hAnsi="宋体" w:eastAsia="宋体" w:cs="宋体"/>
          <w:i/>
          <w:color w:val="auto"/>
          <w:kern w:val="0"/>
          <w:sz w:val="24"/>
          <w:highlight w:val="none"/>
        </w:rPr>
        <w:t>。</w:t>
      </w:r>
      <w:r>
        <w:rPr>
          <w:rFonts w:hint="eastAsia" w:ascii="宋体" w:hAnsi="宋体" w:eastAsia="宋体" w:cs="宋体"/>
          <w:color w:val="auto"/>
          <w:kern w:val="0"/>
          <w:sz w:val="24"/>
          <w:highlight w:val="none"/>
        </w:rPr>
        <w:t>其他条件相同情况下，应当优先采购节能产品、环境标志产品。</w:t>
      </w:r>
    </w:p>
    <w:p w14:paraId="2933F2CC">
      <w:pPr>
        <w:pStyle w:val="33"/>
        <w:spacing w:beforeAutospacing="0" w:afterAutospacing="0"/>
        <w:jc w:val="both"/>
        <w:rPr>
          <w:rFonts w:hint="eastAsia" w:ascii="宋体" w:hAnsi="宋体" w:eastAsia="宋体" w:cs="宋体"/>
          <w:color w:val="auto"/>
          <w:highlight w:val="none"/>
        </w:rPr>
      </w:pPr>
    </w:p>
    <w:p w14:paraId="1C110786">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CC4F5A3">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E0EEA9C">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7D9CD0">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6DD3550">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CB05CD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B140526">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DFE66F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FEB479F">
      <w:pPr>
        <w:rPr>
          <w:rFonts w:hint="eastAsia" w:ascii="宋体" w:hAnsi="宋体" w:eastAsia="宋体" w:cs="宋体"/>
          <w:color w:val="auto"/>
          <w:sz w:val="44"/>
          <w:szCs w:val="44"/>
          <w:highlight w:val="none"/>
        </w:rPr>
      </w:pPr>
    </w:p>
    <w:p w14:paraId="63623D7B">
      <w:pP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br w:type="page"/>
      </w:r>
    </w:p>
    <w:p w14:paraId="1CF5F522">
      <w:pPr>
        <w:pStyle w:val="33"/>
        <w:keepNext/>
        <w:spacing w:beforeAutospacing="0" w:afterAutospacing="0"/>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第六章  投标文件格式 </w:t>
      </w:r>
    </w:p>
    <w:p w14:paraId="55C30E87">
      <w:pPr>
        <w:pStyle w:val="33"/>
        <w:keepNext/>
        <w:spacing w:beforeAutospacing="0" w:afterAutospacing="0"/>
        <w:jc w:val="center"/>
        <w:rPr>
          <w:rFonts w:hint="eastAsia" w:ascii="宋体" w:hAnsi="宋体" w:eastAsia="宋体" w:cs="宋体"/>
          <w:color w:val="auto"/>
          <w:sz w:val="44"/>
          <w:szCs w:val="44"/>
          <w:highlight w:val="none"/>
        </w:rPr>
      </w:pPr>
    </w:p>
    <w:p w14:paraId="0F5A2A5B">
      <w:pPr>
        <w:pStyle w:val="33"/>
        <w:keepNext/>
        <w:spacing w:beforeAutospacing="0" w:afterAutospacing="0"/>
        <w:jc w:val="center"/>
        <w:rPr>
          <w:rFonts w:hint="eastAsia" w:ascii="宋体" w:hAnsi="宋体" w:eastAsia="宋体" w:cs="宋体"/>
          <w:color w:val="auto"/>
          <w:sz w:val="44"/>
          <w:szCs w:val="44"/>
          <w:highlight w:val="none"/>
        </w:rPr>
      </w:pPr>
    </w:p>
    <w:p w14:paraId="1CECCC51">
      <w:pPr>
        <w:pStyle w:val="33"/>
        <w:spacing w:beforeAutospacing="0" w:afterAutospacing="0"/>
        <w:jc w:val="center"/>
        <w:rPr>
          <w:rFonts w:hint="eastAsia" w:ascii="宋体" w:hAnsi="宋体" w:eastAsia="宋体" w:cs="宋体"/>
          <w:color w:val="auto"/>
          <w:highlight w:val="none"/>
        </w:rPr>
      </w:pPr>
      <w:bookmarkStart w:id="181" w:name="_Hlt26671244"/>
      <w:bookmarkEnd w:id="181"/>
      <w:bookmarkStart w:id="182" w:name="_Hlt26955039"/>
      <w:bookmarkEnd w:id="182"/>
      <w:bookmarkStart w:id="183" w:name="_Toc26554094"/>
      <w:bookmarkEnd w:id="183"/>
      <w:bookmarkStart w:id="184" w:name="_Toc49090576"/>
      <w:bookmarkStart w:id="185" w:name="_Toc120614282"/>
      <w:r>
        <w:rPr>
          <w:rFonts w:hint="eastAsia" w:ascii="宋体" w:hAnsi="宋体" w:eastAsia="宋体" w:cs="宋体"/>
          <w:b/>
          <w:color w:val="auto"/>
          <w:sz w:val="72"/>
          <w:szCs w:val="72"/>
          <w:highlight w:val="none"/>
        </w:rPr>
        <w:t>投  标  文  件</w:t>
      </w:r>
    </w:p>
    <w:p w14:paraId="56A9CE12">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E30AF05">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B4E84C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AA4F3B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167502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39E6444">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084"/>
        <w:jc w:val="both"/>
        <w:textAlignment w:val="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名 称：</w:t>
      </w:r>
      <w:r>
        <w:rPr>
          <w:rFonts w:hint="eastAsia" w:ascii="宋体" w:hAnsi="宋体" w:eastAsia="宋体" w:cs="宋体"/>
          <w:b/>
          <w:color w:val="auto"/>
          <w:sz w:val="36"/>
          <w:szCs w:val="36"/>
          <w:highlight w:val="none"/>
          <w:u w:val="single"/>
        </w:rPr>
        <w:t xml:space="preserve">       </w:t>
      </w:r>
    </w:p>
    <w:p w14:paraId="7A93617A">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1084"/>
        <w:jc w:val="both"/>
        <w:textAlignment w:val="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项目 编 号：</w:t>
      </w:r>
      <w:r>
        <w:rPr>
          <w:rFonts w:hint="eastAsia" w:ascii="宋体" w:hAnsi="宋体" w:eastAsia="宋体" w:cs="宋体"/>
          <w:b/>
          <w:color w:val="auto"/>
          <w:sz w:val="36"/>
          <w:szCs w:val="36"/>
          <w:highlight w:val="none"/>
          <w:u w:val="single"/>
        </w:rPr>
        <w:t xml:space="preserve">         </w:t>
      </w:r>
    </w:p>
    <w:p w14:paraId="4A4E04F5">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投标人名称 ：</w:t>
      </w:r>
      <w:r>
        <w:rPr>
          <w:rFonts w:hint="eastAsia" w:ascii="宋体" w:hAnsi="宋体" w:eastAsia="宋体" w:cs="宋体"/>
          <w:b/>
          <w:color w:val="auto"/>
          <w:sz w:val="36"/>
          <w:szCs w:val="36"/>
          <w:highlight w:val="none"/>
          <w:u w:val="single"/>
        </w:rPr>
        <w:t xml:space="preserve">（加盖CA电子公章）  </w:t>
      </w:r>
    </w:p>
    <w:p w14:paraId="0759B59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b/>
          <w:color w:val="auto"/>
          <w:sz w:val="36"/>
          <w:szCs w:val="36"/>
          <w:highlight w:val="none"/>
        </w:rPr>
        <w:t>   日   期 ：</w:t>
      </w:r>
      <w:r>
        <w:rPr>
          <w:rFonts w:hint="eastAsia" w:ascii="宋体" w:hAnsi="宋体" w:eastAsia="宋体" w:cs="宋体"/>
          <w:b/>
          <w:color w:val="auto"/>
          <w:sz w:val="36"/>
          <w:szCs w:val="36"/>
          <w:highlight w:val="none"/>
          <w:u w:val="single"/>
        </w:rPr>
        <w:t>                  </w:t>
      </w:r>
    </w:p>
    <w:p w14:paraId="011F3396">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21F7B04">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04076EC">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075B8092">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112327CD">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48A19969">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549307EC">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138134A8">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238D31D0">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664A06BE">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5FCB424A">
      <w:pPr>
        <w:pStyle w:val="33"/>
        <w:spacing w:beforeAutospacing="0" w:afterAutospacing="0" w:line="0" w:lineRule="atLeast"/>
        <w:jc w:val="center"/>
        <w:rPr>
          <w:rFonts w:hint="eastAsia" w:ascii="宋体" w:hAnsi="宋体" w:eastAsia="宋体" w:cs="宋体"/>
          <w:b/>
          <w:color w:val="auto"/>
          <w:sz w:val="36"/>
          <w:szCs w:val="36"/>
          <w:highlight w:val="none"/>
          <w:u w:val="single"/>
        </w:rPr>
      </w:pPr>
    </w:p>
    <w:p w14:paraId="3DB184BC">
      <w:pPr>
        <w:rPr>
          <w:rFonts w:hint="eastAsia" w:ascii="宋体" w:hAnsi="宋体" w:eastAsia="宋体" w:cs="宋体"/>
          <w:b/>
          <w:color w:val="auto"/>
          <w:sz w:val="36"/>
          <w:szCs w:val="36"/>
          <w:highlight w:val="none"/>
          <w:u w:val="single"/>
        </w:rPr>
      </w:pPr>
      <w:r>
        <w:rPr>
          <w:rFonts w:hint="eastAsia" w:ascii="宋体" w:hAnsi="宋体" w:eastAsia="宋体" w:cs="宋体"/>
          <w:b/>
          <w:color w:val="auto"/>
          <w:sz w:val="36"/>
          <w:szCs w:val="36"/>
          <w:highlight w:val="none"/>
          <w:u w:val="single"/>
        </w:rPr>
        <w:br w:type="page" w:clear="all"/>
      </w:r>
    </w:p>
    <w:p w14:paraId="5AAE39ED">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投标文件目录</w:t>
      </w:r>
    </w:p>
    <w:p w14:paraId="2FF67B5F">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8CF53E8">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rPr>
        <w:t>一、法人或者其他组织的营业执照等证明文件，自然人的身份证明</w:t>
      </w:r>
    </w:p>
    <w:p w14:paraId="3AC20DDE">
      <w:pPr>
        <w:keepNext w:val="0"/>
        <w:keepLines w:val="0"/>
        <w:pageBreakBefore w:val="0"/>
        <w:widowControl w:val="0"/>
        <w:tabs>
          <w:tab w:val="left" w:pos="1331"/>
        </w:tabs>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i/>
          <w:iCs w:val="0"/>
          <w:color w:val="auto"/>
          <w:sz w:val="24"/>
          <w:szCs w:val="24"/>
          <w:highlight w:val="none"/>
          <w:u w:val="none"/>
          <w:lang w:val="en-US" w:eastAsia="zh-CN" w:bidi="ar-SA"/>
        </w:rPr>
      </w:pPr>
      <w:r>
        <w:rPr>
          <w:rFonts w:hint="eastAsia" w:ascii="宋体" w:hAnsi="宋体" w:eastAsia="宋体" w:cs="宋体"/>
          <w:i/>
          <w:iCs w:val="0"/>
          <w:color w:val="auto"/>
          <w:sz w:val="24"/>
          <w:szCs w:val="24"/>
          <w:highlight w:val="none"/>
          <w:u w:val="none"/>
          <w:lang w:val="en-US" w:eastAsia="zh-CN" w:bidi="ar-SA"/>
        </w:rPr>
        <w:t>二、上一年度的财务状况报告</w:t>
      </w:r>
      <w:r>
        <w:rPr>
          <w:rFonts w:hint="eastAsia" w:ascii="宋体" w:hAnsi="宋体" w:eastAsia="宋体" w:cs="宋体"/>
          <w:i/>
          <w:iCs w:val="0"/>
          <w:color w:val="auto"/>
          <w:sz w:val="24"/>
          <w:szCs w:val="24"/>
          <w:highlight w:val="none"/>
        </w:rPr>
        <w:t>（至少提供资产负债表、利润表、现金流量表，供应商成立不满一年无需提供）</w:t>
      </w:r>
    </w:p>
    <w:p w14:paraId="7EA7FA92">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lang w:val="en-US" w:eastAsia="zh-CN"/>
        </w:rPr>
        <w:t>三</w:t>
      </w:r>
      <w:r>
        <w:rPr>
          <w:rFonts w:hint="eastAsia" w:ascii="宋体" w:hAnsi="宋体" w:eastAsia="宋体" w:cs="宋体"/>
          <w:i/>
          <w:iCs w:val="0"/>
          <w:color w:val="auto"/>
          <w:highlight w:val="none"/>
          <w:u w:val="none"/>
        </w:rPr>
        <w:t>、具备履行合同所必需的设备和专业技术能力的书面声明</w:t>
      </w:r>
    </w:p>
    <w:p w14:paraId="4DDDD28D">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lang w:val="en-US" w:eastAsia="zh-CN"/>
        </w:rPr>
        <w:t>四</w:t>
      </w:r>
      <w:r>
        <w:rPr>
          <w:rFonts w:hint="eastAsia" w:ascii="宋体" w:hAnsi="宋体" w:eastAsia="宋体" w:cs="宋体"/>
          <w:i/>
          <w:iCs w:val="0"/>
          <w:color w:val="auto"/>
          <w:highlight w:val="none"/>
          <w:u w:val="none"/>
        </w:rPr>
        <w:t>、依法缴纳税收和社会保障资金的相关材料(提供提交响应文件截止时间前一年内至少一个月依法缴纳税收及缴纳社会保障资金的证明材料。供应商依法享受缓缴、免缴税收、社会保障资金的提供证明材料。)</w:t>
      </w:r>
    </w:p>
    <w:p w14:paraId="1658E0E4">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rPr>
        <w:t>五、参加政府采购活动前3年内在经营活动中没有重大违法记录的书面声明</w:t>
      </w:r>
    </w:p>
    <w:p w14:paraId="35CF138B">
      <w:pPr>
        <w:keepNext w:val="0"/>
        <w:keepLines w:val="0"/>
        <w:pageBreakBefore w:val="0"/>
        <w:widowControl w:val="0"/>
        <w:kinsoku/>
        <w:wordWrap/>
        <w:overflowPunct/>
        <w:topLinePunct w:val="0"/>
        <w:autoSpaceDE/>
        <w:autoSpaceDN/>
        <w:bidi w:val="0"/>
        <w:adjustRightInd/>
        <w:snapToGrid/>
        <w:spacing w:line="400" w:lineRule="exact"/>
        <w:ind w:firstLine="480"/>
        <w:jc w:val="both"/>
        <w:textAlignment w:val="auto"/>
        <w:rPr>
          <w:rFonts w:hint="eastAsia" w:ascii="宋体" w:hAnsi="宋体" w:eastAsia="宋体" w:cs="宋体"/>
          <w:i/>
          <w:iCs w:val="0"/>
          <w:color w:val="auto"/>
          <w:sz w:val="24"/>
          <w:szCs w:val="22"/>
          <w:highlight w:val="none"/>
          <w:u w:val="single"/>
          <w:lang w:val="en-US" w:eastAsia="zh-CN" w:bidi="ar-SA"/>
        </w:rPr>
      </w:pPr>
      <w:r>
        <w:rPr>
          <w:rFonts w:hint="eastAsia" w:ascii="宋体" w:hAnsi="宋体" w:eastAsia="宋体" w:cs="宋体"/>
          <w:i/>
          <w:iCs w:val="0"/>
          <w:color w:val="auto"/>
          <w:sz w:val="24"/>
          <w:szCs w:val="22"/>
          <w:highlight w:val="none"/>
          <w:u w:val="single"/>
          <w:lang w:val="en-US" w:eastAsia="zh-CN" w:bidi="ar-SA"/>
        </w:rPr>
        <w:t>六、单位负责人为同一人或者存在直接控股、服务关系的不同供应商，不得参加同一合同项下的政府采购活动证明文件</w:t>
      </w:r>
    </w:p>
    <w:p w14:paraId="2D9312CA">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firstLineChars="200"/>
        <w:jc w:val="both"/>
        <w:textAlignment w:val="auto"/>
        <w:rPr>
          <w:rFonts w:hint="eastAsia" w:ascii="宋体" w:hAnsi="宋体" w:eastAsia="宋体" w:cs="宋体"/>
          <w:i/>
          <w:iCs w:val="0"/>
          <w:color w:val="auto"/>
          <w:highlight w:val="none"/>
          <w:u w:val="none"/>
        </w:rPr>
      </w:pPr>
      <w:r>
        <w:rPr>
          <w:rFonts w:hint="eastAsia" w:ascii="宋体" w:hAnsi="宋体" w:eastAsia="宋体" w:cs="宋体"/>
          <w:i/>
          <w:iCs w:val="0"/>
          <w:color w:val="auto"/>
          <w:highlight w:val="none"/>
          <w:u w:val="none"/>
          <w:lang w:val="en-US" w:eastAsia="zh-CN"/>
        </w:rPr>
        <w:t>七</w:t>
      </w:r>
      <w:r>
        <w:rPr>
          <w:rFonts w:hint="eastAsia" w:ascii="宋体" w:hAnsi="宋体" w:eastAsia="宋体" w:cs="宋体"/>
          <w:i/>
          <w:iCs w:val="0"/>
          <w:color w:val="auto"/>
          <w:highlight w:val="none"/>
          <w:u w:val="none"/>
        </w:rPr>
        <w:t>、特定资格要求的证明文件（如果本项目设置特定资格要求，则需要提供）</w:t>
      </w:r>
    </w:p>
    <w:p w14:paraId="4F1B76CA">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八</w:t>
      </w:r>
      <w:r>
        <w:rPr>
          <w:rFonts w:hint="eastAsia" w:ascii="宋体" w:hAnsi="宋体" w:eastAsia="宋体" w:cs="宋体"/>
          <w:i w:val="0"/>
          <w:iCs/>
          <w:color w:val="auto"/>
          <w:highlight w:val="none"/>
          <w:u w:val="none"/>
        </w:rPr>
        <w:t>、法人授权书</w:t>
      </w:r>
    </w:p>
    <w:p w14:paraId="6A3325EC">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九</w:t>
      </w:r>
      <w:r>
        <w:rPr>
          <w:rFonts w:hint="eastAsia" w:ascii="宋体" w:hAnsi="宋体" w:eastAsia="宋体" w:cs="宋体"/>
          <w:i w:val="0"/>
          <w:iCs/>
          <w:color w:val="auto"/>
          <w:highlight w:val="none"/>
          <w:u w:val="none"/>
        </w:rPr>
        <w:t>、投标函</w:t>
      </w:r>
    </w:p>
    <w:p w14:paraId="6347288C">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lang w:val="en-US" w:eastAsia="zh-CN"/>
        </w:rPr>
        <w:t>十</w:t>
      </w:r>
      <w:r>
        <w:rPr>
          <w:rFonts w:hint="eastAsia" w:ascii="宋体" w:hAnsi="宋体" w:eastAsia="宋体" w:cs="宋体"/>
          <w:i w:val="0"/>
          <w:iCs/>
          <w:color w:val="auto"/>
          <w:highlight w:val="none"/>
          <w:u w:val="none"/>
        </w:rPr>
        <w:t>、</w:t>
      </w:r>
      <w:r>
        <w:rPr>
          <w:rFonts w:hint="eastAsia" w:ascii="宋体" w:hAnsi="宋体" w:eastAsia="宋体" w:cs="宋体"/>
          <w:i w:val="0"/>
          <w:iCs/>
          <w:color w:val="auto"/>
          <w:highlight w:val="none"/>
          <w:u w:val="none"/>
          <w:lang w:val="en-US" w:eastAsia="zh-CN"/>
        </w:rPr>
        <w:t>中小</w:t>
      </w:r>
      <w:r>
        <w:rPr>
          <w:rFonts w:hint="eastAsia" w:ascii="宋体" w:hAnsi="宋体" w:eastAsia="宋体" w:cs="宋体"/>
          <w:i w:val="0"/>
          <w:iCs/>
          <w:color w:val="auto"/>
          <w:highlight w:val="none"/>
          <w:u w:val="none"/>
        </w:rPr>
        <w:t>企业声明函</w:t>
      </w:r>
    </w:p>
    <w:p w14:paraId="6019CA3F">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一</w:t>
      </w:r>
      <w:r>
        <w:rPr>
          <w:rFonts w:hint="eastAsia" w:ascii="宋体" w:hAnsi="宋体" w:eastAsia="宋体" w:cs="宋体"/>
          <w:i w:val="0"/>
          <w:iCs/>
          <w:color w:val="auto"/>
          <w:highlight w:val="none"/>
          <w:u w:val="none"/>
        </w:rPr>
        <w:t>、残疾人福利性单位声明函</w:t>
      </w:r>
    </w:p>
    <w:p w14:paraId="4FB911A7">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二</w:t>
      </w:r>
      <w:r>
        <w:rPr>
          <w:rFonts w:hint="eastAsia" w:ascii="宋体" w:hAnsi="宋体" w:eastAsia="宋体" w:cs="宋体"/>
          <w:i w:val="0"/>
          <w:iCs/>
          <w:color w:val="auto"/>
          <w:highlight w:val="none"/>
          <w:u w:val="none"/>
        </w:rPr>
        <w:t>、投标分项报价表</w:t>
      </w:r>
    </w:p>
    <w:p w14:paraId="24A11362">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三</w:t>
      </w:r>
      <w:r>
        <w:rPr>
          <w:rFonts w:hint="eastAsia" w:ascii="宋体" w:hAnsi="宋体" w:eastAsia="宋体" w:cs="宋体"/>
          <w:i w:val="0"/>
          <w:iCs/>
          <w:color w:val="auto"/>
          <w:highlight w:val="none"/>
          <w:u w:val="none"/>
        </w:rPr>
        <w:t>、技术要求响应及偏离表</w:t>
      </w:r>
    </w:p>
    <w:p w14:paraId="5688C74D">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四</w:t>
      </w:r>
      <w:r>
        <w:rPr>
          <w:rFonts w:hint="eastAsia" w:ascii="宋体" w:hAnsi="宋体" w:eastAsia="宋体" w:cs="宋体"/>
          <w:i w:val="0"/>
          <w:iCs/>
          <w:color w:val="auto"/>
          <w:highlight w:val="none"/>
          <w:u w:val="none"/>
        </w:rPr>
        <w:t>、商务要求响应及偏离表</w:t>
      </w:r>
    </w:p>
    <w:p w14:paraId="58A12A97">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left="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highlight w:val="none"/>
          <w:u w:val="none"/>
        </w:rPr>
        <w:t>十</w:t>
      </w:r>
      <w:r>
        <w:rPr>
          <w:rFonts w:hint="eastAsia" w:ascii="宋体" w:hAnsi="宋体" w:eastAsia="宋体" w:cs="宋体"/>
          <w:i w:val="0"/>
          <w:iCs/>
          <w:color w:val="auto"/>
          <w:highlight w:val="none"/>
          <w:u w:val="none"/>
          <w:lang w:val="en-US" w:eastAsia="zh-CN"/>
        </w:rPr>
        <w:t>五</w:t>
      </w:r>
      <w:r>
        <w:rPr>
          <w:rFonts w:hint="eastAsia" w:ascii="宋体" w:hAnsi="宋体" w:eastAsia="宋体" w:cs="宋体"/>
          <w:i w:val="0"/>
          <w:iCs/>
          <w:color w:val="auto"/>
          <w:highlight w:val="none"/>
          <w:u w:val="none"/>
        </w:rPr>
        <w:t>、开标一览表</w:t>
      </w:r>
    </w:p>
    <w:p w14:paraId="085400F8">
      <w:pPr>
        <w:pStyle w:val="33"/>
        <w:keepNext w:val="0"/>
        <w:keepLines w:val="0"/>
        <w:pageBreakBefore w:val="0"/>
        <w:widowControl w:val="0"/>
        <w:kinsoku/>
        <w:wordWrap/>
        <w:overflowPunct/>
        <w:topLinePunct w:val="0"/>
        <w:autoSpaceDE/>
        <w:autoSpaceDN/>
        <w:bidi w:val="0"/>
        <w:adjustRightInd/>
        <w:snapToGrid/>
        <w:spacing w:beforeAutospacing="0" w:afterAutospacing="0" w:line="400" w:lineRule="exact"/>
        <w:ind w:firstLine="480"/>
        <w:jc w:val="both"/>
        <w:textAlignment w:val="auto"/>
        <w:rPr>
          <w:rFonts w:hint="eastAsia" w:ascii="宋体" w:hAnsi="宋体" w:eastAsia="宋体" w:cs="宋体"/>
          <w:i w:val="0"/>
          <w:iCs/>
          <w:color w:val="auto"/>
          <w:highlight w:val="none"/>
          <w:u w:val="none"/>
        </w:rPr>
      </w:pPr>
      <w:r>
        <w:rPr>
          <w:rFonts w:hint="eastAsia" w:ascii="宋体" w:hAnsi="宋体" w:eastAsia="宋体" w:cs="宋体"/>
          <w:i w:val="0"/>
          <w:iCs/>
          <w:color w:val="auto"/>
          <w:sz w:val="24"/>
          <w:highlight w:val="none"/>
          <w:u w:val="none"/>
        </w:rPr>
        <w:t>十</w:t>
      </w:r>
      <w:r>
        <w:rPr>
          <w:rFonts w:hint="eastAsia" w:ascii="宋体" w:hAnsi="宋体" w:eastAsia="宋体" w:cs="宋体"/>
          <w:i w:val="0"/>
          <w:iCs/>
          <w:color w:val="auto"/>
          <w:sz w:val="24"/>
          <w:highlight w:val="none"/>
          <w:u w:val="none"/>
          <w:lang w:val="en-US" w:eastAsia="zh-CN"/>
        </w:rPr>
        <w:t>六</w:t>
      </w:r>
      <w:r>
        <w:rPr>
          <w:rFonts w:hint="eastAsia" w:ascii="宋体" w:hAnsi="宋体" w:eastAsia="宋体" w:cs="宋体"/>
          <w:i w:val="0"/>
          <w:iCs/>
          <w:color w:val="auto"/>
          <w:sz w:val="24"/>
          <w:highlight w:val="none"/>
          <w:u w:val="none"/>
        </w:rPr>
        <w:t>、</w:t>
      </w:r>
      <w:r>
        <w:rPr>
          <w:rFonts w:hint="eastAsia" w:ascii="宋体" w:hAnsi="宋体" w:eastAsia="宋体" w:cs="宋体"/>
          <w:i w:val="0"/>
          <w:iCs/>
          <w:color w:val="auto"/>
          <w:highlight w:val="none"/>
          <w:u w:val="none"/>
        </w:rPr>
        <w:t>盐城市政府采购事前信用承诺书</w:t>
      </w:r>
    </w:p>
    <w:p w14:paraId="25495863">
      <w:pPr>
        <w:pStyle w:val="33"/>
        <w:spacing w:beforeAutospacing="0" w:afterAutospacing="0" w:line="0" w:lineRule="atLeast"/>
        <w:ind w:firstLine="480"/>
        <w:jc w:val="both"/>
        <w:rPr>
          <w:rFonts w:hint="eastAsia" w:ascii="宋体" w:hAnsi="宋体" w:eastAsia="宋体" w:cs="宋体"/>
          <w:color w:val="auto"/>
          <w:highlight w:val="none"/>
        </w:rPr>
      </w:pPr>
    </w:p>
    <w:p w14:paraId="7731600D">
      <w:pPr>
        <w:pStyle w:val="33"/>
        <w:spacing w:beforeAutospacing="0" w:afterAutospacing="0" w:line="0" w:lineRule="atLeast"/>
        <w:ind w:firstLine="480"/>
        <w:jc w:val="both"/>
        <w:rPr>
          <w:rFonts w:hint="eastAsia" w:ascii="宋体" w:hAnsi="宋体" w:eastAsia="宋体" w:cs="宋体"/>
          <w:color w:val="auto"/>
          <w:highlight w:val="none"/>
        </w:rPr>
      </w:pPr>
    </w:p>
    <w:p w14:paraId="2B3D2175">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EF3BA49">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DCFA9E4">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3BE76D5">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1848C20">
      <w:pPr>
        <w:pStyle w:val="33"/>
        <w:spacing w:beforeAutospacing="0" w:afterAutospacing="0" w:line="0" w:lineRule="atLeast"/>
        <w:ind w:firstLine="480"/>
        <w:jc w:val="both"/>
        <w:rPr>
          <w:rFonts w:hint="eastAsia" w:ascii="宋体" w:hAnsi="宋体" w:eastAsia="宋体" w:cs="宋体"/>
          <w:color w:val="auto"/>
          <w:highlight w:val="none"/>
        </w:rPr>
      </w:pPr>
    </w:p>
    <w:p w14:paraId="6FF10EE7">
      <w:pPr>
        <w:pStyle w:val="33"/>
        <w:spacing w:beforeAutospacing="0" w:afterAutospacing="0" w:line="0" w:lineRule="atLeast"/>
        <w:ind w:firstLine="480"/>
        <w:jc w:val="both"/>
        <w:rPr>
          <w:rFonts w:hint="eastAsia" w:ascii="宋体" w:hAnsi="宋体" w:eastAsia="宋体" w:cs="宋体"/>
          <w:color w:val="auto"/>
          <w:highlight w:val="none"/>
        </w:rPr>
      </w:pPr>
    </w:p>
    <w:p w14:paraId="0512824A">
      <w:pPr>
        <w:pStyle w:val="33"/>
        <w:spacing w:beforeAutospacing="0" w:afterAutospacing="0" w:line="0" w:lineRule="atLeast"/>
        <w:ind w:firstLine="480"/>
        <w:jc w:val="both"/>
        <w:rPr>
          <w:rFonts w:hint="eastAsia" w:ascii="宋体" w:hAnsi="宋体" w:eastAsia="宋体" w:cs="宋体"/>
          <w:color w:val="auto"/>
          <w:highlight w:val="none"/>
        </w:rPr>
      </w:pPr>
    </w:p>
    <w:p w14:paraId="00965C36">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r>
    </w:p>
    <w:p w14:paraId="361C6D53">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一、法人或者其他组织的营业执照等证明文件，自然人的身份证明</w:t>
      </w:r>
    </w:p>
    <w:p w14:paraId="613DD531">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723EC0F">
      <w:pPr>
        <w:pStyle w:val="33"/>
        <w:spacing w:beforeAutospacing="0" w:afterAutospacing="0"/>
        <w:jc w:val="both"/>
        <w:rPr>
          <w:rFonts w:hint="eastAsia" w:ascii="宋体" w:hAnsi="宋体" w:eastAsia="宋体" w:cs="宋体"/>
          <w:color w:val="auto"/>
          <w:highlight w:val="none"/>
          <w:lang w:val="en-US" w:eastAsia="zh-CN"/>
        </w:rPr>
      </w:pPr>
      <w:r>
        <w:rPr>
          <w:rFonts w:hint="eastAsia" w:ascii="宋体" w:hAnsi="宋体" w:eastAsia="宋体" w:cs="宋体"/>
          <w:i/>
          <w:color w:val="auto"/>
          <w:sz w:val="32"/>
          <w:szCs w:val="32"/>
          <w:highlight w:val="none"/>
          <w:u w:val="single"/>
        </w:rPr>
        <w:t>二、上一年度的财务状况报</w:t>
      </w:r>
      <w:r>
        <w:rPr>
          <w:rFonts w:hint="eastAsia" w:ascii="宋体" w:hAnsi="宋体" w:eastAsia="宋体" w:cs="宋体"/>
          <w:i/>
          <w:color w:val="auto"/>
          <w:sz w:val="32"/>
          <w:szCs w:val="32"/>
          <w:highlight w:val="none"/>
          <w:u w:val="single"/>
          <w:lang w:val="en-US" w:eastAsia="zh-CN"/>
        </w:rPr>
        <w:t>告</w:t>
      </w:r>
    </w:p>
    <w:p w14:paraId="218B5F31">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sz w:val="24"/>
          <w:szCs w:val="24"/>
          <w:highlight w:val="none"/>
        </w:rPr>
        <w:t>（至少提供资产负债表、利润表、现金流量表，供应商成立不满一年无需提供）</w:t>
      </w:r>
    </w:p>
    <w:p w14:paraId="7F8EEA3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9ED9BD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115044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三</w:t>
      </w:r>
      <w:r>
        <w:rPr>
          <w:rFonts w:hint="eastAsia" w:ascii="宋体" w:hAnsi="宋体" w:eastAsia="宋体" w:cs="宋体"/>
          <w:i/>
          <w:color w:val="auto"/>
          <w:sz w:val="32"/>
          <w:szCs w:val="32"/>
          <w:highlight w:val="none"/>
          <w:u w:val="single"/>
        </w:rPr>
        <w:t>、具备履行合同所必需的设备和专业技术能力的书面声明</w:t>
      </w:r>
    </w:p>
    <w:p w14:paraId="6294E8CA">
      <w:pPr>
        <w:pStyle w:val="33"/>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我单位郑重声明：我单位具备履行本项采购合同所必需的设备和专业技术能力，为履行本项采购合同我公司具备如下主要设备和主要专业技术能力：</w:t>
      </w:r>
    </w:p>
    <w:p w14:paraId="3A529DB6">
      <w:pPr>
        <w:pStyle w:val="33"/>
        <w:spacing w:beforeAutospacing="0" w:afterAutospacing="0" w:line="0" w:lineRule="atLeast"/>
        <w:ind w:firstLine="492"/>
        <w:jc w:val="both"/>
        <w:rPr>
          <w:rFonts w:hint="eastAsia" w:ascii="宋体" w:hAnsi="宋体" w:eastAsia="宋体" w:cs="宋体"/>
          <w:color w:val="auto"/>
          <w:highlight w:val="none"/>
        </w:rPr>
      </w:pPr>
      <w:r>
        <w:rPr>
          <w:rFonts w:hint="eastAsia" w:ascii="宋体" w:hAnsi="宋体" w:eastAsia="宋体" w:cs="宋体"/>
          <w:color w:val="auto"/>
          <w:highlight w:val="none"/>
        </w:rPr>
        <w:t>主要设备有：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p>
    <w:p w14:paraId="2ED0F51F">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主要专业技术能力有：</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 xml:space="preserve">    </w:t>
      </w:r>
      <w:r>
        <w:rPr>
          <w:rFonts w:hint="eastAsia" w:ascii="宋体" w:hAnsi="宋体" w:eastAsia="宋体" w:cs="宋体"/>
          <w:color w:val="auto"/>
          <w:highlight w:val="none"/>
        </w:rPr>
        <w:t>。</w:t>
      </w:r>
    </w:p>
    <w:p w14:paraId="4F4364D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四</w:t>
      </w:r>
      <w:r>
        <w:rPr>
          <w:rFonts w:hint="eastAsia" w:ascii="宋体" w:hAnsi="宋体" w:eastAsia="宋体" w:cs="宋体"/>
          <w:i/>
          <w:color w:val="auto"/>
          <w:sz w:val="32"/>
          <w:szCs w:val="32"/>
          <w:highlight w:val="none"/>
          <w:u w:val="single"/>
        </w:rPr>
        <w:t>、依法缴纳税收和社会保障资金的相关材料</w:t>
      </w:r>
    </w:p>
    <w:p w14:paraId="5F9F3B3B">
      <w:pPr>
        <w:pStyle w:val="33"/>
        <w:spacing w:beforeAutospacing="0" w:afterAutospacing="0"/>
        <w:ind w:firstLine="480"/>
        <w:jc w:val="both"/>
        <w:rPr>
          <w:rFonts w:hint="eastAsia" w:ascii="宋体" w:hAnsi="宋体" w:eastAsia="宋体" w:cs="宋体"/>
          <w:color w:val="auto"/>
          <w:highlight w:val="none"/>
        </w:rPr>
      </w:pPr>
      <w:bookmarkStart w:id="186" w:name="_Toc120614284"/>
      <w:r>
        <w:rPr>
          <w:rFonts w:hint="eastAsia" w:ascii="宋体" w:hAnsi="宋体" w:eastAsia="宋体" w:cs="宋体"/>
          <w:color w:val="auto"/>
          <w:highlight w:val="none"/>
        </w:rPr>
        <w:t>提供提交投标文件截止时间前一年内至少一个月依法缴纳税收及缴纳社会保障资金的证明材料。投标人依法享受缓缴、免缴税收、社会保障资金的提供证明材料。</w:t>
      </w:r>
      <w:bookmarkEnd w:id="186"/>
    </w:p>
    <w:p w14:paraId="5C0F6381">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rPr>
        <w:t>五、参加政府采购活动前 3 年内在经营活动中没有重大违法记录的书面声明</w:t>
      </w:r>
    </w:p>
    <w:p w14:paraId="16324CDD">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sz w:val="44"/>
          <w:szCs w:val="44"/>
          <w:highlight w:val="none"/>
        </w:rPr>
        <w:t>       声  明</w:t>
      </w:r>
    </w:p>
    <w:p w14:paraId="4253FF05">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 xml:space="preserve">    </w:t>
      </w:r>
      <w:r>
        <w:rPr>
          <w:rFonts w:hint="eastAsia" w:ascii="宋体" w:hAnsi="宋体" w:eastAsia="宋体" w:cs="宋体"/>
          <w:color w:val="auto"/>
          <w:highlight w:val="none"/>
        </w:rPr>
        <w:t>我单位郑重声明：参加本次政府采购活动前 3 年内，我单位在经营活动中没有因违法经营受到刑事处罚或者责令停产停业、吊销许可证或者执照、较大数额罚款等行政处罚。</w:t>
      </w:r>
    </w:p>
    <w:p w14:paraId="61D5B6E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062ABC94">
      <w:pPr>
        <w:pStyle w:val="33"/>
        <w:spacing w:beforeAutospacing="0" w:afterAutospacing="0"/>
        <w:jc w:val="both"/>
        <w:rPr>
          <w:rFonts w:hint="eastAsia" w:ascii="宋体" w:hAnsi="宋体" w:eastAsia="宋体" w:cs="宋体"/>
          <w:i/>
          <w:color w:val="auto"/>
          <w:sz w:val="32"/>
          <w:szCs w:val="32"/>
          <w:highlight w:val="none"/>
          <w:u w:val="single"/>
          <w:lang w:val="en-US" w:eastAsia="zh-CN"/>
        </w:rPr>
      </w:pPr>
      <w:r>
        <w:rPr>
          <w:rFonts w:hint="eastAsia" w:ascii="宋体" w:hAnsi="宋体" w:eastAsia="宋体" w:cs="宋体"/>
          <w:i/>
          <w:color w:val="auto"/>
          <w:sz w:val="32"/>
          <w:szCs w:val="32"/>
          <w:highlight w:val="none"/>
          <w:u w:val="single"/>
          <w:lang w:val="en-US" w:eastAsia="zh-CN"/>
        </w:rPr>
        <w:t>六、</w:t>
      </w:r>
      <w:r>
        <w:rPr>
          <w:rFonts w:hint="eastAsia" w:ascii="宋体" w:hAnsi="宋体" w:eastAsia="宋体" w:cs="宋体"/>
          <w:i/>
          <w:iCs/>
          <w:color w:val="auto"/>
          <w:sz w:val="24"/>
          <w:szCs w:val="22"/>
          <w:highlight w:val="none"/>
          <w:u w:val="single"/>
        </w:rPr>
        <w:t>单位负责人为同一人或者存在直接控股、服务关系的不同供应商，不得参加同一合同项下的政府采购活动证明文件</w:t>
      </w:r>
    </w:p>
    <w:p w14:paraId="376724B6">
      <w:pPr>
        <w:widowControl w:val="0"/>
        <w:spacing w:beforeAutospacing="0" w:afterAutospacing="0" w:line="0" w:lineRule="atLeast"/>
        <w:jc w:val="center"/>
        <w:rPr>
          <w:rFonts w:hint="eastAsia" w:ascii="宋体" w:hAnsi="宋体" w:eastAsia="宋体" w:cs="宋体"/>
          <w:color w:val="auto"/>
          <w:sz w:val="24"/>
          <w:szCs w:val="22"/>
          <w:highlight w:val="none"/>
          <w:lang w:val="en-US" w:eastAsia="zh-CN" w:bidi="ar-SA"/>
        </w:rPr>
      </w:pPr>
      <w:r>
        <w:rPr>
          <w:rFonts w:hint="eastAsia" w:ascii="宋体" w:hAnsi="宋体" w:eastAsia="宋体" w:cs="宋体"/>
          <w:b/>
          <w:bCs/>
          <w:color w:val="auto"/>
          <w:sz w:val="44"/>
          <w:szCs w:val="44"/>
          <w:highlight w:val="none"/>
          <w:lang w:val="en-US" w:eastAsia="zh-CN" w:bidi="ar-SA"/>
        </w:rPr>
        <w:t>声  明</w:t>
      </w:r>
    </w:p>
    <w:p w14:paraId="16328DF3">
      <w:pPr>
        <w:widowControl w:val="0"/>
        <w:spacing w:beforeAutospacing="0" w:afterAutospacing="0" w:line="0" w:lineRule="atLeast"/>
        <w:jc w:val="both"/>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4"/>
          <w:highlight w:val="none"/>
          <w:lang w:val="en-US" w:eastAsia="zh-CN" w:bidi="ar-SA"/>
        </w:rPr>
        <w:t>我单位不存在：单位负责人为同一人或者存在直接控股、管理关系的不同供应商，同时参加同一合同项下的政府采购活动。</w:t>
      </w:r>
    </w:p>
    <w:p w14:paraId="676EA929">
      <w:pPr>
        <w:pStyle w:val="33"/>
        <w:spacing w:beforeAutospacing="0" w:afterAutospacing="0"/>
        <w:jc w:val="both"/>
        <w:rPr>
          <w:rFonts w:hint="eastAsia" w:ascii="宋体" w:hAnsi="宋体" w:eastAsia="宋体" w:cs="宋体"/>
          <w:i/>
          <w:color w:val="auto"/>
          <w:sz w:val="32"/>
          <w:szCs w:val="32"/>
          <w:highlight w:val="none"/>
          <w:u w:val="single"/>
        </w:rPr>
      </w:pPr>
    </w:p>
    <w:p w14:paraId="6500023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七</w:t>
      </w:r>
      <w:r>
        <w:rPr>
          <w:rFonts w:hint="eastAsia" w:ascii="宋体" w:hAnsi="宋体" w:eastAsia="宋体" w:cs="宋体"/>
          <w:i/>
          <w:color w:val="auto"/>
          <w:sz w:val="32"/>
          <w:szCs w:val="32"/>
          <w:highlight w:val="none"/>
          <w:u w:val="single"/>
        </w:rPr>
        <w:t>、特定资格要求的证明文件</w:t>
      </w:r>
    </w:p>
    <w:p w14:paraId="508627FF">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如果本项目申请人的特定资格要求中要求提供的，必须提供。</w:t>
      </w:r>
    </w:p>
    <w:p w14:paraId="35175090">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FA6F4B3">
      <w:pPr>
        <w:pStyle w:val="33"/>
        <w:spacing w:beforeAutospacing="0" w:afterAutospacing="0"/>
        <w:jc w:val="center"/>
        <w:rPr>
          <w:rFonts w:hint="eastAsia" w:ascii="宋体" w:hAnsi="宋体" w:eastAsia="宋体" w:cs="宋体"/>
          <w:i/>
          <w:color w:val="auto"/>
          <w:sz w:val="32"/>
          <w:szCs w:val="32"/>
          <w:highlight w:val="none"/>
          <w:u w:val="single"/>
        </w:rPr>
      </w:pPr>
    </w:p>
    <w:p w14:paraId="7E9D93DE">
      <w:pPr>
        <w:pStyle w:val="33"/>
        <w:spacing w:beforeAutospacing="0" w:afterAutospacing="0"/>
        <w:jc w:val="center"/>
        <w:rPr>
          <w:rFonts w:hint="eastAsia" w:ascii="宋体" w:hAnsi="宋体" w:eastAsia="宋体" w:cs="宋体"/>
          <w:i/>
          <w:color w:val="auto"/>
          <w:sz w:val="32"/>
          <w:szCs w:val="32"/>
          <w:highlight w:val="none"/>
          <w:u w:val="single"/>
        </w:rPr>
      </w:pPr>
    </w:p>
    <w:p w14:paraId="7A783AF6">
      <w:pPr>
        <w:pStyle w:val="33"/>
        <w:spacing w:beforeAutospacing="0" w:afterAutospacing="0"/>
        <w:jc w:val="center"/>
        <w:rPr>
          <w:rFonts w:hint="eastAsia" w:ascii="宋体" w:hAnsi="宋体" w:eastAsia="宋体" w:cs="宋体"/>
          <w:i/>
          <w:color w:val="auto"/>
          <w:sz w:val="32"/>
          <w:szCs w:val="32"/>
          <w:highlight w:val="none"/>
          <w:u w:val="single"/>
        </w:rPr>
      </w:pPr>
    </w:p>
    <w:p w14:paraId="2CF4670F">
      <w:pPr>
        <w:pStyle w:val="33"/>
        <w:spacing w:beforeAutospacing="0" w:afterAutospacing="0"/>
        <w:jc w:val="center"/>
        <w:rPr>
          <w:rFonts w:hint="eastAsia" w:ascii="宋体" w:hAnsi="宋体" w:eastAsia="宋体" w:cs="宋体"/>
          <w:i/>
          <w:color w:val="auto"/>
          <w:sz w:val="32"/>
          <w:szCs w:val="32"/>
          <w:highlight w:val="none"/>
          <w:u w:val="single"/>
        </w:rPr>
      </w:pPr>
    </w:p>
    <w:p w14:paraId="2B3FC79D">
      <w:pPr>
        <w:rPr>
          <w:rFonts w:hint="eastAsia" w:ascii="宋体" w:hAnsi="宋体" w:eastAsia="宋体" w:cs="宋体"/>
          <w:i/>
          <w:color w:val="auto"/>
          <w:sz w:val="32"/>
          <w:szCs w:val="32"/>
          <w:highlight w:val="none"/>
          <w:u w:val="single"/>
        </w:rPr>
      </w:pPr>
      <w:r>
        <w:rPr>
          <w:rFonts w:hint="eastAsia" w:ascii="宋体" w:hAnsi="宋体" w:eastAsia="宋体" w:cs="宋体"/>
          <w:i/>
          <w:color w:val="auto"/>
          <w:sz w:val="32"/>
          <w:szCs w:val="32"/>
          <w:highlight w:val="none"/>
          <w:u w:val="single"/>
        </w:rPr>
        <w:br w:type="page"/>
      </w:r>
    </w:p>
    <w:p w14:paraId="4A1BB9B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i/>
          <w:color w:val="auto"/>
          <w:sz w:val="32"/>
          <w:szCs w:val="32"/>
          <w:highlight w:val="none"/>
          <w:u w:val="single"/>
          <w:lang w:val="en-US" w:eastAsia="zh-CN"/>
        </w:rPr>
        <w:t>八</w:t>
      </w:r>
      <w:r>
        <w:rPr>
          <w:rFonts w:hint="eastAsia" w:ascii="宋体" w:hAnsi="宋体" w:eastAsia="宋体" w:cs="宋体"/>
          <w:i/>
          <w:color w:val="auto"/>
          <w:sz w:val="32"/>
          <w:szCs w:val="32"/>
          <w:highlight w:val="none"/>
          <w:u w:val="single"/>
        </w:rPr>
        <w:t>、法人授权书</w:t>
      </w:r>
    </w:p>
    <w:p w14:paraId="43CD002A">
      <w:pPr>
        <w:pStyle w:val="33"/>
        <w:keepNext w:val="0"/>
        <w:keepLines w:val="0"/>
        <w:pageBreakBefore w:val="0"/>
        <w:widowControl w:val="0"/>
        <w:tabs>
          <w:tab w:val="left" w:pos="360"/>
        </w:tabs>
        <w:kinsoku/>
        <w:wordWrap/>
        <w:overflowPunct/>
        <w:topLinePunct w:val="0"/>
        <w:autoSpaceDE/>
        <w:autoSpaceDN/>
        <w:bidi w:val="0"/>
        <w:adjustRightInd/>
        <w:snapToGrid/>
        <w:spacing w:before="361" w:beforeLines="100" w:beforeAutospacing="0" w:afterAutospacing="0" w:line="360" w:lineRule="auto"/>
        <w:ind w:firstLine="482"/>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本授权书声明：____________（投标人名称）授权________________（被授权人的姓名）为我方就JSZC-</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号项目采购活动的合法代理人，以本单位名义全权处理一切与该项目采购有关的事务。</w:t>
      </w:r>
    </w:p>
    <w:p w14:paraId="0E854138">
      <w:pPr>
        <w:pStyle w:val="33"/>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本授权书于______年____月____日起生效，特此声明。</w:t>
      </w:r>
    </w:p>
    <w:p w14:paraId="49F2A1DC">
      <w:pPr>
        <w:pStyle w:val="33"/>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被授权人身份证号码：</w:t>
      </w:r>
      <w:r>
        <w:rPr>
          <w:rFonts w:hint="eastAsia" w:ascii="宋体" w:hAnsi="宋体" w:eastAsia="宋体" w:cs="宋体"/>
          <w:color w:val="auto"/>
          <w:highlight w:val="none"/>
          <w:u w:val="single"/>
        </w:rPr>
        <w:t>               </w:t>
      </w:r>
    </w:p>
    <w:p w14:paraId="35D24DE2">
      <w:pPr>
        <w:pStyle w:val="33"/>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u w:val="single"/>
        </w:rPr>
      </w:pPr>
      <w:r>
        <w:rPr>
          <w:rFonts w:hint="eastAsia" w:ascii="宋体" w:hAnsi="宋体" w:eastAsia="宋体" w:cs="宋体"/>
          <w:color w:val="auto"/>
          <w:highlight w:val="none"/>
        </w:rPr>
        <w:t>  被授权人联系电话：（手机）</w:t>
      </w:r>
      <w:r>
        <w:rPr>
          <w:rFonts w:hint="eastAsia" w:ascii="宋体" w:hAnsi="宋体" w:eastAsia="宋体" w:cs="宋体"/>
          <w:color w:val="auto"/>
          <w:highlight w:val="none"/>
          <w:u w:val="single"/>
        </w:rPr>
        <w:t>            </w:t>
      </w:r>
    </w:p>
    <w:p w14:paraId="7C5BA25E">
      <w:pPr>
        <w:pStyle w:val="33"/>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授权单位名称：</w:t>
      </w:r>
      <w:r>
        <w:rPr>
          <w:rFonts w:hint="eastAsia" w:ascii="宋体" w:hAnsi="宋体" w:eastAsia="宋体" w:cs="宋体"/>
          <w:color w:val="auto"/>
          <w:highlight w:val="none"/>
          <w:u w:val="single"/>
        </w:rPr>
        <w:t>（加盖CA电子公章）</w:t>
      </w:r>
    </w:p>
    <w:p w14:paraId="2BA2D485">
      <w:pPr>
        <w:pStyle w:val="33"/>
        <w:keepNext w:val="0"/>
        <w:keepLines w:val="0"/>
        <w:pageBreakBefore w:val="0"/>
        <w:widowControl w:val="0"/>
        <w:tabs>
          <w:tab w:val="left" w:pos="360"/>
        </w:tabs>
        <w:kinsoku/>
        <w:wordWrap/>
        <w:overflowPunct/>
        <w:topLinePunct w:val="0"/>
        <w:autoSpaceDE/>
        <w:autoSpaceDN/>
        <w:bidi w:val="0"/>
        <w:adjustRightInd/>
        <w:snapToGrid/>
        <w:spacing w:beforeAutospacing="0" w:afterAutospacing="0" w:line="360" w:lineRule="auto"/>
        <w:ind w:firstLine="48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单位地址：</w:t>
      </w:r>
      <w:r>
        <w:rPr>
          <w:rFonts w:hint="eastAsia" w:ascii="宋体" w:hAnsi="宋体" w:eastAsia="宋体" w:cs="宋体"/>
          <w:color w:val="auto"/>
          <w:highlight w:val="none"/>
          <w:u w:val="single"/>
        </w:rPr>
        <w:t>                    </w:t>
      </w:r>
    </w:p>
    <w:p w14:paraId="125D900E">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2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日期：</w:t>
      </w:r>
      <w:bookmarkStart w:id="187" w:name="_格式3__银行出具的资信证明"/>
      <w:bookmarkStart w:id="188" w:name="_Hlt26671380"/>
      <w:bookmarkStart w:id="189" w:name="_Hlt26955070"/>
      <w:r>
        <w:rPr>
          <w:rFonts w:hint="eastAsia" w:ascii="宋体" w:hAnsi="宋体" w:eastAsia="宋体" w:cs="宋体"/>
          <w:color w:val="auto"/>
          <w:highlight w:val="none"/>
          <w:u w:val="single"/>
        </w:rPr>
        <w:t>                      </w:t>
      </w:r>
    </w:p>
    <w:p w14:paraId="0E85F15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w:t>
      </w:r>
    </w:p>
    <w:p w14:paraId="0A8B9D0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 </w:t>
      </w:r>
    </w:p>
    <w:p w14:paraId="6EC856D6">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0B5D386">
      <w:pPr>
        <w:pStyle w:val="33"/>
        <w:keepNext/>
        <w:keepLines/>
        <w:spacing w:before="260" w:beforeAutospacing="0" w:after="260" w:afterAutospacing="0" w:line="415" w:lineRule="auto"/>
        <w:ind w:firstLine="3390"/>
        <w:jc w:val="both"/>
        <w:rPr>
          <w:rFonts w:hint="eastAsia" w:ascii="宋体" w:hAnsi="宋体" w:eastAsia="宋体" w:cs="宋体"/>
          <w:b/>
          <w:color w:val="auto"/>
          <w:sz w:val="32"/>
          <w:szCs w:val="32"/>
          <w:highlight w:val="none"/>
        </w:rPr>
      </w:pPr>
      <w:r>
        <w:rPr>
          <w:rFonts w:hint="eastAsia" w:ascii="宋体" w:hAnsi="宋体" w:eastAsia="宋体" w:cs="宋体"/>
          <w:b/>
          <w:color w:val="auto"/>
          <w:highlight w:val="none"/>
        </w:rPr>
        <w:br w:type="page" w:clear="all"/>
      </w:r>
      <w:r>
        <w:rPr>
          <w:rFonts w:hint="eastAsia" w:ascii="宋体" w:hAnsi="宋体" w:eastAsia="宋体" w:cs="宋体"/>
          <w:b/>
          <w:color w:val="auto"/>
          <w:highlight w:val="none"/>
        </w:rPr>
        <w:t> </w:t>
      </w:r>
      <w:r>
        <w:rPr>
          <w:rFonts w:hint="eastAsia" w:ascii="宋体" w:hAnsi="宋体" w:eastAsia="宋体" w:cs="宋体"/>
          <w:b/>
          <w:color w:val="auto"/>
          <w:sz w:val="32"/>
          <w:szCs w:val="32"/>
          <w:highlight w:val="none"/>
          <w:lang w:val="en-US" w:eastAsia="zh-CN"/>
        </w:rPr>
        <w:t>九</w:t>
      </w:r>
      <w:r>
        <w:rPr>
          <w:rFonts w:hint="eastAsia" w:ascii="宋体" w:hAnsi="宋体" w:eastAsia="宋体" w:cs="宋体"/>
          <w:b/>
          <w:color w:val="auto"/>
          <w:sz w:val="32"/>
          <w:szCs w:val="32"/>
          <w:highlight w:val="none"/>
        </w:rPr>
        <w:t>、投标函</w:t>
      </w:r>
    </w:p>
    <w:p w14:paraId="4D3EA73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textAlignment w:val="auto"/>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致：</w:t>
      </w:r>
      <w:r>
        <w:rPr>
          <w:rFonts w:hint="eastAsia" w:ascii="宋体" w:hAnsi="宋体" w:eastAsia="宋体" w:cs="宋体"/>
          <w:color w:val="auto"/>
          <w:highlight w:val="none"/>
          <w:lang w:val="en-US" w:eastAsia="zh-CN"/>
        </w:rPr>
        <w:t>滨海县滨淮镇人民政府</w:t>
      </w:r>
    </w:p>
    <w:p w14:paraId="20FAA1D5">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根据贵方的JSZC-320000-***号招标文件，正式授权下述签字人______(姓名)代表我方______________（投标人的名称），全权处理本次项目投标的有关事宜。</w:t>
      </w:r>
    </w:p>
    <w:p w14:paraId="7C8D3FB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据此函，__________签字人兹宣布同意如下：</w:t>
      </w:r>
    </w:p>
    <w:p w14:paraId="279FB16C">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1.按招标文件规定的各项要求，向买方提供所需服务（包含与服务相关的货物）。</w:t>
      </w:r>
    </w:p>
    <w:p w14:paraId="6B4B34E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2.我们完全理解贵方不一定将合同授予最低报价的投标人。</w:t>
      </w:r>
    </w:p>
    <w:p w14:paraId="4C4FF06F">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3.我们已详细审核全部招标文件及其有效补充文件，我们知道必须放弃提出含糊不清或误解问题的权利。</w:t>
      </w:r>
    </w:p>
    <w:p w14:paraId="0CFF6699">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4.我们同意从规定的开标日期起遵循本投标文件，并在规定的投标有效期期满之前均具有约束力。</w:t>
      </w:r>
    </w:p>
    <w:p w14:paraId="1F2699DB">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5.同意向贵方提供贵方可能另外要求的与投标有关的任何证据或资料，并保证我方已提供和将要提供的文件是真实的、准确的。</w:t>
      </w:r>
    </w:p>
    <w:p w14:paraId="5B61536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6.一旦我方中标,我方将根据招标文件的规定，严格履行合同的责任和义务,并保证在招标文件规定的时间完成项目，交付买方验收、使用。</w:t>
      </w:r>
    </w:p>
    <w:p w14:paraId="218EF625">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7.与本投标有关的正式通讯地址为：</w:t>
      </w:r>
    </w:p>
    <w:p w14:paraId="30B84374">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地          址：</w:t>
      </w:r>
    </w:p>
    <w:p w14:paraId="1A2DC817">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邮          编：</w:t>
      </w:r>
    </w:p>
    <w:p w14:paraId="5CE15C8D">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电          话：</w:t>
      </w:r>
    </w:p>
    <w:p w14:paraId="1363675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传          真：</w:t>
      </w:r>
    </w:p>
    <w:p w14:paraId="5E488FE3">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投标人开户行：</w:t>
      </w:r>
    </w:p>
    <w:p w14:paraId="0596D6A0">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 xml:space="preserve">账          号： </w:t>
      </w:r>
    </w:p>
    <w:p w14:paraId="6DCB0181">
      <w:pPr>
        <w:pStyle w:val="33"/>
        <w:keepNext w:val="0"/>
        <w:keepLines w:val="0"/>
        <w:pageBreakBefore w:val="0"/>
        <w:widowControl w:val="0"/>
        <w:kinsoku/>
        <w:wordWrap/>
        <w:overflowPunct/>
        <w:topLinePunct w:val="0"/>
        <w:autoSpaceDE/>
        <w:autoSpaceDN/>
        <w:bidi w:val="0"/>
        <w:adjustRightInd/>
        <w:snapToGrid/>
        <w:spacing w:beforeAutospacing="0" w:afterAutospacing="0" w:line="360" w:lineRule="auto"/>
        <w:ind w:left="420" w:firstLine="480"/>
        <w:textAlignment w:val="auto"/>
        <w:rPr>
          <w:rFonts w:hint="eastAsia" w:ascii="宋体" w:hAnsi="宋体" w:eastAsia="宋体" w:cs="宋体"/>
          <w:color w:val="auto"/>
          <w:highlight w:val="none"/>
        </w:rPr>
      </w:pPr>
      <w:r>
        <w:rPr>
          <w:rFonts w:hint="eastAsia" w:ascii="宋体" w:hAnsi="宋体" w:eastAsia="宋体" w:cs="宋体"/>
          <w:color w:val="auto"/>
          <w:highlight w:val="none"/>
        </w:rPr>
        <w:t>日         </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rPr>
        <w:t>期：________年____月____日</w:t>
      </w:r>
    </w:p>
    <w:p w14:paraId="28E0F1EA">
      <w:pPr>
        <w:pStyle w:val="33"/>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BF7064D">
      <w:pPr>
        <w:pStyle w:val="33"/>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30115ECC">
      <w:pPr>
        <w:pStyle w:val="33"/>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DAD7417">
      <w:pPr>
        <w:pStyle w:val="33"/>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CE62D17">
      <w:pPr>
        <w:pStyle w:val="33"/>
        <w:spacing w:beforeAutospacing="0" w:afterAutospacing="0" w:line="0" w:lineRule="atLeast"/>
        <w:ind w:firstLine="240"/>
        <w:jc w:val="center"/>
        <w:rPr>
          <w:rFonts w:hint="eastAsia" w:ascii="宋体" w:hAnsi="宋体" w:eastAsia="宋体" w:cs="宋体"/>
          <w:color w:val="auto"/>
          <w:highlight w:val="none"/>
        </w:rPr>
      </w:pPr>
      <w:r>
        <w:rPr>
          <w:rFonts w:hint="eastAsia" w:ascii="宋体" w:hAnsi="宋体" w:eastAsia="宋体" w:cs="宋体"/>
          <w:color w:val="auto"/>
          <w:highlight w:val="none"/>
        </w:rPr>
        <w:t> </w:t>
      </w:r>
      <w:r>
        <w:rPr>
          <w:rFonts w:hint="eastAsia" w:ascii="宋体" w:hAnsi="宋体" w:eastAsia="宋体" w:cs="宋体"/>
          <w:b/>
          <w:color w:val="auto"/>
          <w:sz w:val="32"/>
          <w:szCs w:val="32"/>
          <w:highlight w:val="none"/>
          <w:lang w:val="en-US" w:eastAsia="zh-CN"/>
        </w:rPr>
        <w:t>十</w:t>
      </w:r>
      <w:r>
        <w:rPr>
          <w:rFonts w:hint="eastAsia" w:ascii="宋体" w:hAnsi="宋体" w:eastAsia="宋体" w:cs="宋体"/>
          <w:b/>
          <w:color w:val="auto"/>
          <w:sz w:val="32"/>
          <w:szCs w:val="32"/>
          <w:highlight w:val="none"/>
        </w:rPr>
        <w:t>、</w:t>
      </w:r>
      <w:r>
        <w:rPr>
          <w:rFonts w:hint="eastAsia" w:ascii="宋体" w:hAnsi="宋体" w:eastAsia="宋体" w:cs="宋体"/>
          <w:b/>
          <w:color w:val="auto"/>
          <w:sz w:val="32"/>
          <w:szCs w:val="32"/>
          <w:highlight w:val="none"/>
          <w:lang w:val="en-US" w:eastAsia="zh-CN"/>
        </w:rPr>
        <w:t>中小</w:t>
      </w:r>
      <w:r>
        <w:rPr>
          <w:rFonts w:hint="eastAsia" w:ascii="宋体" w:hAnsi="宋体" w:eastAsia="宋体" w:cs="宋体"/>
          <w:b/>
          <w:color w:val="auto"/>
          <w:sz w:val="32"/>
          <w:szCs w:val="32"/>
          <w:highlight w:val="none"/>
        </w:rPr>
        <w:t>企业声明函（服务）</w:t>
      </w:r>
    </w:p>
    <w:p w14:paraId="520B1BBE">
      <w:p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本公司（联合体）郑重声明，根据《政府采购促进中小企业发展管理办法》（财库﹝2020﹞46 号）的规定，本公司（联合体）参加</w:t>
      </w:r>
      <w:r>
        <w:rPr>
          <w:rFonts w:hint="eastAsia" w:ascii="宋体" w:hAnsi="宋体" w:eastAsia="宋体" w:cs="宋体"/>
          <w:color w:val="auto"/>
          <w:sz w:val="24"/>
          <w:highlight w:val="none"/>
          <w:lang w:val="en-US" w:eastAsia="zh-CN"/>
        </w:rPr>
        <w:t>滨海县滨淮镇人民政府</w:t>
      </w:r>
      <w:r>
        <w:rPr>
          <w:rFonts w:hint="eastAsia" w:ascii="宋体" w:hAnsi="宋体" w:eastAsia="宋体" w:cs="宋体"/>
          <w:color w:val="auto"/>
          <w:sz w:val="24"/>
          <w:highlight w:val="none"/>
        </w:rPr>
        <w:t>组织的</w:t>
      </w:r>
      <w:r>
        <w:rPr>
          <w:rFonts w:hint="eastAsia" w:ascii="宋体" w:hAnsi="宋体" w:eastAsia="宋体" w:cs="宋体"/>
          <w:color w:val="auto"/>
          <w:sz w:val="24"/>
          <w:szCs w:val="20"/>
          <w:highlight w:val="none"/>
        </w:rPr>
        <w:t>，</w:t>
      </w:r>
      <w:r>
        <w:rPr>
          <w:rFonts w:hint="eastAsia" w:ascii="宋体" w:hAnsi="宋体" w:eastAsia="宋体" w:cs="宋体"/>
          <w:color w:val="auto"/>
          <w:sz w:val="24"/>
          <w:highlight w:val="none"/>
        </w:rPr>
        <w:t>采购编号为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lang w:val="en-US" w:eastAsia="zh-CN"/>
        </w:rPr>
        <w:t>的</w:t>
      </w:r>
      <w:r>
        <w:rPr>
          <w:rFonts w:hint="eastAsia" w:ascii="宋体" w:hAnsi="宋体" w:eastAsia="宋体" w:cs="宋体"/>
          <w:i/>
          <w:iCs/>
          <w:color w:val="auto"/>
          <w:sz w:val="24"/>
          <w:highlight w:val="none"/>
          <w:u w:val="single"/>
        </w:rPr>
        <w:t>（项目名称）</w:t>
      </w:r>
      <w:r>
        <w:rPr>
          <w:rFonts w:hint="eastAsia" w:ascii="宋体" w:hAnsi="宋体" w:eastAsia="宋体" w:cs="宋体"/>
          <w:color w:val="auto"/>
          <w:sz w:val="24"/>
          <w:highlight w:val="none"/>
        </w:rPr>
        <w:t>的采购活动，服务全部由符合政策要求的中小企业承接。相关企业（含联合体中的中小企业、签订分包意向协议的中小企业）的具体情况如下：</w:t>
      </w:r>
    </w:p>
    <w:p w14:paraId="37B511D8">
      <w:pPr>
        <w:numPr>
          <w:ilvl w:val="0"/>
          <w:numId w:val="2"/>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5AAC748F">
      <w:pPr>
        <w:numPr>
          <w:ilvl w:val="0"/>
          <w:numId w:val="2"/>
        </w:numPr>
        <w:spacing w:line="500" w:lineRule="exact"/>
        <w:ind w:left="0" w:firstLine="480"/>
        <w:jc w:val="both"/>
        <w:rPr>
          <w:rFonts w:hint="eastAsia" w:ascii="宋体" w:hAnsi="宋体" w:eastAsia="宋体" w:cs="宋体"/>
          <w:color w:val="auto"/>
          <w:sz w:val="24"/>
          <w:highlight w:val="none"/>
        </w:rPr>
      </w:pPr>
      <w:r>
        <w:rPr>
          <w:rFonts w:hint="eastAsia" w:ascii="宋体" w:hAnsi="宋体" w:eastAsia="宋体" w:cs="宋体"/>
          <w:i/>
          <w:iCs/>
          <w:color w:val="auto"/>
          <w:sz w:val="24"/>
          <w:highlight w:val="none"/>
          <w:u w:val="single"/>
        </w:rPr>
        <w:t>（标的名称）</w:t>
      </w:r>
      <w:r>
        <w:rPr>
          <w:rFonts w:hint="eastAsia" w:ascii="宋体" w:hAnsi="宋体" w:eastAsia="宋体" w:cs="宋体"/>
          <w:color w:val="auto"/>
          <w:sz w:val="24"/>
          <w:highlight w:val="none"/>
        </w:rPr>
        <w:t xml:space="preserve"> ，属于</w:t>
      </w:r>
      <w:r>
        <w:rPr>
          <w:rFonts w:hint="eastAsia" w:ascii="宋体" w:hAnsi="宋体" w:eastAsia="宋体" w:cs="宋体"/>
          <w:i/>
          <w:iCs/>
          <w:color w:val="auto"/>
          <w:sz w:val="24"/>
          <w:highlight w:val="none"/>
          <w:u w:val="single"/>
        </w:rPr>
        <w:t>（采购文件中明确的所属行业）</w:t>
      </w:r>
      <w:r>
        <w:rPr>
          <w:rFonts w:hint="eastAsia" w:ascii="宋体" w:hAnsi="宋体" w:eastAsia="宋体" w:cs="宋体"/>
          <w:color w:val="auto"/>
          <w:sz w:val="24"/>
          <w:highlight w:val="none"/>
        </w:rPr>
        <w:t>；承建（承接）企业为</w:t>
      </w:r>
      <w:r>
        <w:rPr>
          <w:rFonts w:hint="eastAsia" w:ascii="宋体" w:hAnsi="宋体" w:eastAsia="宋体" w:cs="宋体"/>
          <w:i/>
          <w:iCs/>
          <w:color w:val="auto"/>
          <w:sz w:val="24"/>
          <w:highlight w:val="none"/>
          <w:u w:val="single"/>
        </w:rPr>
        <w:t>（企业名称）</w:t>
      </w:r>
      <w:r>
        <w:rPr>
          <w:rFonts w:hint="eastAsia" w:ascii="宋体" w:hAnsi="宋体" w:eastAsia="宋体" w:cs="宋体"/>
          <w:color w:val="auto"/>
          <w:sz w:val="24"/>
          <w:highlight w:val="none"/>
        </w:rPr>
        <w:t>，从业人员</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万元，属于</w:t>
      </w:r>
      <w:r>
        <w:rPr>
          <w:rFonts w:hint="eastAsia" w:ascii="宋体" w:hAnsi="宋体" w:eastAsia="宋体" w:cs="宋体"/>
          <w:i/>
          <w:iCs/>
          <w:color w:val="auto"/>
          <w:sz w:val="24"/>
          <w:highlight w:val="none"/>
          <w:u w:val="single"/>
        </w:rPr>
        <w:t>（中型企业、小型企业、微型企业）</w:t>
      </w:r>
      <w:r>
        <w:rPr>
          <w:rFonts w:hint="eastAsia" w:ascii="宋体" w:hAnsi="宋体" w:eastAsia="宋体" w:cs="宋体"/>
          <w:color w:val="auto"/>
          <w:sz w:val="24"/>
          <w:highlight w:val="none"/>
        </w:rPr>
        <w:t>；</w:t>
      </w:r>
    </w:p>
    <w:p w14:paraId="64B34488">
      <w:pPr>
        <w:numPr>
          <w:ilvl w:val="0"/>
          <w:numId w:val="0"/>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p>
    <w:p w14:paraId="5BB9D4FB">
      <w:pPr>
        <w:numPr>
          <w:ilvl w:val="0"/>
          <w:numId w:val="0"/>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以上企业，不属于大企业的分支机构，不存在控股股东为大企业的情形，也不存在与大企业的负责人为同一人的情形。</w:t>
      </w:r>
    </w:p>
    <w:p w14:paraId="21F2C41A">
      <w:pPr>
        <w:numPr>
          <w:ilvl w:val="0"/>
          <w:numId w:val="0"/>
        </w:numPr>
        <w:spacing w:line="500" w:lineRule="exact"/>
        <w:ind w:firstLine="480"/>
        <w:jc w:val="both"/>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14:paraId="591AC3A8">
      <w:pPr>
        <w:pStyle w:val="33"/>
        <w:spacing w:beforeAutospacing="0" w:afterAutospacing="0" w:line="0" w:lineRule="atLeast"/>
        <w:ind w:right="72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33B8C79">
      <w:pPr>
        <w:pStyle w:val="33"/>
        <w:spacing w:beforeAutospacing="0" w:afterAutospacing="0" w:line="0" w:lineRule="atLeast"/>
        <w:ind w:right="180" w:firstLine="360"/>
        <w:jc w:val="right"/>
        <w:rPr>
          <w:rFonts w:hint="eastAsia" w:ascii="宋体" w:hAnsi="宋体" w:eastAsia="宋体" w:cs="宋体"/>
          <w:color w:val="auto"/>
          <w:highlight w:val="none"/>
        </w:rPr>
      </w:pPr>
      <w:r>
        <w:rPr>
          <w:rFonts w:hint="eastAsia" w:ascii="宋体" w:hAnsi="宋体" w:eastAsia="宋体" w:cs="宋体"/>
          <w:color w:val="auto"/>
          <w:highlight w:val="none"/>
        </w:rPr>
        <w:t>企业名称（加盖CA电子公章）：</w:t>
      </w:r>
    </w:p>
    <w:p w14:paraId="64DBFA9C">
      <w:pPr>
        <w:pStyle w:val="33"/>
        <w:spacing w:beforeAutospacing="0" w:afterAutospacing="0" w:line="0" w:lineRule="atLeast"/>
        <w:ind w:right="480" w:firstLine="5400"/>
        <w:jc w:val="both"/>
        <w:rPr>
          <w:rFonts w:hint="eastAsia" w:ascii="宋体" w:hAnsi="宋体" w:eastAsia="宋体" w:cs="宋体"/>
          <w:color w:val="auto"/>
          <w:highlight w:val="none"/>
        </w:rPr>
      </w:pPr>
      <w:r>
        <w:rPr>
          <w:rFonts w:hint="eastAsia" w:ascii="宋体" w:hAnsi="宋体" w:eastAsia="宋体" w:cs="宋体"/>
          <w:color w:val="auto"/>
          <w:highlight w:val="none"/>
        </w:rPr>
        <w:t>日  期：</w:t>
      </w:r>
    </w:p>
    <w:p w14:paraId="13F1A257">
      <w:pPr>
        <w:pStyle w:val="33"/>
        <w:spacing w:beforeAutospacing="0" w:afterAutospacing="0" w:line="0" w:lineRule="atLeast"/>
        <w:ind w:firstLine="24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E88A96A">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备注1：从业人员、营业收入、资产总额填报上一年度数据，无上一年度数据的新成立企业可不填报。</w:t>
      </w:r>
    </w:p>
    <w:p w14:paraId="3DCD38CC">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备注2：供应商如不提供此声明函，价格将不做相应扣除</w:t>
      </w:r>
      <w:r>
        <w:rPr>
          <w:rFonts w:hint="eastAsia" w:ascii="宋体" w:hAnsi="宋体" w:eastAsia="宋体" w:cs="宋体"/>
          <w:color w:val="auto"/>
          <w:highlight w:val="none"/>
          <w:lang w:eastAsia="zh-CN"/>
        </w:rPr>
        <w:t>（如项目全面面向中小企业，则资格审查不通过）</w:t>
      </w:r>
      <w:r>
        <w:rPr>
          <w:rFonts w:hint="eastAsia" w:ascii="宋体" w:hAnsi="宋体" w:eastAsia="宋体" w:cs="宋体"/>
          <w:color w:val="auto"/>
          <w:highlight w:val="none"/>
        </w:rPr>
        <w:t>。</w:t>
      </w:r>
    </w:p>
    <w:p w14:paraId="0EB156AF">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十</w:t>
      </w:r>
      <w:r>
        <w:rPr>
          <w:rFonts w:hint="eastAsia" w:ascii="宋体" w:hAnsi="宋体" w:eastAsia="宋体" w:cs="宋体"/>
          <w:b/>
          <w:color w:val="auto"/>
          <w:sz w:val="32"/>
          <w:szCs w:val="32"/>
          <w:highlight w:val="none"/>
          <w:lang w:val="en-US" w:eastAsia="zh-CN"/>
        </w:rPr>
        <w:t>一</w:t>
      </w:r>
      <w:r>
        <w:rPr>
          <w:rFonts w:hint="eastAsia" w:ascii="宋体" w:hAnsi="宋体" w:eastAsia="宋体" w:cs="宋体"/>
          <w:b/>
          <w:color w:val="auto"/>
          <w:sz w:val="32"/>
          <w:szCs w:val="32"/>
          <w:highlight w:val="none"/>
        </w:rPr>
        <w:t>、残疾人福利性单位声明函</w:t>
      </w:r>
    </w:p>
    <w:p w14:paraId="319E92FA">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本单位郑重声明，根据《财政部 民政部 中国残疾人联合会关于促进残疾人就业政府采购政策的通知》（财库</w:t>
      </w:r>
      <w:r>
        <w:rPr>
          <w:rFonts w:hint="eastAsia" w:ascii="宋体" w:hAnsi="宋体" w:eastAsia="宋体" w:cs="宋体"/>
          <w:color w:val="auto"/>
          <w:highlight w:val="none"/>
          <w:lang w:eastAsia="zh-CN"/>
        </w:rPr>
        <w:t>〔2017〕141号</w:t>
      </w:r>
      <w:r>
        <w:rPr>
          <w:rFonts w:hint="eastAsia" w:ascii="宋体" w:hAnsi="宋体" w:eastAsia="宋体" w:cs="宋体"/>
          <w:color w:val="auto"/>
          <w:highlight w:val="none"/>
        </w:rPr>
        <w:t>）的规定，本单位为符合条件的残疾人福利性单位，且本单位参加______单位的采购文件编号为______的</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项目采购活动由本单位提供服务。</w:t>
      </w:r>
    </w:p>
    <w:p w14:paraId="541CEF8B">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本单位对上述声明的真实性负责。如有虚假，将依法承担相应责任。</w:t>
      </w:r>
    </w:p>
    <w:p w14:paraId="2DE535FA">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C2FD9D5">
      <w:pPr>
        <w:pStyle w:val="33"/>
        <w:spacing w:beforeAutospacing="0" w:afterAutospacing="0" w:line="0" w:lineRule="atLeast"/>
        <w:ind w:firstLine="48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备注：1、供应商如不提供此声明函，价格将不做相应扣除</w:t>
      </w:r>
      <w:r>
        <w:rPr>
          <w:rFonts w:hint="eastAsia" w:ascii="宋体" w:hAnsi="宋体" w:eastAsia="宋体" w:cs="宋体"/>
          <w:color w:val="auto"/>
          <w:highlight w:val="none"/>
          <w:lang w:eastAsia="zh-CN"/>
        </w:rPr>
        <w:t>（如项目全面面向中小企业，则资格审查不通过）。</w:t>
      </w:r>
    </w:p>
    <w:p w14:paraId="12630CB8">
      <w:pPr>
        <w:pStyle w:val="33"/>
        <w:spacing w:beforeAutospacing="0" w:afterAutospacing="0" w:line="0" w:lineRule="atLeast"/>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2、中标人为残疾人福利单位的，此声明函将随中标结果同时公告，接受社会监督</w:t>
      </w:r>
    </w:p>
    <w:p w14:paraId="6A3CBA85">
      <w:pPr>
        <w:pStyle w:val="33"/>
        <w:spacing w:beforeAutospacing="0" w:afterAutospacing="0" w:line="0" w:lineRule="atLeast"/>
        <w:ind w:firstLine="624"/>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4D1B44B">
      <w:pPr>
        <w:pStyle w:val="33"/>
        <w:tabs>
          <w:tab w:val="left" w:pos="4864"/>
        </w:tabs>
        <w:spacing w:beforeAutospacing="0" w:afterAutospacing="0" w:line="0" w:lineRule="atLeast"/>
        <w:ind w:right="1560" w:firstLine="624"/>
        <w:jc w:val="center"/>
        <w:rPr>
          <w:rFonts w:hint="eastAsia" w:ascii="宋体" w:hAnsi="宋体" w:eastAsia="宋体" w:cs="宋体"/>
          <w:color w:val="auto"/>
          <w:highlight w:val="none"/>
        </w:rPr>
      </w:pPr>
      <w:r>
        <w:rPr>
          <w:rFonts w:hint="eastAsia" w:ascii="宋体" w:hAnsi="宋体" w:eastAsia="宋体" w:cs="宋体"/>
          <w:color w:val="auto"/>
          <w:sz w:val="30"/>
          <w:szCs w:val="30"/>
          <w:highlight w:val="none"/>
        </w:rPr>
        <w:t>        </w:t>
      </w:r>
      <w:r>
        <w:rPr>
          <w:rFonts w:hint="eastAsia" w:ascii="宋体" w:hAnsi="宋体" w:eastAsia="宋体" w:cs="宋体"/>
          <w:color w:val="auto"/>
          <w:highlight w:val="none"/>
        </w:rPr>
        <w:t>供应商全称（加盖CA电子公章）：</w:t>
      </w:r>
    </w:p>
    <w:p w14:paraId="75FC6E32">
      <w:pPr>
        <w:pStyle w:val="33"/>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 xml:space="preserve">        </w:t>
      </w:r>
    </w:p>
    <w:p w14:paraId="447061D6">
      <w:pPr>
        <w:pStyle w:val="33"/>
        <w:tabs>
          <w:tab w:val="left" w:pos="4864"/>
        </w:tabs>
        <w:spacing w:beforeAutospacing="0" w:afterAutospacing="0" w:line="0" w:lineRule="atLeast"/>
        <w:ind w:right="1560" w:firstLine="480"/>
        <w:jc w:val="center"/>
        <w:rPr>
          <w:rFonts w:hint="eastAsia" w:ascii="宋体" w:hAnsi="宋体" w:eastAsia="宋体" w:cs="宋体"/>
          <w:color w:val="auto"/>
          <w:highlight w:val="none"/>
        </w:rPr>
      </w:pPr>
      <w:r>
        <w:rPr>
          <w:rFonts w:hint="eastAsia" w:ascii="宋体" w:hAnsi="宋体" w:eastAsia="宋体" w:cs="宋体"/>
          <w:color w:val="auto"/>
          <w:highlight w:val="none"/>
        </w:rPr>
        <w:t>日  期：</w:t>
      </w:r>
    </w:p>
    <w:p w14:paraId="18820F3A">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9E58FA3">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0791D81">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673FA66">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22EFAE1C">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5EC364B">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BB9C140">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65D3926">
      <w:pPr>
        <w:pStyle w:val="33"/>
        <w:spacing w:beforeAutospacing="0" w:afterAutospacing="0" w:line="0" w:lineRule="atLeast"/>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4E73A4FB">
      <w:pPr>
        <w:pStyle w:val="33"/>
        <w:spacing w:beforeAutospacing="0" w:afterAutospacing="0" w:line="0" w:lineRule="atLeast"/>
        <w:jc w:val="center"/>
        <w:rPr>
          <w:rFonts w:hint="eastAsia" w:ascii="宋体" w:hAnsi="宋体" w:eastAsia="宋体" w:cs="宋体"/>
          <w:color w:val="auto"/>
          <w:highlight w:val="none"/>
        </w:rPr>
      </w:pPr>
    </w:p>
    <w:p w14:paraId="2928CBFB">
      <w:pPr>
        <w:pStyle w:val="33"/>
        <w:spacing w:beforeAutospacing="0" w:afterAutospacing="0" w:line="0" w:lineRule="atLeast"/>
        <w:jc w:val="center"/>
        <w:rPr>
          <w:rFonts w:hint="eastAsia" w:ascii="宋体" w:hAnsi="宋体" w:eastAsia="宋体" w:cs="宋体"/>
          <w:color w:val="auto"/>
          <w:highlight w:val="none"/>
        </w:rPr>
      </w:pPr>
    </w:p>
    <w:p w14:paraId="6C16F60B">
      <w:pPr>
        <w:pStyle w:val="33"/>
        <w:spacing w:beforeAutospacing="0" w:afterAutospacing="0" w:line="0" w:lineRule="atLeast"/>
        <w:jc w:val="center"/>
        <w:rPr>
          <w:rFonts w:hint="eastAsia" w:ascii="宋体" w:hAnsi="宋体" w:eastAsia="宋体" w:cs="宋体"/>
          <w:color w:val="auto"/>
          <w:highlight w:val="none"/>
        </w:rPr>
      </w:pPr>
    </w:p>
    <w:p w14:paraId="27DFA043">
      <w:pPr>
        <w:pStyle w:val="33"/>
        <w:spacing w:beforeAutospacing="0" w:afterAutospacing="0" w:line="0" w:lineRule="atLeast"/>
        <w:jc w:val="center"/>
        <w:rPr>
          <w:rFonts w:hint="eastAsia" w:ascii="宋体" w:hAnsi="宋体" w:eastAsia="宋体" w:cs="宋体"/>
          <w:color w:val="auto"/>
          <w:highlight w:val="none"/>
        </w:rPr>
      </w:pPr>
    </w:p>
    <w:p w14:paraId="33825D7B">
      <w:pPr>
        <w:pStyle w:val="33"/>
        <w:spacing w:beforeAutospacing="0" w:afterAutospacing="0" w:line="0" w:lineRule="atLeast"/>
        <w:jc w:val="center"/>
        <w:rPr>
          <w:rFonts w:hint="eastAsia" w:ascii="宋体" w:hAnsi="宋体" w:eastAsia="宋体" w:cs="宋体"/>
          <w:color w:val="auto"/>
          <w:highlight w:val="none"/>
        </w:rPr>
      </w:pPr>
    </w:p>
    <w:p w14:paraId="322BFA09">
      <w:pPr>
        <w:pStyle w:val="33"/>
        <w:spacing w:beforeAutospacing="0" w:afterAutospacing="0" w:line="0" w:lineRule="atLeast"/>
        <w:jc w:val="center"/>
        <w:rPr>
          <w:rFonts w:hint="eastAsia" w:ascii="宋体" w:hAnsi="宋体" w:eastAsia="宋体" w:cs="宋体"/>
          <w:color w:val="auto"/>
          <w:highlight w:val="none"/>
        </w:rPr>
      </w:pPr>
    </w:p>
    <w:p w14:paraId="40BA42ED">
      <w:pPr>
        <w:pStyle w:val="33"/>
        <w:spacing w:beforeAutospacing="0" w:afterAutospacing="0" w:line="0" w:lineRule="atLeast"/>
        <w:jc w:val="center"/>
        <w:rPr>
          <w:rFonts w:hint="eastAsia" w:ascii="宋体" w:hAnsi="宋体" w:eastAsia="宋体" w:cs="宋体"/>
          <w:color w:val="auto"/>
          <w:highlight w:val="none"/>
        </w:rPr>
      </w:pPr>
    </w:p>
    <w:p w14:paraId="2AE6969A">
      <w:pPr>
        <w:pStyle w:val="33"/>
        <w:spacing w:beforeAutospacing="0" w:afterAutospacing="0" w:line="0" w:lineRule="atLeast"/>
        <w:jc w:val="center"/>
        <w:rPr>
          <w:rFonts w:hint="eastAsia" w:ascii="宋体" w:hAnsi="宋体" w:eastAsia="宋体" w:cs="宋体"/>
          <w:color w:val="auto"/>
          <w:highlight w:val="none"/>
        </w:rPr>
      </w:pPr>
    </w:p>
    <w:p w14:paraId="4B7919F8">
      <w:pPr>
        <w:pStyle w:val="33"/>
        <w:spacing w:beforeAutospacing="0" w:afterAutospacing="0" w:line="0" w:lineRule="atLeast"/>
        <w:jc w:val="center"/>
        <w:rPr>
          <w:rFonts w:hint="eastAsia" w:ascii="宋体" w:hAnsi="宋体" w:eastAsia="宋体" w:cs="宋体"/>
          <w:color w:val="auto"/>
          <w:highlight w:val="none"/>
        </w:rPr>
      </w:pPr>
    </w:p>
    <w:p w14:paraId="16DD366E">
      <w:pPr>
        <w:rPr>
          <w:rFonts w:hint="eastAsia" w:ascii="宋体" w:hAnsi="宋体" w:eastAsia="宋体" w:cs="宋体"/>
          <w:b/>
          <w:color w:val="auto"/>
          <w:sz w:val="32"/>
          <w:szCs w:val="32"/>
          <w:highlight w:val="none"/>
        </w:rPr>
      </w:pPr>
    </w:p>
    <w:p w14:paraId="652DBDE1">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721E884">
      <w:pPr>
        <w:pStyle w:val="33"/>
        <w:numPr>
          <w:ilvl w:val="0"/>
          <w:numId w:val="0"/>
        </w:numPr>
        <w:spacing w:beforeAutospacing="0" w:afterAutospacing="0"/>
        <w:ind w:leftChars="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val="en-US" w:eastAsia="zh-CN"/>
        </w:rPr>
        <w:t>十二、</w:t>
      </w:r>
      <w:r>
        <w:rPr>
          <w:rFonts w:hint="eastAsia" w:ascii="宋体" w:hAnsi="宋体" w:eastAsia="宋体" w:cs="宋体"/>
          <w:b/>
          <w:color w:val="auto"/>
          <w:sz w:val="32"/>
          <w:szCs w:val="32"/>
          <w:highlight w:val="none"/>
        </w:rPr>
        <w:t>投标分项报价表</w:t>
      </w:r>
    </w:p>
    <w:p w14:paraId="68B900D7">
      <w:pPr>
        <w:pStyle w:val="33"/>
        <w:widowControl w:val="0"/>
        <w:numPr>
          <w:ilvl w:val="0"/>
          <w:numId w:val="0"/>
        </w:numPr>
        <w:spacing w:beforeAutospacing="0" w:afterAutospacing="0"/>
        <w:jc w:val="center"/>
        <w:rPr>
          <w:rFonts w:hint="eastAsia" w:ascii="宋体" w:hAnsi="宋体" w:eastAsia="宋体" w:cs="宋体"/>
          <w:b/>
          <w:color w:val="auto"/>
          <w:sz w:val="32"/>
          <w:szCs w:val="32"/>
          <w:highlight w:val="none"/>
        </w:rPr>
      </w:pPr>
    </w:p>
    <w:tbl>
      <w:tblPr>
        <w:tblStyle w:val="35"/>
        <w:tblW w:w="104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1"/>
        <w:gridCol w:w="1733"/>
        <w:gridCol w:w="2763"/>
        <w:gridCol w:w="2763"/>
        <w:gridCol w:w="1560"/>
        <w:gridCol w:w="815"/>
      </w:tblGrid>
      <w:tr w14:paraId="54078B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5" w:hRule="atLeast"/>
          <w:jc w:val="center"/>
        </w:trPr>
        <w:tc>
          <w:tcPr>
            <w:tcW w:w="791" w:type="dxa"/>
            <w:noWrap w:val="0"/>
            <w:vAlign w:val="center"/>
          </w:tcPr>
          <w:p w14:paraId="49DA3624">
            <w:pPr>
              <w:keepNext w:val="0"/>
              <w:keepLines w:val="0"/>
              <w:suppressLineNumbers w:val="0"/>
              <w:spacing w:before="0" w:beforeAutospacing="0" w:after="0" w:afterAutospacing="0"/>
              <w:ind w:left="0" w:right="0"/>
              <w:jc w:val="center"/>
              <w:rPr>
                <w:rFonts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序号</w:t>
            </w:r>
          </w:p>
        </w:tc>
        <w:tc>
          <w:tcPr>
            <w:tcW w:w="1733" w:type="dxa"/>
            <w:noWrap w:val="0"/>
            <w:vAlign w:val="center"/>
          </w:tcPr>
          <w:p w14:paraId="4436F84B">
            <w:pPr>
              <w:keepNext w:val="0"/>
              <w:keepLines w:val="0"/>
              <w:suppressLineNumbers w:val="0"/>
              <w:spacing w:before="0" w:beforeAutospacing="0" w:after="0" w:afterAutospacing="0"/>
              <w:ind w:left="0" w:right="0"/>
              <w:jc w:val="center"/>
              <w:rPr>
                <w:rFonts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配置人数（人）</w:t>
            </w:r>
          </w:p>
        </w:tc>
        <w:tc>
          <w:tcPr>
            <w:tcW w:w="2763" w:type="dxa"/>
            <w:noWrap w:val="0"/>
            <w:vAlign w:val="center"/>
          </w:tcPr>
          <w:p w14:paraId="51F9DB56">
            <w:pPr>
              <w:keepNext w:val="0"/>
              <w:keepLines w:val="0"/>
              <w:suppressLineNumbers w:val="0"/>
              <w:spacing w:before="0" w:beforeAutospacing="0" w:after="0" w:afterAutospacing="0"/>
              <w:ind w:left="0" w:right="0"/>
              <w:jc w:val="center"/>
              <w:rPr>
                <w:rFonts w:hint="eastAsia"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服务天数（天）</w:t>
            </w:r>
          </w:p>
        </w:tc>
        <w:tc>
          <w:tcPr>
            <w:tcW w:w="2763" w:type="dxa"/>
            <w:noWrap w:val="0"/>
            <w:vAlign w:val="center"/>
          </w:tcPr>
          <w:p w14:paraId="142137C1">
            <w:pPr>
              <w:keepNext w:val="0"/>
              <w:keepLines w:val="0"/>
              <w:suppressLineNumbers w:val="0"/>
              <w:spacing w:before="0" w:beforeAutospacing="0" w:after="0" w:afterAutospacing="0"/>
              <w:ind w:left="0" w:right="0"/>
              <w:jc w:val="center"/>
              <w:rPr>
                <w:rFonts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人员费用标准（元/人/天）</w:t>
            </w:r>
          </w:p>
        </w:tc>
        <w:tc>
          <w:tcPr>
            <w:tcW w:w="1560" w:type="dxa"/>
            <w:noWrap w:val="0"/>
            <w:vAlign w:val="center"/>
          </w:tcPr>
          <w:p w14:paraId="7E1321EF">
            <w:pPr>
              <w:keepNext w:val="0"/>
              <w:keepLines w:val="0"/>
              <w:suppressLineNumbers w:val="0"/>
              <w:spacing w:before="0" w:beforeAutospacing="0" w:after="0" w:afterAutospacing="0"/>
              <w:ind w:left="0" w:right="0"/>
              <w:jc w:val="center"/>
              <w:rPr>
                <w:rFonts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合计费用（元）</w:t>
            </w:r>
          </w:p>
        </w:tc>
        <w:tc>
          <w:tcPr>
            <w:tcW w:w="815" w:type="dxa"/>
            <w:noWrap w:val="0"/>
            <w:vAlign w:val="center"/>
          </w:tcPr>
          <w:p w14:paraId="6DFA742E">
            <w:pPr>
              <w:keepNext w:val="0"/>
              <w:keepLines w:val="0"/>
              <w:suppressLineNumbers w:val="0"/>
              <w:spacing w:before="0" w:beforeAutospacing="0" w:after="0" w:afterAutospacing="0"/>
              <w:ind w:left="0" w:right="0"/>
              <w:jc w:val="center"/>
              <w:rPr>
                <w:rFonts w:ascii="宋体" w:hAnsi="宋体" w:cs="宋体"/>
                <w:b/>
                <w:color w:val="000000" w:themeColor="text1"/>
                <w:szCs w:val="21"/>
                <w:highlight w:val="white"/>
                <w14:textFill>
                  <w14:solidFill>
                    <w14:schemeClr w14:val="tx1"/>
                  </w14:solidFill>
                </w14:textFill>
              </w:rPr>
            </w:pPr>
            <w:r>
              <w:rPr>
                <w:rFonts w:hint="eastAsia" w:ascii="宋体" w:hAnsi="宋体" w:cs="宋体"/>
                <w:b/>
                <w:color w:val="000000" w:themeColor="text1"/>
                <w:szCs w:val="21"/>
                <w:highlight w:val="white"/>
                <w14:textFill>
                  <w14:solidFill>
                    <w14:schemeClr w14:val="tx1"/>
                  </w14:solidFill>
                </w14:textFill>
              </w:rPr>
              <w:t>备注</w:t>
            </w:r>
          </w:p>
        </w:tc>
      </w:tr>
      <w:tr w14:paraId="3CBBA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791" w:type="dxa"/>
            <w:noWrap w:val="0"/>
            <w:vAlign w:val="center"/>
          </w:tcPr>
          <w:p w14:paraId="1E0B6FBB">
            <w:pPr>
              <w:keepNext w:val="0"/>
              <w:keepLines w:val="0"/>
              <w:suppressLineNumbers w:val="0"/>
              <w:spacing w:before="0" w:beforeAutospacing="0" w:after="0" w:afterAutospacing="0"/>
              <w:ind w:left="0" w:right="0"/>
              <w:jc w:val="center"/>
              <w:rPr>
                <w:rFonts w:ascii="宋体" w:hAnsi="宋体" w:cs="宋体"/>
                <w:b/>
                <w:color w:val="000000" w:themeColor="text1"/>
                <w:szCs w:val="20"/>
                <w:highlight w:val="white"/>
                <w14:textFill>
                  <w14:solidFill>
                    <w14:schemeClr w14:val="tx1"/>
                  </w14:solidFill>
                </w14:textFill>
              </w:rPr>
            </w:pPr>
          </w:p>
        </w:tc>
        <w:tc>
          <w:tcPr>
            <w:tcW w:w="1733" w:type="dxa"/>
            <w:noWrap w:val="0"/>
            <w:vAlign w:val="center"/>
          </w:tcPr>
          <w:p w14:paraId="24A2011D">
            <w:pPr>
              <w:keepNext w:val="0"/>
              <w:keepLines w:val="0"/>
              <w:suppressLineNumbers w:val="0"/>
              <w:spacing w:before="0" w:beforeAutospacing="0" w:after="0" w:afterAutospacing="0"/>
              <w:ind w:left="0" w:right="0"/>
              <w:jc w:val="center"/>
              <w:rPr>
                <w:rFonts w:ascii="宋体" w:hAnsi="宋体" w:cs="宋体"/>
                <w:b/>
                <w:color w:val="000000" w:themeColor="text1"/>
                <w:szCs w:val="20"/>
                <w:highlight w:val="white"/>
                <w14:textFill>
                  <w14:solidFill>
                    <w14:schemeClr w14:val="tx1"/>
                  </w14:solidFill>
                </w14:textFill>
              </w:rPr>
            </w:pPr>
          </w:p>
        </w:tc>
        <w:tc>
          <w:tcPr>
            <w:tcW w:w="2763" w:type="dxa"/>
            <w:noWrap w:val="0"/>
            <w:vAlign w:val="top"/>
          </w:tcPr>
          <w:p w14:paraId="0221A77D">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34C715E9">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64111AA0">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7C5391A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0951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791" w:type="dxa"/>
            <w:noWrap w:val="0"/>
            <w:vAlign w:val="center"/>
          </w:tcPr>
          <w:p w14:paraId="2795D357">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3ADDC15F">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64B28609">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384938E8">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53CE119E">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7F9F557D">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76D10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791" w:type="dxa"/>
            <w:noWrap w:val="0"/>
            <w:vAlign w:val="center"/>
          </w:tcPr>
          <w:p w14:paraId="47F666C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756F4071">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71BCCC42">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171FF899">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529C4B29">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39FE0F62">
            <w:pPr>
              <w:keepNext w:val="0"/>
              <w:keepLines w:val="0"/>
              <w:suppressLineNumbers w:val="0"/>
              <w:spacing w:before="0" w:beforeAutospacing="0" w:after="0" w:afterAutospacing="0"/>
              <w:ind w:left="0" w:right="0"/>
              <w:rPr>
                <w:rFonts w:ascii="宋体" w:hAnsi="宋体" w:cs="宋体"/>
                <w:color w:val="000000" w:themeColor="text1"/>
                <w:szCs w:val="20"/>
                <w:highlight w:val="white"/>
                <w14:textFill>
                  <w14:solidFill>
                    <w14:schemeClr w14:val="tx1"/>
                  </w14:solidFill>
                </w14:textFill>
              </w:rPr>
            </w:pPr>
          </w:p>
        </w:tc>
      </w:tr>
      <w:tr w14:paraId="3BD015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5" w:hRule="atLeast"/>
          <w:jc w:val="center"/>
        </w:trPr>
        <w:tc>
          <w:tcPr>
            <w:tcW w:w="791" w:type="dxa"/>
            <w:noWrap w:val="0"/>
            <w:vAlign w:val="center"/>
          </w:tcPr>
          <w:p w14:paraId="60310E79">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193BDA3E">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2B108157">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75724D88">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2CC82FC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13E58763">
            <w:pPr>
              <w:keepNext w:val="0"/>
              <w:keepLines w:val="0"/>
              <w:suppressLineNumbers w:val="0"/>
              <w:spacing w:before="0" w:beforeAutospacing="0" w:after="0" w:afterAutospacing="0"/>
              <w:ind w:left="0" w:right="0"/>
              <w:rPr>
                <w:rFonts w:ascii="宋体" w:hAnsi="宋体" w:cs="宋体"/>
                <w:color w:val="000000" w:themeColor="text1"/>
                <w:szCs w:val="20"/>
                <w:highlight w:val="white"/>
                <w14:textFill>
                  <w14:solidFill>
                    <w14:schemeClr w14:val="tx1"/>
                  </w14:solidFill>
                </w14:textFill>
              </w:rPr>
            </w:pPr>
          </w:p>
        </w:tc>
      </w:tr>
      <w:tr w14:paraId="11F8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1" w:type="dxa"/>
            <w:noWrap w:val="0"/>
            <w:vAlign w:val="center"/>
          </w:tcPr>
          <w:p w14:paraId="51B0E63B">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744D83E2">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7B29DD3F">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7A21CD9E">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22729FD2">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29EFF93D">
            <w:pPr>
              <w:keepNext w:val="0"/>
              <w:keepLines w:val="0"/>
              <w:suppressLineNumbers w:val="0"/>
              <w:spacing w:before="0" w:beforeAutospacing="0" w:after="0" w:afterAutospacing="0"/>
              <w:ind w:left="0" w:right="0"/>
              <w:rPr>
                <w:rFonts w:ascii="宋体" w:hAnsi="宋体" w:cs="宋体"/>
                <w:color w:val="000000" w:themeColor="text1"/>
                <w:szCs w:val="20"/>
                <w:highlight w:val="white"/>
                <w14:textFill>
                  <w14:solidFill>
                    <w14:schemeClr w14:val="tx1"/>
                  </w14:solidFill>
                </w14:textFill>
              </w:rPr>
            </w:pPr>
          </w:p>
        </w:tc>
      </w:tr>
      <w:tr w14:paraId="193F5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jc w:val="center"/>
        </w:trPr>
        <w:tc>
          <w:tcPr>
            <w:tcW w:w="791" w:type="dxa"/>
            <w:noWrap w:val="0"/>
            <w:vAlign w:val="center"/>
          </w:tcPr>
          <w:p w14:paraId="29B35185">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319FF4A8">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5C8B8EB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46CC14D6">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2240429F">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499B3A8F">
            <w:pPr>
              <w:keepNext w:val="0"/>
              <w:keepLines w:val="0"/>
              <w:suppressLineNumbers w:val="0"/>
              <w:spacing w:before="0" w:beforeAutospacing="0" w:after="0" w:afterAutospacing="0"/>
              <w:ind w:left="0" w:right="0"/>
              <w:rPr>
                <w:rFonts w:ascii="宋体" w:hAnsi="宋体" w:cs="宋体"/>
                <w:color w:val="000000" w:themeColor="text1"/>
                <w:szCs w:val="20"/>
                <w:highlight w:val="white"/>
                <w14:textFill>
                  <w14:solidFill>
                    <w14:schemeClr w14:val="tx1"/>
                  </w14:solidFill>
                </w14:textFill>
              </w:rPr>
            </w:pPr>
          </w:p>
        </w:tc>
      </w:tr>
      <w:tr w14:paraId="504580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9" w:hRule="atLeast"/>
          <w:jc w:val="center"/>
        </w:trPr>
        <w:tc>
          <w:tcPr>
            <w:tcW w:w="791" w:type="dxa"/>
            <w:noWrap w:val="0"/>
            <w:vAlign w:val="center"/>
          </w:tcPr>
          <w:p w14:paraId="6C318269">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5FE8A5A6">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0A579A32">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44394EC8">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534392B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08D13162">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508A2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2" w:hRule="atLeast"/>
          <w:jc w:val="center"/>
        </w:trPr>
        <w:tc>
          <w:tcPr>
            <w:tcW w:w="791" w:type="dxa"/>
            <w:noWrap w:val="0"/>
            <w:vAlign w:val="center"/>
          </w:tcPr>
          <w:p w14:paraId="7CB4744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4FC79572">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150F66CC">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3635DF45">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032E02F4">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585F6973">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27B00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 w:hRule="atLeast"/>
          <w:jc w:val="center"/>
        </w:trPr>
        <w:tc>
          <w:tcPr>
            <w:tcW w:w="791" w:type="dxa"/>
            <w:noWrap w:val="0"/>
            <w:vAlign w:val="center"/>
          </w:tcPr>
          <w:p w14:paraId="0A7D6E4B">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1F2BDD66">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79D51CAF">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1BD2293E">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7B967CF4">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5478E70A">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307F1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791" w:type="dxa"/>
            <w:noWrap w:val="0"/>
            <w:vAlign w:val="center"/>
          </w:tcPr>
          <w:p w14:paraId="599642D6">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058AEB78">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1B26C013">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25D43E97">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6B429505">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7FBB3FDB">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5A3892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jc w:val="center"/>
        </w:trPr>
        <w:tc>
          <w:tcPr>
            <w:tcW w:w="791" w:type="dxa"/>
            <w:noWrap w:val="0"/>
            <w:vAlign w:val="center"/>
          </w:tcPr>
          <w:p w14:paraId="73CA59AF">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733" w:type="dxa"/>
            <w:noWrap w:val="0"/>
            <w:vAlign w:val="center"/>
          </w:tcPr>
          <w:p w14:paraId="69E686E8">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top"/>
          </w:tcPr>
          <w:p w14:paraId="60A82BE6">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7BBEE9BE">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0026E401">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133C8C8D">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r w14:paraId="1C5D89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524" w:type="dxa"/>
            <w:gridSpan w:val="2"/>
            <w:noWrap w:val="0"/>
            <w:vAlign w:val="center"/>
          </w:tcPr>
          <w:p w14:paraId="0A80F5C4">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r>
              <w:rPr>
                <w:rFonts w:hint="eastAsia" w:ascii="宋体" w:hAnsi="宋体" w:cs="宋体"/>
                <w:color w:val="000000" w:themeColor="text1"/>
                <w:szCs w:val="20"/>
                <w:highlight w:val="white"/>
                <w14:textFill>
                  <w14:solidFill>
                    <w14:schemeClr w14:val="tx1"/>
                  </w14:solidFill>
                </w14:textFill>
              </w:rPr>
              <w:t>合计：</w:t>
            </w:r>
          </w:p>
        </w:tc>
        <w:tc>
          <w:tcPr>
            <w:tcW w:w="2763" w:type="dxa"/>
            <w:noWrap w:val="0"/>
            <w:vAlign w:val="top"/>
          </w:tcPr>
          <w:p w14:paraId="5BFCAE1F">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2763" w:type="dxa"/>
            <w:noWrap w:val="0"/>
            <w:vAlign w:val="center"/>
          </w:tcPr>
          <w:p w14:paraId="473540E6">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1560" w:type="dxa"/>
            <w:noWrap w:val="0"/>
            <w:vAlign w:val="center"/>
          </w:tcPr>
          <w:p w14:paraId="34F2E794">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c>
          <w:tcPr>
            <w:tcW w:w="815" w:type="dxa"/>
            <w:noWrap w:val="0"/>
            <w:vAlign w:val="center"/>
          </w:tcPr>
          <w:p w14:paraId="4EC2737E">
            <w:pPr>
              <w:keepNext w:val="0"/>
              <w:keepLines w:val="0"/>
              <w:suppressLineNumbers w:val="0"/>
              <w:spacing w:before="0" w:beforeAutospacing="0" w:after="0" w:afterAutospacing="0"/>
              <w:ind w:left="0" w:right="0"/>
              <w:jc w:val="center"/>
              <w:rPr>
                <w:rFonts w:ascii="宋体" w:hAnsi="宋体" w:cs="宋体"/>
                <w:color w:val="000000" w:themeColor="text1"/>
                <w:szCs w:val="20"/>
                <w:highlight w:val="white"/>
                <w14:textFill>
                  <w14:solidFill>
                    <w14:schemeClr w14:val="tx1"/>
                  </w14:solidFill>
                </w14:textFill>
              </w:rPr>
            </w:pPr>
          </w:p>
        </w:tc>
      </w:tr>
    </w:tbl>
    <w:p w14:paraId="126DA4D8">
      <w:pPr>
        <w:pStyle w:val="12"/>
        <w:ind w:firstLine="480"/>
        <w:rPr>
          <w:rFonts w:hint="eastAsia" w:ascii="宋体" w:hAnsi="宋体"/>
          <w:color w:val="000000" w:themeColor="text1"/>
          <w:sz w:val="24"/>
          <w:highlight w:val="white"/>
          <w14:textFill>
            <w14:solidFill>
              <w14:schemeClr w14:val="tx1"/>
            </w14:solidFill>
          </w14:textFill>
        </w:rPr>
      </w:pPr>
    </w:p>
    <w:p w14:paraId="18ABCB74">
      <w:pPr>
        <w:pStyle w:val="12"/>
        <w:ind w:left="0" w:leftChars="0" w:firstLine="480" w:firstLineChars="20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14:textFill>
            <w14:solidFill>
              <w14:schemeClr w14:val="tx1"/>
            </w14:solidFill>
          </w14:textFill>
        </w:rPr>
        <w:t>注： 1、总报价除应包括人员的工资（符合</w:t>
      </w:r>
      <w:r>
        <w:rPr>
          <w:rFonts w:hint="eastAsia" w:ascii="宋体" w:hAnsi="宋体" w:eastAsia="宋体"/>
          <w:color w:val="000000" w:themeColor="text1"/>
          <w:sz w:val="24"/>
          <w:highlight w:val="white"/>
          <w:lang w:val="en-US" w:eastAsia="zh-CN"/>
          <w14:textFill>
            <w14:solidFill>
              <w14:schemeClr w14:val="tx1"/>
            </w14:solidFill>
          </w14:textFill>
        </w:rPr>
        <w:t>滨海县</w:t>
      </w:r>
      <w:r>
        <w:rPr>
          <w:rFonts w:hint="eastAsia" w:ascii="宋体" w:hAnsi="宋体"/>
          <w:color w:val="000000" w:themeColor="text1"/>
          <w:sz w:val="24"/>
          <w:highlight w:val="white"/>
          <w14:textFill>
            <w14:solidFill>
              <w14:schemeClr w14:val="tx1"/>
            </w14:solidFill>
          </w14:textFill>
        </w:rPr>
        <w:t>最低工资标准、工作时间不得超过每月最高工作时间的相关规定且所有人员必须缴纳社会保险费）、社保福利费、加班费、法定税费、办公费、公众责任保险费和合理利润外，还应包括体检、管理、劳务、服装、培训、保修、通讯、包括人员最低工资政策性调整风险及政策性文件规定等各项应有费用，以及为完成采购文件规定的所涉及到的一切相关费用，投标人报价时应充分考虑服务期内所有可能影响到报价的因素（包括人员最低工资政策性调整），一旦中标，总价将包定，即为合同价，不予调整。如发生漏、缺、少项，都将被认为是投标人的报价让利行为，损失自负。</w:t>
      </w:r>
    </w:p>
    <w:p w14:paraId="298A483D">
      <w:pPr>
        <w:pStyle w:val="12"/>
        <w:ind w:firstLine="480"/>
        <w:rPr>
          <w:rFonts w:hint="eastAsia" w:ascii="宋体" w:hAnsi="宋体"/>
          <w:color w:val="000000" w:themeColor="text1"/>
          <w:sz w:val="24"/>
          <w:highlight w:val="white"/>
          <w14:textFill>
            <w14:solidFill>
              <w14:schemeClr w14:val="tx1"/>
            </w14:solidFill>
          </w14:textFill>
        </w:rPr>
      </w:pPr>
      <w:r>
        <w:rPr>
          <w:rFonts w:hint="eastAsia" w:ascii="宋体" w:hAnsi="宋体"/>
          <w:color w:val="000000" w:themeColor="text1"/>
          <w:sz w:val="24"/>
          <w:highlight w:val="white"/>
          <w:lang w:eastAsia="zh-CN"/>
          <w14:textFill>
            <w14:solidFill>
              <w14:schemeClr w14:val="tx1"/>
            </w14:solidFill>
          </w14:textFill>
        </w:rPr>
        <w:t>2</w:t>
      </w:r>
      <w:r>
        <w:rPr>
          <w:rFonts w:hint="eastAsia" w:ascii="宋体" w:hAnsi="宋体"/>
          <w:color w:val="000000" w:themeColor="text1"/>
          <w:sz w:val="24"/>
          <w:highlight w:val="white"/>
          <w14:textFill>
            <w14:solidFill>
              <w14:schemeClr w14:val="tx1"/>
            </w14:solidFill>
          </w14:textFill>
        </w:rPr>
        <w:t>、上述报价表由投标单位参照，不限于此，可根据采购需求自行添加条目进行投报。</w:t>
      </w:r>
    </w:p>
    <w:p w14:paraId="290232ED">
      <w:pPr>
        <w:spacing w:line="480" w:lineRule="auto"/>
        <w:rPr>
          <w:rFonts w:hint="eastAsia" w:ascii="宋体" w:hAnsi="宋体"/>
          <w:bCs/>
          <w:color w:val="000000" w:themeColor="text1"/>
          <w:sz w:val="24"/>
          <w:highlight w:val="white"/>
          <w14:textFill>
            <w14:solidFill>
              <w14:schemeClr w14:val="tx1"/>
            </w14:solidFill>
          </w14:textFill>
        </w:rPr>
      </w:pPr>
    </w:p>
    <w:p w14:paraId="4AEC48EA">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供应商（盖章）：</w:t>
      </w:r>
    </w:p>
    <w:p w14:paraId="33F70E13">
      <w:pPr>
        <w:spacing w:line="480" w:lineRule="auto"/>
        <w:rPr>
          <w:rFonts w:hint="eastAsia" w:ascii="宋体" w:hAnsi="宋体"/>
          <w:bCs/>
          <w:color w:val="000000" w:themeColor="text1"/>
          <w:sz w:val="24"/>
          <w:highlight w:val="white"/>
          <w14:textFill>
            <w14:solidFill>
              <w14:schemeClr w14:val="tx1"/>
            </w14:solidFill>
          </w14:textFill>
        </w:rPr>
      </w:pPr>
      <w:r>
        <w:rPr>
          <w:rFonts w:hint="eastAsia" w:ascii="宋体" w:hAnsi="宋体"/>
          <w:bCs/>
          <w:color w:val="000000" w:themeColor="text1"/>
          <w:sz w:val="24"/>
          <w:highlight w:val="white"/>
          <w14:textFill>
            <w14:solidFill>
              <w14:schemeClr w14:val="tx1"/>
            </w14:solidFill>
          </w14:textFill>
        </w:rPr>
        <w:t>法定代表人或授权代表签字或盖章：</w:t>
      </w:r>
    </w:p>
    <w:p w14:paraId="1DB5893F">
      <w:pPr>
        <w:pStyle w:val="33"/>
        <w:widowControl w:val="0"/>
        <w:numPr>
          <w:ilvl w:val="0"/>
          <w:numId w:val="0"/>
        </w:numPr>
        <w:spacing w:beforeAutospacing="0" w:afterAutospacing="0"/>
        <w:jc w:val="both"/>
        <w:rPr>
          <w:rFonts w:hint="eastAsia" w:ascii="宋体" w:hAnsi="宋体" w:eastAsia="宋体" w:cs="宋体"/>
          <w:b/>
          <w:color w:val="auto"/>
          <w:sz w:val="32"/>
          <w:szCs w:val="32"/>
          <w:highlight w:val="none"/>
        </w:rPr>
      </w:pPr>
      <w:r>
        <w:rPr>
          <w:rFonts w:hint="eastAsia" w:ascii="宋体" w:hAnsi="宋体"/>
          <w:bCs/>
          <w:color w:val="000000" w:themeColor="text1"/>
          <w:sz w:val="24"/>
          <w:highlight w:val="white"/>
          <w14:textFill>
            <w14:solidFill>
              <w14:schemeClr w14:val="tx1"/>
            </w14:solidFill>
          </w14:textFill>
        </w:rPr>
        <w:t>日期：</w:t>
      </w:r>
      <w:r>
        <w:rPr>
          <w:rFonts w:hint="eastAsia" w:ascii="黑体" w:hAnsi="宋体" w:eastAsia="黑体"/>
          <w:bCs/>
          <w:color w:val="000000" w:themeColor="text1"/>
          <w:sz w:val="24"/>
          <w:szCs w:val="24"/>
          <w:highlight w:val="white"/>
          <w14:textFill>
            <w14:solidFill>
              <w14:schemeClr w14:val="tx1"/>
            </w14:solidFill>
          </w14:textFill>
        </w:rPr>
        <w:br w:type="page" w:clear="all"/>
      </w:r>
    </w:p>
    <w:p w14:paraId="1A6EC4F6">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b/>
          <w:color w:val="auto"/>
          <w:sz w:val="32"/>
          <w:szCs w:val="32"/>
          <w:highlight w:val="none"/>
        </w:rPr>
        <w:t>十</w:t>
      </w:r>
      <w:r>
        <w:rPr>
          <w:rFonts w:hint="eastAsia" w:ascii="宋体" w:hAnsi="宋体" w:eastAsia="宋体" w:cs="宋体"/>
          <w:b/>
          <w:color w:val="auto"/>
          <w:sz w:val="32"/>
          <w:szCs w:val="32"/>
          <w:highlight w:val="none"/>
          <w:lang w:val="en-US" w:eastAsia="zh-CN"/>
        </w:rPr>
        <w:t>三</w:t>
      </w:r>
      <w:r>
        <w:rPr>
          <w:rFonts w:hint="eastAsia" w:ascii="宋体" w:hAnsi="宋体" w:eastAsia="宋体" w:cs="宋体"/>
          <w:b/>
          <w:color w:val="auto"/>
          <w:sz w:val="32"/>
          <w:szCs w:val="32"/>
          <w:highlight w:val="none"/>
        </w:rPr>
        <w:t>、技术要求响应及偏离表</w:t>
      </w:r>
    </w:p>
    <w:tbl>
      <w:tblPr>
        <w:tblStyle w:val="35"/>
        <w:tblW w:w="8520" w:type="dxa"/>
        <w:tblCellSpacing w:w="0" w:type="dxa"/>
        <w:tblInd w:w="10" w:type="dxa"/>
        <w:tblLayout w:type="fixed"/>
        <w:tblCellMar>
          <w:top w:w="0" w:type="dxa"/>
          <w:left w:w="108" w:type="dxa"/>
          <w:bottom w:w="0" w:type="dxa"/>
          <w:right w:w="108" w:type="dxa"/>
        </w:tblCellMar>
      </w:tblPr>
      <w:tblGrid>
        <w:gridCol w:w="538"/>
        <w:gridCol w:w="3026"/>
        <w:gridCol w:w="2608"/>
        <w:gridCol w:w="1247"/>
        <w:gridCol w:w="1101"/>
      </w:tblGrid>
      <w:tr w14:paraId="0D1923A0">
        <w:tblPrEx>
          <w:tblCellMar>
            <w:top w:w="0" w:type="dxa"/>
            <w:left w:w="108" w:type="dxa"/>
            <w:bottom w:w="0" w:type="dxa"/>
            <w:right w:w="108" w:type="dxa"/>
          </w:tblCellMar>
        </w:tblPrEx>
        <w:trPr>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B4454A8">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B60AE0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DF04B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D740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12C01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23052E0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35F7CF4D">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13430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2C2C2CA">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A473DA">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99EF8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0C734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AAB7D1C">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54DE0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3F238E">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0834B7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B90B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8991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60382C26">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18693">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D82C2A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99800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F0791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C81A96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3869E29">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43D5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C9D7D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19607E2">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816B46">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9346E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9F1D10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2E664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AD4A8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F8C049">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6DC0F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0D559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26F08F8F">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82BD6E">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F280A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B3305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72FB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668906">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72B00F7">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76E1D3">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09EA7E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52D1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B47BA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35472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EDB8678">
        <w:tblPrEx>
          <w:tblCellMar>
            <w:top w:w="0" w:type="dxa"/>
            <w:left w:w="108" w:type="dxa"/>
            <w:bottom w:w="0" w:type="dxa"/>
            <w:right w:w="108" w:type="dxa"/>
          </w:tblCellMar>
        </w:tblPrEx>
        <w:trPr>
          <w:trHeight w:val="640" w:hRule="atLeast"/>
          <w:tblCellSpacing w:w="0" w:type="dxa"/>
        </w:trPr>
        <w:tc>
          <w:tcPr>
            <w:tcW w:w="53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717795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302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EC10DA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E8E50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BCD6DA">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1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284D8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250102E3">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490C7CA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64F564E2">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135BA968">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5A2C1755">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p w14:paraId="0AA37DD3">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512E158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1C9070B9">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5507472">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5A469BA">
      <w:pPr>
        <w:pStyle w:val="33"/>
        <w:spacing w:beforeAutospacing="0" w:afterAutospacing="0"/>
        <w:jc w:val="both"/>
        <w:rPr>
          <w:rFonts w:hint="eastAsia" w:ascii="宋体" w:hAnsi="宋体" w:eastAsia="宋体" w:cs="宋体"/>
          <w:color w:val="auto"/>
          <w:highlight w:val="none"/>
        </w:rPr>
      </w:pPr>
    </w:p>
    <w:p w14:paraId="7E8E919D">
      <w:pPr>
        <w:pStyle w:val="33"/>
        <w:spacing w:beforeAutospacing="0" w:afterAutospacing="0"/>
        <w:jc w:val="both"/>
        <w:rPr>
          <w:rFonts w:hint="eastAsia" w:ascii="宋体" w:hAnsi="宋体" w:eastAsia="宋体" w:cs="宋体"/>
          <w:color w:val="auto"/>
          <w:highlight w:val="none"/>
        </w:rPr>
      </w:pPr>
    </w:p>
    <w:p w14:paraId="75B687FE">
      <w:pPr>
        <w:pStyle w:val="33"/>
        <w:spacing w:beforeAutospacing="0" w:afterAutospacing="0"/>
        <w:jc w:val="both"/>
        <w:rPr>
          <w:rFonts w:hint="eastAsia" w:ascii="宋体" w:hAnsi="宋体" w:eastAsia="宋体" w:cs="宋体"/>
          <w:color w:val="auto"/>
          <w:highlight w:val="none"/>
        </w:rPr>
      </w:pPr>
    </w:p>
    <w:p w14:paraId="0564C44D">
      <w:pPr>
        <w:pStyle w:val="33"/>
        <w:spacing w:beforeAutospacing="0" w:afterAutospacing="0"/>
        <w:jc w:val="both"/>
        <w:rPr>
          <w:rFonts w:hint="eastAsia" w:ascii="宋体" w:hAnsi="宋体" w:eastAsia="宋体" w:cs="宋体"/>
          <w:color w:val="auto"/>
          <w:highlight w:val="none"/>
        </w:rPr>
      </w:pPr>
    </w:p>
    <w:p w14:paraId="4896C0F3">
      <w:pPr>
        <w:pStyle w:val="33"/>
        <w:spacing w:beforeAutospacing="0" w:afterAutospacing="0"/>
        <w:jc w:val="both"/>
        <w:rPr>
          <w:rFonts w:hint="eastAsia" w:ascii="宋体" w:hAnsi="宋体" w:eastAsia="宋体" w:cs="宋体"/>
          <w:color w:val="auto"/>
          <w:highlight w:val="none"/>
        </w:rPr>
      </w:pPr>
    </w:p>
    <w:p w14:paraId="47A05FA5">
      <w:pPr>
        <w:pStyle w:val="33"/>
        <w:spacing w:beforeAutospacing="0" w:afterAutospacing="0"/>
        <w:jc w:val="both"/>
        <w:rPr>
          <w:rFonts w:hint="eastAsia" w:ascii="宋体" w:hAnsi="宋体" w:eastAsia="宋体" w:cs="宋体"/>
          <w:color w:val="auto"/>
          <w:highlight w:val="none"/>
        </w:rPr>
      </w:pPr>
    </w:p>
    <w:p w14:paraId="4310D7BF">
      <w:pPr>
        <w:pStyle w:val="33"/>
        <w:spacing w:beforeAutospacing="0" w:afterAutospacing="0"/>
        <w:jc w:val="both"/>
        <w:rPr>
          <w:rFonts w:hint="eastAsia" w:ascii="宋体" w:hAnsi="宋体" w:eastAsia="宋体" w:cs="宋体"/>
          <w:color w:val="auto"/>
          <w:highlight w:val="none"/>
        </w:rPr>
      </w:pPr>
    </w:p>
    <w:p w14:paraId="123380CC">
      <w:pPr>
        <w:pStyle w:val="33"/>
        <w:spacing w:beforeAutospacing="0" w:afterAutospacing="0"/>
        <w:jc w:val="both"/>
        <w:rPr>
          <w:rFonts w:hint="eastAsia" w:ascii="宋体" w:hAnsi="宋体" w:eastAsia="宋体" w:cs="宋体"/>
          <w:color w:val="auto"/>
          <w:highlight w:val="none"/>
        </w:rPr>
      </w:pPr>
    </w:p>
    <w:p w14:paraId="6D2C4413">
      <w:pPr>
        <w:pStyle w:val="33"/>
        <w:spacing w:beforeAutospacing="0" w:afterAutospacing="0"/>
        <w:jc w:val="both"/>
        <w:rPr>
          <w:rFonts w:hint="eastAsia" w:ascii="宋体" w:hAnsi="宋体" w:eastAsia="宋体" w:cs="宋体"/>
          <w:color w:val="auto"/>
          <w:highlight w:val="none"/>
        </w:rPr>
      </w:pPr>
    </w:p>
    <w:p w14:paraId="1E713768">
      <w:pPr>
        <w:pStyle w:val="33"/>
        <w:spacing w:beforeAutospacing="0" w:afterAutospacing="0"/>
        <w:jc w:val="both"/>
        <w:rPr>
          <w:rFonts w:hint="eastAsia" w:ascii="宋体" w:hAnsi="宋体" w:eastAsia="宋体" w:cs="宋体"/>
          <w:color w:val="auto"/>
          <w:highlight w:val="none"/>
        </w:rPr>
      </w:pPr>
    </w:p>
    <w:p w14:paraId="00D16955">
      <w:pPr>
        <w:pStyle w:val="33"/>
        <w:spacing w:beforeAutospacing="0" w:afterAutospacing="0"/>
        <w:jc w:val="both"/>
        <w:rPr>
          <w:rFonts w:hint="eastAsia" w:ascii="宋体" w:hAnsi="宋体" w:eastAsia="宋体" w:cs="宋体"/>
          <w:color w:val="auto"/>
          <w:highlight w:val="none"/>
        </w:rPr>
      </w:pPr>
    </w:p>
    <w:p w14:paraId="781C3B88">
      <w:pPr>
        <w:pStyle w:val="33"/>
        <w:spacing w:beforeAutospacing="0" w:afterAutospacing="0"/>
        <w:jc w:val="both"/>
        <w:rPr>
          <w:rFonts w:hint="eastAsia" w:ascii="宋体" w:hAnsi="宋体" w:eastAsia="宋体" w:cs="宋体"/>
          <w:color w:val="auto"/>
          <w:highlight w:val="none"/>
        </w:rPr>
      </w:pPr>
    </w:p>
    <w:p w14:paraId="47A66935">
      <w:pPr>
        <w:pStyle w:val="33"/>
        <w:spacing w:beforeAutospacing="0" w:afterAutospacing="0"/>
        <w:jc w:val="both"/>
        <w:rPr>
          <w:rFonts w:hint="eastAsia" w:ascii="宋体" w:hAnsi="宋体" w:eastAsia="宋体" w:cs="宋体"/>
          <w:color w:val="auto"/>
          <w:highlight w:val="none"/>
        </w:rPr>
      </w:pPr>
    </w:p>
    <w:p w14:paraId="536CBA35">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8629B2F">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46CAA769">
      <w:pPr>
        <w:pStyle w:val="33"/>
        <w:spacing w:beforeAutospacing="0" w:afterAutospacing="0"/>
        <w:jc w:val="center"/>
        <w:rPr>
          <w:rFonts w:hint="eastAsia" w:ascii="宋体" w:hAnsi="宋体" w:eastAsia="宋体" w:cs="宋体"/>
          <w:color w:val="auto"/>
          <w:highlight w:val="none"/>
        </w:rPr>
      </w:pPr>
      <w:bookmarkStart w:id="190" w:name="_Hlt26955054"/>
      <w:r>
        <w:rPr>
          <w:rFonts w:hint="eastAsia" w:ascii="宋体" w:hAnsi="宋体" w:eastAsia="宋体" w:cs="宋体"/>
          <w:b/>
          <w:color w:val="auto"/>
          <w:sz w:val="32"/>
          <w:szCs w:val="32"/>
          <w:highlight w:val="none"/>
          <w:lang w:val="en-US" w:eastAsia="zh-CN"/>
        </w:rPr>
        <w:t>十四</w:t>
      </w:r>
      <w:r>
        <w:rPr>
          <w:rFonts w:hint="eastAsia" w:ascii="宋体" w:hAnsi="宋体" w:eastAsia="宋体" w:cs="宋体"/>
          <w:b/>
          <w:color w:val="auto"/>
          <w:sz w:val="32"/>
          <w:szCs w:val="32"/>
          <w:highlight w:val="none"/>
        </w:rPr>
        <w:t>、商务要求响应及偏离表</w:t>
      </w:r>
    </w:p>
    <w:tbl>
      <w:tblPr>
        <w:tblStyle w:val="35"/>
        <w:tblW w:w="8520" w:type="dxa"/>
        <w:tblCellSpacing w:w="0" w:type="dxa"/>
        <w:tblInd w:w="10" w:type="dxa"/>
        <w:tblLayout w:type="fixed"/>
        <w:tblCellMar>
          <w:top w:w="0" w:type="dxa"/>
          <w:left w:w="108" w:type="dxa"/>
          <w:bottom w:w="0" w:type="dxa"/>
          <w:right w:w="108" w:type="dxa"/>
        </w:tblCellMar>
      </w:tblPr>
      <w:tblGrid>
        <w:gridCol w:w="661"/>
        <w:gridCol w:w="2469"/>
        <w:gridCol w:w="2645"/>
        <w:gridCol w:w="1244"/>
        <w:gridCol w:w="1501"/>
      </w:tblGrid>
      <w:tr w14:paraId="69E33C85">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F9D9DE">
            <w:pPr>
              <w:pStyle w:val="33"/>
              <w:spacing w:beforeAutospacing="0" w:afterAutospacing="0"/>
              <w:jc w:val="center"/>
              <w:rPr>
                <w:rFonts w:hint="eastAsia" w:ascii="宋体" w:hAnsi="宋体" w:eastAsia="宋体" w:cs="宋体"/>
                <w:color w:val="auto"/>
                <w:highlight w:val="none"/>
              </w:rPr>
            </w:pPr>
            <w:bookmarkStart w:id="191" w:name="_Hlt24879081"/>
            <w:bookmarkStart w:id="192" w:name="_Hlt26609391"/>
            <w:bookmarkStart w:id="193" w:name="_Hlt26955056"/>
            <w:bookmarkStart w:id="194" w:name="_Hlt26671372"/>
            <w:bookmarkStart w:id="195" w:name="_Hlt26782999"/>
            <w:bookmarkStart w:id="196" w:name="_Hlt26580838"/>
            <w:bookmarkStart w:id="197" w:name="_Hlt26955064"/>
            <w:bookmarkStart w:id="198" w:name="_Hlt26671343"/>
            <w:r>
              <w:rPr>
                <w:rFonts w:hint="eastAsia" w:ascii="宋体" w:hAnsi="宋体" w:eastAsia="宋体" w:cs="宋体"/>
                <w:color w:val="auto"/>
                <w:highlight w:val="none"/>
              </w:rPr>
              <w:t>序号</w:t>
            </w:r>
            <w:bookmarkEnd w:id="191"/>
            <w:bookmarkEnd w:id="192"/>
            <w:bookmarkEnd w:id="193"/>
            <w:bookmarkEnd w:id="194"/>
            <w:bookmarkEnd w:id="195"/>
            <w:bookmarkEnd w:id="196"/>
            <w:bookmarkEnd w:id="197"/>
            <w:bookmarkEnd w:id="198"/>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1ED7FE">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0203E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投标响应情况</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BC4DA8">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超出、符合或偏离</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D81DBE">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证明</w:t>
            </w:r>
          </w:p>
          <w:p w14:paraId="0C45460A">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材料</w:t>
            </w:r>
          </w:p>
        </w:tc>
      </w:tr>
      <w:tr w14:paraId="3577471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41A899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6E646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C66D1">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BB504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AEAF728">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55AEE47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32AFF">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457B3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D59551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1C1D8">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A3C689">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EB2F02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F03C3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ECEF462">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950726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04819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FCE415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74136D29">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28BED6">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739FA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8A16C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923C1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33FFA55">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03C29E2C">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45CBB7">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B4032D">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5C86D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5CB6E0E">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D598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37F0EC7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C5654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FEC3C9">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EEE65E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4AC113">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D987B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D25BD9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C8FE4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6B67A4">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4A5CA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8CC9A3">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1AA185">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r w14:paraId="111F75F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72630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6C638E">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EF6F50">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244"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591A8C">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c>
          <w:tcPr>
            <w:tcW w:w="150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15B94B">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 </w:t>
            </w:r>
          </w:p>
        </w:tc>
      </w:tr>
    </w:tbl>
    <w:p w14:paraId="1CD41870">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注： 行数不够，可自行添加。</w:t>
      </w:r>
    </w:p>
    <w:p w14:paraId="4AAB484F">
      <w:pPr>
        <w:pStyle w:val="33"/>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6C63A19">
      <w:pPr>
        <w:pStyle w:val="33"/>
        <w:spacing w:beforeAutospacing="0" w:afterAutospacing="0" w:line="480" w:lineRule="auto"/>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2912ED36">
      <w:pPr>
        <w:pStyle w:val="33"/>
        <w:spacing w:beforeAutospacing="0" w:afterAutospacing="0"/>
        <w:jc w:val="center"/>
        <w:rPr>
          <w:rFonts w:hint="eastAsia" w:ascii="宋体" w:hAnsi="宋体" w:eastAsia="宋体" w:cs="宋体"/>
          <w:color w:val="auto"/>
          <w:highlight w:val="none"/>
        </w:rPr>
      </w:pPr>
      <w:bookmarkStart w:id="199" w:name="_Toc462564146"/>
      <w:bookmarkStart w:id="200" w:name="_Hlt26609389"/>
      <w:bookmarkStart w:id="201" w:name="_Hlt26955066"/>
      <w:bookmarkStart w:id="202" w:name="_格式2__法定代表人授权书"/>
      <w:bookmarkStart w:id="203" w:name="_Hlt26671374"/>
      <w:r>
        <w:rPr>
          <w:rFonts w:hint="eastAsia" w:ascii="宋体" w:hAnsi="宋体" w:eastAsia="宋体" w:cs="宋体"/>
          <w:color w:val="auto"/>
          <w:highlight w:val="none"/>
        </w:rPr>
        <w:t> </w:t>
      </w:r>
    </w:p>
    <w:p w14:paraId="5BEE7E9D">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3882987">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600E4DD3">
      <w:pPr>
        <w:pStyle w:val="33"/>
        <w:spacing w:beforeAutospacing="0" w:afterAutospacing="0"/>
        <w:jc w:val="both"/>
        <w:rPr>
          <w:rFonts w:hint="eastAsia" w:ascii="宋体" w:hAnsi="宋体" w:eastAsia="宋体" w:cs="宋体"/>
          <w:color w:val="auto"/>
          <w:highlight w:val="none"/>
        </w:rPr>
      </w:pPr>
    </w:p>
    <w:p w14:paraId="2ABC0969">
      <w:pPr>
        <w:pStyle w:val="33"/>
        <w:spacing w:beforeAutospacing="0" w:afterAutospacing="0"/>
        <w:jc w:val="both"/>
        <w:rPr>
          <w:rFonts w:hint="eastAsia" w:ascii="宋体" w:hAnsi="宋体" w:eastAsia="宋体" w:cs="宋体"/>
          <w:color w:val="auto"/>
          <w:highlight w:val="none"/>
        </w:rPr>
      </w:pPr>
    </w:p>
    <w:p w14:paraId="641486FA">
      <w:pPr>
        <w:pStyle w:val="33"/>
        <w:spacing w:beforeAutospacing="0" w:afterAutospacing="0"/>
        <w:jc w:val="both"/>
        <w:rPr>
          <w:rFonts w:hint="eastAsia" w:ascii="宋体" w:hAnsi="宋体" w:eastAsia="宋体" w:cs="宋体"/>
          <w:color w:val="auto"/>
          <w:highlight w:val="none"/>
        </w:rPr>
      </w:pPr>
    </w:p>
    <w:p w14:paraId="703A72F3">
      <w:pPr>
        <w:pStyle w:val="33"/>
        <w:spacing w:beforeAutospacing="0" w:afterAutospacing="0"/>
        <w:jc w:val="both"/>
        <w:rPr>
          <w:rFonts w:hint="eastAsia" w:ascii="宋体" w:hAnsi="宋体" w:eastAsia="宋体" w:cs="宋体"/>
          <w:color w:val="auto"/>
          <w:highlight w:val="none"/>
        </w:rPr>
      </w:pPr>
    </w:p>
    <w:p w14:paraId="71946C16">
      <w:pPr>
        <w:pStyle w:val="33"/>
        <w:spacing w:beforeAutospacing="0" w:afterAutospacing="0"/>
        <w:jc w:val="both"/>
        <w:rPr>
          <w:rFonts w:hint="eastAsia" w:ascii="宋体" w:hAnsi="宋体" w:eastAsia="宋体" w:cs="宋体"/>
          <w:color w:val="auto"/>
          <w:highlight w:val="none"/>
        </w:rPr>
      </w:pPr>
    </w:p>
    <w:p w14:paraId="28013B47">
      <w:pPr>
        <w:pStyle w:val="33"/>
        <w:spacing w:beforeAutospacing="0" w:afterAutospacing="0"/>
        <w:jc w:val="both"/>
        <w:rPr>
          <w:rFonts w:hint="eastAsia" w:ascii="宋体" w:hAnsi="宋体" w:eastAsia="宋体" w:cs="宋体"/>
          <w:color w:val="auto"/>
          <w:highlight w:val="none"/>
        </w:rPr>
      </w:pPr>
    </w:p>
    <w:p w14:paraId="160A99BB">
      <w:pPr>
        <w:pStyle w:val="33"/>
        <w:spacing w:beforeAutospacing="0" w:afterAutospacing="0"/>
        <w:jc w:val="both"/>
        <w:rPr>
          <w:rFonts w:hint="eastAsia" w:ascii="宋体" w:hAnsi="宋体" w:eastAsia="宋体" w:cs="宋体"/>
          <w:color w:val="auto"/>
          <w:highlight w:val="none"/>
        </w:rPr>
      </w:pPr>
    </w:p>
    <w:p w14:paraId="70645788">
      <w:pPr>
        <w:pStyle w:val="33"/>
        <w:spacing w:beforeAutospacing="0" w:afterAutospacing="0"/>
        <w:jc w:val="both"/>
        <w:rPr>
          <w:rFonts w:hint="eastAsia" w:ascii="宋体" w:hAnsi="宋体" w:eastAsia="宋体" w:cs="宋体"/>
          <w:color w:val="auto"/>
          <w:highlight w:val="none"/>
        </w:rPr>
      </w:pPr>
    </w:p>
    <w:p w14:paraId="5ADB8BD6">
      <w:pPr>
        <w:pStyle w:val="33"/>
        <w:spacing w:beforeAutospacing="0" w:afterAutospacing="0"/>
        <w:jc w:val="both"/>
        <w:rPr>
          <w:rFonts w:hint="eastAsia" w:ascii="宋体" w:hAnsi="宋体" w:eastAsia="宋体" w:cs="宋体"/>
          <w:color w:val="auto"/>
          <w:highlight w:val="none"/>
        </w:rPr>
      </w:pPr>
    </w:p>
    <w:p w14:paraId="4103FC87">
      <w:pPr>
        <w:pStyle w:val="33"/>
        <w:spacing w:beforeAutospacing="0" w:afterAutospacing="0"/>
        <w:jc w:val="both"/>
        <w:rPr>
          <w:rFonts w:hint="eastAsia" w:ascii="宋体" w:hAnsi="宋体" w:eastAsia="宋体" w:cs="宋体"/>
          <w:color w:val="auto"/>
          <w:highlight w:val="none"/>
        </w:rPr>
      </w:pPr>
    </w:p>
    <w:p w14:paraId="6BF87A95">
      <w:pPr>
        <w:pStyle w:val="33"/>
        <w:spacing w:beforeAutospacing="0" w:afterAutospacing="0"/>
        <w:jc w:val="both"/>
        <w:rPr>
          <w:rFonts w:hint="eastAsia" w:ascii="宋体" w:hAnsi="宋体" w:eastAsia="宋体" w:cs="宋体"/>
          <w:color w:val="auto"/>
          <w:highlight w:val="none"/>
        </w:rPr>
      </w:pPr>
    </w:p>
    <w:p w14:paraId="689B2155">
      <w:pPr>
        <w:pStyle w:val="33"/>
        <w:spacing w:beforeAutospacing="0" w:afterAutospacing="0"/>
        <w:jc w:val="both"/>
        <w:rPr>
          <w:rFonts w:hint="eastAsia" w:ascii="宋体" w:hAnsi="宋体" w:eastAsia="宋体" w:cs="宋体"/>
          <w:color w:val="auto"/>
          <w:highlight w:val="none"/>
        </w:rPr>
      </w:pPr>
    </w:p>
    <w:p w14:paraId="3296AED4">
      <w:pPr>
        <w:pStyle w:val="33"/>
        <w:spacing w:beforeAutospacing="0" w:afterAutospacing="0"/>
        <w:jc w:val="both"/>
        <w:rPr>
          <w:rFonts w:hint="eastAsia" w:ascii="宋体" w:hAnsi="宋体" w:eastAsia="宋体" w:cs="宋体"/>
          <w:color w:val="auto"/>
          <w:highlight w:val="none"/>
        </w:rPr>
      </w:pPr>
    </w:p>
    <w:p w14:paraId="7888A2F7">
      <w:pPr>
        <w:pStyle w:val="33"/>
        <w:spacing w:beforeAutospacing="0" w:afterAutospacing="0"/>
        <w:jc w:val="both"/>
        <w:rPr>
          <w:rFonts w:hint="eastAsia" w:ascii="宋体" w:hAnsi="宋体" w:eastAsia="宋体" w:cs="宋体"/>
          <w:color w:val="auto"/>
          <w:highlight w:val="none"/>
        </w:rPr>
      </w:pPr>
    </w:p>
    <w:p w14:paraId="082643AC">
      <w:pPr>
        <w:pStyle w:val="33"/>
        <w:spacing w:beforeAutospacing="0" w:afterAutospacing="0"/>
        <w:jc w:val="both"/>
        <w:rPr>
          <w:rFonts w:hint="eastAsia" w:ascii="宋体" w:hAnsi="宋体" w:eastAsia="宋体" w:cs="宋体"/>
          <w:color w:val="auto"/>
          <w:highlight w:val="none"/>
        </w:rPr>
      </w:pPr>
    </w:p>
    <w:p w14:paraId="0C20236E">
      <w:pPr>
        <w:rPr>
          <w:rFonts w:hint="eastAsia" w:ascii="宋体" w:hAnsi="宋体" w:eastAsia="宋体" w:cs="宋体"/>
          <w:b/>
          <w:i/>
          <w:color w:val="auto"/>
          <w:sz w:val="32"/>
          <w:szCs w:val="32"/>
          <w:highlight w:val="none"/>
          <w:u w:val="single"/>
        </w:rPr>
      </w:pPr>
      <w:r>
        <w:rPr>
          <w:rFonts w:hint="eastAsia" w:ascii="宋体" w:hAnsi="宋体" w:eastAsia="宋体" w:cs="宋体"/>
          <w:b/>
          <w:i/>
          <w:color w:val="auto"/>
          <w:sz w:val="32"/>
          <w:szCs w:val="32"/>
          <w:highlight w:val="none"/>
          <w:u w:val="single"/>
        </w:rPr>
        <w:br w:type="page"/>
      </w:r>
    </w:p>
    <w:p w14:paraId="6AC60749">
      <w:pPr>
        <w:pStyle w:val="33"/>
        <w:spacing w:beforeAutospacing="0" w:afterAutospacing="0"/>
        <w:ind w:firstLine="3213"/>
        <w:jc w:val="both"/>
        <w:rPr>
          <w:rFonts w:hint="eastAsia" w:ascii="宋体" w:hAnsi="宋体" w:eastAsia="宋体" w:cs="宋体"/>
          <w:color w:val="auto"/>
          <w:highlight w:val="none"/>
        </w:rPr>
      </w:pPr>
      <w:r>
        <w:rPr>
          <w:rFonts w:hint="eastAsia" w:ascii="宋体" w:hAnsi="宋体" w:eastAsia="宋体" w:cs="宋体"/>
          <w:b/>
          <w:i/>
          <w:color w:val="auto"/>
          <w:sz w:val="32"/>
          <w:szCs w:val="32"/>
          <w:highlight w:val="none"/>
          <w:u w:val="single"/>
        </w:rPr>
        <w:t>十</w:t>
      </w:r>
      <w:r>
        <w:rPr>
          <w:rFonts w:hint="eastAsia" w:ascii="宋体" w:hAnsi="宋体" w:eastAsia="宋体" w:cs="宋体"/>
          <w:b/>
          <w:i/>
          <w:color w:val="auto"/>
          <w:sz w:val="32"/>
          <w:szCs w:val="32"/>
          <w:highlight w:val="none"/>
          <w:u w:val="single"/>
          <w:lang w:val="en-US" w:eastAsia="zh-CN"/>
        </w:rPr>
        <w:t>五</w:t>
      </w:r>
      <w:r>
        <w:rPr>
          <w:rFonts w:hint="eastAsia" w:ascii="宋体" w:hAnsi="宋体" w:eastAsia="宋体" w:cs="宋体"/>
          <w:b/>
          <w:i/>
          <w:color w:val="auto"/>
          <w:sz w:val="32"/>
          <w:szCs w:val="32"/>
          <w:highlight w:val="none"/>
          <w:u w:val="single"/>
        </w:rPr>
        <w:t>、开标一览表</w:t>
      </w:r>
    </w:p>
    <w:p w14:paraId="175FA053">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投标人全称（加盖CA电子签章）：</w:t>
      </w:r>
    </w:p>
    <w:p w14:paraId="3749D382">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p w14:paraId="1B17C2CE">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项目</w:t>
      </w:r>
      <w:r>
        <w:rPr>
          <w:rFonts w:hint="eastAsia" w:ascii="宋体" w:hAnsi="宋体" w:eastAsia="宋体" w:cs="宋体"/>
          <w:color w:val="auto"/>
          <w:highlight w:val="none"/>
        </w:rPr>
        <w:t>编号：</w:t>
      </w:r>
    </w:p>
    <w:tbl>
      <w:tblPr>
        <w:tblStyle w:val="35"/>
        <w:tblW w:w="8206" w:type="dxa"/>
        <w:tblCellSpacing w:w="0" w:type="dxa"/>
        <w:tblInd w:w="118" w:type="dxa"/>
        <w:tblLayout w:type="fixed"/>
        <w:tblCellMar>
          <w:top w:w="0" w:type="dxa"/>
          <w:left w:w="108" w:type="dxa"/>
          <w:bottom w:w="0" w:type="dxa"/>
          <w:right w:w="108" w:type="dxa"/>
        </w:tblCellMar>
      </w:tblPr>
      <w:tblGrid>
        <w:gridCol w:w="8206"/>
      </w:tblGrid>
      <w:tr w14:paraId="44CD3BAA">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593B63">
            <w:pPr>
              <w:pStyle w:val="33"/>
              <w:spacing w:beforeAutospacing="0" w:afterAutospacing="0"/>
              <w:jc w:val="center"/>
              <w:rPr>
                <w:rFonts w:hint="eastAsia" w:ascii="宋体" w:hAnsi="宋体" w:eastAsia="宋体" w:cs="宋体"/>
                <w:color w:val="auto"/>
                <w:highlight w:val="none"/>
              </w:rPr>
            </w:pPr>
            <w:r>
              <w:rPr>
                <w:rFonts w:hint="eastAsia" w:ascii="宋体" w:hAnsi="宋体" w:eastAsia="宋体" w:cs="宋体"/>
                <w:color w:val="auto"/>
                <w:highlight w:val="none"/>
              </w:rPr>
              <w:t>投标总报价</w:t>
            </w:r>
          </w:p>
        </w:tc>
      </w:tr>
      <w:tr w14:paraId="5339ACEE">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B38CBB">
            <w:pPr>
              <w:pStyle w:val="33"/>
              <w:spacing w:beforeAutospacing="0" w:afterAutospacing="0" w:line="0" w:lineRule="atLeas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大写：</w:t>
            </w:r>
          </w:p>
        </w:tc>
      </w:tr>
      <w:tr w14:paraId="09C30EA8">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5452CE">
            <w:pPr>
              <w:pStyle w:val="33"/>
              <w:spacing w:beforeAutospacing="0" w:afterAutospacing="0" w:line="0" w:lineRule="atLeast"/>
              <w:rPr>
                <w:rFonts w:hint="eastAsia" w:ascii="宋体" w:hAnsi="宋体" w:eastAsia="宋体" w:cs="宋体"/>
                <w:color w:val="auto"/>
                <w:highlight w:val="none"/>
              </w:rPr>
            </w:pPr>
            <w:r>
              <w:rPr>
                <w:rFonts w:hint="eastAsia" w:ascii="宋体" w:hAnsi="宋体" w:eastAsia="宋体" w:cs="宋体"/>
                <w:color w:val="auto"/>
                <w:highlight w:val="none"/>
              </w:rPr>
              <w:t>小写：                 （人民币：元）</w:t>
            </w:r>
          </w:p>
        </w:tc>
      </w:tr>
    </w:tbl>
    <w:p w14:paraId="7629B4A4">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7B830F5C">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                                              日期：  </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525E6421">
      <w:pPr>
        <w:pStyle w:val="33"/>
        <w:spacing w:beforeAutospacing="0" w:afterAutospacing="0"/>
        <w:ind w:firstLine="480"/>
        <w:jc w:val="both"/>
        <w:rPr>
          <w:rFonts w:hint="eastAsia" w:ascii="宋体" w:hAnsi="宋体" w:eastAsia="宋体" w:cs="宋体"/>
          <w:color w:val="auto"/>
          <w:highlight w:val="none"/>
        </w:rPr>
      </w:pPr>
      <w:r>
        <w:rPr>
          <w:rFonts w:hint="eastAsia" w:ascii="宋体" w:hAnsi="宋体" w:eastAsia="宋体" w:cs="宋体"/>
          <w:color w:val="auto"/>
          <w:highlight w:val="none"/>
        </w:rPr>
        <w:t> </w:t>
      </w:r>
    </w:p>
    <w:p w14:paraId="3A28EFE1">
      <w:pPr>
        <w:widowControl/>
        <w:spacing w:before="50" w:after="50"/>
        <w:jc w:val="center"/>
        <w:rPr>
          <w:rFonts w:hint="eastAsia" w:ascii="宋体" w:hAnsi="宋体" w:eastAsia="宋体" w:cs="宋体"/>
          <w:color w:val="auto"/>
          <w:highlight w:val="none"/>
        </w:rPr>
      </w:pPr>
    </w:p>
    <w:p w14:paraId="67DAD181">
      <w:pPr>
        <w:widowControl/>
        <w:spacing w:before="50" w:after="50"/>
        <w:jc w:val="center"/>
        <w:rPr>
          <w:rFonts w:hint="eastAsia" w:ascii="宋体" w:hAnsi="宋体" w:eastAsia="宋体" w:cs="宋体"/>
          <w:color w:val="auto"/>
          <w:highlight w:val="none"/>
        </w:rPr>
      </w:pPr>
    </w:p>
    <w:p w14:paraId="0CEB834C">
      <w:pPr>
        <w:widowControl/>
        <w:spacing w:before="50" w:after="50"/>
        <w:jc w:val="center"/>
        <w:rPr>
          <w:rFonts w:hint="eastAsia" w:ascii="宋体" w:hAnsi="宋体" w:eastAsia="宋体" w:cs="宋体"/>
          <w:color w:val="auto"/>
          <w:highlight w:val="none"/>
        </w:rPr>
      </w:pPr>
    </w:p>
    <w:p w14:paraId="4DB6600D">
      <w:pPr>
        <w:widowControl/>
        <w:spacing w:before="50" w:after="50"/>
        <w:jc w:val="center"/>
        <w:rPr>
          <w:rFonts w:hint="eastAsia" w:ascii="宋体" w:hAnsi="宋体" w:eastAsia="宋体" w:cs="宋体"/>
          <w:color w:val="auto"/>
          <w:highlight w:val="none"/>
        </w:rPr>
      </w:pPr>
    </w:p>
    <w:p w14:paraId="0733CCD2">
      <w:pPr>
        <w:widowControl/>
        <w:spacing w:before="50" w:after="50"/>
        <w:jc w:val="center"/>
        <w:rPr>
          <w:rFonts w:hint="eastAsia" w:ascii="宋体" w:hAnsi="宋体" w:eastAsia="宋体" w:cs="宋体"/>
          <w:color w:val="auto"/>
          <w:highlight w:val="none"/>
        </w:rPr>
      </w:pPr>
    </w:p>
    <w:p w14:paraId="5F1C0041">
      <w:pPr>
        <w:widowControl/>
        <w:spacing w:before="50" w:after="50"/>
        <w:jc w:val="center"/>
        <w:rPr>
          <w:rFonts w:hint="eastAsia" w:ascii="宋体" w:hAnsi="宋体" w:eastAsia="宋体" w:cs="宋体"/>
          <w:color w:val="auto"/>
          <w:highlight w:val="none"/>
        </w:rPr>
      </w:pPr>
    </w:p>
    <w:p w14:paraId="00F70918">
      <w:pPr>
        <w:widowControl/>
        <w:spacing w:before="50" w:after="50"/>
        <w:jc w:val="center"/>
        <w:rPr>
          <w:rFonts w:hint="eastAsia" w:ascii="宋体" w:hAnsi="宋体" w:eastAsia="宋体" w:cs="宋体"/>
          <w:color w:val="auto"/>
          <w:highlight w:val="none"/>
        </w:rPr>
      </w:pPr>
    </w:p>
    <w:p w14:paraId="1D32483E">
      <w:pPr>
        <w:widowControl/>
        <w:spacing w:before="50" w:after="50"/>
        <w:jc w:val="center"/>
        <w:rPr>
          <w:rFonts w:hint="eastAsia" w:ascii="宋体" w:hAnsi="宋体" w:eastAsia="宋体" w:cs="宋体"/>
          <w:color w:val="auto"/>
          <w:highlight w:val="none"/>
        </w:rPr>
      </w:pPr>
    </w:p>
    <w:p w14:paraId="1B1AFABA">
      <w:pPr>
        <w:widowControl/>
        <w:spacing w:before="50" w:after="50"/>
        <w:jc w:val="center"/>
        <w:rPr>
          <w:rFonts w:hint="eastAsia" w:ascii="宋体" w:hAnsi="宋体" w:eastAsia="宋体" w:cs="宋体"/>
          <w:color w:val="auto"/>
          <w:highlight w:val="none"/>
        </w:rPr>
      </w:pPr>
    </w:p>
    <w:p w14:paraId="4CDAEFD6">
      <w:pPr>
        <w:widowControl/>
        <w:spacing w:before="50" w:after="50"/>
        <w:jc w:val="center"/>
        <w:rPr>
          <w:rFonts w:hint="eastAsia" w:ascii="宋体" w:hAnsi="宋体" w:eastAsia="宋体" w:cs="宋体"/>
          <w:color w:val="auto"/>
          <w:highlight w:val="none"/>
        </w:rPr>
      </w:pPr>
    </w:p>
    <w:p w14:paraId="201C9FEA">
      <w:pPr>
        <w:widowControl/>
        <w:spacing w:before="50" w:after="50"/>
        <w:jc w:val="center"/>
        <w:rPr>
          <w:rFonts w:hint="eastAsia" w:ascii="宋体" w:hAnsi="宋体" w:eastAsia="宋体" w:cs="宋体"/>
          <w:color w:val="auto"/>
          <w:highlight w:val="none"/>
        </w:rPr>
      </w:pPr>
    </w:p>
    <w:p w14:paraId="12985C1B">
      <w:pPr>
        <w:widowControl/>
        <w:spacing w:before="50" w:after="50"/>
        <w:jc w:val="center"/>
        <w:rPr>
          <w:rFonts w:hint="eastAsia" w:ascii="宋体" w:hAnsi="宋体" w:eastAsia="宋体" w:cs="宋体"/>
          <w:color w:val="auto"/>
          <w:highlight w:val="none"/>
        </w:rPr>
      </w:pPr>
    </w:p>
    <w:p w14:paraId="6A623AEB">
      <w:pPr>
        <w:widowControl/>
        <w:spacing w:before="50" w:after="50"/>
        <w:jc w:val="center"/>
        <w:rPr>
          <w:rFonts w:hint="eastAsia" w:ascii="宋体" w:hAnsi="宋体" w:eastAsia="宋体" w:cs="宋体"/>
          <w:color w:val="auto"/>
          <w:highlight w:val="none"/>
        </w:rPr>
      </w:pPr>
    </w:p>
    <w:p w14:paraId="771787E5">
      <w:pPr>
        <w:widowControl/>
        <w:spacing w:before="50" w:after="50"/>
        <w:jc w:val="center"/>
        <w:rPr>
          <w:rFonts w:hint="eastAsia" w:ascii="宋体" w:hAnsi="宋体" w:eastAsia="宋体" w:cs="宋体"/>
          <w:color w:val="auto"/>
          <w:highlight w:val="none"/>
        </w:rPr>
      </w:pPr>
    </w:p>
    <w:p w14:paraId="403BADCE">
      <w:pPr>
        <w:widowControl/>
        <w:spacing w:before="50" w:after="50"/>
        <w:jc w:val="center"/>
        <w:rPr>
          <w:rFonts w:hint="eastAsia" w:ascii="宋体" w:hAnsi="宋体" w:eastAsia="宋体" w:cs="宋体"/>
          <w:color w:val="auto"/>
          <w:highlight w:val="none"/>
        </w:rPr>
      </w:pPr>
    </w:p>
    <w:p w14:paraId="115D07DA">
      <w:pPr>
        <w:widowControl/>
        <w:spacing w:before="50" w:after="50"/>
        <w:jc w:val="center"/>
        <w:rPr>
          <w:rFonts w:hint="eastAsia" w:ascii="宋体" w:hAnsi="宋体" w:eastAsia="宋体" w:cs="宋体"/>
          <w:color w:val="auto"/>
          <w:highlight w:val="none"/>
        </w:rPr>
      </w:pPr>
    </w:p>
    <w:p w14:paraId="4B1CD8F1">
      <w:pPr>
        <w:widowControl/>
        <w:spacing w:before="50" w:after="50"/>
        <w:jc w:val="center"/>
        <w:rPr>
          <w:rFonts w:hint="eastAsia" w:ascii="宋体" w:hAnsi="宋体" w:eastAsia="宋体" w:cs="宋体"/>
          <w:color w:val="auto"/>
          <w:highlight w:val="none"/>
        </w:rPr>
      </w:pPr>
    </w:p>
    <w:p w14:paraId="0971FD65">
      <w:pPr>
        <w:widowControl/>
        <w:spacing w:before="50" w:after="50"/>
        <w:jc w:val="center"/>
        <w:rPr>
          <w:rFonts w:hint="eastAsia" w:ascii="宋体" w:hAnsi="宋体" w:eastAsia="宋体" w:cs="宋体"/>
          <w:color w:val="auto"/>
          <w:highlight w:val="none"/>
        </w:rPr>
      </w:pPr>
    </w:p>
    <w:p w14:paraId="38338C5C">
      <w:pPr>
        <w:widowControl/>
        <w:spacing w:before="50" w:after="50"/>
        <w:jc w:val="center"/>
        <w:rPr>
          <w:rFonts w:hint="eastAsia" w:ascii="宋体" w:hAnsi="宋体" w:eastAsia="宋体" w:cs="宋体"/>
          <w:color w:val="auto"/>
          <w:highlight w:val="none"/>
        </w:rPr>
      </w:pPr>
    </w:p>
    <w:p w14:paraId="240AB84A">
      <w:pPr>
        <w:widowControl/>
        <w:spacing w:before="50" w:after="50"/>
        <w:jc w:val="center"/>
        <w:rPr>
          <w:rFonts w:hint="eastAsia" w:ascii="宋体" w:hAnsi="宋体" w:eastAsia="宋体" w:cs="宋体"/>
          <w:color w:val="auto"/>
          <w:highlight w:val="none"/>
        </w:rPr>
      </w:pPr>
    </w:p>
    <w:p w14:paraId="55C33301">
      <w:pPr>
        <w:widowControl/>
        <w:spacing w:before="50" w:after="50"/>
        <w:jc w:val="center"/>
        <w:rPr>
          <w:rFonts w:hint="eastAsia" w:ascii="宋体" w:hAnsi="宋体" w:eastAsia="宋体" w:cs="宋体"/>
          <w:color w:val="auto"/>
          <w:highlight w:val="none"/>
        </w:rPr>
      </w:pPr>
    </w:p>
    <w:p w14:paraId="5C561D4F">
      <w:pPr>
        <w:widowControl/>
        <w:spacing w:before="50" w:after="50"/>
        <w:jc w:val="center"/>
        <w:rPr>
          <w:rFonts w:hint="eastAsia" w:ascii="宋体" w:hAnsi="宋体" w:eastAsia="宋体" w:cs="宋体"/>
          <w:color w:val="auto"/>
          <w:highlight w:val="none"/>
        </w:rPr>
      </w:pPr>
    </w:p>
    <w:p w14:paraId="4697E107">
      <w:pPr>
        <w:widowControl/>
        <w:spacing w:line="499" w:lineRule="atLeast"/>
        <w:ind w:firstLine="1600"/>
        <w:rPr>
          <w:rFonts w:hint="eastAsia" w:ascii="宋体" w:hAnsi="宋体" w:eastAsia="宋体" w:cs="宋体"/>
          <w:color w:val="auto"/>
          <w:sz w:val="32"/>
          <w:szCs w:val="32"/>
          <w:highlight w:val="none"/>
        </w:rPr>
      </w:pPr>
    </w:p>
    <w:p w14:paraId="286DC66B">
      <w:pPr>
        <w:widowControl/>
        <w:spacing w:line="499" w:lineRule="atLeast"/>
        <w:ind w:firstLine="1600"/>
        <w:rPr>
          <w:rFonts w:hint="eastAsia" w:ascii="宋体" w:hAnsi="宋体" w:eastAsia="宋体" w:cs="宋体"/>
          <w:color w:val="auto"/>
          <w:sz w:val="32"/>
          <w:szCs w:val="32"/>
          <w:highlight w:val="none"/>
        </w:rPr>
      </w:pPr>
    </w:p>
    <w:p w14:paraId="2A856825">
      <w:pPr>
        <w:widowControl/>
        <w:spacing w:line="499" w:lineRule="atLeast"/>
        <w:ind w:firstLine="1600"/>
        <w:rPr>
          <w:rFonts w:hint="eastAsia" w:ascii="宋体" w:hAnsi="宋体" w:eastAsia="宋体" w:cs="宋体"/>
          <w:color w:val="auto"/>
          <w:sz w:val="32"/>
          <w:szCs w:val="32"/>
          <w:highlight w:val="none"/>
        </w:rPr>
      </w:pPr>
    </w:p>
    <w:p w14:paraId="4E988E5F">
      <w:pPr>
        <w:widowControl/>
        <w:spacing w:line="499" w:lineRule="atLeast"/>
        <w:ind w:firstLine="1600"/>
        <w:rPr>
          <w:rFonts w:hint="eastAsia" w:ascii="宋体" w:hAnsi="宋体" w:eastAsia="宋体" w:cs="宋体"/>
          <w:color w:val="auto"/>
          <w:sz w:val="32"/>
          <w:szCs w:val="32"/>
          <w:highlight w:val="none"/>
        </w:rPr>
      </w:pPr>
    </w:p>
    <w:p w14:paraId="342CC127">
      <w:pPr>
        <w:widowControl/>
        <w:spacing w:line="499" w:lineRule="atLeast"/>
        <w:ind w:firstLine="1600"/>
        <w:rPr>
          <w:rFonts w:hint="eastAsia" w:ascii="宋体" w:hAnsi="宋体" w:eastAsia="宋体" w:cs="宋体"/>
          <w:color w:val="auto"/>
          <w:sz w:val="24"/>
          <w:highlight w:val="none"/>
        </w:rPr>
      </w:pPr>
      <w:r>
        <w:rPr>
          <w:rFonts w:hint="eastAsia" w:ascii="宋体" w:hAnsi="宋体" w:eastAsia="宋体" w:cs="宋体"/>
          <w:b/>
          <w:bCs/>
          <w:color w:val="auto"/>
          <w:sz w:val="32"/>
          <w:szCs w:val="32"/>
          <w:highlight w:val="none"/>
        </w:rPr>
        <w:t>十</w:t>
      </w:r>
      <w:r>
        <w:rPr>
          <w:rFonts w:hint="eastAsia" w:ascii="宋体" w:hAnsi="宋体" w:eastAsia="宋体" w:cs="宋体"/>
          <w:b/>
          <w:bCs/>
          <w:color w:val="auto"/>
          <w:sz w:val="32"/>
          <w:szCs w:val="32"/>
          <w:highlight w:val="none"/>
          <w:lang w:val="en-US" w:eastAsia="zh-CN"/>
        </w:rPr>
        <w:t>六</w:t>
      </w:r>
      <w:r>
        <w:rPr>
          <w:rFonts w:hint="eastAsia" w:ascii="宋体" w:hAnsi="宋体" w:eastAsia="宋体" w:cs="宋体"/>
          <w:b/>
          <w:bCs/>
          <w:color w:val="auto"/>
          <w:sz w:val="32"/>
          <w:szCs w:val="32"/>
          <w:highlight w:val="none"/>
        </w:rPr>
        <w:t>、盐城市政府采购事前信用承诺书</w:t>
      </w:r>
    </w:p>
    <w:p w14:paraId="1603DB30">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为营造我市公开、公平、公正、诚实守信的政府采购交易环境，树立诚信守法的投标人形象，本人代表本单位作出以下承诺：</w:t>
      </w:r>
    </w:p>
    <w:p w14:paraId="39433805">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（一）本单位对所提交的企（事）业单位基本信息、企（事）业负责人、项目负责人、技术负责人、从业资质和资格、业绩、财务状况、信誉等所有资料，均合法、真实、准确、有效，无任何伪造、修改、</w:t>
      </w:r>
      <w:r>
        <w:rPr>
          <w:rFonts w:hint="eastAsia" w:ascii="宋体" w:hAnsi="宋体" w:eastAsia="宋体" w:cs="宋体"/>
          <w:color w:val="auto"/>
          <w:sz w:val="24"/>
          <w:highlight w:val="none"/>
          <w:lang w:eastAsia="zh-CN"/>
        </w:rPr>
        <w:t>虚假成分</w:t>
      </w:r>
      <w:r>
        <w:rPr>
          <w:rFonts w:hint="eastAsia" w:ascii="宋体" w:hAnsi="宋体" w:eastAsia="宋体" w:cs="宋体"/>
          <w:color w:val="auto"/>
          <w:sz w:val="24"/>
          <w:highlight w:val="none"/>
        </w:rPr>
        <w:t>，并对所提供资料的真实性负责；</w:t>
      </w:r>
    </w:p>
    <w:p w14:paraId="4770B75B">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FEEF544">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（三）严格依照国家和省、市关于政府采购的法律、法规、规章、规范性文件，参加政府采购投标活动；积极履行社会责任，促进廉政建设； </w:t>
      </w:r>
    </w:p>
    <w:p w14:paraId="77C7B200">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（四）严格遵守即时信息公示规定，及时</w:t>
      </w:r>
      <w:r>
        <w:rPr>
          <w:rFonts w:hint="eastAsia" w:ascii="宋体" w:hAnsi="宋体" w:eastAsia="宋体" w:cs="宋体"/>
          <w:color w:val="auto"/>
          <w:sz w:val="24"/>
          <w:highlight w:val="none"/>
          <w:lang w:eastAsia="zh-CN"/>
        </w:rPr>
        <w:t>维护和更新</w:t>
      </w:r>
      <w:r>
        <w:rPr>
          <w:rFonts w:hint="eastAsia" w:ascii="宋体" w:hAnsi="宋体" w:eastAsia="宋体" w:cs="宋体"/>
          <w:color w:val="auto"/>
          <w:sz w:val="24"/>
          <w:highlight w:val="none"/>
        </w:rPr>
        <w:t>盐城市政府采购网中与本单位相关的信息；</w:t>
      </w:r>
    </w:p>
    <w:p w14:paraId="365FBFDF">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6FA0087C">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（六）自觉接受政府、行业组织、社会公众、新闻舆论的监督；</w:t>
      </w:r>
    </w:p>
    <w:p w14:paraId="546B980A">
      <w:pPr>
        <w:widowControl/>
        <w:spacing w:line="499" w:lineRule="atLeast"/>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1E05EE71">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（八）本人已认真阅读了上述承诺，并向本单位员工作了宣传教育。</w:t>
      </w:r>
    </w:p>
    <w:p w14:paraId="7A53FA9D">
      <w:pPr>
        <w:widowControl/>
        <w:spacing w:line="499" w:lineRule="atLeast"/>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法定代表人签名：</w:t>
      </w:r>
    </w:p>
    <w:p w14:paraId="5BD4D8AD">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单位名称（盖章）：</w:t>
      </w:r>
    </w:p>
    <w:p w14:paraId="481243CB">
      <w:pPr>
        <w:widowControl/>
        <w:spacing w:line="499" w:lineRule="atLeast"/>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年</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日</w:t>
      </w:r>
    </w:p>
    <w:bookmarkEnd w:id="31"/>
    <w:bookmarkEnd w:id="45"/>
    <w:bookmarkEnd w:id="90"/>
    <w:bookmarkEnd w:id="91"/>
    <w:bookmarkEnd w:id="92"/>
    <w:bookmarkEnd w:id="95"/>
    <w:bookmarkEnd w:id="96"/>
    <w:bookmarkEnd w:id="97"/>
    <w:bookmarkEnd w:id="98"/>
    <w:bookmarkEnd w:id="99"/>
    <w:bookmarkEnd w:id="100"/>
    <w:bookmarkEnd w:id="101"/>
    <w:bookmarkEnd w:id="102"/>
    <w:bookmarkEnd w:id="103"/>
    <w:bookmarkEnd w:id="104"/>
    <w:bookmarkEnd w:id="105"/>
    <w:bookmarkEnd w:id="106"/>
    <w:bookmarkEnd w:id="107"/>
    <w:bookmarkEnd w:id="112"/>
    <w:bookmarkEnd w:id="113"/>
    <w:bookmarkEnd w:id="114"/>
    <w:bookmarkEnd w:id="119"/>
    <w:bookmarkEnd w:id="120"/>
    <w:bookmarkEnd w:id="127"/>
    <w:bookmarkEnd w:id="177"/>
    <w:bookmarkEnd w:id="180"/>
    <w:bookmarkEnd w:id="184"/>
    <w:bookmarkEnd w:id="185"/>
    <w:bookmarkEnd w:id="187"/>
    <w:bookmarkEnd w:id="188"/>
    <w:bookmarkEnd w:id="189"/>
    <w:bookmarkEnd w:id="190"/>
    <w:bookmarkEnd w:id="199"/>
    <w:bookmarkEnd w:id="200"/>
    <w:bookmarkEnd w:id="201"/>
    <w:bookmarkEnd w:id="202"/>
    <w:bookmarkEnd w:id="203"/>
    <w:p w14:paraId="404587A1">
      <w:pPr>
        <w:pStyle w:val="33"/>
        <w:spacing w:beforeAutospacing="0" w:afterAutospacing="0"/>
        <w:jc w:val="center"/>
        <w:rPr>
          <w:rFonts w:hint="eastAsia" w:ascii="宋体" w:hAnsi="宋体" w:eastAsia="宋体" w:cs="宋体"/>
          <w:color w:val="auto"/>
          <w:highlight w:val="none"/>
        </w:rPr>
      </w:pPr>
    </w:p>
    <w:p w14:paraId="750DD307">
      <w:pPr>
        <w:rPr>
          <w:rFonts w:hint="eastAsia" w:ascii="宋体" w:hAnsi="宋体" w:eastAsia="宋体" w:cs="宋体"/>
          <w:color w:val="auto"/>
          <w:highlight w:val="none"/>
        </w:rPr>
      </w:pPr>
    </w:p>
    <w:p w14:paraId="5A9BEC62">
      <w:pPr>
        <w:rPr>
          <w:rFonts w:hint="eastAsia" w:ascii="宋体" w:hAnsi="宋体" w:eastAsia="宋体" w:cs="宋体"/>
          <w:color w:val="auto"/>
          <w:highlight w:val="none"/>
        </w:rPr>
      </w:pPr>
    </w:p>
    <w:p w14:paraId="4D639153">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r>
    </w:p>
    <w:p w14:paraId="6135CE5E">
      <w:pPr>
        <w:pStyle w:val="33"/>
        <w:spacing w:beforeAutospacing="0" w:afterAutospacing="0"/>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质疑函范本</w:t>
      </w:r>
    </w:p>
    <w:p w14:paraId="6AFCD13F">
      <w:pPr>
        <w:pStyle w:val="33"/>
        <w:spacing w:before="290"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一、质疑供应商基本信息</w:t>
      </w:r>
    </w:p>
    <w:p w14:paraId="1E88E104">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质疑供应商：</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AFA1944">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w:t>
      </w:r>
    </w:p>
    <w:p w14:paraId="7EF8F379">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45D56ACC">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联系人：</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2B4C8667">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p>
    <w:p w14:paraId="41CE05B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授权代表：</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8FD1E85">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184FD94D">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地址： </w:t>
      </w:r>
      <w:r>
        <w:rPr>
          <w:rFonts w:hint="eastAsia" w:ascii="宋体" w:hAnsi="宋体" w:eastAsia="宋体" w:cs="宋体"/>
          <w:color w:val="auto"/>
          <w:highlight w:val="none"/>
          <w:u w:val="single"/>
        </w:rPr>
        <w:t>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6D221AC1">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邮编：</w:t>
      </w:r>
      <w:r>
        <w:rPr>
          <w:rFonts w:hint="eastAsia" w:ascii="宋体" w:hAnsi="宋体" w:eastAsia="宋体" w:cs="宋体"/>
          <w:color w:val="auto"/>
          <w:highlight w:val="none"/>
          <w:u w:val="single"/>
        </w:rPr>
        <w:t xml:space="preserve">                                </w:t>
      </w:r>
    </w:p>
    <w:p w14:paraId="4F3CEE36">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二、质疑项目基本情况</w:t>
      </w:r>
    </w:p>
    <w:p w14:paraId="528F7D9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质疑项目的名称：</w:t>
      </w:r>
      <w:r>
        <w:rPr>
          <w:rFonts w:hint="eastAsia" w:ascii="宋体" w:hAnsi="宋体" w:eastAsia="宋体" w:cs="宋体"/>
          <w:color w:val="auto"/>
          <w:highlight w:val="none"/>
          <w:u w:val="single"/>
        </w:rPr>
        <w:t xml:space="preserve">                            </w:t>
      </w:r>
    </w:p>
    <w:p w14:paraId="359B2CF4">
      <w:pPr>
        <w:pStyle w:val="33"/>
        <w:spacing w:beforeAutospacing="0" w:afterAutospacing="0" w:line="360" w:lineRule="auto"/>
        <w:jc w:val="both"/>
        <w:rPr>
          <w:rFonts w:hint="eastAsia" w:ascii="宋体" w:hAnsi="宋体" w:eastAsia="宋体" w:cs="宋体"/>
          <w:color w:val="auto"/>
          <w:highlight w:val="none"/>
          <w:u w:val="single"/>
        </w:rPr>
      </w:pPr>
      <w:r>
        <w:rPr>
          <w:rFonts w:hint="eastAsia" w:ascii="宋体" w:hAnsi="宋体" w:eastAsia="宋体" w:cs="宋体"/>
          <w:color w:val="auto"/>
          <w:highlight w:val="none"/>
        </w:rPr>
        <w:t>质疑项目的编号：</w:t>
      </w:r>
      <w:r>
        <w:rPr>
          <w:rFonts w:hint="eastAsia" w:ascii="宋体" w:hAnsi="宋体" w:eastAsia="宋体" w:cs="宋体"/>
          <w:color w:val="auto"/>
          <w:highlight w:val="none"/>
          <w:u w:val="single"/>
        </w:rPr>
        <w:t xml:space="preserve">                          </w:t>
      </w:r>
    </w:p>
    <w:p w14:paraId="6E8B1D72">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包号：</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ab/>
      </w:r>
      <w:r>
        <w:rPr>
          <w:rFonts w:hint="eastAsia" w:ascii="宋体" w:hAnsi="宋体" w:eastAsia="宋体" w:cs="宋体"/>
          <w:color w:val="auto"/>
          <w:highlight w:val="none"/>
          <w:u w:val="single"/>
        </w:rPr>
        <w:t xml:space="preserve">    </w:t>
      </w:r>
    </w:p>
    <w:p w14:paraId="34CA6E5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采购人名称：</w:t>
      </w:r>
      <w:r>
        <w:rPr>
          <w:rFonts w:hint="eastAsia" w:ascii="宋体" w:hAnsi="宋体" w:eastAsia="宋体" w:cs="宋体"/>
          <w:color w:val="auto"/>
          <w:highlight w:val="none"/>
          <w:u w:val="single"/>
        </w:rPr>
        <w:t xml:space="preserve">                            </w:t>
      </w:r>
    </w:p>
    <w:p w14:paraId="2358D2B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采购文件获取日期：</w:t>
      </w:r>
      <w:r>
        <w:rPr>
          <w:rFonts w:hint="eastAsia" w:ascii="宋体" w:hAnsi="宋体" w:eastAsia="宋体" w:cs="宋体"/>
          <w:color w:val="auto"/>
          <w:highlight w:val="none"/>
          <w:u w:val="single"/>
        </w:rPr>
        <w:t xml:space="preserve">                             </w:t>
      </w:r>
    </w:p>
    <w:p w14:paraId="27F7B423">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三、质疑事项具体内容</w:t>
      </w:r>
    </w:p>
    <w:p w14:paraId="31B152F0">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质疑事项1：</w:t>
      </w:r>
      <w:r>
        <w:rPr>
          <w:rFonts w:hint="eastAsia" w:ascii="宋体" w:hAnsi="宋体" w:eastAsia="宋体" w:cs="宋体"/>
          <w:color w:val="auto"/>
          <w:highlight w:val="none"/>
          <w:u w:val="single"/>
        </w:rPr>
        <w:t xml:space="preserve">                             </w:t>
      </w:r>
    </w:p>
    <w:p w14:paraId="4C1E0704">
      <w:pPr>
        <w:pStyle w:val="33"/>
        <w:spacing w:beforeAutospacing="0" w:afterAutospacing="0" w:line="360" w:lineRule="auto"/>
        <w:rPr>
          <w:rFonts w:hint="eastAsia" w:ascii="宋体" w:hAnsi="宋体" w:eastAsia="宋体" w:cs="宋体"/>
          <w:color w:val="auto"/>
          <w:highlight w:val="none"/>
        </w:rPr>
      </w:pPr>
      <w:r>
        <w:rPr>
          <w:rFonts w:hint="eastAsia" w:ascii="宋体" w:hAnsi="宋体" w:eastAsia="宋体" w:cs="宋体"/>
          <w:color w:val="auto"/>
          <w:highlight w:val="none"/>
        </w:rPr>
        <w:t>事实依据：</w:t>
      </w:r>
      <w:r>
        <w:rPr>
          <w:rFonts w:hint="eastAsia" w:ascii="宋体" w:hAnsi="宋体" w:eastAsia="宋体" w:cs="宋体"/>
          <w:color w:val="auto"/>
          <w:highlight w:val="none"/>
          <w:u w:val="single"/>
        </w:rPr>
        <w:t xml:space="preserve">                                                   </w:t>
      </w:r>
    </w:p>
    <w:p w14:paraId="4785A4AA">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法律依据：</w:t>
      </w:r>
      <w:r>
        <w:rPr>
          <w:rFonts w:hint="eastAsia" w:ascii="宋体" w:hAnsi="宋体" w:eastAsia="宋体" w:cs="宋体"/>
          <w:color w:val="auto"/>
          <w:highlight w:val="none"/>
          <w:u w:val="single"/>
        </w:rPr>
        <w:t xml:space="preserve">                                                    </w:t>
      </w:r>
    </w:p>
    <w:p w14:paraId="62DE0B2D">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质疑事项2</w:t>
      </w:r>
    </w:p>
    <w:p w14:paraId="0B1862BA">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p w14:paraId="4DFCC5E8">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四、与质疑事项相关的质疑请求</w:t>
      </w:r>
    </w:p>
    <w:p w14:paraId="63467D2F">
      <w:pPr>
        <w:pStyle w:val="33"/>
        <w:spacing w:beforeAutospacing="0" w:afterAutospacing="0" w:line="360"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请求：</w:t>
      </w:r>
      <w:r>
        <w:rPr>
          <w:rFonts w:hint="eastAsia" w:ascii="宋体" w:hAnsi="宋体" w:eastAsia="宋体" w:cs="宋体"/>
          <w:color w:val="auto"/>
          <w:highlight w:val="none"/>
          <w:u w:val="single"/>
        </w:rPr>
        <w:t xml:space="preserve">                                                          </w:t>
      </w:r>
    </w:p>
    <w:p w14:paraId="4C778355">
      <w:pPr>
        <w:pStyle w:val="33"/>
        <w:spacing w:beforeAutospacing="0" w:afterAutospacing="0"/>
        <w:jc w:val="both"/>
        <w:rPr>
          <w:rFonts w:hint="eastAsia" w:ascii="宋体" w:hAnsi="宋体" w:eastAsia="宋体" w:cs="宋体"/>
          <w:color w:val="auto"/>
          <w:highlight w:val="none"/>
        </w:rPr>
      </w:pPr>
      <w:r>
        <w:rPr>
          <w:rFonts w:hint="eastAsia" w:ascii="宋体" w:hAnsi="宋体" w:eastAsia="宋体" w:cs="宋体"/>
          <w:color w:val="auto"/>
          <w:highlight w:val="none"/>
        </w:rPr>
        <w:t xml:space="preserve">签字(签章)：                 公章：               日期：    </w:t>
      </w:r>
    </w:p>
    <w:p w14:paraId="22A79848">
      <w:pPr>
        <w:pStyle w:val="33"/>
        <w:spacing w:beforeAutospacing="0" w:afterAutospacing="0" w:line="0" w:lineRule="atLeast"/>
        <w:jc w:val="both"/>
        <w:rPr>
          <w:rFonts w:hint="eastAsia" w:ascii="宋体" w:hAnsi="宋体" w:eastAsia="宋体" w:cs="宋体"/>
          <w:color w:val="auto"/>
          <w:highlight w:val="none"/>
        </w:rPr>
      </w:pPr>
      <w:r>
        <w:rPr>
          <w:rFonts w:hint="eastAsia" w:ascii="宋体" w:hAnsi="宋体" w:eastAsia="宋体" w:cs="宋体"/>
          <w:b/>
          <w:color w:val="auto"/>
          <w:highlight w:val="none"/>
        </w:rPr>
        <w:t>质疑函制作说明：</w:t>
      </w:r>
    </w:p>
    <w:p w14:paraId="15AC2CA3">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1.供应商提出质疑时，应提交质疑函和必要的证明材料。</w:t>
      </w:r>
    </w:p>
    <w:p w14:paraId="38385B5E">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6FCFB6B7">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3.质疑供应商若对项目的某一分包进行质疑，质疑函中应列明具体分包号。</w:t>
      </w:r>
    </w:p>
    <w:p w14:paraId="6DD097DB">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4.质疑函的质疑事项应具体、明确，并有必要的事实依据和法律依据。</w:t>
      </w:r>
    </w:p>
    <w:p w14:paraId="0E1B1B6F">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5.质疑函的质疑请求应与质疑事项相关。</w:t>
      </w:r>
    </w:p>
    <w:p w14:paraId="654EE97B">
      <w:pPr>
        <w:pStyle w:val="33"/>
        <w:widowControl/>
        <w:spacing w:beforeAutospacing="0" w:afterAutospacing="0" w:line="0" w:lineRule="atLeast"/>
        <w:ind w:firstLine="480"/>
        <w:rPr>
          <w:rFonts w:hint="eastAsia" w:ascii="宋体" w:hAnsi="宋体" w:eastAsia="宋体" w:cs="宋体"/>
          <w:color w:val="auto"/>
          <w:highlight w:val="none"/>
        </w:rPr>
      </w:pPr>
      <w:r>
        <w:rPr>
          <w:rFonts w:hint="eastAsia" w:ascii="宋体" w:hAnsi="宋体" w:eastAsia="宋体" w:cs="宋体"/>
          <w:color w:val="auto"/>
          <w:highlight w:val="none"/>
        </w:rPr>
        <w:t>6.质疑供应商为自然人的，质疑函应由本人签字；质疑供应商为法人或者其他组织的，质疑函应由法定代表人、主要负责人，或者其授权代表签字或者盖章，并加盖公章。</w:t>
      </w:r>
    </w:p>
    <w:p w14:paraId="2738FADB">
      <w:pPr>
        <w:pStyle w:val="33"/>
        <w:spacing w:beforeAutospacing="0" w:afterAutospacing="0"/>
        <w:ind w:firstLine="420"/>
        <w:jc w:val="both"/>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w:t>
      </w:r>
    </w:p>
    <w:sectPr>
      <w:footerReference r:id="rId3" w:type="default"/>
      <w:pgSz w:w="11906" w:h="16838"/>
      <w:pgMar w:top="1440" w:right="1800" w:bottom="1440" w:left="1800" w:header="851" w:footer="992" w:gutter="0"/>
      <w:pgNumType w:start="1"/>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86"/>
    <w:family w:val="roman"/>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0"/>
    <w:family w:val="auto"/>
    <w:pitch w:val="default"/>
    <w:sig w:usb0="E0002EFF" w:usb1="C000785B" w:usb2="00000009" w:usb3="00000000" w:csb0="400001FF" w:csb1="FFFF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745BF4">
    <w:pPr>
      <w:pStyle w:val="2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BC3EB0F">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0BC3EB0F">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205925"/>
    <w:multiLevelType w:val="multilevel"/>
    <w:tmpl w:val="BF205925"/>
    <w:lvl w:ilvl="0" w:tentative="0">
      <w:start w:val="1"/>
      <w:numFmt w:val="decimal"/>
      <w:suff w:val="space"/>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E2289EA5"/>
    <w:multiLevelType w:val="singleLevel"/>
    <w:tmpl w:val="E2289EA5"/>
    <w:lvl w:ilvl="0" w:tentative="0">
      <w:start w:val="25"/>
      <w:numFmt w:val="decimal"/>
      <w:suff w:val="nothing"/>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4819F2"/>
    <w:rsid w:val="00B406C6"/>
    <w:rsid w:val="00D10C9E"/>
    <w:rsid w:val="03253AFD"/>
    <w:rsid w:val="09B67009"/>
    <w:rsid w:val="0B1A7CC0"/>
    <w:rsid w:val="0BBF6171"/>
    <w:rsid w:val="0C433123"/>
    <w:rsid w:val="0D6E21C2"/>
    <w:rsid w:val="0D766D04"/>
    <w:rsid w:val="102B64CB"/>
    <w:rsid w:val="10881228"/>
    <w:rsid w:val="10CD7582"/>
    <w:rsid w:val="10EA72E2"/>
    <w:rsid w:val="11AB78C4"/>
    <w:rsid w:val="122F36D9"/>
    <w:rsid w:val="138E124B"/>
    <w:rsid w:val="16BC60CF"/>
    <w:rsid w:val="16BC7E7D"/>
    <w:rsid w:val="171657DF"/>
    <w:rsid w:val="18352A53"/>
    <w:rsid w:val="18C62290"/>
    <w:rsid w:val="199E1ABC"/>
    <w:rsid w:val="1A4C776A"/>
    <w:rsid w:val="1BDB3B61"/>
    <w:rsid w:val="1BFA2FC3"/>
    <w:rsid w:val="1E1D5A5B"/>
    <w:rsid w:val="1E934C6D"/>
    <w:rsid w:val="20182A93"/>
    <w:rsid w:val="22A719E1"/>
    <w:rsid w:val="23C67A85"/>
    <w:rsid w:val="25487A94"/>
    <w:rsid w:val="277F190B"/>
    <w:rsid w:val="28C72DDD"/>
    <w:rsid w:val="290D48F8"/>
    <w:rsid w:val="29A529F3"/>
    <w:rsid w:val="29E42E51"/>
    <w:rsid w:val="2B3F259D"/>
    <w:rsid w:val="2B964CE9"/>
    <w:rsid w:val="2E2E745B"/>
    <w:rsid w:val="2E8950C8"/>
    <w:rsid w:val="31230DCD"/>
    <w:rsid w:val="31A16195"/>
    <w:rsid w:val="322C3CB1"/>
    <w:rsid w:val="32384404"/>
    <w:rsid w:val="33122EA7"/>
    <w:rsid w:val="35747E49"/>
    <w:rsid w:val="3588516C"/>
    <w:rsid w:val="36D3294D"/>
    <w:rsid w:val="37424819"/>
    <w:rsid w:val="37F63FA8"/>
    <w:rsid w:val="39E135D3"/>
    <w:rsid w:val="3BB0325D"/>
    <w:rsid w:val="3C237ED3"/>
    <w:rsid w:val="3CFA1981"/>
    <w:rsid w:val="3D85696B"/>
    <w:rsid w:val="400022D9"/>
    <w:rsid w:val="40AD10B2"/>
    <w:rsid w:val="424C5CAA"/>
    <w:rsid w:val="42A97EF2"/>
    <w:rsid w:val="43195B8C"/>
    <w:rsid w:val="43FE4D82"/>
    <w:rsid w:val="46741901"/>
    <w:rsid w:val="4BCF5981"/>
    <w:rsid w:val="4BCF690B"/>
    <w:rsid w:val="4D551EB6"/>
    <w:rsid w:val="501E6ED7"/>
    <w:rsid w:val="50753961"/>
    <w:rsid w:val="510F4A72"/>
    <w:rsid w:val="5119769F"/>
    <w:rsid w:val="511C1789"/>
    <w:rsid w:val="51475FBA"/>
    <w:rsid w:val="51D07D5D"/>
    <w:rsid w:val="535B5D4C"/>
    <w:rsid w:val="57811AFA"/>
    <w:rsid w:val="58CF44CA"/>
    <w:rsid w:val="59C47351"/>
    <w:rsid w:val="5B413A7A"/>
    <w:rsid w:val="5B4F263B"/>
    <w:rsid w:val="5CB309A7"/>
    <w:rsid w:val="5D991BDA"/>
    <w:rsid w:val="5E6B54B1"/>
    <w:rsid w:val="5F427DC1"/>
    <w:rsid w:val="5F8370D6"/>
    <w:rsid w:val="5FD41360"/>
    <w:rsid w:val="624D53FA"/>
    <w:rsid w:val="62726C0F"/>
    <w:rsid w:val="64420052"/>
    <w:rsid w:val="668138C4"/>
    <w:rsid w:val="68490412"/>
    <w:rsid w:val="69D467B8"/>
    <w:rsid w:val="6BB169FA"/>
    <w:rsid w:val="6CB71DEE"/>
    <w:rsid w:val="6E1A0886"/>
    <w:rsid w:val="6F0D3F9D"/>
    <w:rsid w:val="71BB5EDC"/>
    <w:rsid w:val="71CF1988"/>
    <w:rsid w:val="71EC253A"/>
    <w:rsid w:val="722515A8"/>
    <w:rsid w:val="72C54B39"/>
    <w:rsid w:val="74C0380A"/>
    <w:rsid w:val="74C94DB4"/>
    <w:rsid w:val="75176E66"/>
    <w:rsid w:val="75676C2D"/>
    <w:rsid w:val="756B5E6B"/>
    <w:rsid w:val="75E31EA6"/>
    <w:rsid w:val="75ED6880"/>
    <w:rsid w:val="76FD6627"/>
    <w:rsid w:val="793A002E"/>
    <w:rsid w:val="7A541090"/>
    <w:rsid w:val="7A6D7F90"/>
    <w:rsid w:val="7D5947FB"/>
    <w:rsid w:val="7DFF75C6"/>
    <w:rsid w:val="7E8D1E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heme="minorHAnsi" w:hAnsiTheme="minorHAnsi" w:eastAsiaTheme="minorEastAsia" w:cstheme="minorBidi"/>
      <w:sz w:val="21"/>
      <w:szCs w:val="24"/>
      <w:lang w:val="en-US" w:eastAsia="zh-CN" w:bidi="ar-SA"/>
    </w:rPr>
  </w:style>
  <w:style w:type="paragraph" w:styleId="2">
    <w:name w:val="heading 1"/>
    <w:basedOn w:val="1"/>
    <w:next w:val="1"/>
    <w:link w:val="43"/>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semiHidden/>
    <w:unhideWhenUsed/>
    <w:qFormat/>
    <w:uiPriority w:val="0"/>
    <w:pPr>
      <w:spacing w:before="0" w:beforeAutospacing="1" w:after="0" w:afterAutospacing="1"/>
      <w:jc w:val="left"/>
    </w:pPr>
    <w:rPr>
      <w:rFonts w:hint="eastAsia" w:ascii="宋体" w:hAnsi="宋体" w:eastAsia="宋体" w:cs="宋体"/>
      <w:b/>
      <w:bCs/>
      <w:sz w:val="36"/>
      <w:szCs w:val="36"/>
      <w:lang w:val="en-US" w:eastAsia="zh-CN" w:bidi="ar"/>
    </w:rPr>
  </w:style>
  <w:style w:type="paragraph" w:styleId="4">
    <w:name w:val="heading 3"/>
    <w:basedOn w:val="1"/>
    <w:next w:val="1"/>
    <w:link w:val="45"/>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6"/>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7"/>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8"/>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9"/>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50"/>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51"/>
    <w:unhideWhenUsed/>
    <w:qFormat/>
    <w:uiPriority w:val="9"/>
    <w:pPr>
      <w:keepNext/>
      <w:keepLines/>
      <w:spacing w:before="320" w:after="200"/>
      <w:outlineLvl w:val="8"/>
    </w:pPr>
    <w:rPr>
      <w:rFonts w:ascii="Arial" w:hAnsi="Arial" w:eastAsia="Arial" w:cs="Arial"/>
      <w:i/>
      <w:iCs/>
      <w:sz w:val="21"/>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Normal Indent"/>
    <w:basedOn w:val="1"/>
    <w:qFormat/>
    <w:uiPriority w:val="0"/>
    <w:pPr>
      <w:widowControl/>
      <w:ind w:firstLine="420"/>
      <w:jc w:val="left"/>
    </w:pPr>
    <w:rPr>
      <w:sz w:val="20"/>
      <w:szCs w:val="20"/>
    </w:rPr>
  </w:style>
  <w:style w:type="paragraph" w:styleId="13">
    <w:name w:val="caption"/>
    <w:basedOn w:val="1"/>
    <w:next w:val="1"/>
    <w:semiHidden/>
    <w:unhideWhenUsed/>
    <w:qFormat/>
    <w:uiPriority w:val="35"/>
    <w:pPr>
      <w:spacing w:line="276" w:lineRule="auto"/>
    </w:pPr>
    <w:rPr>
      <w:b/>
      <w:bCs/>
      <w:color w:val="5B9BD5" w:themeColor="accent1"/>
      <w:sz w:val="18"/>
      <w:szCs w:val="18"/>
      <w14:textFill>
        <w14:solidFill>
          <w14:schemeClr w14:val="accent1"/>
        </w14:solidFill>
      </w14:textFill>
    </w:rPr>
  </w:style>
  <w:style w:type="paragraph" w:styleId="14">
    <w:name w:val="annotation text"/>
    <w:basedOn w:val="1"/>
    <w:qFormat/>
    <w:uiPriority w:val="0"/>
    <w:pPr>
      <w:jc w:val="left"/>
    </w:pPr>
  </w:style>
  <w:style w:type="paragraph" w:styleId="15">
    <w:name w:val="Body Text"/>
    <w:basedOn w:val="1"/>
    <w:semiHidden/>
    <w:qFormat/>
    <w:uiPriority w:val="0"/>
    <w:rPr>
      <w:rFonts w:ascii="仿宋" w:hAnsi="仿宋" w:eastAsia="仿宋" w:cs="仿宋"/>
      <w:sz w:val="31"/>
      <w:szCs w:val="31"/>
      <w:lang w:val="en-US" w:eastAsia="en-US" w:bidi="ar-SA"/>
    </w:rPr>
  </w:style>
  <w:style w:type="paragraph" w:styleId="16">
    <w:name w:val="Body Text Indent"/>
    <w:basedOn w:val="1"/>
    <w:next w:val="17"/>
    <w:qFormat/>
    <w:uiPriority w:val="0"/>
    <w:pPr>
      <w:spacing w:after="120" w:afterLines="0"/>
      <w:ind w:left="420" w:leftChars="200"/>
    </w:pPr>
  </w:style>
  <w:style w:type="paragraph" w:styleId="17">
    <w:name w:val="envelope return"/>
    <w:basedOn w:val="1"/>
    <w:qFormat/>
    <w:uiPriority w:val="0"/>
    <w:pPr>
      <w:snapToGrid w:val="0"/>
    </w:pPr>
    <w:rPr>
      <w:rFonts w:ascii="Arial" w:hAnsi="Arial"/>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toc 8"/>
    <w:basedOn w:val="1"/>
    <w:next w:val="1"/>
    <w:unhideWhenUsed/>
    <w:qFormat/>
    <w:uiPriority w:val="39"/>
    <w:pPr>
      <w:spacing w:after="57"/>
      <w:ind w:left="1984" w:right="0" w:firstLine="0"/>
    </w:pPr>
  </w:style>
  <w:style w:type="paragraph" w:styleId="21">
    <w:name w:val="Body Text Indent 2"/>
    <w:basedOn w:val="1"/>
    <w:qFormat/>
    <w:uiPriority w:val="0"/>
    <w:rPr>
      <w:rFonts w:ascii="Arial" w:hAnsi="Arial" w:eastAsia="仿宋_GB2312"/>
      <w:b/>
    </w:rPr>
  </w:style>
  <w:style w:type="paragraph" w:styleId="22">
    <w:name w:val="endnote text"/>
    <w:basedOn w:val="1"/>
    <w:link w:val="189"/>
    <w:semiHidden/>
    <w:unhideWhenUsed/>
    <w:qFormat/>
    <w:uiPriority w:val="99"/>
    <w:pPr>
      <w:spacing w:after="0" w:line="240" w:lineRule="auto"/>
    </w:pPr>
    <w:rPr>
      <w:sz w:val="20"/>
    </w:rPr>
  </w:style>
  <w:style w:type="paragraph" w:styleId="23">
    <w:name w:val="footer"/>
    <w:basedOn w:val="1"/>
    <w:link w:val="193"/>
    <w:qFormat/>
    <w:uiPriority w:val="0"/>
    <w:pPr>
      <w:tabs>
        <w:tab w:val="center" w:pos="4153"/>
        <w:tab w:val="right" w:pos="8306"/>
      </w:tabs>
      <w:jc w:val="left"/>
    </w:pPr>
    <w:rPr>
      <w:sz w:val="18"/>
      <w:szCs w:val="18"/>
    </w:rPr>
  </w:style>
  <w:style w:type="paragraph" w:styleId="24">
    <w:name w:val="header"/>
    <w:basedOn w:val="1"/>
    <w:link w:val="192"/>
    <w:qFormat/>
    <w:uiPriority w:val="0"/>
    <w:pPr>
      <w:pBdr>
        <w:bottom w:val="single" w:color="auto"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ind w:left="0" w:right="0" w:firstLine="0"/>
    </w:pPr>
  </w:style>
  <w:style w:type="paragraph" w:styleId="26">
    <w:name w:val="toc 4"/>
    <w:basedOn w:val="1"/>
    <w:next w:val="1"/>
    <w:unhideWhenUsed/>
    <w:qFormat/>
    <w:uiPriority w:val="39"/>
    <w:pPr>
      <w:spacing w:after="57"/>
      <w:ind w:left="850" w:right="0" w:firstLine="0"/>
    </w:pPr>
  </w:style>
  <w:style w:type="paragraph" w:styleId="27">
    <w:name w:val="Subtitle"/>
    <w:basedOn w:val="1"/>
    <w:next w:val="1"/>
    <w:link w:val="55"/>
    <w:qFormat/>
    <w:uiPriority w:val="11"/>
    <w:pPr>
      <w:spacing w:before="200" w:after="200"/>
    </w:pPr>
    <w:rPr>
      <w:sz w:val="24"/>
      <w:szCs w:val="24"/>
    </w:rPr>
  </w:style>
  <w:style w:type="paragraph" w:styleId="28">
    <w:name w:val="footnote text"/>
    <w:basedOn w:val="1"/>
    <w:link w:val="188"/>
    <w:semiHidden/>
    <w:unhideWhenUsed/>
    <w:qFormat/>
    <w:uiPriority w:val="99"/>
    <w:pPr>
      <w:spacing w:after="40" w:line="240" w:lineRule="auto"/>
    </w:pPr>
    <w:rPr>
      <w:sz w:val="18"/>
    </w:rPr>
  </w:style>
  <w:style w:type="paragraph" w:styleId="29">
    <w:name w:val="toc 6"/>
    <w:basedOn w:val="1"/>
    <w:next w:val="1"/>
    <w:unhideWhenUsed/>
    <w:qFormat/>
    <w:uiPriority w:val="39"/>
    <w:pPr>
      <w:spacing w:after="57"/>
      <w:ind w:left="1417" w:right="0" w:firstLine="0"/>
    </w:pPr>
  </w:style>
  <w:style w:type="paragraph" w:styleId="30">
    <w:name w:val="table of figures"/>
    <w:basedOn w:val="1"/>
    <w:next w:val="1"/>
    <w:unhideWhenUsed/>
    <w:qFormat/>
    <w:uiPriority w:val="99"/>
    <w:pPr>
      <w:spacing w:after="0" w:afterAutospacing="0"/>
    </w:pPr>
  </w:style>
  <w:style w:type="paragraph" w:styleId="31">
    <w:name w:val="toc 2"/>
    <w:basedOn w:val="1"/>
    <w:next w:val="1"/>
    <w:unhideWhenUsed/>
    <w:qFormat/>
    <w:uiPriority w:val="39"/>
    <w:pPr>
      <w:spacing w:after="57"/>
      <w:ind w:left="283" w:right="0" w:firstLine="0"/>
    </w:pPr>
  </w:style>
  <w:style w:type="paragraph" w:styleId="32">
    <w:name w:val="toc 9"/>
    <w:basedOn w:val="1"/>
    <w:next w:val="1"/>
    <w:unhideWhenUsed/>
    <w:qFormat/>
    <w:uiPriority w:val="39"/>
    <w:pPr>
      <w:spacing w:after="57"/>
      <w:ind w:left="2268" w:right="0" w:firstLine="0"/>
    </w:pPr>
  </w:style>
  <w:style w:type="paragraph" w:styleId="33">
    <w:name w:val="Normal (Web)"/>
    <w:basedOn w:val="1"/>
    <w:qFormat/>
    <w:uiPriority w:val="0"/>
    <w:pPr>
      <w:spacing w:beforeAutospacing="1" w:afterAutospacing="1"/>
      <w:jc w:val="left"/>
    </w:pPr>
    <w:rPr>
      <w:rFonts w:cs="Times New Roman"/>
      <w:sz w:val="24"/>
    </w:rPr>
  </w:style>
  <w:style w:type="paragraph" w:styleId="34">
    <w:name w:val="Title"/>
    <w:basedOn w:val="1"/>
    <w:next w:val="1"/>
    <w:link w:val="54"/>
    <w:qFormat/>
    <w:uiPriority w:val="10"/>
    <w:pPr>
      <w:spacing w:before="300" w:after="200"/>
      <w:contextualSpacing/>
    </w:pPr>
    <w:rPr>
      <w:sz w:val="48"/>
      <w:szCs w:val="48"/>
    </w:rPr>
  </w:style>
  <w:style w:type="table" w:styleId="36">
    <w:name w:val="Table Grid"/>
    <w:basedOn w:val="35"/>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8">
    <w:name w:val="Strong"/>
    <w:basedOn w:val="37"/>
    <w:qFormat/>
    <w:uiPriority w:val="22"/>
    <w:rPr>
      <w:b/>
    </w:rPr>
  </w:style>
  <w:style w:type="character" w:styleId="39">
    <w:name w:val="endnote reference"/>
    <w:basedOn w:val="37"/>
    <w:semiHidden/>
    <w:unhideWhenUsed/>
    <w:qFormat/>
    <w:uiPriority w:val="99"/>
    <w:rPr>
      <w:vertAlign w:val="superscript"/>
    </w:rPr>
  </w:style>
  <w:style w:type="character" w:styleId="40">
    <w:name w:val="Emphasis"/>
    <w:qFormat/>
    <w:uiPriority w:val="0"/>
    <w:rPr>
      <w:i/>
    </w:rPr>
  </w:style>
  <w:style w:type="character" w:styleId="41">
    <w:name w:val="Hyperlink"/>
    <w:unhideWhenUsed/>
    <w:qFormat/>
    <w:uiPriority w:val="99"/>
    <w:rPr>
      <w:color w:val="0563C1" w:themeColor="hyperlink"/>
      <w:u w:val="single"/>
      <w14:textFill>
        <w14:solidFill>
          <w14:schemeClr w14:val="hlink"/>
        </w14:solidFill>
      </w14:textFill>
    </w:rPr>
  </w:style>
  <w:style w:type="character" w:styleId="42">
    <w:name w:val="footnote reference"/>
    <w:basedOn w:val="37"/>
    <w:unhideWhenUsed/>
    <w:qFormat/>
    <w:uiPriority w:val="99"/>
    <w:rPr>
      <w:vertAlign w:val="superscript"/>
    </w:rPr>
  </w:style>
  <w:style w:type="character" w:customStyle="1" w:styleId="43">
    <w:name w:val="Heading 1 Char"/>
    <w:basedOn w:val="37"/>
    <w:link w:val="2"/>
    <w:qFormat/>
    <w:uiPriority w:val="9"/>
    <w:rPr>
      <w:rFonts w:ascii="Arial" w:hAnsi="Arial" w:eastAsia="Arial" w:cs="Arial"/>
      <w:sz w:val="40"/>
      <w:szCs w:val="40"/>
    </w:rPr>
  </w:style>
  <w:style w:type="character" w:customStyle="1" w:styleId="44">
    <w:name w:val="Heading 2 Char"/>
    <w:basedOn w:val="37"/>
    <w:qFormat/>
    <w:uiPriority w:val="9"/>
    <w:rPr>
      <w:rFonts w:ascii="Arial" w:hAnsi="Arial" w:eastAsia="Arial" w:cs="Arial"/>
      <w:sz w:val="34"/>
    </w:rPr>
  </w:style>
  <w:style w:type="character" w:customStyle="1" w:styleId="45">
    <w:name w:val="Heading 3 Char"/>
    <w:basedOn w:val="37"/>
    <w:link w:val="4"/>
    <w:qFormat/>
    <w:uiPriority w:val="9"/>
    <w:rPr>
      <w:rFonts w:ascii="Arial" w:hAnsi="Arial" w:eastAsia="Arial" w:cs="Arial"/>
      <w:sz w:val="30"/>
      <w:szCs w:val="30"/>
    </w:rPr>
  </w:style>
  <w:style w:type="character" w:customStyle="1" w:styleId="46">
    <w:name w:val="Heading 4 Char"/>
    <w:basedOn w:val="37"/>
    <w:link w:val="5"/>
    <w:qFormat/>
    <w:uiPriority w:val="9"/>
    <w:rPr>
      <w:rFonts w:ascii="Arial" w:hAnsi="Arial" w:eastAsia="Arial" w:cs="Arial"/>
      <w:b/>
      <w:bCs/>
      <w:sz w:val="26"/>
      <w:szCs w:val="26"/>
    </w:rPr>
  </w:style>
  <w:style w:type="character" w:customStyle="1" w:styleId="47">
    <w:name w:val="Heading 5 Char"/>
    <w:basedOn w:val="37"/>
    <w:link w:val="6"/>
    <w:qFormat/>
    <w:uiPriority w:val="9"/>
    <w:rPr>
      <w:rFonts w:ascii="Arial" w:hAnsi="Arial" w:eastAsia="Arial" w:cs="Arial"/>
      <w:b/>
      <w:bCs/>
      <w:sz w:val="24"/>
      <w:szCs w:val="24"/>
    </w:rPr>
  </w:style>
  <w:style w:type="character" w:customStyle="1" w:styleId="48">
    <w:name w:val="Heading 6 Char"/>
    <w:basedOn w:val="37"/>
    <w:link w:val="7"/>
    <w:qFormat/>
    <w:uiPriority w:val="9"/>
    <w:rPr>
      <w:rFonts w:ascii="Arial" w:hAnsi="Arial" w:eastAsia="Arial" w:cs="Arial"/>
      <w:b/>
      <w:bCs/>
      <w:sz w:val="22"/>
      <w:szCs w:val="22"/>
    </w:rPr>
  </w:style>
  <w:style w:type="character" w:customStyle="1" w:styleId="49">
    <w:name w:val="Heading 7 Char"/>
    <w:basedOn w:val="37"/>
    <w:link w:val="8"/>
    <w:uiPriority w:val="9"/>
    <w:rPr>
      <w:rFonts w:ascii="Arial" w:hAnsi="Arial" w:eastAsia="Arial" w:cs="Arial"/>
      <w:b/>
      <w:bCs/>
      <w:i/>
      <w:iCs/>
      <w:sz w:val="22"/>
      <w:szCs w:val="22"/>
    </w:rPr>
  </w:style>
  <w:style w:type="character" w:customStyle="1" w:styleId="50">
    <w:name w:val="Heading 8 Char"/>
    <w:basedOn w:val="37"/>
    <w:link w:val="9"/>
    <w:qFormat/>
    <w:uiPriority w:val="9"/>
    <w:rPr>
      <w:rFonts w:ascii="Arial" w:hAnsi="Arial" w:eastAsia="Arial" w:cs="Arial"/>
      <w:i/>
      <w:iCs/>
      <w:sz w:val="22"/>
      <w:szCs w:val="22"/>
    </w:rPr>
  </w:style>
  <w:style w:type="character" w:customStyle="1" w:styleId="51">
    <w:name w:val="Heading 9 Char"/>
    <w:basedOn w:val="37"/>
    <w:link w:val="10"/>
    <w:qFormat/>
    <w:uiPriority w:val="9"/>
    <w:rPr>
      <w:rFonts w:ascii="Arial" w:hAnsi="Arial" w:eastAsia="Arial" w:cs="Arial"/>
      <w:i/>
      <w:iCs/>
      <w:sz w:val="21"/>
      <w:szCs w:val="21"/>
    </w:rPr>
  </w:style>
  <w:style w:type="paragraph" w:styleId="52">
    <w:name w:val="List Paragraph"/>
    <w:basedOn w:val="1"/>
    <w:qFormat/>
    <w:uiPriority w:val="34"/>
    <w:pPr>
      <w:ind w:left="720"/>
      <w:contextualSpacing/>
    </w:pPr>
  </w:style>
  <w:style w:type="paragraph" w:styleId="53">
    <w:name w:val="No Spacing"/>
    <w:qFormat/>
    <w:uiPriority w:val="1"/>
    <w:pPr>
      <w:spacing w:before="0" w:after="0" w:line="240" w:lineRule="auto"/>
    </w:pPr>
    <w:rPr>
      <w:rFonts w:hint="default" w:ascii="Times New Roman" w:hAnsi="Times New Roman" w:eastAsia="宋体" w:cs="Times New Roman"/>
    </w:rPr>
  </w:style>
  <w:style w:type="character" w:customStyle="1" w:styleId="54">
    <w:name w:val="Title Char"/>
    <w:basedOn w:val="37"/>
    <w:link w:val="34"/>
    <w:qFormat/>
    <w:uiPriority w:val="10"/>
    <w:rPr>
      <w:sz w:val="48"/>
      <w:szCs w:val="48"/>
    </w:rPr>
  </w:style>
  <w:style w:type="character" w:customStyle="1" w:styleId="55">
    <w:name w:val="Subtitle Char"/>
    <w:basedOn w:val="37"/>
    <w:link w:val="27"/>
    <w:qFormat/>
    <w:uiPriority w:val="11"/>
    <w:rPr>
      <w:sz w:val="24"/>
      <w:szCs w:val="24"/>
    </w:rPr>
  </w:style>
  <w:style w:type="paragraph" w:styleId="56">
    <w:name w:val="Quote"/>
    <w:basedOn w:val="1"/>
    <w:next w:val="1"/>
    <w:link w:val="57"/>
    <w:qFormat/>
    <w:uiPriority w:val="29"/>
    <w:pPr>
      <w:ind w:left="720" w:right="720"/>
    </w:pPr>
    <w:rPr>
      <w:i/>
    </w:rPr>
  </w:style>
  <w:style w:type="character" w:customStyle="1" w:styleId="57">
    <w:name w:val="Quote Char"/>
    <w:link w:val="56"/>
    <w:qFormat/>
    <w:uiPriority w:val="29"/>
    <w:rPr>
      <w:i/>
    </w:rPr>
  </w:style>
  <w:style w:type="paragraph" w:styleId="58">
    <w:name w:val="Intense Quote"/>
    <w:basedOn w:val="1"/>
    <w:next w:val="1"/>
    <w:link w:val="59"/>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9">
    <w:name w:val="Intense Quote Char"/>
    <w:link w:val="58"/>
    <w:qFormat/>
    <w:uiPriority w:val="30"/>
    <w:rPr>
      <w:i/>
    </w:rPr>
  </w:style>
  <w:style w:type="character" w:customStyle="1" w:styleId="60">
    <w:name w:val="Header Char"/>
    <w:basedOn w:val="37"/>
    <w:qFormat/>
    <w:uiPriority w:val="99"/>
  </w:style>
  <w:style w:type="character" w:customStyle="1" w:styleId="61">
    <w:name w:val="Footer Char"/>
    <w:basedOn w:val="37"/>
    <w:qFormat/>
    <w:uiPriority w:val="99"/>
  </w:style>
  <w:style w:type="character" w:customStyle="1" w:styleId="62">
    <w:name w:val="Caption Char"/>
    <w:qFormat/>
    <w:uiPriority w:val="99"/>
  </w:style>
  <w:style w:type="table" w:customStyle="1" w:styleId="63">
    <w:name w:val="Table Grid Light"/>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4">
    <w:name w:val="Plain Table 1"/>
    <w:basedOn w:val="35"/>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5">
    <w:name w:val="Plain Table 2"/>
    <w:basedOn w:val="35"/>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6">
    <w:name w:val="Plain Table 3"/>
    <w:basedOn w:val="35"/>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Plain Table 4"/>
    <w:basedOn w:val="35"/>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8">
    <w:name w:val="Plain Table 5"/>
    <w:basedOn w:val="3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9">
    <w:name w:val="Grid Table 1 Light"/>
    <w:basedOn w:val="35"/>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0">
    <w:name w:val="Grid Table 1 Light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b/>
        <w:color w:val="404040"/>
      </w:rPr>
      <w:tcPr>
        <w:tcBorders>
          <w:bottom w:val="single" w:color="9FC4E6"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71">
    <w:name w:val="Grid Table 1 Light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b/>
        <w:color w:val="404040"/>
      </w:rPr>
      <w:tcPr>
        <w:tcBorders>
          <w:bottom w:val="single" w:color="F4B38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72">
    <w:name w:val="Grid Table 1 Light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b/>
        <w:color w:val="404040"/>
      </w:rPr>
      <w:tcPr>
        <w:tcBorders>
          <w:bottom w:val="single" w:color="CACACA"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73">
    <w:name w:val="Grid Table 1 Light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b/>
        <w:color w:val="404040"/>
      </w:rPr>
      <w:tcPr>
        <w:tcBorders>
          <w:bottom w:val="single" w:color="FFDA69"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74">
    <w:name w:val="Grid Table 1 Light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b/>
        <w:color w:val="404040"/>
      </w:rPr>
      <w:tcPr>
        <w:tcBorders>
          <w:bottom w:val="single" w:color="91ACDC"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75">
    <w:name w:val="Grid Table 1 Light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b/>
        <w:color w:val="404040"/>
      </w:rPr>
      <w:tcPr>
        <w:tcBorders>
          <w:bottom w:val="single" w:color="AAD190"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table" w:customStyle="1" w:styleId="76">
    <w:name w:val="Grid Table 2"/>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7">
    <w:name w:val="Grid Table 2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single" w:color="68A3D8" w:themeColor="accent1" w:themeTint="EA" w:sz="12" w:space="0"/>
          <w:right w:val="nil"/>
        </w:tcBorders>
        <w:shd w:val="clear" w:color="FFFFFF" w:fill="auto"/>
      </w:tcPr>
    </w:tblStylePr>
    <w:tblStylePr w:type="lastRow">
      <w:rPr>
        <w:b/>
        <w:color w:val="404040"/>
      </w:rPr>
      <w:tcPr>
        <w:tcBorders>
          <w:top w:val="single" w:color="68A3D8"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78">
    <w:name w:val="Grid Table 2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single" w:color="F4B285" w:themeColor="accent2" w:themeTint="97" w:sz="12" w:space="0"/>
          <w:right w:val="nil"/>
        </w:tcBorders>
        <w:shd w:val="clear" w:color="FFFFFF" w:fill="auto"/>
      </w:tcPr>
    </w:tblStylePr>
    <w:tblStylePr w:type="lastRow">
      <w:rPr>
        <w:b/>
        <w:color w:val="404040"/>
      </w:rPr>
      <w:tcPr>
        <w:tcBorders>
          <w:top w:val="single" w:color="F4B28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79">
    <w:name w:val="Grid Table 2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single" w:color="A5A5A5" w:themeColor="accent3" w:themeTint="FE" w:sz="12" w:space="0"/>
          <w:right w:val="nil"/>
        </w:tcBorders>
        <w:shd w:val="clear" w:color="FFFFFF" w:fill="auto"/>
      </w:tcPr>
    </w:tblStylePr>
    <w:tblStylePr w:type="lastRow">
      <w:rPr>
        <w:b/>
        <w:color w:val="404040"/>
      </w:rPr>
      <w:tcPr>
        <w:tcBorders>
          <w:top w:val="single" w:color="A5A5A5"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0">
    <w:name w:val="Grid Table 2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single" w:color="FFD864" w:themeColor="accent4" w:themeTint="9A" w:sz="12" w:space="0"/>
          <w:right w:val="nil"/>
        </w:tcBorders>
        <w:shd w:val="clear" w:color="FFFFFF" w:fill="auto"/>
      </w:tcPr>
    </w:tblStylePr>
    <w:tblStylePr w:type="lastRow">
      <w:rPr>
        <w:b/>
        <w:color w:val="404040"/>
      </w:rPr>
      <w:tcPr>
        <w:tcBorders>
          <w:top w:val="single" w:color="FFD864"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1">
    <w:name w:val="Grid Table 2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single" w:color="4472C4" w:themeColor="accent5" w:sz="12" w:space="0"/>
          <w:right w:val="nil"/>
        </w:tcBorders>
        <w:shd w:val="clear" w:color="FFFFFF" w:fill="auto"/>
      </w:tcPr>
    </w:tblStylePr>
    <w:tblStylePr w:type="lastRow">
      <w:rPr>
        <w:b/>
        <w:color w:val="404040"/>
      </w:rPr>
      <w:tcPr>
        <w:tcBorders>
          <w:top w:val="single" w:color="4472C4"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2">
    <w:name w:val="Grid Table 2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single" w:color="70AD47" w:themeColor="accent6" w:sz="12" w:space="0"/>
          <w:right w:val="nil"/>
        </w:tcBorders>
        <w:shd w:val="clear" w:color="FFFFFF" w:fill="auto"/>
      </w:tcPr>
    </w:tblStylePr>
    <w:tblStylePr w:type="lastRow">
      <w:rPr>
        <w:b/>
        <w:color w:val="404040"/>
      </w:rPr>
      <w:tcPr>
        <w:tcBorders>
          <w:top w:val="single" w:color="70AD47"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83">
    <w:name w:val="Grid Table 3"/>
    <w:basedOn w:val="35"/>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4">
    <w:name w:val="Grid Table 3 - Accent 1"/>
    <w:basedOn w:val="35"/>
    <w:qFormat/>
    <w:uiPriority w:val="99"/>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DEAF6" w:themeColor="accent1" w:themeTint="34" w:fill="DDEAF6" w:themeFill="accent1" w:themeFillTint="34"/>
      </w:tcPr>
    </w:tblStylePr>
    <w:tblStylePr w:type="band1Horz">
      <w:rPr>
        <w:rFonts w:ascii="Arial" w:hAnsi="Arial"/>
        <w:color w:val="404040"/>
        <w:sz w:val="22"/>
      </w:rPr>
      <w:tcPr>
        <w:shd w:val="clear" w:color="DDEAF6" w:themeColor="accent1" w:themeTint="34" w:fill="DDEAF6" w:themeFill="accent1" w:themeFillTint="34"/>
      </w:tcPr>
    </w:tblStylePr>
  </w:style>
  <w:style w:type="table" w:customStyle="1" w:styleId="85">
    <w:name w:val="Grid Table 3 - Accent 2"/>
    <w:basedOn w:val="35"/>
    <w:qFormat/>
    <w:uiPriority w:val="99"/>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86">
    <w:name w:val="Grid Table 3 - Accent 3"/>
    <w:basedOn w:val="35"/>
    <w:qFormat/>
    <w:uiPriority w:val="99"/>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87">
    <w:name w:val="Grid Table 3 - Accent 4"/>
    <w:basedOn w:val="35"/>
    <w:qFormat/>
    <w:uiPriority w:val="99"/>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88">
    <w:name w:val="Grid Table 3 - Accent 5"/>
    <w:basedOn w:val="35"/>
    <w:qFormat/>
    <w:uiPriority w:val="99"/>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89">
    <w:name w:val="Grid Table 3 - Accent 6"/>
    <w:basedOn w:val="35"/>
    <w:qFormat/>
    <w:uiPriority w:val="99"/>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0">
    <w:name w:val="Grid Table 4"/>
    <w:basedOn w:val="35"/>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1">
    <w:name w:val="Grid Table 4 - Accent 1"/>
    <w:basedOn w:val="35"/>
    <w:qFormat/>
    <w:uiPriority w:val="5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firstRow">
      <w:rPr>
        <w:rFonts w:ascii="Arial" w:hAnsi="Arial"/>
        <w:b/>
        <w:color w:val="FFFFFF"/>
        <w:sz w:val="22"/>
      </w:rPr>
      <w:tcPr>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shd w:val="clear" w:color="68A3D8" w:themeColor="accent1" w:themeTint="EA" w:fill="68A3D8" w:themeFill="accent1" w:themeFillTint="EA"/>
      </w:tcPr>
    </w:tblStylePr>
    <w:tblStylePr w:type="lastRow">
      <w:rPr>
        <w:b/>
        <w:color w:val="404040"/>
      </w:rPr>
      <w:tcPr>
        <w:tcBorders>
          <w:top w:val="single" w:color="68A3D8"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EEBF6" w:themeColor="accent1" w:themeTint="32" w:fill="DEEBF6" w:themeFill="accent1" w:themeFillTint="32"/>
      </w:tcPr>
    </w:tblStylePr>
    <w:tblStylePr w:type="band1Horz">
      <w:rPr>
        <w:rFonts w:ascii="Arial" w:hAnsi="Arial"/>
        <w:color w:val="404040"/>
        <w:sz w:val="22"/>
      </w:rPr>
      <w:tcPr>
        <w:shd w:val="clear" w:color="DEEBF6" w:themeColor="accent1" w:themeTint="32" w:fill="DEEBF6" w:themeFill="accent1" w:themeFillTint="32"/>
      </w:tcPr>
    </w:tblStylePr>
  </w:style>
  <w:style w:type="table" w:customStyle="1" w:styleId="92">
    <w:name w:val="Grid Table 4 - Accent 2"/>
    <w:basedOn w:val="35"/>
    <w:qFormat/>
    <w:uiPriority w:val="5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firstRow">
      <w:rPr>
        <w:rFonts w:ascii="Arial" w:hAnsi="Arial"/>
        <w:b/>
        <w:color w:val="FFFFFF"/>
        <w:sz w:val="22"/>
      </w:rPr>
      <w:tcPr>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shd w:val="clear" w:color="F4B285" w:themeColor="accent2" w:themeTint="97" w:fill="F4B285" w:themeFill="accent2" w:themeFillTint="97"/>
      </w:tcPr>
    </w:tblStylePr>
    <w:tblStylePr w:type="lastRow">
      <w:rPr>
        <w:b/>
        <w:color w:val="404040"/>
      </w:rPr>
      <w:tcPr>
        <w:tcBorders>
          <w:top w:val="single" w:color="F4B28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cPr>
        <w:shd w:val="clear" w:color="FBE5D6" w:themeColor="accent2" w:themeTint="32" w:fill="FBE5D6" w:themeFill="accent2" w:themeFillTint="32"/>
      </w:tcPr>
    </w:tblStylePr>
  </w:style>
  <w:style w:type="table" w:customStyle="1" w:styleId="93">
    <w:name w:val="Grid Table 4 - Accent 3"/>
    <w:basedOn w:val="35"/>
    <w:qFormat/>
    <w:uiPriority w:val="5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firstRow">
      <w:rPr>
        <w:rFonts w:ascii="Arial" w:hAnsi="Arial"/>
        <w:b/>
        <w:color w:val="FFFFFF"/>
        <w:sz w:val="22"/>
      </w:rPr>
      <w:tcPr>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shd w:val="clear" w:color="A5A5A5" w:themeColor="accent3" w:themeTint="FE" w:fill="A5A5A5" w:themeFill="accent3" w:themeFillTint="FE"/>
      </w:tcPr>
    </w:tblStylePr>
    <w:tblStylePr w:type="lastRow">
      <w:rPr>
        <w:b/>
        <w:color w:val="404040"/>
      </w:rPr>
      <w:tcPr>
        <w:tcBorders>
          <w:top w:val="single" w:color="A5A5A5"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cPr>
        <w:shd w:val="clear" w:color="ECECEC" w:themeColor="accent3" w:themeTint="34" w:fill="ECECEC" w:themeFill="accent3" w:themeFillTint="34"/>
      </w:tcPr>
    </w:tblStylePr>
  </w:style>
  <w:style w:type="table" w:customStyle="1" w:styleId="94">
    <w:name w:val="Grid Table 4 - Accent 4"/>
    <w:basedOn w:val="35"/>
    <w:qFormat/>
    <w:uiPriority w:val="5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firstRow">
      <w:rPr>
        <w:rFonts w:ascii="Arial" w:hAnsi="Arial"/>
        <w:b/>
        <w:color w:val="FFFFFF"/>
        <w:sz w:val="22"/>
      </w:rPr>
      <w:tcPr>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shd w:val="clear" w:color="FFD864" w:themeColor="accent4" w:themeTint="9A" w:fill="FFD864" w:themeFill="accent4" w:themeFillTint="9A"/>
      </w:tcPr>
    </w:tblStylePr>
    <w:tblStylePr w:type="lastRow">
      <w:rPr>
        <w:b/>
        <w:color w:val="404040"/>
      </w:rPr>
      <w:tcPr>
        <w:tcBorders>
          <w:top w:val="single" w:color="FFD864"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cPr>
        <w:shd w:val="clear" w:color="FEF2CA" w:themeColor="accent4" w:themeTint="34" w:fill="FEF2CA" w:themeFill="accent4" w:themeFillTint="34"/>
      </w:tcPr>
    </w:tblStylePr>
  </w:style>
  <w:style w:type="table" w:customStyle="1" w:styleId="95">
    <w:name w:val="Grid Table 4 - Accent 5"/>
    <w:basedOn w:val="35"/>
    <w:uiPriority w:val="5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FFFFFF"/>
        <w:sz w:val="22"/>
      </w:rPr>
      <w:tcPr>
        <w:tcBorders>
          <w:top w:val="single" w:color="4472C4" w:themeColor="accent5" w:sz="4" w:space="0"/>
          <w:left w:val="single" w:color="4472C4" w:themeColor="accent5" w:sz="4" w:space="0"/>
          <w:bottom w:val="single" w:color="4472C4" w:themeColor="accent5" w:sz="4" w:space="0"/>
          <w:right w:val="single" w:color="4472C4" w:themeColor="accent5" w:sz="4" w:space="0"/>
        </w:tcBorders>
        <w:shd w:val="clear" w:color="4472C4" w:themeColor="accent5" w:fill="4472C4" w:themeFill="accent5"/>
      </w:tcPr>
    </w:tblStylePr>
    <w:tblStylePr w:type="lastRow">
      <w:rPr>
        <w:b/>
        <w:color w:val="404040"/>
      </w:rPr>
      <w:tcPr>
        <w:tcBorders>
          <w:top w:val="single" w:color="4472C4"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cPr>
        <w:shd w:val="clear" w:color="D8E2F2" w:themeColor="accent5" w:themeTint="34" w:fill="D8E2F2" w:themeFill="accent5" w:themeFillTint="34"/>
      </w:tcPr>
    </w:tblStylePr>
  </w:style>
  <w:style w:type="table" w:customStyle="1" w:styleId="96">
    <w:name w:val="Grid Table 4 - Accent 6"/>
    <w:basedOn w:val="35"/>
    <w:qFormat/>
    <w:uiPriority w:val="5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FFFFFF"/>
        <w:sz w:val="22"/>
      </w:rPr>
      <w:tcPr>
        <w:tcBorders>
          <w:top w:val="single" w:color="70AD47" w:themeColor="accent6" w:sz="4" w:space="0"/>
          <w:left w:val="single" w:color="70AD47" w:themeColor="accent6" w:sz="4" w:space="0"/>
          <w:bottom w:val="single" w:color="70AD47" w:themeColor="accent6" w:sz="4" w:space="0"/>
          <w:right w:val="single" w:color="70AD47" w:themeColor="accent6" w:sz="4" w:space="0"/>
        </w:tcBorders>
        <w:shd w:val="clear" w:color="70AD47" w:themeColor="accent6" w:fill="70AD47" w:themeFill="accent6"/>
      </w:tcPr>
    </w:tblStylePr>
    <w:tblStylePr w:type="lastRow">
      <w:rPr>
        <w:b/>
        <w:color w:val="404040"/>
      </w:rPr>
      <w:tcPr>
        <w:tcBorders>
          <w:top w:val="single" w:color="70AD47"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cPr>
        <w:shd w:val="clear" w:color="E1EFD8" w:themeColor="accent6" w:themeTint="34" w:fill="E1EFD8" w:themeFill="accent6" w:themeFillTint="34"/>
      </w:tcPr>
    </w:tblStylePr>
  </w:style>
  <w:style w:type="table" w:customStyle="1" w:styleId="97">
    <w:name w:val="Grid Table 5 Dark"/>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8">
    <w:name w:val="Grid Table 5 Dark- Accent 1"/>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tcBorders>
          <w:top w:val="single" w:color="FFFFFF" w:themeColor="light1" w:sz="4" w:space="0"/>
        </w:tcBorders>
        <w:shd w:val="clear" w:color="5B9BD5" w:themeColor="accent1" w:fill="5B9BD5" w:themeFill="accent1"/>
      </w:tcPr>
    </w:tblStylePr>
    <w:tblStylePr w:type="firstCol">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band1Vert">
      <w:tcPr>
        <w:shd w:val="clear" w:color="B3D1EB" w:themeColor="accent1" w:themeTint="75" w:fill="B3D1EB" w:themeFill="accent1" w:themeFillTint="75"/>
      </w:tcPr>
    </w:tblStylePr>
    <w:tblStylePr w:type="band1Horz">
      <w:tcPr>
        <w:shd w:val="clear" w:color="B3D1EB" w:themeColor="accent1" w:themeTint="75" w:fill="B3D1EB" w:themeFill="accent1" w:themeFillTint="75"/>
      </w:tcPr>
    </w:tblStylePr>
  </w:style>
  <w:style w:type="table" w:customStyle="1" w:styleId="99">
    <w:name w:val="Grid Table 5 Dark - Accent 2"/>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tcBorders>
          <w:top w:val="single" w:color="FFFFFF" w:themeColor="light1" w:sz="4" w:space="0"/>
        </w:tcBorders>
        <w:shd w:val="clear" w:color="ED7D31" w:themeColor="accent2" w:fill="ED7D31" w:themeFill="accent2"/>
      </w:tcPr>
    </w:tblStylePr>
    <w:tblStylePr w:type="firstCol">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band1Vert">
      <w:tcPr>
        <w:shd w:val="clear" w:color="F6C3A0" w:themeColor="accent2" w:themeTint="75" w:fill="F6C3A0" w:themeFill="accent2" w:themeFillTint="75"/>
      </w:tcPr>
    </w:tblStylePr>
    <w:tblStylePr w:type="band1Horz">
      <w:tcPr>
        <w:shd w:val="clear" w:color="F6C3A0" w:themeColor="accent2" w:themeTint="75" w:fill="F6C3A0" w:themeFill="accent2" w:themeFillTint="75"/>
      </w:tcPr>
    </w:tblStylePr>
  </w:style>
  <w:style w:type="table" w:customStyle="1" w:styleId="100">
    <w:name w:val="Grid Table 5 Dark - Accent 3"/>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tcBorders>
          <w:top w:val="single" w:color="FFFFFF" w:themeColor="light1" w:sz="4" w:space="0"/>
        </w:tcBorders>
        <w:shd w:val="clear" w:color="A5A5A5" w:themeColor="accent3" w:fill="A5A5A5" w:themeFill="accent3"/>
      </w:tcPr>
    </w:tblStylePr>
    <w:tblStylePr w:type="firstCol">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band1Vert">
      <w:tcPr>
        <w:shd w:val="clear" w:color="D5D5D5" w:themeColor="accent3" w:themeTint="75" w:fill="D5D5D5" w:themeFill="accent3" w:themeFillTint="75"/>
      </w:tcPr>
    </w:tblStylePr>
    <w:tblStylePr w:type="band1Horz">
      <w:tcPr>
        <w:shd w:val="clear" w:color="D5D5D5" w:themeColor="accent3" w:themeTint="75" w:fill="D5D5D5" w:themeFill="accent3" w:themeFillTint="75"/>
      </w:tcPr>
    </w:tblStylePr>
  </w:style>
  <w:style w:type="table" w:customStyle="1" w:styleId="101">
    <w:name w:val="Grid Table 5 Dark- Accent 4"/>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tcBorders>
          <w:top w:val="single" w:color="FFFFFF" w:themeColor="light1" w:sz="4" w:space="0"/>
        </w:tcBorders>
        <w:shd w:val="clear" w:color="FFC000" w:themeColor="accent4" w:fill="FFC000" w:themeFill="accent4"/>
      </w:tcPr>
    </w:tblStylePr>
    <w:tblStylePr w:type="firstCol">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band1Vert">
      <w:tcPr>
        <w:shd w:val="clear" w:color="FEE289" w:themeColor="accent4" w:themeTint="75" w:fill="FEE289" w:themeFill="accent4" w:themeFillTint="75"/>
      </w:tcPr>
    </w:tblStylePr>
    <w:tblStylePr w:type="band1Horz">
      <w:tcPr>
        <w:shd w:val="clear" w:color="FEE289" w:themeColor="accent4" w:themeTint="75" w:fill="FEE289" w:themeFill="accent4" w:themeFillTint="75"/>
      </w:tcPr>
    </w:tblStylePr>
  </w:style>
  <w:style w:type="table" w:customStyle="1" w:styleId="102">
    <w:name w:val="Grid Table 5 Dark - Accent 5"/>
    <w:basedOn w:val="35"/>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tcBorders>
          <w:top w:val="single" w:color="FFFFFF" w:themeColor="light1" w:sz="4" w:space="0"/>
        </w:tcBorders>
        <w:shd w:val="clear" w:color="4472C4" w:themeColor="accent5" w:fill="4472C4" w:themeFill="accent5"/>
      </w:tcPr>
    </w:tblStylePr>
    <w:tblStylePr w:type="firstCol">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band1Vert">
      <w:tcPr>
        <w:shd w:val="clear" w:color="A9BEE3" w:themeColor="accent5" w:themeTint="75" w:fill="A9BEE3" w:themeFill="accent5" w:themeFillTint="75"/>
      </w:tcPr>
    </w:tblStylePr>
    <w:tblStylePr w:type="band1Horz">
      <w:tcPr>
        <w:shd w:val="clear" w:color="A9BEE3" w:themeColor="accent5" w:themeTint="75" w:fill="A9BEE3" w:themeFill="accent5" w:themeFillTint="75"/>
      </w:tcPr>
    </w:tblStylePr>
  </w:style>
  <w:style w:type="table" w:customStyle="1" w:styleId="103">
    <w:name w:val="Grid Table 5 Dark - Accent 6"/>
    <w:basedOn w:val="3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tcBorders>
          <w:top w:val="single" w:color="FFFFFF" w:themeColor="light1" w:sz="4" w:space="0"/>
        </w:tcBorders>
        <w:shd w:val="clear" w:color="70AD47" w:themeColor="accent6" w:fill="70AD47" w:themeFill="accent6"/>
      </w:tcPr>
    </w:tblStylePr>
    <w:tblStylePr w:type="firstCol">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band1Vert">
      <w:tcPr>
        <w:shd w:val="clear" w:color="BCDBA8" w:themeColor="accent6" w:themeTint="75" w:fill="BCDBA8" w:themeFill="accent6" w:themeFillTint="75"/>
      </w:tcPr>
    </w:tblStylePr>
    <w:tblStylePr w:type="band1Horz">
      <w:tcPr>
        <w:shd w:val="clear" w:color="BCDBA8" w:themeColor="accent6" w:themeTint="75" w:fill="BCDBA8" w:themeFill="accent6" w:themeFillTint="75"/>
      </w:tcPr>
    </w:tblStylePr>
  </w:style>
  <w:style w:type="table" w:customStyle="1" w:styleId="104">
    <w:name w:val="Grid Table 6 Colorful"/>
    <w:basedOn w:val="35"/>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5">
    <w:name w:val="Grid Table 6 Colorful - Accent 1"/>
    <w:basedOn w:val="35"/>
    <w:qFormat/>
    <w:uiPriority w:val="99"/>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Row">
      <w:rPr>
        <w:b/>
        <w:color w:val="ADCDEA" w:themeColor="accent1" w:themeTint="80"/>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lastCol">
      <w:rPr>
        <w:b/>
        <w:color w:val="ADCDEA" w:themeColor="accent1" w:themeTint="80"/>
        <w14:textFill>
          <w14:solidFill>
            <w14:schemeClr w14:val="accent1">
              <w14:lumMod w14:val="50000"/>
              <w14:lumOff w14:val="50000"/>
            </w14:schemeClr>
          </w14:solidFill>
        </w14:textFill>
      </w:r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06">
    <w:name w:val="Grid Table 6 Colorful - Accent 2"/>
    <w:basedOn w:val="35"/>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Row">
      <w:rPr>
        <w:b/>
        <w:color w:val="F4B285" w:themeColor="accent2" w:themeTint="96"/>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07">
    <w:name w:val="Grid Table 6 Colorful - Accent 3"/>
    <w:basedOn w:val="35"/>
    <w:qFormat/>
    <w:uiPriority w:val="99"/>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Row">
      <w:rPr>
        <w:b/>
        <w:color w:val="A5A5A5" w:themeColor="accent3" w:themeTint="FF"/>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lastCol">
      <w:rPr>
        <w:b/>
        <w:color w:val="A5A5A5" w:themeColor="accent3" w:themeTint="FF"/>
        <w14:textFill>
          <w14:solidFill>
            <w14:schemeClr w14:val="accent3">
              <w14:lumMod w14:val="100000"/>
              <w14:lumOff w14:val="0"/>
            </w14:schemeClr>
          </w14:solidFill>
        </w14:textFill>
      </w:r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08">
    <w:name w:val="Grid Table 6 Colorful - Accent 4"/>
    <w:basedOn w:val="35"/>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Row">
      <w:rPr>
        <w:b/>
        <w:color w:val="FFD966" w:themeColor="accent4" w:themeTint="99"/>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09">
    <w:name w:val="Grid Table 6 Colorful - Accent 5"/>
    <w:basedOn w:val="35"/>
    <w:qFormat/>
    <w:uiPriority w:val="99"/>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firstRow">
      <w:rPr>
        <w:b/>
        <w:color w:val="254174" w:themeColor="accent5" w:themeShade="94"/>
      </w:rPr>
      <w:tcPr>
        <w:tcBorders>
          <w:bottom w:val="single" w:color="4472C4" w:themeColor="accent5"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0">
    <w:name w:val="Grid Table 6 Colorful - Accent 6"/>
    <w:basedOn w:val="35"/>
    <w:qFormat/>
    <w:uiPriority w:val="99"/>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firstRow">
      <w:rPr>
        <w:b/>
        <w:color w:val="254174" w:themeColor="accent5" w:themeShade="94"/>
      </w:rPr>
      <w:tcPr>
        <w:tcBorders>
          <w:bottom w:val="single" w:color="70AD47" w:themeColor="accent6" w:sz="12" w:space="0"/>
        </w:tcBorders>
      </w:tcPr>
    </w:tblStylePr>
    <w:tblStylePr w:type="lastRow">
      <w:rPr>
        <w:b/>
        <w:color w:val="254174" w:themeColor="accent5" w:themeShade="94"/>
      </w:rPr>
    </w:tblStylePr>
    <w:tblStylePr w:type="firstCol">
      <w:rPr>
        <w:b/>
        <w:color w:val="254174" w:themeColor="accent5" w:themeShade="94"/>
      </w:rPr>
    </w:tblStylePr>
    <w:tblStylePr w:type="lastCol">
      <w:rPr>
        <w:b/>
        <w:color w:val="254174" w:themeColor="accent5" w:themeShade="94"/>
      </w:rPr>
    </w:tblStylePr>
    <w:tblStylePr w:type="band1Vert">
      <w:tcPr>
        <w:shd w:val="clear" w:color="E1EFD8" w:themeColor="accent6" w:themeTint="34" w:fill="E1EFD8" w:themeFill="accent6" w:themeFillTint="34"/>
      </w:tcPr>
    </w:tblStyle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2Horz">
      <w:rPr>
        <w:rFonts w:ascii="Arial" w:hAnsi="Arial"/>
        <w:color w:val="254174" w:themeColor="accent5" w:themeShade="94"/>
        <w:sz w:val="22"/>
      </w:rPr>
    </w:tblStylePr>
  </w:style>
  <w:style w:type="table" w:customStyle="1" w:styleId="111">
    <w:name w:val="Grid Table 7 Colorful"/>
    <w:basedOn w:val="35"/>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2">
    <w:name w:val="Grid Table 7 Colorful - Accent 1"/>
    <w:basedOn w:val="35"/>
    <w:qFormat/>
    <w:uiPriority w:val="99"/>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firstRow">
      <w:rPr>
        <w:rFonts w:ascii="Arial" w:hAnsi="Arial"/>
        <w:b/>
        <w:color w:val="ADCDEA" w:themeColor="accent1" w:themeTint="80"/>
        <w:sz w:val="22"/>
        <w14:textFill>
          <w14:solidFill>
            <w14:schemeClr w14:val="accent1">
              <w14:lumMod w14:val="50000"/>
              <w14:lumOff w14:val="50000"/>
            </w14:schemeClr>
          </w14:solidFill>
        </w14:textFill>
      </w:rPr>
      <w:tcPr>
        <w:tcBorders>
          <w:top w:val="nil"/>
          <w:left w:val="nil"/>
          <w:bottom w:val="single" w:color="ACCCE9" w:themeColor="accent1" w:themeTint="80" w:sz="4" w:space="0"/>
          <w:right w:val="nil"/>
        </w:tcBorders>
        <w:shd w:val="clear" w:color="FFFFFF" w:themeColor="light1" w:fill="FFFFFF" w:themeFill="light1"/>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tcBorders>
          <w:top w:val="single" w:color="ACCCE9"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nil"/>
          <w:bottom w:val="nil"/>
          <w:right w:val="single" w:color="ACCCE9" w:themeColor="accent1" w:themeTint="80" w:sz="4" w:space="0"/>
        </w:tcBorders>
        <w:shd w:val="clear" w:color="FFFFFF" w:fill="auto"/>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tcBorders>
          <w:top w:val="nil"/>
          <w:left w:val="single" w:color="ACCCE9" w:themeColor="accent1" w:themeTint="80" w:sz="4" w:space="0"/>
          <w:bottom w:val="nil"/>
          <w:right w:val="nil"/>
        </w:tcBorders>
        <w:shd w:val="clear" w:color="FFFFFF" w:fill="auto"/>
      </w:tcPr>
    </w:tblStylePr>
    <w:tblStylePr w:type="band1Vert">
      <w:tcPr>
        <w:shd w:val="clear" w:color="DDEAF6" w:themeColor="accent1" w:themeTint="34" w:fill="DDEAF6" w:themeFill="accent1" w:themeFillTint="34"/>
      </w:tcPr>
    </w:tblStyle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style>
  <w:style w:type="table" w:customStyle="1" w:styleId="113">
    <w:name w:val="Grid Table 7 Colorful - Accent 2"/>
    <w:basedOn w:val="35"/>
    <w:uiPriority w:val="99"/>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firstRow">
      <w:rPr>
        <w:rFonts w:ascii="Arial" w:hAnsi="Arial"/>
        <w:b/>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BE5D6" w:themeColor="accent2" w:themeTint="32" w:fill="FBE5D6" w:themeFill="accent2" w:themeFillTint="32"/>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14">
    <w:name w:val="Grid Table 7 Colorful - Accent 3"/>
    <w:basedOn w:val="35"/>
    <w:uiPriority w:val="99"/>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firstRow">
      <w:rPr>
        <w:rFonts w:ascii="Arial" w:hAnsi="Arial"/>
        <w:b/>
        <w:color w:val="A5A5A5" w:themeColor="accent3" w:themeTint="FF"/>
        <w:sz w:val="22"/>
        <w14:textFill>
          <w14:solidFill>
            <w14:schemeClr w14:val="accent3">
              <w14:lumMod w14:val="100000"/>
              <w14:lumOff w14:val="0"/>
            </w14:schemeClr>
          </w14:solidFill>
        </w14:textFill>
      </w:rPr>
      <w:tcPr>
        <w:tcBorders>
          <w:top w:val="nil"/>
          <w:left w:val="nil"/>
          <w:bottom w:val="single" w:color="A5A5A5" w:themeColor="accent3" w:themeTint="FE" w:sz="4" w:space="0"/>
          <w:right w:val="nil"/>
        </w:tcBorders>
        <w:shd w:val="clear" w:color="FFFFFF" w:themeColor="light1" w:fill="FFFFFF" w:themeFill="light1"/>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tcBorders>
          <w:top w:val="single" w:color="A5A5A5"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A5A5A5" w:themeColor="accent3" w:themeTint="FF"/>
        <w:sz w:val="22"/>
        <w14:textFill>
          <w14:solidFill>
            <w14:schemeClr w14:val="accent3">
              <w14:lumMod w14:val="100000"/>
              <w14:lumOff w14:val="0"/>
            </w14:schemeClr>
          </w14:solidFill>
        </w14:textFill>
      </w:rPr>
      <w:tcPr>
        <w:tcBorders>
          <w:top w:val="nil"/>
          <w:left w:val="nil"/>
          <w:bottom w:val="nil"/>
          <w:right w:val="single" w:color="A5A5A5" w:themeColor="accent3" w:themeTint="FE" w:sz="4" w:space="0"/>
        </w:tcBorders>
        <w:shd w:val="clear" w:color="FFFFFF" w:fill="auto"/>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tcBorders>
          <w:top w:val="nil"/>
          <w:left w:val="single" w:color="A5A5A5" w:themeColor="accent3" w:themeTint="FE" w:sz="4" w:space="0"/>
          <w:bottom w:val="nil"/>
          <w:right w:val="nil"/>
        </w:tcBorders>
        <w:shd w:val="clear" w:color="FFFFFF" w:fill="auto"/>
      </w:tcPr>
    </w:tblStylePr>
    <w:tblStylePr w:type="band1Vert">
      <w:tcPr>
        <w:shd w:val="clear" w:color="ECECEC" w:themeColor="accent3" w:themeTint="34" w:fill="ECECEC" w:themeFill="accent3" w:themeFillTint="34"/>
      </w:tcPr>
    </w:tblStyle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style>
  <w:style w:type="table" w:customStyle="1" w:styleId="115">
    <w:name w:val="Grid Table 7 Colorful - Accent 4"/>
    <w:basedOn w:val="35"/>
    <w:uiPriority w:val="99"/>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firstRow">
      <w:rPr>
        <w:rFonts w:ascii="Arial" w:hAnsi="Arial"/>
        <w:b/>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EF2CA" w:themeColor="accent4" w:themeTint="34" w:fill="FEF2CA" w:themeFill="accent4" w:themeFillTint="34"/>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16">
    <w:name w:val="Grid Table 7 Colorful - Accent 5"/>
    <w:basedOn w:val="35"/>
    <w:qFormat/>
    <w:uiPriority w:val="99"/>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firstRow">
      <w:rPr>
        <w:rFonts w:ascii="Arial" w:hAnsi="Arial"/>
        <w:b/>
        <w:color w:val="254174" w:themeColor="accent5" w:themeShade="94"/>
        <w:sz w:val="22"/>
      </w:rPr>
      <w:tcPr>
        <w:tcBorders>
          <w:top w:val="nil"/>
          <w:left w:val="nil"/>
          <w:bottom w:val="single" w:color="95AFDD" w:themeColor="accent5" w:themeTint="90" w:sz="4" w:space="0"/>
          <w:right w:val="nil"/>
        </w:tcBorders>
        <w:shd w:val="clear" w:color="FFFFFF" w:themeColor="light1" w:fill="FFFFFF" w:themeFill="light1"/>
      </w:tcPr>
    </w:tblStylePr>
    <w:tblStylePr w:type="lastRow">
      <w:rPr>
        <w:rFonts w:ascii="Arial" w:hAnsi="Arial"/>
        <w:b/>
        <w:color w:val="254174" w:themeColor="accent5" w:themeShade="94"/>
        <w:sz w:val="22"/>
      </w:rPr>
      <w:tcPr>
        <w:tcBorders>
          <w:top w:val="single" w:color="95AFDD"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54174" w:themeColor="accent5" w:themeShade="94"/>
        <w:sz w:val="22"/>
      </w:rPr>
      <w:tcPr>
        <w:tcBorders>
          <w:top w:val="nil"/>
          <w:left w:val="nil"/>
          <w:bottom w:val="nil"/>
          <w:right w:val="single" w:color="95AFDD" w:themeColor="accent5" w:themeTint="90" w:sz="4" w:space="0"/>
        </w:tcBorders>
        <w:shd w:val="clear" w:color="FFFFFF" w:fill="auto"/>
      </w:tcPr>
    </w:tblStylePr>
    <w:tblStylePr w:type="lastCol">
      <w:rPr>
        <w:rFonts w:ascii="Arial" w:hAnsi="Arial"/>
        <w:i/>
        <w:color w:val="254174" w:themeColor="accent5" w:themeShade="94"/>
        <w:sz w:val="22"/>
      </w:rPr>
      <w:tcPr>
        <w:tcBorders>
          <w:top w:val="nil"/>
          <w:left w:val="single" w:color="95AFDD" w:themeColor="accent5" w:themeTint="90" w:sz="4" w:space="0"/>
          <w:bottom w:val="nil"/>
          <w:right w:val="nil"/>
        </w:tcBorders>
        <w:shd w:val="clear" w:color="FFFFFF" w:fill="auto"/>
      </w:tcPr>
    </w:tblStylePr>
    <w:tblStylePr w:type="band1Vert">
      <w:tcPr>
        <w:shd w:val="clear" w:color="D8E2F2" w:themeColor="accent5" w:themeTint="34" w:fill="D8E2F2" w:themeFill="accent5" w:themeFillTint="34"/>
      </w:tcPr>
    </w:tblStyle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2Horz">
      <w:rPr>
        <w:rFonts w:ascii="Arial" w:hAnsi="Arial"/>
        <w:color w:val="254174" w:themeColor="accent5" w:themeShade="94"/>
        <w:sz w:val="22"/>
      </w:rPr>
    </w:tblStylePr>
  </w:style>
  <w:style w:type="table" w:customStyle="1" w:styleId="117">
    <w:name w:val="Grid Table 7 Colorful - Accent 6"/>
    <w:basedOn w:val="35"/>
    <w:uiPriority w:val="99"/>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firstRow">
      <w:rPr>
        <w:rFonts w:ascii="Arial" w:hAnsi="Arial"/>
        <w:b/>
        <w:color w:val="416429" w:themeColor="accent6" w:themeShade="94"/>
        <w:sz w:val="22"/>
      </w:rPr>
      <w:tcPr>
        <w:tcBorders>
          <w:top w:val="nil"/>
          <w:left w:val="nil"/>
          <w:bottom w:val="single" w:color="ADD394" w:themeColor="accent6" w:themeTint="90" w:sz="4" w:space="0"/>
          <w:right w:val="nil"/>
        </w:tcBorders>
        <w:shd w:val="clear" w:color="FFFFFF" w:themeColor="light1" w:fill="FFFFFF" w:themeFill="light1"/>
      </w:tcPr>
    </w:tblStylePr>
    <w:tblStylePr w:type="lastRow">
      <w:rPr>
        <w:rFonts w:ascii="Arial" w:hAnsi="Arial"/>
        <w:b/>
        <w:color w:val="416429" w:themeColor="accent6" w:themeShade="94"/>
        <w:sz w:val="22"/>
      </w:rPr>
      <w:tcPr>
        <w:tcBorders>
          <w:top w:val="single" w:color="ADD394"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416429" w:themeColor="accent6" w:themeShade="94"/>
        <w:sz w:val="22"/>
      </w:rPr>
      <w:tcPr>
        <w:tcBorders>
          <w:top w:val="nil"/>
          <w:left w:val="nil"/>
          <w:bottom w:val="nil"/>
          <w:right w:val="single" w:color="ADD394" w:themeColor="accent6" w:themeTint="90" w:sz="4" w:space="0"/>
        </w:tcBorders>
        <w:shd w:val="clear" w:color="FFFFFF" w:fill="auto"/>
      </w:tcPr>
    </w:tblStylePr>
    <w:tblStylePr w:type="lastCol">
      <w:rPr>
        <w:rFonts w:ascii="Arial" w:hAnsi="Arial"/>
        <w:i/>
        <w:color w:val="416429" w:themeColor="accent6" w:themeShade="94"/>
        <w:sz w:val="22"/>
      </w:rPr>
      <w:tcPr>
        <w:tcBorders>
          <w:top w:val="nil"/>
          <w:left w:val="single" w:color="ADD394" w:themeColor="accent6" w:themeTint="90" w:sz="4" w:space="0"/>
          <w:bottom w:val="nil"/>
          <w:right w:val="nil"/>
        </w:tcBorders>
        <w:shd w:val="clear" w:color="FFFFFF" w:fill="auto"/>
      </w:tcPr>
    </w:tblStylePr>
    <w:tblStylePr w:type="band1Vert">
      <w:tcPr>
        <w:shd w:val="clear" w:color="E1EFD8" w:themeColor="accent6" w:themeTint="34" w:fill="E1EFD8" w:themeFill="accent6" w:themeFillTint="34"/>
      </w:tcPr>
    </w:tblStyle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2Horz">
      <w:rPr>
        <w:rFonts w:ascii="Arial" w:hAnsi="Arial"/>
        <w:color w:val="416429" w:themeColor="accent6" w:themeShade="94"/>
        <w:sz w:val="22"/>
      </w:rPr>
    </w:tblStylePr>
  </w:style>
  <w:style w:type="table" w:customStyle="1" w:styleId="118">
    <w:name w:val="List Table 1 Light"/>
    <w:basedOn w:val="35"/>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9">
    <w:name w:val="List Table 1 Light - Accent 1"/>
    <w:basedOn w:val="35"/>
    <w:qFormat/>
    <w:uiPriority w:val="99"/>
    <w:pPr>
      <w:spacing w:after="0" w:line="240" w:lineRule="auto"/>
    </w:pPr>
    <w:tblStylePr w:type="firstRow">
      <w:rPr>
        <w:b/>
        <w:color w:val="404040"/>
      </w:rPr>
      <w:tcPr>
        <w:tcBorders>
          <w:top w:val="nil"/>
          <w:left w:val="nil"/>
          <w:bottom w:val="single" w:color="5B9BD5" w:themeColor="accent1" w:sz="4" w:space="0"/>
          <w:right w:val="nil"/>
        </w:tcBorders>
      </w:tcPr>
    </w:tblStylePr>
    <w:tblStylePr w:type="lastRow">
      <w:rPr>
        <w:b/>
        <w:color w:val="404040"/>
      </w:rPr>
      <w:tcPr>
        <w:tcBorders>
          <w:top w:val="single" w:color="5B9BD5"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5E5F4" w:themeColor="accent1" w:themeTint="40" w:fill="D5E5F4" w:themeFill="accent1" w:themeFillTint="40"/>
      </w:tcPr>
    </w:tblStylePr>
    <w:tblStylePr w:type="band1Horz">
      <w:tcPr>
        <w:shd w:val="clear" w:color="D5E5F4" w:themeColor="accent1" w:themeTint="40" w:fill="D5E5F4" w:themeFill="accent1" w:themeFillTint="40"/>
      </w:tcPr>
    </w:tblStylePr>
  </w:style>
  <w:style w:type="table" w:customStyle="1" w:styleId="120">
    <w:name w:val="List Table 1 Light - Accent 2"/>
    <w:basedOn w:val="35"/>
    <w:qFormat/>
    <w:uiPriority w:val="99"/>
    <w:pPr>
      <w:spacing w:after="0" w:line="240" w:lineRule="auto"/>
    </w:pPr>
    <w:tblStylePr w:type="firstRow">
      <w:rPr>
        <w:b/>
        <w:color w:val="404040"/>
      </w:rPr>
      <w:tcPr>
        <w:tcBorders>
          <w:top w:val="nil"/>
          <w:left w:val="nil"/>
          <w:bottom w:val="single" w:color="ED7D31" w:themeColor="accent2" w:sz="4" w:space="0"/>
          <w:right w:val="nil"/>
        </w:tcBorders>
      </w:tcPr>
    </w:tblStylePr>
    <w:tblStylePr w:type="lastRow">
      <w:rPr>
        <w:b/>
        <w:color w:val="404040"/>
      </w:rPr>
      <w:tcPr>
        <w:tcBorders>
          <w:top w:val="single" w:color="ED7D31"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ADECB" w:themeColor="accent2" w:themeTint="40" w:fill="FADECB" w:themeFill="accent2" w:themeFillTint="40"/>
      </w:tcPr>
    </w:tblStylePr>
    <w:tblStylePr w:type="band1Horz">
      <w:tcPr>
        <w:shd w:val="clear" w:color="FADECB" w:themeColor="accent2" w:themeTint="40" w:fill="FADECB" w:themeFill="accent2" w:themeFillTint="40"/>
      </w:tcPr>
    </w:tblStylePr>
  </w:style>
  <w:style w:type="table" w:customStyle="1" w:styleId="121">
    <w:name w:val="List Table 1 Light - Accent 3"/>
    <w:basedOn w:val="35"/>
    <w:qFormat/>
    <w:uiPriority w:val="99"/>
    <w:pPr>
      <w:spacing w:after="0" w:line="240" w:lineRule="auto"/>
    </w:pPr>
    <w:tblStylePr w:type="firstRow">
      <w:rPr>
        <w:b/>
        <w:color w:val="404040"/>
      </w:rPr>
      <w:tcPr>
        <w:tcBorders>
          <w:top w:val="nil"/>
          <w:left w:val="nil"/>
          <w:bottom w:val="single" w:color="A5A5A5" w:themeColor="accent3" w:sz="4" w:space="0"/>
          <w:right w:val="nil"/>
        </w:tcBorders>
      </w:tcPr>
    </w:tblStylePr>
    <w:tblStylePr w:type="lastRow">
      <w:rPr>
        <w:b/>
        <w:color w:val="404040"/>
      </w:rPr>
      <w:tcPr>
        <w:tcBorders>
          <w:top w:val="single" w:color="A5A5A5"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8E8E8" w:themeColor="accent3" w:themeTint="40" w:fill="E8E8E8" w:themeFill="accent3" w:themeFillTint="40"/>
      </w:tcPr>
    </w:tblStylePr>
    <w:tblStylePr w:type="band1Horz">
      <w:tcPr>
        <w:shd w:val="clear" w:color="E8E8E8" w:themeColor="accent3" w:themeTint="40" w:fill="E8E8E8" w:themeFill="accent3" w:themeFillTint="40"/>
      </w:tcPr>
    </w:tblStylePr>
  </w:style>
  <w:style w:type="table" w:customStyle="1" w:styleId="122">
    <w:name w:val="List Table 1 Light - Accent 4"/>
    <w:basedOn w:val="35"/>
    <w:qFormat/>
    <w:uiPriority w:val="99"/>
    <w:pPr>
      <w:spacing w:after="0" w:line="240" w:lineRule="auto"/>
    </w:pPr>
    <w:tblStylePr w:type="firstRow">
      <w:rPr>
        <w:b/>
        <w:color w:val="404040"/>
      </w:rPr>
      <w:tcPr>
        <w:tcBorders>
          <w:top w:val="nil"/>
          <w:left w:val="nil"/>
          <w:bottom w:val="single" w:color="FFC000" w:themeColor="accent4" w:sz="4" w:space="0"/>
          <w:right w:val="nil"/>
        </w:tcBorders>
      </w:tcPr>
    </w:tblStylePr>
    <w:tblStylePr w:type="lastRow">
      <w:rPr>
        <w:b/>
        <w:color w:val="404040"/>
      </w:rPr>
      <w:tcPr>
        <w:tcBorders>
          <w:top w:val="single" w:color="FFC000"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FEFBE" w:themeColor="accent4" w:themeTint="40" w:fill="FFEFBE" w:themeFill="accent4" w:themeFillTint="40"/>
      </w:tcPr>
    </w:tblStylePr>
    <w:tblStylePr w:type="band1Horz">
      <w:tcPr>
        <w:shd w:val="clear" w:color="FFEFBE" w:themeColor="accent4" w:themeTint="40" w:fill="FFEFBE" w:themeFill="accent4" w:themeFillTint="40"/>
      </w:tcPr>
    </w:tblStylePr>
  </w:style>
  <w:style w:type="table" w:customStyle="1" w:styleId="123">
    <w:name w:val="List Table 1 Light - Accent 5"/>
    <w:basedOn w:val="35"/>
    <w:qFormat/>
    <w:uiPriority w:val="99"/>
    <w:pPr>
      <w:spacing w:after="0" w:line="240" w:lineRule="auto"/>
    </w:pPr>
    <w:tblStylePr w:type="firstRow">
      <w:rPr>
        <w:b/>
        <w:color w:val="404040"/>
      </w:rPr>
      <w:tcPr>
        <w:tcBorders>
          <w:top w:val="nil"/>
          <w:left w:val="nil"/>
          <w:bottom w:val="single" w:color="4472C4" w:themeColor="accent5" w:sz="4" w:space="0"/>
          <w:right w:val="nil"/>
        </w:tcBorders>
      </w:tcPr>
    </w:tblStylePr>
    <w:tblStylePr w:type="lastRow">
      <w:rPr>
        <w:b/>
        <w:color w:val="404040"/>
      </w:rPr>
      <w:tcPr>
        <w:tcBorders>
          <w:top w:val="single" w:color="4472C4"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0DBF0" w:themeColor="accent5" w:themeTint="40" w:fill="D0DBF0" w:themeFill="accent5" w:themeFillTint="40"/>
      </w:tcPr>
    </w:tblStylePr>
    <w:tblStylePr w:type="band1Horz">
      <w:tcPr>
        <w:shd w:val="clear" w:color="D0DBF0" w:themeColor="accent5" w:themeTint="40" w:fill="D0DBF0" w:themeFill="accent5" w:themeFillTint="40"/>
      </w:tcPr>
    </w:tblStylePr>
  </w:style>
  <w:style w:type="table" w:customStyle="1" w:styleId="124">
    <w:name w:val="List Table 1 Light - Accent 6"/>
    <w:basedOn w:val="35"/>
    <w:qFormat/>
    <w:uiPriority w:val="99"/>
    <w:pPr>
      <w:spacing w:after="0" w:line="240" w:lineRule="auto"/>
    </w:pPr>
    <w:tblStylePr w:type="firstRow">
      <w:rPr>
        <w:b/>
        <w:color w:val="404040"/>
      </w:rPr>
      <w:tcPr>
        <w:tcBorders>
          <w:top w:val="nil"/>
          <w:left w:val="nil"/>
          <w:bottom w:val="single" w:color="70AD47" w:themeColor="accent6" w:sz="4" w:space="0"/>
          <w:right w:val="nil"/>
        </w:tcBorders>
      </w:tcPr>
    </w:tblStylePr>
    <w:tblStylePr w:type="lastRow">
      <w:rPr>
        <w:b/>
        <w:color w:val="404040"/>
      </w:rPr>
      <w:tcPr>
        <w:tcBorders>
          <w:top w:val="single" w:color="70AD47"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AEBCF" w:themeColor="accent6" w:themeTint="40" w:fill="DAEBCF" w:themeFill="accent6" w:themeFillTint="40"/>
      </w:tcPr>
    </w:tblStylePr>
    <w:tblStylePr w:type="band1Horz">
      <w:tcPr>
        <w:shd w:val="clear" w:color="DAEBCF" w:themeColor="accent6" w:themeTint="40" w:fill="DAEBCF" w:themeFill="accent6" w:themeFillTint="40"/>
      </w:tcPr>
    </w:tblStylePr>
  </w:style>
  <w:style w:type="table" w:customStyle="1" w:styleId="125">
    <w:name w:val="List Table 2"/>
    <w:basedOn w:val="3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6">
    <w:name w:val="List Table 2 - Accent 1"/>
    <w:basedOn w:val="35"/>
    <w:qFormat/>
    <w:uiPriority w:val="99"/>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fir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lastRow">
      <w:rPr>
        <w:rFonts w:ascii="Arial" w:hAnsi="Arial"/>
        <w:b/>
        <w:color w:val="404040"/>
        <w:sz w:val="22"/>
      </w:rPr>
      <w:tcPr>
        <w:tcBorders>
          <w:top w:val="single" w:color="A2C6E7" w:themeColor="accent1" w:themeTint="90" w:sz="4" w:space="0"/>
          <w:left w:val="nil"/>
          <w:bottom w:val="single" w:color="A2C6E7"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27">
    <w:name w:val="List Table 2 - Accent 2"/>
    <w:basedOn w:val="35"/>
    <w:qFormat/>
    <w:uiPriority w:val="99"/>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fir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lastRow">
      <w:rPr>
        <w:rFonts w:ascii="Arial" w:hAnsi="Arial"/>
        <w:b/>
        <w:color w:val="404040"/>
        <w:sz w:val="22"/>
      </w:rPr>
      <w:tcPr>
        <w:tcBorders>
          <w:top w:val="single" w:color="F4B58A" w:themeColor="accent2" w:themeTint="90" w:sz="4" w:space="0"/>
          <w:left w:val="nil"/>
          <w:bottom w:val="single" w:color="F4B58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28">
    <w:name w:val="List Table 2 - Accent 3"/>
    <w:basedOn w:val="35"/>
    <w:uiPriority w:val="99"/>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fir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lastRow">
      <w:rPr>
        <w:rFonts w:ascii="Arial" w:hAnsi="Arial"/>
        <w:b/>
        <w:color w:val="404040"/>
        <w:sz w:val="22"/>
      </w:rPr>
      <w:tcPr>
        <w:tcBorders>
          <w:top w:val="single" w:color="CCCCCC" w:themeColor="accent3" w:themeTint="90" w:sz="4" w:space="0"/>
          <w:left w:val="nil"/>
          <w:bottom w:val="single" w:color="CCCCCC"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29">
    <w:name w:val="List Table 2 - Accent 4"/>
    <w:basedOn w:val="35"/>
    <w:qFormat/>
    <w:uiPriority w:val="99"/>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fir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lastRow">
      <w:rPr>
        <w:rFonts w:ascii="Arial" w:hAnsi="Arial"/>
        <w:b/>
        <w:color w:val="404040"/>
        <w:sz w:val="22"/>
      </w:rPr>
      <w:tcPr>
        <w:tcBorders>
          <w:top w:val="single" w:color="FFDB6E" w:themeColor="accent4" w:themeTint="90" w:sz="4" w:space="0"/>
          <w:left w:val="nil"/>
          <w:bottom w:val="single" w:color="FFDB6E"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30">
    <w:name w:val="List Table 2 - Accent 5"/>
    <w:basedOn w:val="35"/>
    <w:qFormat/>
    <w:uiPriority w:val="99"/>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fir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lastRow">
      <w:rPr>
        <w:rFonts w:ascii="Arial" w:hAnsi="Arial"/>
        <w:b/>
        <w:color w:val="404040"/>
        <w:sz w:val="22"/>
      </w:rPr>
      <w:tcPr>
        <w:tcBorders>
          <w:top w:val="single" w:color="95AFDD" w:themeColor="accent5" w:themeTint="90" w:sz="4" w:space="0"/>
          <w:left w:val="nil"/>
          <w:bottom w:val="single" w:color="95AFDD"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31">
    <w:name w:val="List Table 2 - Accent 6"/>
    <w:basedOn w:val="35"/>
    <w:uiPriority w:val="99"/>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fir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lastRow">
      <w:rPr>
        <w:rFonts w:ascii="Arial" w:hAnsi="Arial"/>
        <w:b/>
        <w:color w:val="404040"/>
        <w:sz w:val="22"/>
      </w:rPr>
      <w:tcPr>
        <w:tcBorders>
          <w:top w:val="single" w:color="ADD394" w:themeColor="accent6" w:themeTint="90" w:sz="4" w:space="0"/>
          <w:left w:val="nil"/>
          <w:bottom w:val="single" w:color="ADD394"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32">
    <w:name w:val="List Table 3"/>
    <w:basedOn w:val="35"/>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3">
    <w:name w:val="List Table 3 - Accent 1"/>
    <w:basedOn w:val="35"/>
    <w:uiPriority w:val="99"/>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band1Horz">
      <w:rPr>
        <w:rFonts w:ascii="Arial" w:hAnsi="Arial"/>
        <w:color w:val="404040"/>
        <w:sz w:val="22"/>
      </w:rPr>
      <w:tcPr>
        <w:tcBorders>
          <w:top w:val="single" w:color="5B9BD5" w:themeColor="accent1" w:sz="4" w:space="0"/>
          <w:bottom w:val="single" w:color="5B9BD5" w:themeColor="accent1" w:sz="4" w:space="0"/>
        </w:tcBorders>
      </w:tcPr>
    </w:tblStylePr>
  </w:style>
  <w:style w:type="table" w:customStyle="1" w:styleId="134">
    <w:name w:val="List Table 3 - Accent 2"/>
    <w:basedOn w:val="35"/>
    <w:qFormat/>
    <w:uiPriority w:val="99"/>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firstRow">
      <w:rPr>
        <w:rFonts w:ascii="Arial" w:hAnsi="Arial"/>
        <w:b/>
        <w:color w:val="FFFFFF"/>
        <w:sz w:val="22"/>
      </w:rPr>
      <w:tcPr>
        <w:shd w:val="clear" w:color="F4B285" w:themeColor="accent2" w:themeTint="97" w:fill="F4B28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style>
  <w:style w:type="table" w:customStyle="1" w:styleId="135">
    <w:name w:val="List Table 3 - Accent 3"/>
    <w:basedOn w:val="35"/>
    <w:uiPriority w:val="99"/>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firstRow">
      <w:rPr>
        <w:rFonts w:ascii="Arial" w:hAnsi="Arial"/>
        <w:b/>
        <w:color w:val="FFFFFF"/>
        <w:sz w:val="22"/>
      </w:r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style>
  <w:style w:type="table" w:customStyle="1" w:styleId="136">
    <w:name w:val="List Table 3 - Accent 4"/>
    <w:basedOn w:val="35"/>
    <w:qFormat/>
    <w:uiPriority w:val="99"/>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firstRow">
      <w:rPr>
        <w:rFonts w:ascii="Arial" w:hAnsi="Arial"/>
        <w:b/>
        <w:color w:val="FFFFFF"/>
        <w:sz w:val="22"/>
      </w:rPr>
      <w:tcPr>
        <w:shd w:val="clear" w:color="FFD864" w:themeColor="accent4" w:themeTint="9A" w:fill="FFD864"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style>
  <w:style w:type="table" w:customStyle="1" w:styleId="137">
    <w:name w:val="List Table 3 - Accent 5"/>
    <w:basedOn w:val="35"/>
    <w:uiPriority w:val="99"/>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firstRow">
      <w:rPr>
        <w:rFonts w:ascii="Arial" w:hAnsi="Arial"/>
        <w:b/>
        <w:color w:val="FFFFFF"/>
        <w:sz w:val="22"/>
      </w:rPr>
      <w:tcPr>
        <w:shd w:val="clear" w:color="8EA9DB" w:themeColor="accent5" w:themeTint="9A" w:fill="8E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style>
  <w:style w:type="table" w:customStyle="1" w:styleId="138">
    <w:name w:val="List Table 3 - Accent 6"/>
    <w:basedOn w:val="35"/>
    <w:qFormat/>
    <w:uiPriority w:val="99"/>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firstRow">
      <w:rPr>
        <w:rFonts w:ascii="Arial" w:hAnsi="Arial"/>
        <w:b/>
        <w:color w:val="FFFFFF"/>
        <w:sz w:val="22"/>
      </w:r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style>
  <w:style w:type="table" w:customStyle="1" w:styleId="139">
    <w:name w:val="List Table 4"/>
    <w:basedOn w:val="35"/>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0">
    <w:name w:val="List Table 4 - Accent 1"/>
    <w:basedOn w:val="35"/>
    <w:uiPriority w:val="99"/>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firstRow">
      <w:rPr>
        <w:rFonts w:ascii="Arial" w:hAnsi="Arial"/>
        <w:b/>
        <w:color w:val="FFFFFF"/>
        <w:sz w:val="22"/>
      </w:r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5E5F4" w:themeColor="accent1" w:themeTint="40" w:fill="D5E5F4" w:themeFill="accent1" w:themeFillTint="40"/>
      </w:tcPr>
    </w:tblStylePr>
    <w:tblStylePr w:type="band1Horz">
      <w:rPr>
        <w:rFonts w:ascii="Arial" w:hAnsi="Arial"/>
        <w:color w:val="404040"/>
        <w:sz w:val="22"/>
      </w:rPr>
      <w:tcPr>
        <w:shd w:val="clear" w:color="D5E5F4" w:themeColor="accent1" w:themeTint="40" w:fill="D5E5F4" w:themeFill="accent1" w:themeFillTint="40"/>
      </w:tcPr>
    </w:tblStylePr>
  </w:style>
  <w:style w:type="table" w:customStyle="1" w:styleId="141">
    <w:name w:val="List Table 4 - Accent 2"/>
    <w:basedOn w:val="35"/>
    <w:uiPriority w:val="99"/>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firstRow">
      <w:rPr>
        <w:rFonts w:ascii="Arial" w:hAnsi="Arial"/>
        <w:b/>
        <w:color w:val="FFFFFF"/>
        <w:sz w:val="22"/>
      </w:r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ADECB" w:themeColor="accent2" w:themeTint="40" w:fill="FADECB" w:themeFill="accent2" w:themeFillTint="40"/>
      </w:tcPr>
    </w:tblStylePr>
    <w:tblStylePr w:type="band1Horz">
      <w:rPr>
        <w:rFonts w:ascii="Arial" w:hAnsi="Arial"/>
        <w:color w:val="404040"/>
        <w:sz w:val="22"/>
      </w:rPr>
      <w:tcPr>
        <w:shd w:val="clear" w:color="FADECB" w:themeColor="accent2" w:themeTint="40" w:fill="FADECB" w:themeFill="accent2" w:themeFillTint="40"/>
      </w:tcPr>
    </w:tblStylePr>
  </w:style>
  <w:style w:type="table" w:customStyle="1" w:styleId="142">
    <w:name w:val="List Table 4 - Accent 3"/>
    <w:basedOn w:val="35"/>
    <w:uiPriority w:val="99"/>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firstRow">
      <w:rPr>
        <w:rFonts w:ascii="Arial" w:hAnsi="Arial"/>
        <w:b/>
        <w:color w:val="FFFFFF"/>
        <w:sz w:val="22"/>
      </w:r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8E8E8" w:themeColor="accent3" w:themeTint="40" w:fill="E8E8E8" w:themeFill="accent3" w:themeFillTint="40"/>
      </w:tcPr>
    </w:tblStylePr>
    <w:tblStylePr w:type="band1Horz">
      <w:rPr>
        <w:rFonts w:ascii="Arial" w:hAnsi="Arial"/>
        <w:color w:val="404040"/>
        <w:sz w:val="22"/>
      </w:rPr>
      <w:tcPr>
        <w:shd w:val="clear" w:color="E8E8E8" w:themeColor="accent3" w:themeTint="40" w:fill="E8E8E8" w:themeFill="accent3" w:themeFillTint="40"/>
      </w:tcPr>
    </w:tblStylePr>
  </w:style>
  <w:style w:type="table" w:customStyle="1" w:styleId="143">
    <w:name w:val="List Table 4 - Accent 4"/>
    <w:basedOn w:val="35"/>
    <w:qFormat/>
    <w:uiPriority w:val="99"/>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firstRow">
      <w:rPr>
        <w:rFonts w:ascii="Arial" w:hAnsi="Arial"/>
        <w:b/>
        <w:color w:val="FFFFFF"/>
        <w:sz w:val="22"/>
      </w:r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FEFBE" w:themeColor="accent4" w:themeTint="40" w:fill="FFEFBE" w:themeFill="accent4" w:themeFillTint="40"/>
      </w:tcPr>
    </w:tblStylePr>
    <w:tblStylePr w:type="band1Horz">
      <w:rPr>
        <w:rFonts w:ascii="Arial" w:hAnsi="Arial"/>
        <w:color w:val="404040"/>
        <w:sz w:val="22"/>
      </w:rPr>
      <w:tcPr>
        <w:shd w:val="clear" w:color="FFEFBE" w:themeColor="accent4" w:themeTint="40" w:fill="FFEFBE" w:themeFill="accent4" w:themeFillTint="40"/>
      </w:tcPr>
    </w:tblStylePr>
  </w:style>
  <w:style w:type="table" w:customStyle="1" w:styleId="144">
    <w:name w:val="List Table 4 - Accent 5"/>
    <w:basedOn w:val="35"/>
    <w:qFormat/>
    <w:uiPriority w:val="99"/>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firstRow">
      <w:rPr>
        <w:rFonts w:ascii="Arial" w:hAnsi="Arial"/>
        <w:b/>
        <w:color w:val="FFFFFF"/>
        <w:sz w:val="22"/>
      </w:r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0DBF0" w:themeColor="accent5" w:themeTint="40" w:fill="D0DBF0" w:themeFill="accent5" w:themeFillTint="40"/>
      </w:tcPr>
    </w:tblStylePr>
    <w:tblStylePr w:type="band1Horz">
      <w:rPr>
        <w:rFonts w:ascii="Arial" w:hAnsi="Arial"/>
        <w:color w:val="404040"/>
        <w:sz w:val="22"/>
      </w:rPr>
      <w:tcPr>
        <w:shd w:val="clear" w:color="D0DBF0" w:themeColor="accent5" w:themeTint="40" w:fill="D0DBF0" w:themeFill="accent5" w:themeFillTint="40"/>
      </w:tcPr>
    </w:tblStylePr>
  </w:style>
  <w:style w:type="table" w:customStyle="1" w:styleId="145">
    <w:name w:val="List Table 4 - Accent 6"/>
    <w:basedOn w:val="35"/>
    <w:uiPriority w:val="99"/>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firstRow">
      <w:rPr>
        <w:rFonts w:ascii="Arial" w:hAnsi="Arial"/>
        <w:b/>
        <w:color w:val="FFFFFF"/>
        <w:sz w:val="22"/>
      </w:r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BCF" w:themeColor="accent6" w:themeTint="40" w:fill="DAEBCF" w:themeFill="accent6" w:themeFillTint="40"/>
      </w:tcPr>
    </w:tblStylePr>
    <w:tblStylePr w:type="band1Horz">
      <w:rPr>
        <w:rFonts w:ascii="Arial" w:hAnsi="Arial"/>
        <w:color w:val="404040"/>
        <w:sz w:val="22"/>
      </w:rPr>
      <w:tcPr>
        <w:shd w:val="clear" w:color="DAEBCF" w:themeColor="accent6" w:themeTint="40" w:fill="DAEBCF" w:themeFill="accent6" w:themeFillTint="40"/>
      </w:tcPr>
    </w:tblStylePr>
  </w:style>
  <w:style w:type="table" w:customStyle="1" w:styleId="146">
    <w:name w:val="List Table 5 Dark"/>
    <w:basedOn w:val="35"/>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7">
    <w:name w:val="List Table 5 Dark - Accent 1"/>
    <w:basedOn w:val="35"/>
    <w:qFormat/>
    <w:uiPriority w:val="99"/>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5B9BD5" w:themeColor="accent1" w:sz="32" w:space="0"/>
          <w:bottom w:val="single" w:color="FFFFFF" w:themeColor="light1" w:sz="12" w:space="0"/>
        </w:tcBorders>
        <w:shd w:val="clear" w:color="5B9BD5" w:themeColor="accent1" w:fill="5B9BD5"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lastCol">
      <w:tcPr>
        <w:tcBorders>
          <w:left w:val="single" w:color="FFFFFF" w:themeColor="light1" w:sz="4" w:space="0"/>
          <w:right w:val="single" w:color="5B9BD5" w:themeColor="accent1" w:sz="32" w:space="0"/>
        </w:tcBorders>
      </w:tcPr>
    </w:tblStylePr>
    <w:tblStylePr w:type="band1Vert">
      <w:tcPr>
        <w:tcBorders>
          <w:left w:val="single" w:color="FFFFFF" w:themeColor="light1" w:sz="4" w:space="0"/>
          <w:right w:val="single" w:color="FFFFFF" w:themeColor="light1" w:sz="4" w:space="0"/>
        </w:tcBorders>
        <w:shd w:val="clear" w:color="5B9BD5" w:themeColor="accent1" w:fill="5B9BD5"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5B9BD5" w:themeColor="accent1" w:fill="5B9BD5" w:themeFill="accent1"/>
      </w:tcPr>
    </w:tblStylePr>
    <w:tblStylePr w:type="band2Horz">
      <w:tcPr>
        <w:tcBorders>
          <w:top w:val="single" w:color="FFFFFF" w:themeColor="light1" w:sz="4" w:space="0"/>
          <w:bottom w:val="single" w:color="FFFFFF" w:themeColor="light1" w:sz="4" w:space="0"/>
        </w:tcBorders>
        <w:shd w:val="clear" w:color="5B9BD5" w:themeColor="accent1" w:fill="5B9BD5" w:themeFill="accent1"/>
      </w:tcPr>
    </w:tblStylePr>
  </w:style>
  <w:style w:type="table" w:customStyle="1" w:styleId="148">
    <w:name w:val="List Table 5 Dark - Accent 2"/>
    <w:basedOn w:val="35"/>
    <w:uiPriority w:val="99"/>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F4B285" w:themeColor="accent2" w:themeTint="97" w:sz="32" w:space="0"/>
          <w:bottom w:val="single" w:color="FFFFFF" w:themeColor="light1" w:sz="12" w:space="0"/>
        </w:tcBorders>
        <w:shd w:val="clear" w:color="F4B285" w:themeColor="accent2" w:themeTint="97" w:fill="F4B28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lastCol">
      <w:tcPr>
        <w:tcBorders>
          <w:left w:val="single" w:color="FFFFFF" w:themeColor="light1" w:sz="4" w:space="0"/>
          <w:right w:val="single" w:color="F4B285" w:themeColor="accent2" w:themeTint="97" w:sz="32" w:space="0"/>
        </w:tcBorders>
      </w:tcPr>
    </w:tblStylePr>
    <w:tblStylePr w:type="band1Vert">
      <w:tcPr>
        <w:tcBorders>
          <w:left w:val="single" w:color="FFFFFF" w:themeColor="light1" w:sz="4" w:space="0"/>
          <w:right w:val="single" w:color="FFFFFF" w:themeColor="light1" w:sz="4" w:space="0"/>
        </w:tcBorders>
        <w:shd w:val="clear" w:color="F4B285" w:themeColor="accent2" w:themeTint="97" w:fill="F4B28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tblStylePr w:type="band2Horz">
      <w:tcPr>
        <w:tcBorders>
          <w:top w:val="single" w:color="FFFFFF" w:themeColor="light1" w:sz="4" w:space="0"/>
          <w:bottom w:val="single" w:color="FFFFFF" w:themeColor="light1" w:sz="4" w:space="0"/>
        </w:tcBorders>
        <w:shd w:val="clear" w:color="F4B285" w:themeColor="accent2" w:themeTint="97" w:fill="F4B285" w:themeFill="accent2" w:themeFillTint="97"/>
      </w:tcPr>
    </w:tblStylePr>
  </w:style>
  <w:style w:type="table" w:customStyle="1" w:styleId="149">
    <w:name w:val="List Table 5 Dark - Accent 3"/>
    <w:basedOn w:val="35"/>
    <w:qFormat/>
    <w:uiPriority w:val="99"/>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9C9C9" w:themeColor="accent3" w:themeTint="98" w:sz="32" w:space="0"/>
          <w:bottom w:val="single" w:color="FFFFFF" w:themeColor="light1" w:sz="12" w:space="0"/>
        </w:tcBorders>
        <w:shd w:val="clear" w:color="C9C9C9" w:themeColor="accent3" w:themeTint="98" w:fill="C9C9C9"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lastCol">
      <w:tcPr>
        <w:tcBorders>
          <w:left w:val="single" w:color="FFFFFF" w:themeColor="light1" w:sz="4" w:space="0"/>
          <w:right w:val="single" w:color="C9C9C9" w:themeColor="accent3" w:themeTint="98" w:sz="32" w:space="0"/>
        </w:tcBorders>
      </w:tcPr>
    </w:tblStylePr>
    <w:tblStylePr w:type="band1Vert">
      <w:tcPr>
        <w:tcBorders>
          <w:left w:val="single" w:color="FFFFFF" w:themeColor="light1" w:sz="4" w:space="0"/>
          <w:right w:val="single" w:color="FFFFFF" w:themeColor="light1" w:sz="4" w:space="0"/>
        </w:tcBorders>
        <w:shd w:val="clear" w:color="C9C9C9" w:themeColor="accent3" w:themeTint="98" w:fill="C9C9C9"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tblStylePr w:type="band2Horz">
      <w:tcPr>
        <w:tcBorders>
          <w:top w:val="single" w:color="FFFFFF" w:themeColor="light1" w:sz="4" w:space="0"/>
          <w:bottom w:val="single" w:color="FFFFFF" w:themeColor="light1" w:sz="4" w:space="0"/>
        </w:tcBorders>
        <w:shd w:val="clear" w:color="C9C9C9" w:themeColor="accent3" w:themeTint="98" w:fill="C9C9C9" w:themeFill="accent3" w:themeFillTint="98"/>
      </w:tcPr>
    </w:tblStylePr>
  </w:style>
  <w:style w:type="table" w:customStyle="1" w:styleId="150">
    <w:name w:val="List Table 5 Dark - Accent 4"/>
    <w:basedOn w:val="35"/>
    <w:qFormat/>
    <w:uiPriority w:val="99"/>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FFD864" w:themeColor="accent4" w:themeTint="9A" w:sz="32" w:space="0"/>
          <w:bottom w:val="single" w:color="FFFFFF" w:themeColor="light1" w:sz="12" w:space="0"/>
        </w:tcBorders>
        <w:shd w:val="clear" w:color="FFD864" w:themeColor="accent4" w:themeTint="9A" w:fill="FFD864"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lastCol">
      <w:tcPr>
        <w:tcBorders>
          <w:left w:val="single" w:color="FFFFFF" w:themeColor="light1" w:sz="4" w:space="0"/>
          <w:right w:val="single" w:color="FFD864" w:themeColor="accent4" w:themeTint="9A" w:sz="32" w:space="0"/>
        </w:tcBorders>
      </w:tcPr>
    </w:tblStylePr>
    <w:tblStylePr w:type="band1Vert">
      <w:tcPr>
        <w:tcBorders>
          <w:left w:val="single" w:color="FFFFFF" w:themeColor="light1" w:sz="4" w:space="0"/>
          <w:right w:val="single" w:color="FFFFFF" w:themeColor="light1" w:sz="4" w:space="0"/>
        </w:tcBorders>
        <w:shd w:val="clear" w:color="FFD864" w:themeColor="accent4" w:themeTint="9A" w:fill="FFD864"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tblStylePr w:type="band2Horz">
      <w:tcPr>
        <w:tcBorders>
          <w:top w:val="single" w:color="FFFFFF" w:themeColor="light1" w:sz="4" w:space="0"/>
          <w:bottom w:val="single" w:color="FFFFFF" w:themeColor="light1" w:sz="4" w:space="0"/>
        </w:tcBorders>
        <w:shd w:val="clear" w:color="FFD864" w:themeColor="accent4" w:themeTint="9A" w:fill="FFD864" w:themeFill="accent4" w:themeFillTint="9A"/>
      </w:tcPr>
    </w:tblStylePr>
  </w:style>
  <w:style w:type="table" w:customStyle="1" w:styleId="151">
    <w:name w:val="List Table 5 Dark - Accent 5"/>
    <w:basedOn w:val="35"/>
    <w:uiPriority w:val="99"/>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8EA9DB" w:themeColor="accent5" w:themeTint="9A" w:sz="32" w:space="0"/>
          <w:bottom w:val="single" w:color="FFFFFF" w:themeColor="light1" w:sz="12" w:space="0"/>
        </w:tcBorders>
        <w:shd w:val="clear" w:color="8EA9DB" w:themeColor="accent5" w:themeTint="9A" w:fill="8EA9DB"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lastCol">
      <w:tcPr>
        <w:tcBorders>
          <w:left w:val="single" w:color="FFFFFF" w:themeColor="light1" w:sz="4" w:space="0"/>
          <w:right w:val="single" w:color="8EA9DB" w:themeColor="accent5" w:themeTint="9A" w:sz="32" w:space="0"/>
        </w:tcBorders>
      </w:tcPr>
    </w:tblStylePr>
    <w:tblStylePr w:type="band1Vert">
      <w:tcPr>
        <w:tcBorders>
          <w:left w:val="single" w:color="FFFFFF" w:themeColor="light1" w:sz="4" w:space="0"/>
          <w:right w:val="single" w:color="FFFFFF" w:themeColor="light1" w:sz="4" w:space="0"/>
        </w:tcBorders>
        <w:shd w:val="clear" w:color="8EA9DB" w:themeColor="accent5" w:themeTint="9A" w:fill="8EA9DB"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tblStylePr w:type="band2Horz">
      <w:tcPr>
        <w:tcBorders>
          <w:top w:val="single" w:color="FFFFFF" w:themeColor="light1" w:sz="4" w:space="0"/>
          <w:bottom w:val="single" w:color="FFFFFF" w:themeColor="light1" w:sz="4" w:space="0"/>
        </w:tcBorders>
        <w:shd w:val="clear" w:color="8EA9DB" w:themeColor="accent5" w:themeTint="9A" w:fill="8EA9DB" w:themeFill="accent5" w:themeFillTint="9A"/>
      </w:tcPr>
    </w:tblStylePr>
  </w:style>
  <w:style w:type="table" w:customStyle="1" w:styleId="152">
    <w:name w:val="List Table 5 Dark - Accent 6"/>
    <w:basedOn w:val="35"/>
    <w:qFormat/>
    <w:uiPriority w:val="99"/>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A9D08E" w:themeColor="accent6" w:themeTint="98" w:sz="32" w:space="0"/>
          <w:bottom w:val="single" w:color="FFFFFF" w:themeColor="light1" w:sz="12" w:space="0"/>
        </w:tcBorders>
        <w:shd w:val="clear" w:color="A9D08E" w:themeColor="accent6" w:themeTint="98" w:fill="A9D08E"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lastCol">
      <w:tcPr>
        <w:tcBorders>
          <w:left w:val="single" w:color="FFFFFF" w:themeColor="light1" w:sz="4" w:space="0"/>
          <w:right w:val="single" w:color="A9D08E" w:themeColor="accent6" w:themeTint="98" w:sz="32" w:space="0"/>
        </w:tcBorders>
      </w:tcPr>
    </w:tblStylePr>
    <w:tblStylePr w:type="band1Vert">
      <w:tcPr>
        <w:tcBorders>
          <w:left w:val="single" w:color="FFFFFF" w:themeColor="light1" w:sz="4" w:space="0"/>
          <w:right w:val="single" w:color="FFFFFF" w:themeColor="light1" w:sz="4" w:space="0"/>
        </w:tcBorders>
        <w:shd w:val="clear" w:color="A9D08E" w:themeColor="accent6" w:themeTint="98" w:fill="A9D08E"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tblStylePr w:type="band2Horz">
      <w:tcPr>
        <w:tcBorders>
          <w:top w:val="single" w:color="FFFFFF" w:themeColor="light1" w:sz="4" w:space="0"/>
          <w:bottom w:val="single" w:color="FFFFFF" w:themeColor="light1" w:sz="4" w:space="0"/>
        </w:tcBorders>
        <w:shd w:val="clear" w:color="A9D08E" w:themeColor="accent6" w:themeTint="98" w:fill="A9D08E" w:themeFill="accent6" w:themeFillTint="98"/>
      </w:tcPr>
    </w:tblStylePr>
  </w:style>
  <w:style w:type="table" w:customStyle="1" w:styleId="153">
    <w:name w:val="List Table 6 Colorful"/>
    <w:basedOn w:val="35"/>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4">
    <w:name w:val="List Table 6 Colorful - Accent 1"/>
    <w:basedOn w:val="35"/>
    <w:uiPriority w:val="99"/>
    <w:pPr>
      <w:spacing w:after="0" w:line="240" w:lineRule="auto"/>
    </w:pPr>
    <w:tblPr>
      <w:tblBorders>
        <w:top w:val="single" w:color="5B9BD5" w:themeColor="accent1" w:sz="4" w:space="0"/>
        <w:bottom w:val="single" w:color="5B9BD5" w:themeColor="accent1" w:sz="4" w:space="0"/>
      </w:tblBorders>
    </w:tblPr>
    <w:tblStylePr w:type="firstRow">
      <w:rPr>
        <w:b/>
        <w:color w:val="245B8C" w:themeColor="accent1" w:themeShade="94"/>
      </w:rPr>
      <w:tcPr>
        <w:tcBorders>
          <w:bottom w:val="single" w:color="5B9BD5" w:themeColor="accent1" w:sz="4" w:space="0"/>
        </w:tcBorders>
      </w:tcPr>
    </w:tblStylePr>
    <w:tblStylePr w:type="lastRow">
      <w:rPr>
        <w:b/>
        <w:color w:val="245B8C" w:themeColor="accent1" w:themeShade="94"/>
      </w:rPr>
      <w:tcPr>
        <w:tcBorders>
          <w:top w:val="single" w:color="5B9BD5" w:themeColor="accent1" w:sz="4" w:space="0"/>
        </w:tcBorders>
      </w:tcPr>
    </w:tblStylePr>
    <w:tblStylePr w:type="firstCol">
      <w:rPr>
        <w:b/>
        <w:color w:val="245B8C" w:themeColor="accent1" w:themeShade="94"/>
      </w:rPr>
    </w:tblStylePr>
    <w:tblStylePr w:type="lastCol">
      <w:rPr>
        <w:b/>
        <w:color w:val="245B8C" w:themeColor="accent1" w:themeShade="94"/>
      </w:r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55">
    <w:name w:val="List Table 6 Colorful - Accent 2"/>
    <w:basedOn w:val="35"/>
    <w:uiPriority w:val="99"/>
    <w:pPr>
      <w:spacing w:after="0" w:line="240" w:lineRule="auto"/>
    </w:pPr>
    <w:tblPr>
      <w:tblBorders>
        <w:top w:val="single" w:color="F4B285" w:themeColor="accent2" w:themeTint="97" w:sz="4" w:space="0"/>
        <w:bottom w:val="single" w:color="F4B285" w:themeColor="accent2" w:themeTint="97" w:sz="4" w:space="0"/>
      </w:tblBorders>
    </w:tbl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tblStylePr w:type="firstCol">
      <w:rPr>
        <w:b/>
        <w:color w:val="F4B285" w:themeColor="accent2" w:themeTint="96"/>
        <w14:textFill>
          <w14:solidFill>
            <w14:schemeClr w14:val="accent2">
              <w14:lumMod w14:val="59000"/>
              <w14:lumOff w14:val="41000"/>
            </w14:schemeClr>
          </w14:solidFill>
        </w14:textFill>
      </w:rPr>
    </w:tblStylePr>
    <w:tblStylePr w:type="lastCol">
      <w:rPr>
        <w:b/>
        <w:color w:val="F4B285" w:themeColor="accent2" w:themeTint="96"/>
        <w14:textFill>
          <w14:solidFill>
            <w14:schemeClr w14:val="accent2">
              <w14:lumMod w14:val="59000"/>
              <w14:lumOff w14:val="41000"/>
            </w14:schemeClr>
          </w14:solidFill>
        </w14:textFill>
      </w:r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56">
    <w:name w:val="List Table 6 Colorful - Accent 3"/>
    <w:basedOn w:val="35"/>
    <w:uiPriority w:val="99"/>
    <w:pPr>
      <w:spacing w:after="0" w:line="240" w:lineRule="auto"/>
    </w:pPr>
    <w:tblPr>
      <w:tblBorders>
        <w:top w:val="single" w:color="C9C9C9" w:themeColor="accent3" w:themeTint="98" w:sz="4" w:space="0"/>
        <w:bottom w:val="single" w:color="C9C9C9" w:themeColor="accent3" w:themeTint="98" w:sz="4" w:space="0"/>
      </w:tblBorders>
    </w:tbl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tblStylePr w:type="firstCol">
      <w:rPr>
        <w:b/>
        <w:color w:val="C9C9C9" w:themeColor="accent3" w:themeTint="99"/>
        <w14:textFill>
          <w14:solidFill>
            <w14:schemeClr w14:val="accent3">
              <w14:lumMod w14:val="60000"/>
              <w14:lumOff w14:val="40000"/>
            </w14:schemeClr>
          </w14:solidFill>
        </w14:textFill>
      </w:rPr>
    </w:tblStylePr>
    <w:tblStylePr w:type="lastCol">
      <w:rPr>
        <w:b/>
        <w:color w:val="C9C9C9" w:themeColor="accent3" w:themeTint="99"/>
        <w14:textFill>
          <w14:solidFill>
            <w14:schemeClr w14:val="accent3">
              <w14:lumMod w14:val="60000"/>
              <w14:lumOff w14:val="40000"/>
            </w14:schemeClr>
          </w14:solidFill>
        </w14:textFill>
      </w:r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57">
    <w:name w:val="List Table 6 Colorful - Accent 4"/>
    <w:basedOn w:val="35"/>
    <w:qFormat/>
    <w:uiPriority w:val="99"/>
    <w:pPr>
      <w:spacing w:after="0" w:line="240" w:lineRule="auto"/>
    </w:pPr>
    <w:tblPr>
      <w:tblBorders>
        <w:top w:val="single" w:color="FFD864" w:themeColor="accent4" w:themeTint="9A" w:sz="4" w:space="0"/>
        <w:bottom w:val="single" w:color="FFD864" w:themeColor="accent4" w:themeTint="9A" w:sz="4" w:space="0"/>
      </w:tblBorders>
    </w:tbl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tblStylePr w:type="firstCol">
      <w:rPr>
        <w:b/>
        <w:color w:val="FFD966" w:themeColor="accent4" w:themeTint="99"/>
        <w14:textFill>
          <w14:solidFill>
            <w14:schemeClr w14:val="accent4">
              <w14:lumMod w14:val="60000"/>
              <w14:lumOff w14:val="40000"/>
            </w14:schemeClr>
          </w14:solidFill>
        </w14:textFill>
      </w:rPr>
    </w:tblStylePr>
    <w:tblStylePr w:type="lastCol">
      <w:rPr>
        <w:b/>
        <w:color w:val="FFD966" w:themeColor="accent4" w:themeTint="99"/>
        <w14:textFill>
          <w14:solidFill>
            <w14:schemeClr w14:val="accent4">
              <w14:lumMod w14:val="60000"/>
              <w14:lumOff w14:val="40000"/>
            </w14:schemeClr>
          </w14:solidFill>
        </w14:textFill>
      </w:r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58">
    <w:name w:val="List Table 6 Colorful - Accent 5"/>
    <w:basedOn w:val="35"/>
    <w:qFormat/>
    <w:uiPriority w:val="99"/>
    <w:pPr>
      <w:spacing w:after="0" w:line="240" w:lineRule="auto"/>
    </w:pPr>
    <w:tblPr>
      <w:tblBorders>
        <w:top w:val="single" w:color="8EA9DB" w:themeColor="accent5" w:themeTint="9A" w:sz="4" w:space="0"/>
        <w:bottom w:val="single" w:color="8EA9DB" w:themeColor="accent5" w:themeTint="9A" w:sz="4" w:space="0"/>
      </w:tblBorders>
    </w:tbl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tblStylePr w:type="firstCol">
      <w:rPr>
        <w:b/>
        <w:color w:val="8FAADC" w:themeColor="accent5" w:themeTint="99"/>
        <w14:textFill>
          <w14:solidFill>
            <w14:schemeClr w14:val="accent5">
              <w14:lumMod w14:val="60000"/>
              <w14:lumOff w14:val="40000"/>
            </w14:schemeClr>
          </w14:solidFill>
        </w14:textFill>
      </w:rPr>
    </w:tblStylePr>
    <w:tblStylePr w:type="lastCol">
      <w:rPr>
        <w:b/>
        <w:color w:val="8FAADC" w:themeColor="accent5" w:themeTint="99"/>
        <w14:textFill>
          <w14:solidFill>
            <w14:schemeClr w14:val="accent5">
              <w14:lumMod w14:val="60000"/>
              <w14:lumOff w14:val="40000"/>
            </w14:schemeClr>
          </w14:solidFill>
        </w14:textFill>
      </w:r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59">
    <w:name w:val="List Table 6 Colorful - Accent 6"/>
    <w:basedOn w:val="35"/>
    <w:uiPriority w:val="99"/>
    <w:pPr>
      <w:spacing w:after="0" w:line="240" w:lineRule="auto"/>
    </w:pPr>
    <w:tblPr>
      <w:tblBorders>
        <w:top w:val="single" w:color="A9D08E" w:themeColor="accent6" w:themeTint="98" w:sz="4" w:space="0"/>
        <w:bottom w:val="single" w:color="A9D08E" w:themeColor="accent6" w:themeTint="98" w:sz="4" w:space="0"/>
      </w:tblBorders>
    </w:tbl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tblStylePr w:type="firstCol">
      <w:rPr>
        <w:b/>
        <w:color w:val="A9D18E" w:themeColor="accent6" w:themeTint="99"/>
        <w14:textFill>
          <w14:solidFill>
            <w14:schemeClr w14:val="accent6">
              <w14:lumMod w14:val="60000"/>
              <w14:lumOff w14:val="40000"/>
            </w14:schemeClr>
          </w14:solidFill>
        </w14:textFill>
      </w:rPr>
    </w:tblStylePr>
    <w:tblStylePr w:type="lastCol">
      <w:rPr>
        <w:b/>
        <w:color w:val="A9D18E" w:themeColor="accent6" w:themeTint="99"/>
        <w14:textFill>
          <w14:solidFill>
            <w14:schemeClr w14:val="accent6">
              <w14:lumMod w14:val="60000"/>
              <w14:lumOff w14:val="40000"/>
            </w14:schemeClr>
          </w14:solidFill>
        </w14:textFill>
      </w:r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0">
    <w:name w:val="List Table 7 Colorful"/>
    <w:basedOn w:val="35"/>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1">
    <w:name w:val="List Table 7 Colorful - Accent 1"/>
    <w:basedOn w:val="35"/>
    <w:uiPriority w:val="99"/>
    <w:pPr>
      <w:spacing w:after="0" w:line="240" w:lineRule="auto"/>
    </w:pPr>
    <w:tblPr>
      <w:tblBorders>
        <w:right w:val="single" w:color="5B9BD5" w:themeColor="accent1" w:sz="4" w:space="0"/>
      </w:tblBorders>
    </w:tblPr>
    <w:tblStylePr w:type="firstRow">
      <w:rPr>
        <w:rFonts w:ascii="Arial" w:hAnsi="Arial"/>
        <w:i/>
        <w:color w:val="245B8C" w:themeColor="accent1" w:themeShade="94"/>
        <w:sz w:val="22"/>
      </w:rPr>
      <w:tcPr>
        <w:tcBorders>
          <w:top w:val="nil"/>
          <w:left w:val="nil"/>
          <w:bottom w:val="single" w:color="5B9BD5" w:themeColor="accent1" w:sz="4" w:space="0"/>
          <w:right w:val="nil"/>
        </w:tcBorders>
        <w:shd w:val="clear" w:color="FFFFFF" w:themeColor="light1" w:fill="FFFFFF" w:themeFill="light1"/>
      </w:tcPr>
    </w:tblStylePr>
    <w:tblStylePr w:type="lastRow">
      <w:rPr>
        <w:rFonts w:ascii="Arial" w:hAnsi="Arial"/>
        <w:i/>
        <w:color w:val="245B8C" w:themeColor="accent1" w:themeShade="94"/>
        <w:sz w:val="22"/>
      </w:rPr>
      <w:tcPr>
        <w:tcBorders>
          <w:top w:val="single" w:color="5B9BD5"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45B8C" w:themeColor="accent1" w:themeShade="94"/>
        <w:sz w:val="22"/>
      </w:rPr>
      <w:tcPr>
        <w:tcBorders>
          <w:top w:val="nil"/>
          <w:left w:val="nil"/>
          <w:bottom w:val="nil"/>
          <w:right w:val="single" w:color="5B9BD5" w:themeColor="accent1" w:sz="4" w:space="0"/>
        </w:tcBorders>
        <w:shd w:val="clear" w:color="FFFFFF" w:fill="auto"/>
      </w:tcPr>
    </w:tblStylePr>
    <w:tblStylePr w:type="lastCol">
      <w:rPr>
        <w:rFonts w:ascii="Arial" w:hAnsi="Arial"/>
        <w:i/>
        <w:color w:val="245B8C" w:themeColor="accent1" w:themeShade="94"/>
        <w:sz w:val="22"/>
      </w:rPr>
      <w:tcPr>
        <w:tcBorders>
          <w:top w:val="nil"/>
          <w:left w:val="single" w:color="5B9BD5" w:themeColor="accent1" w:sz="4" w:space="0"/>
          <w:bottom w:val="nil"/>
          <w:right w:val="nil"/>
        </w:tcBorders>
        <w:shd w:val="clear" w:color="FFFFFF" w:fill="auto"/>
      </w:tcPr>
    </w:tblStylePr>
    <w:tblStylePr w:type="band1Vert">
      <w:tcPr>
        <w:shd w:val="clear" w:color="D5E5F4" w:themeColor="accent1" w:themeTint="40" w:fill="D5E5F4" w:themeFill="accent1" w:themeFillTint="40"/>
      </w:tcPr>
    </w:tblStyle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2Horz">
      <w:rPr>
        <w:rFonts w:ascii="Arial" w:hAnsi="Arial"/>
        <w:color w:val="245B8C" w:themeColor="accent1" w:themeShade="94"/>
        <w:sz w:val="22"/>
      </w:rPr>
    </w:tblStylePr>
  </w:style>
  <w:style w:type="table" w:customStyle="1" w:styleId="162">
    <w:name w:val="List Table 7 Colorful - Accent 2"/>
    <w:basedOn w:val="35"/>
    <w:qFormat/>
    <w:uiPriority w:val="99"/>
    <w:pPr>
      <w:spacing w:after="0" w:line="240" w:lineRule="auto"/>
    </w:pPr>
    <w:tblPr>
      <w:tblBorders>
        <w:right w:val="single" w:color="F4B285" w:themeColor="accent2" w:themeTint="97" w:sz="4" w:space="0"/>
      </w:tblBorders>
    </w:tblPr>
    <w:tblStylePr w:type="firstRow">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single" w:color="F4B285" w:themeColor="accent2" w:themeTint="97" w:sz="4" w:space="0"/>
          <w:right w:val="nil"/>
        </w:tcBorders>
        <w:shd w:val="clear" w:color="FFFFFF" w:themeColor="light1" w:fill="FFFFFF" w:themeFill="light1"/>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tcBorders>
          <w:top w:val="single" w:color="F4B28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nil"/>
          <w:bottom w:val="nil"/>
          <w:right w:val="single" w:color="F4B285" w:themeColor="accent2" w:themeTint="97" w:sz="4" w:space="0"/>
        </w:tcBorders>
        <w:shd w:val="clear" w:color="FFFFFF" w:fill="auto"/>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tcBorders>
          <w:top w:val="nil"/>
          <w:left w:val="single" w:color="F4B285" w:themeColor="accent2" w:themeTint="97" w:sz="4" w:space="0"/>
          <w:bottom w:val="nil"/>
          <w:right w:val="nil"/>
        </w:tcBorders>
        <w:shd w:val="clear" w:color="FFFFFF" w:fill="auto"/>
      </w:tcPr>
    </w:tblStylePr>
    <w:tblStylePr w:type="band1Vert">
      <w:tcPr>
        <w:shd w:val="clear" w:color="FADECB" w:themeColor="accent2" w:themeTint="40" w:fill="FADECB" w:themeFill="accent2" w:themeFillTint="40"/>
      </w:tcPr>
    </w:tblStyle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style>
  <w:style w:type="table" w:customStyle="1" w:styleId="163">
    <w:name w:val="List Table 7 Colorful - Accent 3"/>
    <w:basedOn w:val="35"/>
    <w:qFormat/>
    <w:uiPriority w:val="99"/>
    <w:pPr>
      <w:spacing w:after="0" w:line="240" w:lineRule="auto"/>
    </w:pPr>
    <w:tblPr>
      <w:tblBorders>
        <w:right w:val="single" w:color="C9C9C9" w:themeColor="accent3" w:themeTint="98" w:sz="4" w:space="0"/>
      </w:tblBorders>
    </w:tblPr>
    <w:tblStylePr w:type="firstRow">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single" w:color="C9C9C9" w:themeColor="accent3" w:themeTint="98" w:sz="4" w:space="0"/>
          <w:right w:val="nil"/>
        </w:tcBorders>
        <w:shd w:val="clear" w:color="FFFFFF" w:themeColor="light1" w:fill="FFFFFF" w:themeFill="light1"/>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tcBorders>
          <w:top w:val="single" w:color="C9C9C9"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nil"/>
          <w:bottom w:val="nil"/>
          <w:right w:val="single" w:color="C9C9C9" w:themeColor="accent3" w:themeTint="98" w:sz="4" w:space="0"/>
        </w:tcBorders>
        <w:shd w:val="clear" w:color="FFFFFF" w:fill="auto"/>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tcBorders>
          <w:top w:val="nil"/>
          <w:left w:val="single" w:color="C9C9C9" w:themeColor="accent3" w:themeTint="98" w:sz="4" w:space="0"/>
          <w:bottom w:val="nil"/>
          <w:right w:val="nil"/>
        </w:tcBorders>
        <w:shd w:val="clear" w:color="FFFFFF" w:fill="auto"/>
      </w:tcPr>
    </w:tblStylePr>
    <w:tblStylePr w:type="band1Vert">
      <w:tcPr>
        <w:shd w:val="clear" w:color="E8E8E8" w:themeColor="accent3" w:themeTint="40" w:fill="E8E8E8" w:themeFill="accent3" w:themeFillTint="40"/>
      </w:tcPr>
    </w:tblStyle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style>
  <w:style w:type="table" w:customStyle="1" w:styleId="164">
    <w:name w:val="List Table 7 Colorful - Accent 4"/>
    <w:basedOn w:val="35"/>
    <w:uiPriority w:val="99"/>
    <w:pPr>
      <w:spacing w:after="0" w:line="240" w:lineRule="auto"/>
    </w:pPr>
    <w:tblPr>
      <w:tblBorders>
        <w:right w:val="single" w:color="FFD864" w:themeColor="accent4" w:themeTint="9A" w:sz="4" w:space="0"/>
      </w:tblBorders>
    </w:tblPr>
    <w:tblStylePr w:type="firstRow">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single" w:color="FFD864" w:themeColor="accent4" w:themeTint="9A" w:sz="4" w:space="0"/>
          <w:right w:val="nil"/>
        </w:tcBorders>
        <w:shd w:val="clear" w:color="FFFFFF" w:themeColor="light1" w:fill="FFFFFF" w:themeFill="light1"/>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tcBorders>
          <w:top w:val="single" w:color="FFD864"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nil"/>
          <w:bottom w:val="nil"/>
          <w:right w:val="single" w:color="FFD864" w:themeColor="accent4" w:themeTint="9A" w:sz="4" w:space="0"/>
        </w:tcBorders>
        <w:shd w:val="clear" w:color="FFFFFF" w:fill="auto"/>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tcBorders>
          <w:top w:val="nil"/>
          <w:left w:val="single" w:color="FFD864" w:themeColor="accent4" w:themeTint="9A" w:sz="4" w:space="0"/>
          <w:bottom w:val="nil"/>
          <w:right w:val="nil"/>
        </w:tcBorders>
        <w:shd w:val="clear" w:color="FFFFFF" w:fill="auto"/>
      </w:tcPr>
    </w:tblStylePr>
    <w:tblStylePr w:type="band1Vert">
      <w:tcPr>
        <w:shd w:val="clear" w:color="FFEFBE" w:themeColor="accent4" w:themeTint="40" w:fill="FFEFBE" w:themeFill="accent4" w:themeFillTint="40"/>
      </w:tcPr>
    </w:tblStyle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style>
  <w:style w:type="table" w:customStyle="1" w:styleId="165">
    <w:name w:val="List Table 7 Colorful - Accent 5"/>
    <w:basedOn w:val="35"/>
    <w:qFormat/>
    <w:uiPriority w:val="99"/>
    <w:pPr>
      <w:spacing w:after="0" w:line="240" w:lineRule="auto"/>
    </w:pPr>
    <w:tblPr>
      <w:tblBorders>
        <w:right w:val="single" w:color="8EA9DB" w:themeColor="accent5" w:themeTint="9A" w:sz="4" w:space="0"/>
      </w:tblBorders>
    </w:tblPr>
    <w:tblStylePr w:type="firstRow">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single" w:color="8EA9DB" w:themeColor="accent5" w:themeTint="9A" w:sz="4" w:space="0"/>
          <w:right w:val="nil"/>
        </w:tcBorders>
        <w:shd w:val="clear" w:color="FFFFFF" w:themeColor="light1" w:fill="FFFFFF" w:themeFill="light1"/>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tcBorders>
          <w:top w:val="single" w:color="8EA9DB"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nil"/>
          <w:bottom w:val="nil"/>
          <w:right w:val="single" w:color="8EA9DB" w:themeColor="accent5" w:themeTint="9A" w:sz="4" w:space="0"/>
        </w:tcBorders>
        <w:shd w:val="clear" w:color="FFFFFF" w:fill="auto"/>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tcBorders>
          <w:top w:val="nil"/>
          <w:left w:val="single" w:color="8EA9DB" w:themeColor="accent5" w:themeTint="9A" w:sz="4" w:space="0"/>
          <w:bottom w:val="nil"/>
          <w:right w:val="nil"/>
        </w:tcBorders>
        <w:shd w:val="clear" w:color="FFFFFF" w:fill="auto"/>
      </w:tcPr>
    </w:tblStylePr>
    <w:tblStylePr w:type="band1Vert">
      <w:tcPr>
        <w:shd w:val="clear" w:color="D0DBF0" w:themeColor="accent5" w:themeTint="40" w:fill="D0DBF0" w:themeFill="accent5" w:themeFillTint="40"/>
      </w:tcPr>
    </w:tblStyle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style>
  <w:style w:type="table" w:customStyle="1" w:styleId="166">
    <w:name w:val="List Table 7 Colorful - Accent 6"/>
    <w:basedOn w:val="35"/>
    <w:qFormat/>
    <w:uiPriority w:val="99"/>
    <w:pPr>
      <w:spacing w:after="0" w:line="240" w:lineRule="auto"/>
    </w:pPr>
    <w:tblPr>
      <w:tblBorders>
        <w:right w:val="single" w:color="A9D08E" w:themeColor="accent6" w:themeTint="98" w:sz="4" w:space="0"/>
      </w:tblBorders>
    </w:tblPr>
    <w:tblStylePr w:type="firstRow">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single" w:color="A9D08E" w:themeColor="accent6" w:themeTint="98" w:sz="4" w:space="0"/>
          <w:right w:val="nil"/>
        </w:tcBorders>
        <w:shd w:val="clear" w:color="FFFFFF" w:themeColor="light1" w:fill="FFFFFF" w:themeFill="light1"/>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tcBorders>
          <w:top w:val="single" w:color="A9D08E"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nil"/>
          <w:bottom w:val="nil"/>
          <w:right w:val="single" w:color="A9D08E" w:themeColor="accent6" w:themeTint="98" w:sz="4" w:space="0"/>
        </w:tcBorders>
        <w:shd w:val="clear" w:color="FFFFFF" w:fill="auto"/>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tcBorders>
          <w:top w:val="nil"/>
          <w:left w:val="single" w:color="A9D08E" w:themeColor="accent6" w:themeTint="98" w:sz="4" w:space="0"/>
          <w:bottom w:val="nil"/>
          <w:right w:val="nil"/>
        </w:tcBorders>
        <w:shd w:val="clear" w:color="FFFFFF" w:fill="auto"/>
      </w:tcPr>
    </w:tblStylePr>
    <w:tblStylePr w:type="band1Vert">
      <w:tcPr>
        <w:shd w:val="clear" w:color="DAEBCF" w:themeColor="accent6" w:themeTint="40" w:fill="DAEBCF" w:themeFill="accent6" w:themeFillTint="40"/>
      </w:tcPr>
    </w:tblStyle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style>
  <w:style w:type="table" w:customStyle="1" w:styleId="167">
    <w:name w:val="Lined - Accent"/>
    <w:basedOn w:val="35"/>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8">
    <w:name w:val="Lined - Accent 1"/>
    <w:basedOn w:val="35"/>
    <w:qFormat/>
    <w:uiPriority w:val="99"/>
    <w:pPr>
      <w:spacing w:after="0" w:line="240" w:lineRule="auto"/>
    </w:pPr>
    <w:rPr>
      <w:color w:val="404040"/>
    </w:r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69">
    <w:name w:val="Lined - Accent 2"/>
    <w:basedOn w:val="35"/>
    <w:qFormat/>
    <w:uiPriority w:val="99"/>
    <w:pPr>
      <w:spacing w:after="0" w:line="240" w:lineRule="auto"/>
    </w:pPr>
    <w:rPr>
      <w:color w:val="404040"/>
    </w:r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0">
    <w:name w:val="Lined - Accent 3"/>
    <w:basedOn w:val="35"/>
    <w:uiPriority w:val="99"/>
    <w:pPr>
      <w:spacing w:after="0" w:line="240" w:lineRule="auto"/>
    </w:pPr>
    <w:rPr>
      <w:color w:val="404040"/>
    </w:r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1">
    <w:name w:val="Lined - Accent 4"/>
    <w:basedOn w:val="35"/>
    <w:uiPriority w:val="99"/>
    <w:pPr>
      <w:spacing w:after="0" w:line="240" w:lineRule="auto"/>
    </w:pPr>
    <w:rPr>
      <w:color w:val="404040"/>
    </w:r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2">
    <w:name w:val="Lined - Accent 5"/>
    <w:basedOn w:val="35"/>
    <w:uiPriority w:val="99"/>
    <w:pPr>
      <w:spacing w:after="0" w:line="240" w:lineRule="auto"/>
    </w:pPr>
    <w:rPr>
      <w:color w:val="404040"/>
    </w:r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73">
    <w:name w:val="Lined - Accent 6"/>
    <w:basedOn w:val="35"/>
    <w:uiPriority w:val="99"/>
    <w:pPr>
      <w:spacing w:after="0" w:line="240" w:lineRule="auto"/>
    </w:pPr>
    <w:rPr>
      <w:color w:val="404040"/>
    </w:r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74">
    <w:name w:val="Bordered &amp; Lined - Accent"/>
    <w:basedOn w:val="35"/>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5">
    <w:name w:val="Bordered &amp; Lined - Accent 1"/>
    <w:basedOn w:val="35"/>
    <w:qFormat/>
    <w:uiPriority w:val="99"/>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firstRow">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tblStylePr w:type="firstCol">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style>
  <w:style w:type="table" w:customStyle="1" w:styleId="176">
    <w:name w:val="Bordered &amp; Lined - Accent 2"/>
    <w:basedOn w:val="35"/>
    <w:qFormat/>
    <w:uiPriority w:val="99"/>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firstRow">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tblStylePr w:type="firstCol">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style>
  <w:style w:type="table" w:customStyle="1" w:styleId="177">
    <w:name w:val="Bordered &amp; Lined - Accent 3"/>
    <w:basedOn w:val="35"/>
    <w:uiPriority w:val="99"/>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firstRow">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tblStylePr w:type="firstCol">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style>
  <w:style w:type="table" w:customStyle="1" w:styleId="178">
    <w:name w:val="Bordered &amp; Lined - Accent 4"/>
    <w:basedOn w:val="35"/>
    <w:qFormat/>
    <w:uiPriority w:val="99"/>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firstRow">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tblStylePr w:type="firstCol">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FEF2CA" w:themeColor="accent4" w:themeTint="34" w:fill="FEF2CA"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style>
  <w:style w:type="table" w:customStyle="1" w:styleId="179">
    <w:name w:val="Bordered &amp; Lined - Accent 5"/>
    <w:basedOn w:val="35"/>
    <w:qFormat/>
    <w:uiPriority w:val="99"/>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firstRow">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tblStylePr w:type="firstCol">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cPr>
        <w:shd w:val="clear" w:color="D8E2F2" w:themeColor="accent5" w:themeTint="34" w:fill="D8E2F2"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style>
  <w:style w:type="table" w:customStyle="1" w:styleId="180">
    <w:name w:val="Bordered &amp; Lined - Accent 6"/>
    <w:basedOn w:val="35"/>
    <w:qFormat/>
    <w:uiPriority w:val="99"/>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firstRow">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tblStylePr w:type="firstCol">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style>
  <w:style w:type="table" w:customStyle="1" w:styleId="181">
    <w:name w:val="Bordered"/>
    <w:basedOn w:val="35"/>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2">
    <w:name w:val="Bordered - Accent 1"/>
    <w:basedOn w:val="35"/>
    <w:qFormat/>
    <w:uiPriority w:val="99"/>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firstRow">
      <w:rPr>
        <w:rFonts w:ascii="Arial" w:hAnsi="Arial"/>
        <w:color w:val="404040"/>
        <w:sz w:val="22"/>
      </w:rPr>
      <w:tcPr>
        <w:tcBorders>
          <w:bottom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5B9BD5" w:themeColor="accent1" w:sz="12" w:space="0"/>
        </w:tcBorders>
      </w:tcPr>
    </w:tblStyle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style>
  <w:style w:type="table" w:customStyle="1" w:styleId="183">
    <w:name w:val="Bordered - Accent 2"/>
    <w:basedOn w:val="35"/>
    <w:qFormat/>
    <w:uiPriority w:val="99"/>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firstRow">
      <w:rPr>
        <w:rFonts w:ascii="Arial" w:hAnsi="Arial"/>
        <w:color w:val="404040"/>
        <w:sz w:val="22"/>
      </w:rPr>
      <w:tcPr>
        <w:tcBorders>
          <w:bottom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4B285" w:themeColor="accent2" w:themeTint="97" w:sz="12" w:space="0"/>
        </w:tcBorders>
      </w:tcPr>
    </w:tblStyle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style>
  <w:style w:type="table" w:customStyle="1" w:styleId="184">
    <w:name w:val="Bordered - Accent 3"/>
    <w:basedOn w:val="35"/>
    <w:qFormat/>
    <w:uiPriority w:val="99"/>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firstRow">
      <w:rPr>
        <w:rFonts w:ascii="Arial" w:hAnsi="Arial"/>
        <w:color w:val="404040"/>
        <w:sz w:val="22"/>
      </w:rPr>
      <w:tcPr>
        <w:tcBorders>
          <w:bottom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9C9C9" w:themeColor="accent3" w:themeTint="98" w:sz="12" w:space="0"/>
        </w:tcBorders>
      </w:tcPr>
    </w:tblStyle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style>
  <w:style w:type="table" w:customStyle="1" w:styleId="185">
    <w:name w:val="Bordered - Accent 4"/>
    <w:basedOn w:val="35"/>
    <w:qFormat/>
    <w:uiPriority w:val="99"/>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firstRow">
      <w:rPr>
        <w:rFonts w:ascii="Arial" w:hAnsi="Arial"/>
        <w:color w:val="404040"/>
        <w:sz w:val="22"/>
      </w:rPr>
      <w:tcPr>
        <w:tcBorders>
          <w:bottom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FD864" w:themeColor="accent4" w:themeTint="9A" w:sz="12" w:space="0"/>
        </w:tcBorders>
      </w:tcPr>
    </w:tblStyle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style>
  <w:style w:type="table" w:customStyle="1" w:styleId="186">
    <w:name w:val="Bordered - Accent 5"/>
    <w:basedOn w:val="35"/>
    <w:qFormat/>
    <w:uiPriority w:val="99"/>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firstRow">
      <w:rPr>
        <w:rFonts w:ascii="Arial" w:hAnsi="Arial"/>
        <w:color w:val="404040"/>
        <w:sz w:val="22"/>
      </w:rPr>
      <w:tcPr>
        <w:tcBorders>
          <w:bottom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8EA9DB" w:themeColor="accent5" w:themeTint="9A" w:sz="12" w:space="0"/>
        </w:tcBorders>
      </w:tcPr>
    </w:tblStyle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style>
  <w:style w:type="table" w:customStyle="1" w:styleId="187">
    <w:name w:val="Bordered - Accent 6"/>
    <w:basedOn w:val="35"/>
    <w:qFormat/>
    <w:uiPriority w:val="99"/>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firstRow">
      <w:rPr>
        <w:rFonts w:ascii="Arial" w:hAnsi="Arial"/>
        <w:color w:val="404040"/>
        <w:sz w:val="22"/>
      </w:rPr>
      <w:tcPr>
        <w:tcBorders>
          <w:bottom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A9D08E" w:themeColor="accent6" w:themeTint="98" w:sz="12" w:space="0"/>
        </w:tcBorders>
      </w:tcPr>
    </w:tblStyle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style>
  <w:style w:type="character" w:customStyle="1" w:styleId="188">
    <w:name w:val="Footnote Text Char"/>
    <w:link w:val="28"/>
    <w:uiPriority w:val="99"/>
    <w:rPr>
      <w:sz w:val="18"/>
    </w:rPr>
  </w:style>
  <w:style w:type="character" w:customStyle="1" w:styleId="189">
    <w:name w:val="Endnote Text Char"/>
    <w:link w:val="22"/>
    <w:uiPriority w:val="99"/>
    <w:rPr>
      <w:sz w:val="20"/>
    </w:rPr>
  </w:style>
  <w:style w:type="paragraph" w:customStyle="1" w:styleId="190">
    <w:name w:val="TOC Heading"/>
    <w:unhideWhenUsed/>
    <w:qFormat/>
    <w:uiPriority w:val="39"/>
    <w:rPr>
      <w:rFonts w:hint="default" w:ascii="Times New Roman" w:hAnsi="Times New Roman" w:eastAsia="宋体" w:cs="Times New Roman"/>
    </w:rPr>
  </w:style>
  <w:style w:type="paragraph" w:customStyle="1" w:styleId="191">
    <w:name w:val="Default"/>
    <w:basedOn w:val="1"/>
    <w:semiHidden/>
    <w:qFormat/>
    <w:uiPriority w:val="0"/>
    <w:pPr>
      <w:jc w:val="left"/>
    </w:pPr>
    <w:rPr>
      <w:rFonts w:ascii="宋体" w:hAnsi="Calibri" w:cs="宋体"/>
      <w:color w:val="000000"/>
      <w:sz w:val="24"/>
    </w:rPr>
  </w:style>
  <w:style w:type="character" w:customStyle="1" w:styleId="192">
    <w:name w:val="页眉 Char"/>
    <w:basedOn w:val="37"/>
    <w:link w:val="24"/>
    <w:qFormat/>
    <w:uiPriority w:val="0"/>
    <w:rPr>
      <w:rFonts w:asciiTheme="minorHAnsi" w:hAnsiTheme="minorHAnsi" w:eastAsiaTheme="minorEastAsia" w:cstheme="minorBidi"/>
      <w:sz w:val="18"/>
      <w:szCs w:val="18"/>
    </w:rPr>
  </w:style>
  <w:style w:type="character" w:customStyle="1" w:styleId="193">
    <w:name w:val="页脚 Char"/>
    <w:basedOn w:val="37"/>
    <w:link w:val="23"/>
    <w:qFormat/>
    <w:uiPriority w:val="0"/>
    <w:rPr>
      <w:rFonts w:asciiTheme="minorHAnsi" w:hAnsiTheme="minorHAnsi" w:eastAsiaTheme="minorEastAsia" w:cstheme="minorBidi"/>
      <w:sz w:val="18"/>
      <w:szCs w:val="18"/>
    </w:rPr>
  </w:style>
  <w:style w:type="paragraph" w:customStyle="1" w:styleId="194">
    <w:name w:val="普通正文"/>
    <w:basedOn w:val="1"/>
    <w:qFormat/>
    <w:uiPriority w:val="0"/>
    <w:pPr>
      <w:spacing w:before="120" w:after="120" w:line="360" w:lineRule="auto"/>
      <w:ind w:firstLine="480"/>
      <w:jc w:val="left"/>
    </w:pPr>
    <w:rPr>
      <w:rFonts w:ascii="Arial" w:hAnsi="Arial" w:eastAsia="等线" w:cs="Arial"/>
      <w:sz w:val="24"/>
      <w:szCs w:val="24"/>
    </w:rPr>
  </w:style>
  <w:style w:type="paragraph" w:customStyle="1" w:styleId="195">
    <w:name w:val="正文首行缩进 21"/>
    <w:basedOn w:val="196"/>
    <w:qFormat/>
    <w:uiPriority w:val="0"/>
    <w:pPr>
      <w:ind w:firstLine="420"/>
    </w:pPr>
  </w:style>
  <w:style w:type="paragraph" w:customStyle="1" w:styleId="196">
    <w:name w:val="正文文本缩进1"/>
    <w:basedOn w:val="1"/>
    <w:qFormat/>
    <w:uiPriority w:val="0"/>
    <w:pPr>
      <w:spacing w:after="120"/>
      <w:ind w:left="420"/>
    </w:pPr>
  </w:style>
  <w:style w:type="paragraph" w:customStyle="1" w:styleId="197">
    <w:name w:val="列出段落1"/>
    <w:qFormat/>
    <w:uiPriority w:val="0"/>
    <w:pPr>
      <w:widowControl/>
      <w:ind w:left="720"/>
      <w:contextualSpacing/>
      <w:jc w:val="left"/>
    </w:pPr>
    <w:rPr>
      <w:rFonts w:hint="default" w:ascii="Calibri" w:hAnsi="Calibri" w:eastAsia="宋体" w:cs="Times New Roman"/>
      <w:sz w:val="24"/>
      <w:szCs w:val="24"/>
      <w:lang w:val="en-US" w:eastAsia="en-US" w:bidi="en-U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48</Pages>
  <Words>25352</Words>
  <Characters>26850</Characters>
  <TotalTime>0</TotalTime>
  <ScaleCrop>false</ScaleCrop>
  <LinksUpToDate>false</LinksUpToDate>
  <CharactersWithSpaces>28465</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正式环境陈艳测试账号</dc:creator>
  <cp:lastModifiedBy>随心 随性</cp:lastModifiedBy>
  <dcterms:modified xsi:type="dcterms:W3CDTF">2026-07-13T03:05:29Z</dcterms:modified>
  <cp:revision>274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A7F8E026DEAA410DB89B83FE5B0AA4E4_13</vt:lpwstr>
  </property>
  <property fmtid="{D5CDD505-2E9C-101B-9397-08002B2CF9AE}" pid="4" name="KSOTemplateDocerSaveRecord">
    <vt:lpwstr>eyJoZGlkIjoiYzAxYzk1YmFlODA0YmNjN2I1MDFkZDdmMjhlYmNmNzciLCJ1c2VySWQiOiI5MjQ4NDE4MjkifQ==</vt:lpwstr>
  </property>
</Properties>
</file>