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rPr>
          <w:rFonts w:hint="eastAsia" w:ascii="微软雅黑" w:hAnsi="微软雅黑" w:cs="微软雅黑"/>
          <w:sz w:val="84"/>
        </w:rPr>
      </w:pPr>
      <w:r>
        <w:rPr>
          <w:rFonts w:hint="eastAsia" w:ascii="微软雅黑" w:hAnsi="微软雅黑" w:cs="微软雅黑"/>
          <w:sz w:val="84"/>
        </w:rPr>
      </w:r>
      <w:r/>
    </w:p>
    <w:p>
      <w:pPr>
        <w:pStyle w:val="1061"/>
        <w:jc w:val="center"/>
        <w:spacing w:line="720" w:lineRule="auto"/>
        <w:rPr>
          <w:rFonts w:ascii="微软雅黑" w:hAnsi="微软雅黑" w:cs="微软雅黑"/>
          <w:b/>
          <w:bCs/>
          <w:sz w:val="84"/>
        </w:rPr>
      </w:pPr>
      <w:r>
        <w:rPr>
          <w:rFonts w:hint="eastAsia" w:ascii="微软雅黑" w:hAnsi="微软雅黑" w:cs="微软雅黑"/>
          <w:sz w:val="72"/>
          <w:szCs w:val="72"/>
        </w:rPr>
        <w:t xml:space="preserve">采 购 文 件</w:t>
      </w:r>
      <w:r>
        <w:rPr>
          <w:rFonts w:ascii="微软雅黑" w:hAnsi="微软雅黑" w:cs="微软雅黑"/>
          <w:b/>
          <w:bCs/>
          <w:sz w:val="84"/>
        </w:rPr>
      </w:r>
      <w:r/>
    </w:p>
    <w:p>
      <w:pPr>
        <w:pStyle w:val="1061"/>
        <w:jc w:val="center"/>
        <w:rPr>
          <w:rFonts w:ascii="微软雅黑" w:hAnsi="微软雅黑" w:cs="微软雅黑"/>
          <w:sz w:val="48"/>
        </w:rPr>
      </w:pPr>
      <w:r>
        <w:rPr>
          <w:rFonts w:hint="eastAsia" w:ascii="微软雅黑" w:hAnsi="微软雅黑" w:cs="微软雅黑"/>
          <w:sz w:val="44"/>
          <w:szCs w:val="21"/>
        </w:rPr>
        <w:t xml:space="preserve">（公开招标）</w:t>
      </w:r>
      <w:r>
        <w:rPr>
          <w:rFonts w:ascii="微软雅黑" w:hAnsi="微软雅黑" w:cs="微软雅黑"/>
          <w:sz w:val="48"/>
        </w:rPr>
      </w:r>
      <w:r/>
    </w:p>
    <w:p>
      <w:pPr>
        <w:pStyle w:val="1061"/>
        <w:rPr>
          <w:rStyle w:val="1131"/>
          <w:rFonts w:ascii="微软雅黑" w:hAnsi="微软雅黑" w:cs="微软雅黑"/>
          <w:color w:val="000000"/>
        </w:rPr>
      </w:pPr>
      <w:r>
        <w:rPr>
          <w:rStyle w:val="1131"/>
          <w:rFonts w:ascii="微软雅黑" w:hAnsi="微软雅黑" w:cs="微软雅黑"/>
          <w:color w:val="000000"/>
        </w:rPr>
      </w:r>
      <w:r/>
    </w:p>
    <w:p>
      <w:pPr>
        <w:pStyle w:val="1061"/>
        <w:jc w:val="left"/>
        <w:rPr>
          <w:rFonts w:ascii="微软雅黑" w:hAnsi="微软雅黑" w:cs="微软雅黑"/>
          <w:sz w:val="36"/>
        </w:rPr>
      </w:pPr>
      <w:r>
        <w:rPr>
          <w:rFonts w:ascii="微软雅黑" w:hAnsi="微软雅黑" w:cs="微软雅黑"/>
          <w:sz w:val="36"/>
        </w:rPr>
      </w:r>
      <w:r/>
    </w:p>
    <w:p>
      <w:pPr>
        <w:pStyle w:val="1061"/>
        <w:ind w:firstLine="0"/>
        <w:spacing w:line="360" w:lineRule="auto"/>
        <w:rPr>
          <w:rFonts w:ascii="微软雅黑" w:hAnsi="微软雅黑" w:cs="微软雅黑"/>
          <w:sz w:val="30"/>
          <w:szCs w:val="30"/>
        </w:rPr>
      </w:pPr>
      <w:r>
        <w:rPr>
          <w:rFonts w:ascii="微软雅黑" w:hAnsi="微软雅黑" w:cs="微软雅黑"/>
          <w:sz w:val="30"/>
          <w:szCs w:val="30"/>
        </w:rPr>
      </w:r>
      <w:r/>
    </w:p>
    <w:p>
      <w:pPr>
        <w:pStyle w:val="1061"/>
        <w:ind w:firstLine="9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JSZC-320000-JSHC-G2026-0021</w:t>
      </w:r>
      <w:r>
        <w:rPr>
          <w:rFonts w:hint="eastAsia" w:ascii="微软雅黑" w:hAnsi="微软雅黑" w:eastAsia="微软雅黑" w:cs="微软雅黑"/>
          <w:sz w:val="30"/>
          <w:szCs w:val="30"/>
          <w:lang w:eastAsia="zh-CN"/>
        </w:rPr>
      </w:r>
      <w:r/>
    </w:p>
    <w:p>
      <w:pPr>
        <w:pStyle w:val="1061"/>
        <w:ind w:left="2401" w:hanging="1500"/>
        <w:jc w:val="left"/>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代理机构内部编号：JSHC-2026050315B1</w:t>
      </w:r>
      <w:r>
        <w:rPr>
          <w:rFonts w:hint="eastAsia" w:ascii="微软雅黑" w:hAnsi="微软雅黑" w:cs="微软雅黑"/>
          <w:sz w:val="30"/>
          <w:szCs w:val="30"/>
        </w:rPr>
      </w:r>
      <w:r/>
    </w:p>
    <w:p>
      <w:pPr>
        <w:pStyle w:val="1061"/>
        <w:ind w:left="2401" w:hanging="1500"/>
        <w:jc w:val="left"/>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项目名称：南京特殊教育师范学院2026-2028年车辆租赁项目</w:t>
      </w:r>
      <w:r>
        <w:rPr>
          <w:rFonts w:hint="eastAsia" w:ascii="微软雅黑" w:hAnsi="微软雅黑" w:cs="微软雅黑"/>
          <w:sz w:val="30"/>
          <w:szCs w:val="30"/>
        </w:rPr>
      </w:r>
      <w:r/>
    </w:p>
    <w:p>
      <w:pPr>
        <w:pStyle w:val="1061"/>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人：南京特殊教育师范学院</w:t>
      </w:r>
      <w:r>
        <w:rPr>
          <w:rFonts w:ascii="微软雅黑" w:hAnsi="微软雅黑" w:cs="微软雅黑"/>
          <w:sz w:val="30"/>
          <w:szCs w:val="30"/>
        </w:rPr>
      </w:r>
      <w:r/>
    </w:p>
    <w:p>
      <w:pPr>
        <w:pStyle w:val="1061"/>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061"/>
        <w:ind w:left="2580" w:hanging="2580"/>
        <w:jc w:val="center"/>
        <w:rPr>
          <w:rFonts w:ascii="微软雅黑" w:hAnsi="微软雅黑" w:cs="微软雅黑"/>
          <w:sz w:val="30"/>
          <w:szCs w:val="30"/>
        </w:rPr>
      </w:pPr>
      <w:r>
        <w:rPr>
          <w:rFonts w:ascii="微软雅黑" w:hAnsi="微软雅黑" w:cs="微软雅黑"/>
          <w:sz w:val="30"/>
          <w:szCs w:val="30"/>
        </w:rPr>
      </w:r>
      <w:r/>
    </w:p>
    <w:p>
      <w:pPr>
        <w:pStyle w:val="1061"/>
        <w:ind w:left="2580" w:hanging="2580"/>
        <w:jc w:val="center"/>
        <w:rPr>
          <w:rFonts w:ascii="微软雅黑" w:hAnsi="微软雅黑" w:cs="微软雅黑"/>
          <w:sz w:val="30"/>
          <w:szCs w:val="30"/>
        </w:rPr>
      </w:pPr>
      <w:r>
        <w:rPr>
          <w:rFonts w:ascii="微软雅黑" w:hAnsi="微软雅黑" w:cs="微软雅黑"/>
          <w:sz w:val="30"/>
          <w:szCs w:val="30"/>
        </w:rPr>
      </w:r>
      <w:r/>
    </w:p>
    <w:p>
      <w:pPr>
        <w:pStyle w:val="1090"/>
        <w:ind w:left="0"/>
        <w:rPr>
          <w:rFonts w:ascii="微软雅黑" w:hAnsi="微软雅黑" w:cs="微软雅黑"/>
        </w:rPr>
      </w:pPr>
      <w:r>
        <w:rPr>
          <w:rFonts w:ascii="微软雅黑" w:hAnsi="微软雅黑" w:cs="微软雅黑"/>
        </w:rPr>
      </w:r>
      <w:r/>
    </w:p>
    <w:p>
      <w:pPr>
        <w:pStyle w:val="1061"/>
        <w:jc w:val="center"/>
        <w:rPr>
          <w:rFonts w:ascii="微软雅黑" w:hAnsi="微软雅黑" w:cs="微软雅黑"/>
          <w:sz w:val="30"/>
          <w:szCs w:val="30"/>
        </w:rPr>
        <w:sectPr>
          <w:headerReference w:type="default" r:id="rId9"/>
          <w:headerReference w:type="first" r:id="rId10"/>
          <w:footerReference w:type="default" r:id="rId12"/>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1061"/>
        <w:jc w:val="center"/>
        <w:rPr>
          <w:rFonts w:hint="eastAsia" w:ascii="微软雅黑" w:hAnsi="微软雅黑" w:cs="微软雅黑"/>
          <w:b/>
          <w:bCs/>
          <w:sz w:val="30"/>
          <w:szCs w:val="30"/>
        </w:rPr>
      </w:pPr>
      <w:r/>
      <w:bookmarkStart w:id="0" w:name="_Toc32586"/>
      <w:r/>
      <w:bookmarkStart w:id="1" w:name="_第一章_公开招标公告"/>
      <w:r/>
      <w:bookmarkStart w:id="2" w:name="_Toc452384169"/>
      <w:r>
        <w:rPr>
          <w:rFonts w:hint="eastAsia" w:ascii="微软雅黑" w:hAnsi="微软雅黑" w:cs="微软雅黑"/>
          <w:b/>
          <w:bCs/>
          <w:sz w:val="30"/>
          <w:szCs w:val="30"/>
        </w:rPr>
        <w:t xml:space="preserve">目录</w:t>
      </w:r>
      <w:r>
        <w:rPr>
          <w:rFonts w:hint="eastAsia" w:ascii="微软雅黑" w:hAnsi="微软雅黑" w:cs="微软雅黑"/>
          <w:b/>
          <w:bCs/>
          <w:sz w:val="30"/>
          <w:szCs w:val="30"/>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TOC \o "1-3" \h \u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第一章 投标邀请（采购公告）</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_Toc9307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第二章 供应商须知</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_Toc9307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8</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_Toc20692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一、总则</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_Toc20692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_Toc30747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 适用范围</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_Toc30747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_Toc20828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1.2 合格的供应商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_Toc20828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_Toc6344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 参加采购活动费用</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_Toc6344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_Toc18341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 法律适用</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_Toc18341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_Toc28575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1.5 采购文件的约束力</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_Toc28575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_Toc20019 </w:instrText>
      </w:r>
      <w:r>
        <w:rPr>
          <w:rFonts w:hint="eastAsia" w:ascii="微软雅黑" w:hAnsi="微软雅黑" w:eastAsia="微软雅黑" w:cs="微软雅黑"/>
          <w:szCs w:val="21"/>
        </w:rPr>
        <w:fldChar w:fldCharType="separate"/>
      </w:r>
      <w:r>
        <w:rPr>
          <w:rFonts w:hint="eastAsia" w:ascii="微软雅黑" w:hAnsi="微软雅黑" w:eastAsia="微软雅黑" w:cs="微软雅黑"/>
          <w:bCs/>
          <w:szCs w:val="21"/>
        </w:rPr>
        <w:t xml:space="preserve">二、采购文件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_Toc20019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_Toc4705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2.1 采购文件的组成</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_Toc4705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_Toc15305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2.2 采购文件的更正或补充</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_Toc15305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12</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_Toc23721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bCs/>
          <w:szCs w:val="21"/>
        </w:rPr>
        <w:t xml:space="preserve">三、投标文件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_Toc23721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12</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_Toc26098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3.1 投标文件的语言及度量衡</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_Toc26098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12</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_Toc31945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3.2 投标文件的组成</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_Toc31945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12</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_Toc31974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3.3 投标报价</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_Toc31974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_Toc22681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3.4 投标报价中的货币</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_Toc22681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_Toc29582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3.5 投标保证金：无</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_Toc29582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_Toc4593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3.6 投标有效期</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_Toc4593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_Toc15540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3.7 投标文件的签署、形式</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_Toc15540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_Toc28566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bCs/>
          <w:szCs w:val="21"/>
        </w:rPr>
        <w:t xml:space="preserve">四、投标文件的递交</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_Toc28566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_Toc11936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4.2有下列情形的投标文件将被拒收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_Toc11936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_Toc22241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4.2.1投标人应当按照《操作手册》规定，在“苏采云”系统规定的时间内对投标文件进行解密。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_Toc22241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_Toc10418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4.2.2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_Toc10418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_Toc9077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4.3 投标截止时间</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_Toc9077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_Toc12985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4.4 投标文件的修改和撤回</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_Toc12985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_Toc21941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bCs/>
          <w:szCs w:val="21"/>
        </w:rPr>
        <w:t xml:space="preserve">五、开标与评标</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_Toc21941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_Toc19480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5.1 投标文件启封</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_Toc19480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_Toc5596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5.2 评标委员会</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_Toc5596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15</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_Toc4342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5.3 对投标文件的资格性审查和符合性审查</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_Toc4342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15</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_Toc14565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5.4投标文件的澄清</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_Toc14565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15</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_Toc19981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5.5评标及中标</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_Toc19981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_Toc7591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5.6评标过程保密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_Toc7591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_Toc8149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5.7投标截止时间结束后参加供应商不足三家情况的处理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_Toc8149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_Toc11210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5.8废标（终止采购活动）</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_Toc11210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_Toc24603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5.9有下列情形之一的，视为投标供应商串通投标，其投标无效：</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_Toc24603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17</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_Toc19338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六、合同授予及签订</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_Toc19338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17</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_Toc32071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6.1确定中标、成交供应商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_Toc32071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17</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_Toc9310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6.2质疑处理</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_Toc9310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17</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_Toc28896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6.3中标通知书</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_Toc28896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18</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_Toc8696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6.4签订合同</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_Toc8696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18</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_Toc30471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第三章 评标办法和定标原则</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_Toc30471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20</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_Toc31300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第四章 项目采购需求</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_Toc31300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_Toc19753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lang w:val="zh-CN"/>
        </w:rPr>
        <w:t xml:space="preserve">第五章</w:t>
      </w:r>
      <w:r>
        <w:rPr>
          <w:rFonts w:hint="eastAsia" w:ascii="微软雅黑" w:hAnsi="微软雅黑" w:eastAsia="微软雅黑" w:cs="微软雅黑"/>
          <w:szCs w:val="21"/>
        </w:rPr>
        <w:t xml:space="preserve"> </w:t>
      </w:r>
      <w:r>
        <w:rPr>
          <w:rFonts w:hint="eastAsia" w:ascii="微软雅黑" w:hAnsi="微软雅黑" w:eastAsia="微软雅黑" w:cs="微软雅黑"/>
          <w:szCs w:val="21"/>
          <w:lang w:val="zh-CN"/>
        </w:rPr>
        <w:t xml:space="preserve">合同主要条款及格式</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_Toc19753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27</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07"/>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_Toc28424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第六章 投标文件格式及附件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_Toc28424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_Toc26741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一、投标函、投标报价及项目相关文件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_Toc26741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_Toc8455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1.投标函</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_Toc8455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41</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_Toc758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2.开标一览表（分包号：）</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_Toc758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42</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_Toc2983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3.技术要求响应表（分包号：）</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_Toc2983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43</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_Toc12742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4.商务要求响应表（分包号：）</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_Toc12742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44</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_Toc23489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5.项目实施方案</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_Toc23489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45</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092"/>
        <w:spacing w:line="420" w:lineRule="exact"/>
        <w:tabs>
          <w:tab w:val="right" w:pos="8504" w:leader="dot"/>
        </w:tabs>
        <w:rPr>
          <w:rFonts w:hint="eastAsia" w:ascii="微软雅黑" w:hAnsi="微软雅黑" w:eastAsia="微软雅黑" w:cs="微软雅黑"/>
          <w:szCs w:val="21"/>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_Toc12791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6.经营业绩（提供合同复印件）</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_Toc12791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45</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r>
      <w:r/>
    </w:p>
    <w:p>
      <w:pPr>
        <w:pStyle w:val="1110"/>
        <w:spacing w:line="420" w:lineRule="exact"/>
        <w:tabs>
          <w:tab w:val="right" w:pos="8504" w:leader="dot"/>
        </w:tabs>
        <w:rPr>
          <w:rFonts w:hint="eastAsia" w:ascii="微软雅黑" w:hAnsi="微软雅黑" w:cs="微软雅黑"/>
          <w:szCs w:val="21"/>
        </w:rPr>
        <w:sectPr>
          <w:headerReference w:type="default" r:id="rId11"/>
          <w:footerReference w:type="default" r:id="rId13"/>
          <w:footnotePr/>
          <w:endnotePr/>
          <w:type w:val="nextPage"/>
          <w:pgSz w:w="11906" w:h="16838" w:orient="portrait"/>
          <w:pgMar w:top="1440" w:right="1701" w:bottom="1440" w:left="1701" w:header="851" w:footer="992" w:gutter="0"/>
          <w:cols w:num="1" w:sep="0" w:space="1701" w:equalWidth="1"/>
          <w:docGrid w:linePitch="360"/>
        </w:sect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HYPERLINK \l _Toc30546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二、 资格证明文件格式</w:t>
      </w:r>
      <w:r>
        <w:rPr>
          <w:rFonts w:hint="eastAsia" w:ascii="微软雅黑" w:hAnsi="微软雅黑" w:eastAsia="微软雅黑" w:cs="微软雅黑"/>
          <w:szCs w:val="21"/>
        </w:rPr>
        <w:tab/>
      </w: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 PAGEREF _Toc30546 \h </w:instrText>
      </w:r>
      <w:r>
        <w:rPr>
          <w:rFonts w:hint="eastAsia" w:ascii="微软雅黑" w:hAnsi="微软雅黑" w:eastAsia="微软雅黑" w:cs="微软雅黑"/>
          <w:szCs w:val="21"/>
        </w:rPr>
        <w:fldChar w:fldCharType="separate"/>
      </w:r>
      <w:r>
        <w:rPr>
          <w:rFonts w:hint="eastAsia" w:ascii="微软雅黑" w:hAnsi="微软雅黑" w:eastAsia="微软雅黑" w:cs="微软雅黑"/>
          <w:szCs w:val="21"/>
        </w:rPr>
        <w:t xml:space="preserve">46</w:t>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eastAsia="微软雅黑" w:cs="微软雅黑"/>
          <w:szCs w:val="21"/>
        </w:rPr>
        <w:fldChar w:fldCharType="end"/>
      </w:r>
      <w:r>
        <w:rPr>
          <w:rFonts w:hint="eastAsia" w:ascii="微软雅黑" w:hAnsi="微软雅黑" w:cs="微软雅黑"/>
          <w:szCs w:val="21"/>
        </w:rPr>
      </w:r>
      <w:r/>
    </w:p>
    <w:p>
      <w:pPr>
        <w:pStyle w:val="1062"/>
        <w:spacing w:line="360" w:lineRule="exact"/>
        <w:rPr>
          <w:rStyle w:val="1123"/>
          <w:rFonts w:ascii="微软雅黑" w:hAnsi="微软雅黑" w:cs="微软雅黑"/>
          <w:bCs/>
          <w:sz w:val="32"/>
          <w:szCs w:val="32"/>
        </w:rPr>
      </w:pPr>
      <w:r/>
      <w:bookmarkEnd w:id="0"/>
      <w:r/>
      <w:bookmarkStart w:id="3" w:name="_Toc202469026"/>
      <w:r/>
      <w:bookmarkStart w:id="4" w:name="_Toc6959"/>
      <w:r/>
      <w:bookmarkStart w:id="5" w:name="_Toc11"/>
      <w:r/>
      <w:bookmarkStart w:id="6" w:name="_Toc4368"/>
      <w:r>
        <w:rPr>
          <w:rFonts w:hint="eastAsia" w:ascii="微软雅黑" w:hAnsi="微软雅黑" w:cs="微软雅黑"/>
          <w:bCs w:val="0"/>
          <w:szCs w:val="32"/>
        </w:rPr>
        <w:t xml:space="preserve">第一章 投标邀请（采购公告）</w:t>
      </w:r>
      <w:bookmarkEnd w:id="3"/>
      <w:r/>
      <w:bookmarkEnd w:id="4"/>
      <w:r/>
      <w:bookmarkEnd w:id="5"/>
      <w:r/>
      <w:bookmarkEnd w:id="6"/>
      <w:r>
        <w:rPr>
          <w:rStyle w:val="1123"/>
          <w:rFonts w:ascii="微软雅黑" w:hAnsi="微软雅黑" w:cs="微软雅黑"/>
          <w:bCs/>
          <w:sz w:val="32"/>
          <w:szCs w:val="32"/>
        </w:rPr>
      </w:r>
      <w:r/>
    </w:p>
    <w:p>
      <w:pPr>
        <w:pStyle w:val="1061"/>
        <w:ind w:firstLine="420"/>
        <w:spacing w:line="420" w:lineRule="exact"/>
        <w:rPr>
          <w:rFonts w:ascii="微软雅黑" w:hAnsi="微软雅黑" w:cs="微软雅黑"/>
          <w:szCs w:val="21"/>
        </w:rPr>
      </w:pPr>
      <w:r/>
      <w:bookmarkEnd w:id="1"/>
      <w:r>
        <w:rPr>
          <w:rFonts w:hint="eastAsia" w:ascii="微软雅黑" w:hAnsi="微软雅黑" w:cs="微软雅黑"/>
          <w:szCs w:val="21"/>
        </w:rPr>
        <w:t xml:space="preserve">（南京特殊教育师范学院2026-2028年车辆租赁项目）招标项目的潜在投标供应商应在（江苏省政府采购管理交易系统（苏采云））获取采购文件，并于2026年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w:t>
      </w:r>
      <w:r>
        <w:rPr>
          <w:rFonts w:hint="eastAsia" w:ascii="微软雅黑" w:hAnsi="微软雅黑" w:cs="微软雅黑"/>
          <w:szCs w:val="21"/>
          <w:lang w:val="en-US" w:eastAsia="zh-CN"/>
        </w:rPr>
        <w:t xml:space="preserve">00</w:t>
      </w:r>
      <w:r>
        <w:rPr>
          <w:rFonts w:hint="eastAsia" w:ascii="微软雅黑" w:hAnsi="微软雅黑" w:cs="微软雅黑"/>
          <w:szCs w:val="21"/>
        </w:rPr>
        <w:t xml:space="preserve">秒（北京时间）前递交投标文件。</w:t>
      </w:r>
      <w:r>
        <w:rPr>
          <w:rFonts w:ascii="微软雅黑" w:hAnsi="微软雅黑" w:cs="微软雅黑"/>
          <w:szCs w:val="21"/>
        </w:rPr>
      </w:r>
      <w:r/>
    </w:p>
    <w:p>
      <w:pPr>
        <w:pStyle w:val="1061"/>
        <w:spacing w:line="420" w:lineRule="exact"/>
        <w:rPr>
          <w:rFonts w:hint="eastAsia"/>
        </w:rPr>
      </w:pPr>
      <w:r/>
      <w:bookmarkStart w:id="7" w:name="_Toc35393621"/>
      <w:r/>
      <w:bookmarkStart w:id="8" w:name="_Toc35393790"/>
      <w:r/>
      <w:bookmarkStart w:id="9" w:name="_Toc5452"/>
      <w:r/>
      <w:bookmarkStart w:id="10" w:name="_Toc28359002"/>
      <w:r/>
      <w:bookmarkStart w:id="11" w:name="_Toc22074"/>
      <w:r/>
      <w:bookmarkStart w:id="12" w:name="_Toc28359079"/>
      <w:r/>
      <w:bookmarkStart w:id="13" w:name="_Hlk24379207"/>
      <w:r>
        <w:rPr>
          <w:rFonts w:hint="eastAsia"/>
        </w:rPr>
        <w:t xml:space="preserve">一、项目基本情况</w:t>
      </w:r>
      <w:bookmarkEnd w:id="7"/>
      <w:r/>
      <w:bookmarkEnd w:id="8"/>
      <w:r/>
      <w:bookmarkEnd w:id="9"/>
      <w:r/>
      <w:bookmarkEnd w:id="10"/>
      <w:r/>
      <w:bookmarkEnd w:id="11"/>
      <w:r/>
      <w:bookmarkEnd w:id="12"/>
      <w:r>
        <w:rPr>
          <w:rFonts w:hint="eastAsia"/>
        </w:rPr>
      </w:r>
      <w:r/>
    </w:p>
    <w:p>
      <w:pPr>
        <w:pStyle w:val="1061"/>
        <w:ind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JSZC-320000-JSHC-G2026-0021</w:t>
      </w:r>
      <w:r>
        <w:rPr>
          <w:rFonts w:hint="eastAsia" w:ascii="微软雅黑" w:hAnsi="微软雅黑" w:eastAsia="微软雅黑" w:cs="微软雅黑"/>
          <w:szCs w:val="21"/>
          <w:lang w:eastAsia="zh-CN"/>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代理机构内部编号：JSHC-2026050315B1</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项目名称：南京特殊教育师范学院2026-2028年车辆租赁项目</w:t>
      </w:r>
      <w:r>
        <w:rPr>
          <w:rFonts w:hint="eastAsia" w:ascii="微软雅黑" w:hAnsi="微软雅黑" w:cs="微软雅黑"/>
          <w:szCs w:val="21"/>
        </w:rPr>
      </w:r>
      <w:r/>
    </w:p>
    <w:p>
      <w:pPr>
        <w:pStyle w:val="1061"/>
        <w:ind w:firstLine="420"/>
        <w:spacing w:line="420" w:lineRule="exact"/>
        <w:rPr>
          <w:rFonts w:ascii="微软雅黑" w:hAnsi="微软雅黑" w:cs="微软雅黑"/>
          <w:szCs w:val="21"/>
        </w:rPr>
      </w:pPr>
      <w:r/>
      <w:bookmarkEnd w:id="13"/>
      <w:r>
        <w:rPr>
          <w:rFonts w:hint="eastAsia" w:ascii="微软雅黑" w:hAnsi="微软雅黑" w:cs="微软雅黑"/>
          <w:szCs w:val="21"/>
        </w:rPr>
        <w:t xml:space="preserve">预算金额：分包一：轿车、小客车；人民币30万/年，人民币60万/2年；</w:t>
      </w:r>
      <w:r>
        <w:rPr>
          <w:rFonts w:ascii="微软雅黑" w:hAnsi="微软雅黑" w:cs="微软雅黑"/>
          <w:szCs w:val="21"/>
        </w:rPr>
      </w:r>
      <w:r/>
    </w:p>
    <w:p>
      <w:pPr>
        <w:pStyle w:val="1061"/>
        <w:ind w:firstLine="1470"/>
        <w:spacing w:line="420" w:lineRule="exact"/>
        <w:rPr>
          <w:rFonts w:hint="eastAsia" w:ascii="微软雅黑" w:hAnsi="微软雅黑" w:cs="微软雅黑"/>
          <w:szCs w:val="21"/>
        </w:rPr>
      </w:pPr>
      <w:r>
        <w:rPr>
          <w:rFonts w:hint="eastAsia" w:ascii="微软雅黑" w:hAnsi="微软雅黑" w:cs="微软雅黑"/>
          <w:szCs w:val="21"/>
        </w:rPr>
        <w:t xml:space="preserve">分包二：考斯特、大客车；人民币30万/年，人民币60万/2年。</w:t>
      </w:r>
      <w:r>
        <w:rPr>
          <w:rFonts w:hint="eastAsia" w:ascii="微软雅黑" w:hAnsi="微软雅黑" w:cs="微软雅黑"/>
          <w:szCs w:val="21"/>
        </w:rPr>
      </w:r>
      <w:r/>
    </w:p>
    <w:p>
      <w:pPr>
        <w:pStyle w:val="1061"/>
        <w:ind w:firstLine="420"/>
        <w:spacing w:line="420" w:lineRule="exact"/>
        <w:rPr>
          <w:rFonts w:ascii="微软雅黑" w:hAnsi="微软雅黑" w:cs="微软雅黑"/>
          <w:szCs w:val="21"/>
        </w:rPr>
      </w:pPr>
      <w:r>
        <w:rPr>
          <w:rFonts w:hint="eastAsia" w:ascii="微软雅黑" w:hAnsi="微软雅黑" w:cs="微软雅黑"/>
          <w:szCs w:val="21"/>
        </w:rPr>
        <w:t xml:space="preserve">最高限价：不超过每项最高单价的100%。</w:t>
      </w:r>
      <w:r>
        <w:rPr>
          <w:rFonts w:ascii="微软雅黑" w:hAnsi="微软雅黑" w:cs="微软雅黑"/>
          <w:szCs w:val="21"/>
        </w:rPr>
      </w:r>
      <w:r/>
    </w:p>
    <w:p>
      <w:pPr>
        <w:pStyle w:val="1061"/>
        <w:jc w:val="center"/>
        <w:spacing w:line="420" w:lineRule="exact"/>
        <w:rPr>
          <w:rFonts w:hint="eastAsia" w:ascii="微软雅黑" w:hAnsi="微软雅黑" w:cs="微软雅黑"/>
          <w:szCs w:val="21"/>
        </w:rPr>
      </w:pPr>
      <w:r>
        <w:rPr>
          <w:rFonts w:hint="eastAsia" w:ascii="微软雅黑" w:hAnsi="微软雅黑" w:cs="微软雅黑"/>
          <w:b/>
          <w:bCs/>
          <w:szCs w:val="21"/>
        </w:rPr>
        <w:t xml:space="preserve">市内非固定线路租赁服务费定价标准</w:t>
      </w:r>
      <w:r>
        <w:rPr>
          <w:rFonts w:hint="eastAsia" w:ascii="微软雅黑" w:hAnsi="微软雅黑" w:cs="微软雅黑"/>
          <w:szCs w:val="21"/>
        </w:rPr>
      </w:r>
      <w:r/>
    </w:p>
    <w:tbl>
      <w:tblPr>
        <w:tblW w:w="5227" w:type="pct"/>
        <w:tblInd w:w="-108" w:type="dxa"/>
        <w:tblLayout w:type="fixed"/>
        <w:tblCellMar>
          <w:left w:w="108" w:type="dxa"/>
          <w:top w:w="0" w:type="dxa"/>
          <w:right w:w="108" w:type="dxa"/>
          <w:bottom w:w="0" w:type="dxa"/>
        </w:tblCellMar>
        <w:tblLook w:val="04A0" w:firstRow="1" w:lastRow="0" w:firstColumn="1" w:lastColumn="0" w:noHBand="0" w:noVBand="1"/>
      </w:tblPr>
      <w:tblGrid>
        <w:gridCol w:w="468"/>
        <w:gridCol w:w="620"/>
        <w:gridCol w:w="1371"/>
        <w:gridCol w:w="997"/>
        <w:gridCol w:w="994"/>
        <w:gridCol w:w="997"/>
        <w:gridCol w:w="870"/>
        <w:gridCol w:w="870"/>
        <w:gridCol w:w="963"/>
        <w:gridCol w:w="966"/>
      </w:tblGrid>
      <w:tr>
        <w:trPr>
          <w:cantSplit/>
          <w:trHeight w:val="1242"/>
        </w:trPr>
        <w:tc>
          <w:tcPr>
            <w:gridSpan w:val="3"/>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车   型</w:t>
            </w:r>
            <w:r>
              <w:rPr>
                <w:rFonts w:hint="eastAsia" w:ascii="微软雅黑" w:hAnsi="微软雅黑" w:cs="微软雅黑"/>
                <w:b/>
                <w:bCs/>
                <w:szCs w:val="21"/>
                <w:highlight w:val="none"/>
              </w:rPr>
            </w:r>
            <w:r/>
          </w:p>
          <w:p>
            <w:pPr>
              <w:pStyle w:val="1061"/>
              <w:ind w:right="-609"/>
              <w:jc w:val="center"/>
              <w:spacing w:line="42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（品牌或同档次品牌）</w:t>
            </w:r>
            <w:r>
              <w:rPr>
                <w:rFonts w:hint="eastAsia" w:ascii="微软雅黑" w:hAnsi="微软雅黑" w:cs="微软雅黑"/>
                <w:szCs w:val="21"/>
                <w:highlight w:val="none"/>
              </w:rPr>
            </w:r>
            <w:r/>
          </w:p>
        </w:tc>
        <w:tc>
          <w:tcPr>
            <w:tcBorders>
              <w:top w:val="single" w:color="000000" w:sz="4" w:space="0"/>
              <w:left w:val="none" w:color="000000" w:sz="4" w:space="0"/>
              <w:bottom w:val="none" w:color="000000" w:sz="0"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市内一天收费（元）</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市内半天收费（元）</w:t>
            </w:r>
            <w:r>
              <w:rPr>
                <w:rFonts w:hint="eastAsia" w:ascii="微软雅黑" w:hAnsi="微软雅黑" w:cs="微软雅黑"/>
                <w:b/>
                <w:bC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市内/天/公里</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会议价格（元/次）</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超公里收费（元/KM）</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b/>
                <w:bCs/>
                <w:szCs w:val="21"/>
                <w:highlight w:val="none"/>
              </w:rPr>
            </w:pPr>
            <w:r>
              <w:rPr>
                <w:rFonts w:hint="eastAsia" w:ascii="微软雅黑" w:hAnsi="微软雅黑" w:cs="微软雅黑"/>
                <w:b/>
                <w:bCs/>
                <w:szCs w:val="21"/>
                <w:highlight w:val="none"/>
              </w:rPr>
              <w:t xml:space="preserve">超小时收费（元/h）</w:t>
            </w:r>
            <w:r>
              <w:rPr>
                <w:rFonts w:ascii="微软雅黑" w:hAnsi="微软雅黑" w:cs="微软雅黑"/>
                <w:b/>
                <w:bCs/>
                <w:szCs w:val="21"/>
                <w:highlight w:val="none"/>
              </w:rPr>
            </w:r>
            <w:r/>
          </w:p>
        </w:tc>
      </w:tr>
      <w:tr>
        <w:trPr>
          <w:cantSplit/>
          <w:trHeight w:val="1242"/>
        </w:trPr>
        <w:tc>
          <w:tcPr>
            <w:tcBorders>
              <w:top w:val="none" w:color="000000" w:sz="4" w:space="0"/>
              <w:left w:val="single" w:color="000000" w:sz="4" w:space="0"/>
              <w:bottom w:val="none" w:color="000000" w:sz="0" w:space="0"/>
              <w:right w:val="single" w:color="000000" w:sz="4" w:space="0"/>
            </w:tcBorders>
            <w:tcW w:w="257" w:type="dxa"/>
            <w:vAlign w:val="center"/>
            <w:vMerge w:val="restart"/>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包一</w:t>
            </w:r>
            <w:r>
              <w:rPr>
                <w:rFonts w:hint="eastAsia" w:ascii="微软雅黑" w:hAnsi="微软雅黑" w:cs="微软雅黑"/>
                <w:b/>
                <w:bCs/>
                <w:szCs w:val="21"/>
                <w:highlight w:val="none"/>
              </w:rPr>
            </w:r>
            <w:r/>
          </w:p>
        </w:tc>
        <w:tc>
          <w:tcPr>
            <w:tcBorders>
              <w:top w:val="none" w:color="000000" w:sz="4" w:space="0"/>
              <w:left w:val="single" w:color="000000" w:sz="4" w:space="0"/>
              <w:bottom w:val="singl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轿车</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5座轿车（帕萨特或同级别）</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670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445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所有车辆行驶时间市内一天8小时，半天4小时。</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所有车辆每天可行驶100公里，半天50公里。</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2.8</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1242"/>
        </w:trPr>
        <w:tc>
          <w:tcPr>
            <w:tcBorders>
              <w:top w:val="none" w:color="000000" w:sz="0" w:space="0"/>
              <w:left w:val="single" w:color="000000" w:sz="4" w:space="0"/>
              <w:bottom w:val="none" w:color="000000" w:sz="4"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4" w:space="0"/>
              <w:left w:val="single" w:color="000000" w:sz="4" w:space="0"/>
              <w:bottom w:val="non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小客车</w:t>
            </w:r>
            <w:r>
              <w:rPr>
                <w:rFonts w:hint="eastAsia" w:ascii="微软雅黑" w:hAnsi="微软雅黑" w:cs="微软雅黑"/>
                <w:b/>
                <w:bCs/>
                <w:szCs w:val="21"/>
                <w:highlight w:val="none"/>
              </w:rPr>
            </w:r>
            <w:r/>
          </w:p>
        </w:tc>
        <w:tc>
          <w:tcPr>
            <w:tcBorders>
              <w:top w:val="single" w:color="000000" w:sz="4" w:space="0"/>
              <w:left w:val="none" w:color="000000" w:sz="4" w:space="0"/>
              <w:bottom w:val="none" w:color="000000" w:sz="0"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7座商务车（别克或同级别）</w:t>
            </w:r>
            <w:r>
              <w:rPr>
                <w:rFonts w:hint="eastAsia" w:ascii="微软雅黑" w:hAnsi="微软雅黑" w:cs="微软雅黑"/>
                <w:b/>
                <w:bCs/>
                <w:szCs w:val="21"/>
                <w:highlight w:val="none"/>
              </w:rPr>
            </w:r>
            <w:r/>
          </w:p>
        </w:tc>
        <w:tc>
          <w:tcPr>
            <w:tcBorders>
              <w:top w:val="single" w:color="000000" w:sz="4" w:space="0"/>
              <w:left w:val="none" w:color="000000" w:sz="4" w:space="0"/>
              <w:bottom w:val="none" w:color="000000" w:sz="0"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840</w:t>
            </w:r>
            <w:r>
              <w:rPr>
                <w:rFonts w:hint="eastAsia" w:ascii="微软雅黑" w:hAnsi="微软雅黑" w:cs="微软雅黑"/>
                <w:szCs w:val="21"/>
                <w:highlight w:val="none"/>
              </w:rPr>
            </w:r>
            <w:r/>
          </w:p>
        </w:tc>
        <w:tc>
          <w:tcPr>
            <w:tcBorders>
              <w:top w:val="single" w:color="000000" w:sz="4" w:space="0"/>
              <w:left w:val="none" w:color="000000" w:sz="4" w:space="0"/>
              <w:bottom w:val="none" w:color="000000" w:sz="0"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550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1100</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32"/>
        </w:trPr>
        <w:tc>
          <w:tcPr>
            <w:tcBorders>
              <w:top w:val="single" w:color="000000" w:sz="4" w:space="0"/>
              <w:left w:val="single" w:color="000000" w:sz="4" w:space="0"/>
              <w:bottom w:val="none" w:color="000000" w:sz="0" w:space="0"/>
              <w:right w:val="single" w:color="000000" w:sz="4" w:space="0"/>
            </w:tcBorders>
            <w:tcW w:w="257" w:type="dxa"/>
            <w:vAlign w:val="center"/>
            <w:vMerge w:val="restart"/>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包二</w:t>
            </w: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考斯特</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17-22座</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1100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800</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1500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421"/>
        </w:trPr>
        <w:tc>
          <w:tcPr>
            <w:tcBorders>
              <w:top w:val="none" w:color="000000" w:sz="0" w:space="0"/>
              <w:left w:val="single" w:color="000000" w:sz="4" w:space="0"/>
              <w:bottom w:val="none" w:color="000000" w:sz="0"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340"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大客车</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33座大客</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1110</w:t>
            </w:r>
            <w:r>
              <w:rPr>
                <w:rFonts w:hint="eastAsia" w:ascii="微软雅黑" w:hAnsi="微软雅黑" w:cs="微软雅黑"/>
                <w:szCs w:val="21"/>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890</w:t>
            </w:r>
            <w:r>
              <w:rPr>
                <w:rFonts w:hint="eastAsia" w:ascii="微软雅黑" w:hAnsi="微软雅黑" w:cs="微软雅黑"/>
                <w:szCs w:val="21"/>
                <w:highlight w:val="none"/>
              </w:rPr>
            </w:r>
            <w:r/>
          </w:p>
        </w:tc>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1560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3.9</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32"/>
        </w:trPr>
        <w:tc>
          <w:tcPr>
            <w:tcBorders>
              <w:top w:val="none" w:color="000000" w:sz="0" w:space="0"/>
              <w:left w:val="single" w:color="000000" w:sz="4" w:space="0"/>
              <w:bottom w:val="none" w:color="000000" w:sz="0"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34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45座以上大客</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1220</w:t>
            </w:r>
            <w:r>
              <w:rPr>
                <w:rFonts w:hint="eastAsia" w:ascii="微软雅黑" w:hAnsi="微软雅黑" w:cs="微软雅黑"/>
                <w:szCs w:val="21"/>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890</w:t>
            </w:r>
            <w:r>
              <w:rPr>
                <w:rFonts w:hint="eastAsia" w:ascii="微软雅黑" w:hAnsi="微软雅黑" w:cs="微软雅黑"/>
                <w:szCs w:val="21"/>
                <w:highlight w:val="none"/>
              </w:rPr>
            </w:r>
            <w:r/>
          </w:p>
        </w:tc>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1670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42"/>
        </w:trPr>
        <w:tc>
          <w:tcPr>
            <w:tcBorders>
              <w:top w:val="none" w:color="000000" w:sz="0" w:space="0"/>
              <w:left w:val="single" w:color="000000" w:sz="4" w:space="0"/>
              <w:bottom w:val="single" w:color="000000" w:sz="4"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53座以上大客</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1390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w:t>
            </w:r>
            <w:r>
              <w:rPr>
                <w:rFonts w:hint="eastAsia" w:ascii="微软雅黑" w:hAnsi="微软雅黑" w:cs="微软雅黑"/>
                <w:szCs w:val="21"/>
                <w:highlight w:val="none"/>
              </w:rPr>
            </w:r>
            <w:r/>
          </w:p>
        </w:tc>
        <w:tc>
          <w:tcPr>
            <w:tcBorders>
              <w:top w:val="none" w:color="000000" w:sz="0"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single" w:color="000000" w:sz="4"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1780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bl>
    <w:p>
      <w:pPr>
        <w:pStyle w:val="1061"/>
        <w:spacing w:line="420" w:lineRule="exact"/>
        <w:rPr>
          <w:rFonts w:ascii="微软雅黑" w:hAnsi="微软雅黑" w:cs="微软雅黑"/>
          <w:szCs w:val="21"/>
        </w:rPr>
      </w:pPr>
      <w:r>
        <w:rPr>
          <w:rFonts w:hint="eastAsia" w:ascii="微软雅黑" w:hAnsi="微软雅黑" w:cs="微软雅黑"/>
          <w:szCs w:val="21"/>
          <w:highlight w:val="none"/>
        </w:rPr>
        <w:t xml:space="preserve">备注：会议用车每天用车时间从早上6：00到晚上22:00止，每天100公里，超出范围根据收费标准付费。</w:t>
      </w:r>
      <w:r>
        <w:rPr>
          <w:rFonts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w:t>
      </w:r>
      <w:r>
        <w:rPr>
          <w:rFonts w:hint="eastAsia" w:ascii="微软雅黑" w:hAnsi="微软雅黑" w:cs="微软雅黑"/>
          <w:szCs w:val="21"/>
        </w:rPr>
      </w:r>
      <w:r/>
    </w:p>
    <w:p>
      <w:pPr>
        <w:pStyle w:val="1237"/>
        <w:spacing w:line="42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采购需求：因公务活动、外事接待、会议、集体活动等公务出行需要，南京教育师范学院通过社会租赁用车方式保障公务出行需要，本项目包含两个分包（包一：轿车、小客车；包二：考斯特、大客车）。</w:t>
      </w:r>
      <w:r>
        <w:rPr>
          <w:rFonts w:hint="eastAsia" w:ascii="微软雅黑" w:hAnsi="微软雅黑" w:eastAsia="微软雅黑" w:cs="微软雅黑"/>
          <w:szCs w:val="21"/>
        </w:rPr>
      </w:r>
      <w:r/>
    </w:p>
    <w:p>
      <w:pPr>
        <w:pStyle w:val="1061"/>
        <w:ind w:firstLine="420"/>
        <w:spacing w:line="420" w:lineRule="exact"/>
        <w:rPr>
          <w:rFonts w:hint="eastAsia" w:ascii="微软雅黑" w:hAnsi="微软雅黑" w:cs="微软雅黑"/>
          <w:b/>
          <w:bCs/>
          <w:szCs w:val="21"/>
        </w:rPr>
      </w:pPr>
      <w:r>
        <w:rPr>
          <w:rFonts w:hint="eastAsia" w:ascii="微软雅黑" w:hAnsi="微软雅黑" w:cs="微软雅黑"/>
          <w:b/>
          <w:bCs/>
          <w:szCs w:val="21"/>
        </w:rPr>
        <w:t xml:space="preserve">注：本项目分包一、分包二同时开标，并按以上分包一、二顺序依次进行评标。同一供应商可以同时参加两个分包的投标，但是只能中标一个分包，供应商在前一个分包中被推荐为第一中标候选人之后，仍然参加后续其他分包的评审，但是在后续其他分包中不能被推荐为中标候选人。  </w:t>
      </w:r>
      <w:r>
        <w:rPr>
          <w:rFonts w:hint="eastAsia" w:ascii="微软雅黑" w:hAnsi="微软雅黑" w:cs="微软雅黑"/>
          <w:b/>
          <w:bCs/>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合同履行期限：自合同签订之日起两年。</w:t>
      </w:r>
      <w:r>
        <w:rPr>
          <w:rFonts w:hint="eastAsia" w:ascii="微软雅黑" w:hAnsi="微软雅黑" w:cs="微软雅黑"/>
          <w:szCs w:val="21"/>
        </w:rPr>
      </w:r>
      <w:r/>
    </w:p>
    <w:p>
      <w:pPr>
        <w:pStyle w:val="1061"/>
        <w:ind w:firstLine="420"/>
        <w:spacing w:line="420" w:lineRule="exact"/>
        <w:rPr>
          <w:rFonts w:hint="eastAsia" w:ascii="微软雅黑" w:hAnsi="微软雅黑" w:cs="微软雅黑"/>
          <w:b/>
          <w:bCs/>
        </w:rPr>
      </w:pPr>
      <w:r/>
      <w:bookmarkStart w:id="14" w:name="_Toc19106"/>
      <w:r/>
      <w:bookmarkStart w:id="15" w:name="_Toc35393791"/>
      <w:r/>
      <w:bookmarkStart w:id="16" w:name="_Toc28359003"/>
      <w:r/>
      <w:bookmarkStart w:id="17" w:name="_Toc18689"/>
      <w:r/>
      <w:bookmarkStart w:id="18" w:name="_Toc35393622"/>
      <w:r/>
      <w:bookmarkStart w:id="19" w:name="_Toc28359080"/>
      <w:r>
        <w:rPr>
          <w:rFonts w:hint="eastAsia" w:ascii="微软雅黑" w:hAnsi="微软雅黑" w:cs="微软雅黑"/>
          <w:b/>
          <w:bCs/>
        </w:rPr>
        <w:t xml:space="preserve">二、申请人的资格要求：</w:t>
      </w:r>
      <w:bookmarkEnd w:id="14"/>
      <w:r/>
      <w:bookmarkEnd w:id="15"/>
      <w:r/>
      <w:bookmarkEnd w:id="16"/>
      <w:r/>
      <w:bookmarkEnd w:id="17"/>
      <w:r/>
      <w:bookmarkEnd w:id="18"/>
      <w:r/>
      <w:bookmarkEnd w:id="19"/>
      <w:r>
        <w:rPr>
          <w:rFonts w:hint="eastAsia" w:ascii="微软雅黑" w:hAnsi="微软雅黑" w:cs="微软雅黑"/>
          <w:b/>
          <w:bCs/>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061"/>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2025年12月至投标截止时间</w:t>
      </w:r>
      <w:r>
        <w:rPr>
          <w:rFonts w:hint="eastAsia" w:ascii="微软雅黑" w:hAnsi="微软雅黑" w:cs="微软雅黑"/>
          <w:szCs w:val="21"/>
        </w:rPr>
        <w:t xml:space="preserve">前任意一月份的财务状况报告（至少包括资产负债表和利润表），或其银行出具的资信证书（复印件），或2025年度审计报告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，或银行出具的资信证明，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2025年12月至投标截止时间</w:t>
      </w:r>
      <w:r>
        <w:rPr>
          <w:rFonts w:hint="eastAsia" w:ascii="微软雅黑" w:hAnsi="微软雅黑" w:cs="微软雅黑"/>
          <w:szCs w:val="21"/>
        </w:rPr>
        <w:t xml:space="preserve">前任一月份依法缴纳税收的凭据（企业代缴的个人所得税除外），以及缴纳社会保险的凭据（专用收据或社会保险的凭据）。依法免税或不需要缴纳社会保障资金的投标供应商，应提供相应文件证明）；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061"/>
        <w:ind w:firstLine="420"/>
        <w:spacing w:line="420" w:lineRule="exact"/>
        <w:rPr>
          <w:rFonts w:hint="eastAsia" w:ascii="微软雅黑" w:hAnsi="微软雅黑" w:cs="微软雅黑"/>
          <w:b/>
          <w:bCs/>
        </w:rPr>
      </w:pPr>
      <w:r>
        <w:rPr>
          <w:rFonts w:hint="eastAsia" w:ascii="微软雅黑" w:hAnsi="微软雅黑" w:cs="微软雅黑"/>
        </w:rPr>
        <w:t xml:space="preserve">2.是否专门面向中小企业：是</w:t>
      </w:r>
      <w:r>
        <w:rPr>
          <w:rFonts w:hint="eastAsia" w:ascii="微软雅黑" w:hAnsi="微软雅黑" w:cs="微软雅黑"/>
          <w:b/>
          <w:bCs/>
        </w:rPr>
        <w:t xml:space="preserve">。</w:t>
      </w:r>
      <w:r>
        <w:rPr>
          <w:rFonts w:hint="eastAsia" w:ascii="微软雅黑" w:hAnsi="微软雅黑" w:cs="微软雅黑"/>
          <w:b/>
          <w:bCs/>
        </w:rPr>
      </w:r>
      <w:r/>
    </w:p>
    <w:p>
      <w:pPr>
        <w:pStyle w:val="1061"/>
        <w:ind w:firstLine="420"/>
        <w:spacing w:line="420" w:lineRule="exact"/>
        <w:rPr>
          <w:rFonts w:hint="eastAsia"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4.本项目的特定资格要求：无。</w:t>
      </w:r>
      <w:r>
        <w:rPr>
          <w:rFonts w:hint="eastAsia" w:ascii="微软雅黑" w:hAnsi="微软雅黑" w:cs="微软雅黑"/>
          <w:szCs w:val="21"/>
        </w:rPr>
      </w:r>
      <w:r/>
    </w:p>
    <w:p>
      <w:pPr>
        <w:pStyle w:val="1061"/>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1061"/>
        <w:ind w:firstLine="420"/>
        <w:spacing w:line="440" w:lineRule="exact"/>
        <w:rPr>
          <w:rFonts w:hint="eastAsia" w:ascii="微软雅黑" w:hAnsi="微软雅黑" w:cs="微软雅黑"/>
          <w:szCs w:val="21"/>
        </w:rPr>
      </w:pPr>
      <w:r>
        <w:rPr>
          <w:rFonts w:hint="eastAsia" w:ascii="微软雅黑" w:hAnsi="微软雅黑" w:cs="微软雅黑"/>
          <w:szCs w:val="21"/>
        </w:rPr>
        <w:t xml:space="preserve">6.3被“信用中国”网站(www.creditchina.gov.cn)或中国政府采购网(www.ccgp.gov.cn)列入失信被执行人、重大税收违法失信主体、政府采购严重违法失信行为记录名单的。</w:t>
      </w:r>
      <w:r>
        <w:rPr>
          <w:rFonts w:hint="eastAsia" w:ascii="微软雅黑" w:hAnsi="微软雅黑" w:cs="微软雅黑"/>
          <w:szCs w:val="21"/>
        </w:rPr>
      </w:r>
      <w:r/>
    </w:p>
    <w:p>
      <w:pPr>
        <w:pStyle w:val="1061"/>
        <w:rPr>
          <w:rFonts w:hint="eastAsia" w:ascii="微软雅黑" w:hAnsi="微软雅黑" w:cs="微软雅黑"/>
          <w:b/>
          <w:bCs/>
        </w:rPr>
      </w:pPr>
      <w:r/>
      <w:bookmarkStart w:id="20" w:name="_Toc35393624"/>
      <w:r/>
      <w:bookmarkStart w:id="21" w:name="_Toc28359082"/>
      <w:r/>
      <w:bookmarkStart w:id="22" w:name="_Toc35393793"/>
      <w:r/>
      <w:bookmarkStart w:id="23" w:name="_Toc1219"/>
      <w:r/>
      <w:bookmarkStart w:id="24" w:name="_Toc35393627"/>
      <w:r/>
      <w:bookmarkStart w:id="25" w:name="_Toc28359005"/>
      <w:r/>
      <w:bookmarkStart w:id="26" w:name="_Toc28359085"/>
      <w:r/>
      <w:bookmarkStart w:id="27" w:name="_Toc19317"/>
      <w:r/>
      <w:bookmarkStart w:id="28" w:name="_Toc28359008"/>
      <w:r/>
      <w:bookmarkStart w:id="29" w:name="_Toc35393796"/>
      <w:r>
        <w:rPr>
          <w:rFonts w:hint="eastAsia" w:ascii="微软雅黑" w:hAnsi="微软雅黑" w:cs="微软雅黑"/>
          <w:b/>
          <w:bCs/>
        </w:rPr>
        <w:t xml:space="preserve">三、获取采购文件</w:t>
      </w:r>
      <w:r>
        <w:rPr>
          <w:rFonts w:hint="eastAsia" w:ascii="微软雅黑" w:hAnsi="微软雅黑" w:cs="微软雅黑"/>
          <w:b/>
          <w:bCs/>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时间：自公告发布之日起5个工作日 </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地点：江苏省政府采购管理交易系统（苏采云）</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方式：自行下载。</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售价：0.00元</w:t>
      </w:r>
      <w:r>
        <w:rPr>
          <w:rFonts w:hint="eastAsia" w:ascii="微软雅黑" w:hAnsi="微软雅黑" w:cs="微软雅黑"/>
          <w:szCs w:val="21"/>
        </w:rPr>
      </w:r>
      <w:r/>
    </w:p>
    <w:p>
      <w:pPr>
        <w:pStyle w:val="1061"/>
        <w:spacing w:line="420" w:lineRule="exact"/>
        <w:rPr>
          <w:rFonts w:hint="eastAsia" w:ascii="微软雅黑" w:hAnsi="微软雅黑" w:cs="微软雅黑"/>
          <w:b/>
          <w:szCs w:val="21"/>
        </w:rPr>
      </w:pPr>
      <w:r/>
      <w:bookmarkEnd w:id="20"/>
      <w:r/>
      <w:bookmarkEnd w:id="21"/>
      <w:r/>
      <w:bookmarkEnd w:id="22"/>
      <w:r/>
      <w:bookmarkEnd w:id="23"/>
      <w:r/>
      <w:bookmarkEnd w:id="25"/>
      <w:r>
        <w:rPr>
          <w:rFonts w:hint="eastAsia" w:ascii="微软雅黑" w:hAnsi="微软雅黑" w:cs="微软雅黑"/>
          <w:b/>
          <w:szCs w:val="21"/>
        </w:rPr>
        <w:t xml:space="preserve">四、提交投标文件截止时间、开标时间和地点</w:t>
      </w:r>
      <w:r>
        <w:rPr>
          <w:rFonts w:hint="eastAsia" w:ascii="微软雅黑" w:hAnsi="微软雅黑" w:cs="微软雅黑"/>
          <w:b/>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00</w:t>
      </w:r>
      <w:r>
        <w:rPr>
          <w:rFonts w:hint="eastAsia" w:ascii="微软雅黑" w:hAnsi="微软雅黑" w:cs="微软雅黑"/>
          <w:bCs/>
          <w:szCs w:val="21"/>
        </w:rPr>
        <w:t xml:space="preserve">（北京时间）</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地点：“苏采云”政府采购交易系统网上开标大厅</w:t>
      </w:r>
      <w:r>
        <w:rPr>
          <w:rFonts w:hint="eastAsia" w:ascii="微软雅黑" w:hAnsi="微软雅黑" w:cs="微软雅黑"/>
          <w:szCs w:val="21"/>
        </w:rPr>
      </w:r>
      <w:r/>
    </w:p>
    <w:p>
      <w:pPr>
        <w:pStyle w:val="1061"/>
        <w:rPr>
          <w:rFonts w:hint="eastAsia" w:ascii="微软雅黑" w:hAnsi="微软雅黑" w:cs="微软雅黑"/>
          <w:b/>
          <w:bCs/>
        </w:rPr>
      </w:pPr>
      <w:r/>
      <w:bookmarkStart w:id="30" w:name="_Toc31210"/>
      <w:r/>
      <w:bookmarkStart w:id="31" w:name="_Toc35393794"/>
      <w:r/>
      <w:bookmarkStart w:id="32" w:name="_Toc35393625"/>
      <w:r/>
      <w:bookmarkStart w:id="33" w:name="_Toc28359084"/>
      <w:r/>
      <w:bookmarkStart w:id="34" w:name="_Toc28359007"/>
      <w:r>
        <w:rPr>
          <w:rFonts w:hint="eastAsia" w:ascii="微软雅黑" w:hAnsi="微软雅黑" w:cs="微软雅黑"/>
          <w:b/>
          <w:bCs/>
        </w:rPr>
        <w:t xml:space="preserve">五、公告期限</w:t>
      </w:r>
      <w:bookmarkEnd w:id="30"/>
      <w:r/>
      <w:bookmarkEnd w:id="31"/>
      <w:r/>
      <w:bookmarkEnd w:id="32"/>
      <w:r/>
      <w:bookmarkEnd w:id="33"/>
      <w:r/>
      <w:bookmarkEnd w:id="34"/>
      <w:r>
        <w:rPr>
          <w:rFonts w:hint="eastAsia" w:ascii="微软雅黑" w:hAnsi="微软雅黑" w:cs="微软雅黑"/>
          <w:b/>
          <w:bCs/>
        </w:rPr>
      </w:r>
      <w:r/>
    </w:p>
    <w:p>
      <w:pPr>
        <w:pStyle w:val="1061"/>
        <w:ind w:firstLine="420"/>
        <w:spacing w:line="420" w:lineRule="exact"/>
        <w:rPr>
          <w:rFonts w:hint="eastAsia" w:ascii="微软雅黑" w:hAnsi="微软雅黑" w:cs="微软雅黑"/>
        </w:rPr>
      </w:pPr>
      <w:r>
        <w:rPr>
          <w:rFonts w:hint="eastAsia" w:ascii="微软雅黑" w:hAnsi="微软雅黑" w:cs="微软雅黑"/>
          <w:szCs w:val="21"/>
        </w:rPr>
        <w:t xml:space="preserve">自本公告发布之日起5个工作日。</w:t>
      </w:r>
      <w:r>
        <w:rPr>
          <w:rFonts w:hint="eastAsia" w:ascii="微软雅黑" w:hAnsi="微软雅黑" w:cs="微软雅黑"/>
        </w:rPr>
      </w:r>
      <w:r/>
    </w:p>
    <w:p>
      <w:pPr>
        <w:pStyle w:val="1061"/>
        <w:rPr>
          <w:rFonts w:hint="eastAsia" w:ascii="微软雅黑" w:hAnsi="微软雅黑" w:cs="微软雅黑"/>
          <w:b/>
          <w:bCs/>
        </w:rPr>
      </w:pPr>
      <w:r/>
      <w:bookmarkStart w:id="35" w:name="_Toc35393626"/>
      <w:r/>
      <w:bookmarkStart w:id="36" w:name="_Toc19985"/>
      <w:r/>
      <w:bookmarkStart w:id="37" w:name="_Toc35393795"/>
      <w:r>
        <w:rPr>
          <w:rFonts w:hint="eastAsia" w:ascii="微软雅黑" w:hAnsi="微软雅黑" w:cs="微软雅黑"/>
          <w:b/>
          <w:bCs/>
        </w:rPr>
        <w:t xml:space="preserve">六、其他补充事宜</w:t>
      </w:r>
      <w:bookmarkEnd w:id="35"/>
      <w:r/>
      <w:bookmarkEnd w:id="36"/>
      <w:r/>
      <w:bookmarkEnd w:id="37"/>
      <w:r>
        <w:rPr>
          <w:rFonts w:hint="eastAsia" w:ascii="微软雅黑" w:hAnsi="微软雅黑" w:cs="微软雅黑"/>
          <w:b/>
          <w:bCs/>
        </w:rPr>
      </w:r>
      <w:r/>
    </w:p>
    <w:p>
      <w:pPr>
        <w:pStyle w:val="1061"/>
        <w:ind w:firstLine="420"/>
        <w:spacing w:line="420" w:lineRule="exact"/>
        <w:rPr>
          <w:rFonts w:ascii="微软雅黑" w:hAnsi="微软雅黑" w:cs="微软雅黑"/>
          <w:szCs w:val="21"/>
        </w:rPr>
      </w:pPr>
      <w:r>
        <w:rPr>
          <w:rFonts w:hint="eastAsia" w:ascii="微软雅黑" w:hAnsi="微软雅黑" w:cs="微软雅黑"/>
          <w:szCs w:val="21"/>
        </w:rPr>
        <w:t xml:space="preserve">1. 评审方法和标准：采用综合评分法。</w:t>
      </w:r>
      <w:r>
        <w:rPr>
          <w:rFonts w:ascii="微软雅黑" w:hAnsi="微软雅黑" w:cs="微软雅黑"/>
          <w:szCs w:val="21"/>
        </w:rPr>
      </w:r>
      <w:r/>
    </w:p>
    <w:p>
      <w:pPr>
        <w:pStyle w:val="1061"/>
        <w:ind w:firstLine="420"/>
        <w:spacing w:line="420" w:lineRule="exact"/>
        <w:rPr>
          <w:rFonts w:ascii="微软雅黑" w:hAnsi="微软雅黑" w:cs="微软雅黑"/>
          <w:szCs w:val="21"/>
        </w:rPr>
      </w:pPr>
      <w:r>
        <w:rPr>
          <w:rFonts w:hint="eastAsia" w:ascii="微软雅黑" w:hAnsi="微软雅黑" w:cs="微软雅黑"/>
          <w:szCs w:val="21"/>
        </w:rPr>
        <w:t xml:space="preserve">2. 此采购公告在江苏政府采购网（http://www.ccgp-jiangsu.gov.cn）发布。 </w:t>
      </w:r>
      <w:r>
        <w:rPr>
          <w:rFonts w:ascii="微软雅黑" w:hAnsi="微软雅黑" w:cs="微软雅黑"/>
          <w:szCs w:val="21"/>
        </w:rPr>
      </w:r>
      <w:r/>
    </w:p>
    <w:p>
      <w:pPr>
        <w:pStyle w:val="1061"/>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rPr>
          <w:rFonts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8" w:name="OLE_LINK2"/>
      <w:r>
        <w:rPr>
          <w:rFonts w:hint="eastAsia" w:ascii="微软雅黑" w:hAnsi="微软雅黑" w:cs="微软雅黑"/>
          <w:szCs w:val="21"/>
        </w:rPr>
        <w:t xml:space="preserve">http://www.ccgp-jiangsu.gov.cn/jiangsu/zlxz/ee/ee3a4bc5a3454aa2b0d9312230633ce9.html</w:t>
      </w:r>
      <w:bookmarkEnd w:id="38"/>
      <w:r>
        <w:rPr>
          <w:rFonts w:hint="eastAsia" w:ascii="微软雅黑" w:hAnsi="微软雅黑" w:cs="微软雅黑"/>
          <w:szCs w:val="21"/>
        </w:rPr>
        <w:t xml:space="preserve">）。</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4.采购文件下载及投标文件制作：</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5. 不见面远程开标：</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szCs w:val="21"/>
        </w:rPr>
        <w:t xml:space="preserve"> </w:t>
      </w:r>
      <w:r>
        <w:rPr>
          <w:rFonts w:hint="eastAsia" w:ascii="微软雅黑" w:hAnsi="微软雅黑" w:cs="微软雅黑"/>
          <w:szCs w:val="21"/>
        </w:rPr>
      </w:r>
      <w:r/>
    </w:p>
    <w:p>
      <w:pPr>
        <w:pStyle w:val="1061"/>
        <w:rPr>
          <w:rFonts w:hint="eastAsia"/>
        </w:rPr>
      </w:pPr>
      <w:r/>
      <w:bookmarkStart w:id="39" w:name="_Toc30491"/>
      <w:r/>
      <w:bookmarkStart w:id="40" w:name="_Toc22125"/>
      <w:r>
        <w:rPr>
          <w:rFonts w:hint="eastAsia"/>
        </w:rPr>
        <w:t xml:space="preserve">七、对本次招标提出询问，请按以下方式联系。</w:t>
      </w:r>
      <w:bookmarkEnd w:id="24"/>
      <w:r/>
      <w:bookmarkEnd w:id="26"/>
      <w:r/>
      <w:bookmarkEnd w:id="27"/>
      <w:r/>
      <w:bookmarkEnd w:id="28"/>
      <w:r/>
      <w:bookmarkEnd w:id="29"/>
      <w:r/>
      <w:bookmarkEnd w:id="39"/>
      <w:r/>
      <w:bookmarkEnd w:id="40"/>
      <w:r>
        <w:rPr>
          <w:rFonts w:hint="eastAsia"/>
        </w:rPr>
        <w:t xml:space="preserve"> </w:t>
      </w:r>
      <w:r>
        <w:rPr>
          <w:rFonts w:hint="eastAsia"/>
        </w:rPr>
      </w:r>
      <w:r/>
    </w:p>
    <w:p>
      <w:pPr>
        <w:pStyle w:val="1061"/>
        <w:ind w:firstLine="420"/>
        <w:spacing w:line="420" w:lineRule="exact"/>
        <w:rPr>
          <w:rFonts w:hint="eastAsia" w:ascii="微软雅黑" w:hAnsi="微软雅黑" w:cs="微软雅黑"/>
          <w:bCs/>
          <w:szCs w:val="21"/>
        </w:rPr>
      </w:pPr>
      <w:r/>
      <w:bookmarkStart w:id="41" w:name="_Toc28359096"/>
      <w:r/>
      <w:bookmarkStart w:id="42" w:name="_Toc28359019"/>
      <w:r/>
      <w:bookmarkStart w:id="43" w:name="_Toc35393806"/>
      <w:r/>
      <w:bookmarkStart w:id="44" w:name="_Toc35393637"/>
      <w:r>
        <w:rPr>
          <w:rFonts w:hint="eastAsia" w:ascii="微软雅黑" w:hAnsi="微软雅黑" w:cs="微软雅黑"/>
          <w:bCs/>
          <w:szCs w:val="21"/>
        </w:rPr>
        <w:t xml:space="preserve">1.采购人信息</w:t>
      </w:r>
      <w:bookmarkEnd w:id="41"/>
      <w:r/>
      <w:bookmarkEnd w:id="42"/>
      <w:r/>
      <w:bookmarkEnd w:id="43"/>
      <w:r/>
      <w:bookmarkEnd w:id="44"/>
      <w:r>
        <w:rPr>
          <w:rFonts w:hint="eastAsia" w:ascii="微软雅黑" w:hAnsi="微软雅黑" w:cs="微软雅黑"/>
          <w:bCs/>
          <w:szCs w:val="21"/>
        </w:rPr>
      </w:r>
      <w:r/>
    </w:p>
    <w:p>
      <w:pPr>
        <w:pStyle w:val="106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称：南京特殊教育师范学院　　　　</w:t>
      </w:r>
      <w:r>
        <w:rPr>
          <w:rFonts w:hint="eastAsia" w:ascii="微软雅黑" w:hAnsi="微软雅黑" w:cs="微软雅黑"/>
          <w:bCs/>
          <w:szCs w:val="21"/>
        </w:rPr>
      </w:r>
      <w:r/>
    </w:p>
    <w:p>
      <w:pPr>
        <w:pStyle w:val="106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址：江苏省南京市栖霞区神农路1号 　　　</w:t>
      </w:r>
      <w:r>
        <w:rPr>
          <w:rFonts w:hint="eastAsia" w:ascii="微软雅黑" w:hAnsi="微软雅黑" w:cs="微软雅黑"/>
          <w:bCs/>
          <w:szCs w:val="21"/>
        </w:rPr>
      </w:r>
      <w:r/>
    </w:p>
    <w:p>
      <w:pPr>
        <w:pStyle w:val="106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联系方式：严老师 025-89668043　 　　   　 </w:t>
      </w:r>
      <w:r>
        <w:rPr>
          <w:rFonts w:hint="eastAsia" w:ascii="微软雅黑" w:hAnsi="微软雅黑" w:cs="微软雅黑"/>
          <w:bCs/>
          <w:szCs w:val="21"/>
        </w:rPr>
      </w:r>
      <w:r/>
    </w:p>
    <w:p>
      <w:pPr>
        <w:pStyle w:val="1061"/>
        <w:ind w:firstLine="420"/>
        <w:spacing w:line="360" w:lineRule="exact"/>
        <w:rPr>
          <w:rFonts w:hint="eastAsia" w:ascii="微软雅黑" w:hAnsi="微软雅黑" w:cs="微软雅黑"/>
          <w:bCs/>
          <w:szCs w:val="21"/>
        </w:rPr>
      </w:pPr>
      <w:r/>
      <w:bookmarkStart w:id="45" w:name="_Toc35393807"/>
      <w:r/>
      <w:bookmarkStart w:id="46" w:name="_Toc35393638"/>
      <w:r/>
      <w:bookmarkStart w:id="47" w:name="_Toc28359020"/>
      <w:r/>
      <w:bookmarkStart w:id="48" w:name="_Toc28359097"/>
      <w:r>
        <w:rPr>
          <w:rFonts w:hint="eastAsia" w:ascii="微软雅黑" w:hAnsi="微软雅黑" w:cs="微软雅黑"/>
          <w:bCs/>
          <w:szCs w:val="21"/>
        </w:rPr>
        <w:t xml:space="preserve">2.采购代理机构信息</w:t>
      </w:r>
      <w:bookmarkEnd w:id="45"/>
      <w:r/>
      <w:bookmarkEnd w:id="46"/>
      <w:r/>
      <w:bookmarkEnd w:id="47"/>
      <w:r/>
      <w:bookmarkEnd w:id="48"/>
      <w:r>
        <w:rPr>
          <w:rFonts w:hint="eastAsia" w:ascii="微软雅黑" w:hAnsi="微软雅黑" w:cs="微软雅黑"/>
          <w:bCs/>
          <w:szCs w:val="21"/>
        </w:rPr>
      </w:r>
      <w:r/>
    </w:p>
    <w:p>
      <w:pPr>
        <w:pStyle w:val="1061"/>
        <w:ind w:firstLine="630"/>
        <w:spacing w:line="36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1061"/>
        <w:ind w:firstLine="630"/>
        <w:spacing w:line="36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1061"/>
        <w:ind w:firstLine="630"/>
        <w:spacing w:line="360" w:lineRule="exact"/>
        <w:rPr>
          <w:rFonts w:hint="eastAsia" w:ascii="微软雅黑" w:hAnsi="微软雅黑" w:cs="微软雅黑"/>
          <w:bCs/>
          <w:szCs w:val="21"/>
        </w:rPr>
      </w:pPr>
      <w:r>
        <w:rPr>
          <w:rFonts w:hint="eastAsia" w:ascii="微软雅黑" w:hAnsi="微软雅黑" w:cs="微软雅黑"/>
          <w:bCs/>
          <w:szCs w:val="21"/>
        </w:rPr>
        <w:t xml:space="preserve">联系方式：025-83609953　　　　　　　  　　　</w:t>
      </w:r>
      <w:r>
        <w:rPr>
          <w:rFonts w:hint="eastAsia" w:ascii="微软雅黑" w:hAnsi="微软雅黑" w:cs="微软雅黑"/>
          <w:bCs/>
          <w:szCs w:val="21"/>
        </w:rPr>
      </w:r>
      <w:r/>
    </w:p>
    <w:p>
      <w:pPr>
        <w:pStyle w:val="1061"/>
        <w:ind w:firstLine="420"/>
        <w:spacing w:line="360" w:lineRule="exact"/>
        <w:rPr>
          <w:rFonts w:hint="eastAsia" w:ascii="微软雅黑" w:hAnsi="微软雅黑" w:cs="微软雅黑"/>
          <w:bCs/>
          <w:szCs w:val="21"/>
        </w:rPr>
      </w:pPr>
      <w:r/>
      <w:bookmarkStart w:id="49" w:name="_Toc28359021"/>
      <w:r/>
      <w:bookmarkStart w:id="50" w:name="_Toc35393808"/>
      <w:r/>
      <w:bookmarkStart w:id="51" w:name="_Toc28359098"/>
      <w:r/>
      <w:bookmarkStart w:id="52" w:name="_Toc35393639"/>
      <w:r>
        <w:rPr>
          <w:rFonts w:hint="eastAsia" w:ascii="微软雅黑" w:hAnsi="微软雅黑" w:cs="微软雅黑"/>
          <w:bCs/>
          <w:szCs w:val="21"/>
        </w:rPr>
        <w:t xml:space="preserve">3.项目联系方式</w:t>
      </w:r>
      <w:bookmarkEnd w:id="49"/>
      <w:r/>
      <w:bookmarkEnd w:id="50"/>
      <w:r/>
      <w:bookmarkEnd w:id="51"/>
      <w:r/>
      <w:bookmarkEnd w:id="52"/>
      <w:r>
        <w:rPr>
          <w:rFonts w:hint="eastAsia" w:ascii="微软雅黑" w:hAnsi="微软雅黑" w:cs="微软雅黑"/>
          <w:bCs/>
          <w:szCs w:val="21"/>
        </w:rPr>
      </w:r>
      <w:r/>
    </w:p>
    <w:p>
      <w:pPr>
        <w:pStyle w:val="1093"/>
        <w:ind w:firstLine="630"/>
        <w:spacing w:line="36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项目联系人：刘洁</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1061"/>
        <w:ind w:firstLine="735"/>
        <w:spacing w:line="360" w:lineRule="exact"/>
        <w:rPr>
          <w:rFonts w:ascii="微软雅黑" w:hAnsi="微软雅黑" w:cs="微软雅黑"/>
        </w:rPr>
      </w:pPr>
      <w:r>
        <w:rPr>
          <w:rFonts w:hint="eastAsia" w:ascii="微软雅黑" w:hAnsi="微软雅黑" w:cs="微软雅黑"/>
          <w:szCs w:val="21"/>
        </w:rPr>
        <w:t xml:space="preserve">电　　 话：025-8360336</w:t>
      </w:r>
      <w:r>
        <w:rPr>
          <w:rFonts w:ascii="微软雅黑" w:hAnsi="微软雅黑" w:cs="微软雅黑"/>
          <w:szCs w:val="21"/>
        </w:rPr>
        <w:t xml:space="preserve">8</w:t>
      </w:r>
      <w:r>
        <w:rPr>
          <w:rFonts w:hint="eastAsia" w:ascii="微软雅黑" w:hAnsi="微软雅黑" w:cs="微软雅黑"/>
        </w:rPr>
        <w:t xml:space="preserve">                                                </w:t>
      </w:r>
      <w:r>
        <w:rPr>
          <w:rFonts w:ascii="微软雅黑" w:hAnsi="微软雅黑" w:cs="微软雅黑"/>
        </w:rPr>
      </w:r>
      <w:r/>
    </w:p>
    <w:p>
      <w:pPr>
        <w:pStyle w:val="1062"/>
        <w:rPr>
          <w:rFonts w:hint="eastAsia" w:ascii="微软雅黑" w:hAnsi="微软雅黑" w:cs="微软雅黑"/>
        </w:rPr>
      </w:pPr>
      <w:r/>
      <w:bookmarkEnd w:id="2"/>
      <w:r/>
      <w:bookmarkStart w:id="53" w:name="_Toc8118"/>
      <w:r/>
      <w:bookmarkStart w:id="54" w:name="_Toc17356"/>
      <w:r/>
      <w:bookmarkStart w:id="55" w:name="_Toc8789"/>
      <w:r>
        <w:rPr>
          <w:rFonts w:hint="eastAsia" w:ascii="微软雅黑" w:hAnsi="微软雅黑" w:cs="微软雅黑"/>
        </w:rPr>
        <w:br w:type="page" w:clear="all"/>
      </w:r>
      <w:bookmarkStart w:id="56" w:name="_Toc9307"/>
      <w:r>
        <w:rPr>
          <w:rFonts w:hint="eastAsia" w:ascii="微软雅黑" w:hAnsi="微软雅黑" w:cs="微软雅黑"/>
        </w:rPr>
        <w:t xml:space="preserve">第二章 </w:t>
      </w:r>
      <w:bookmarkStart w:id="57" w:name="_Toc28947"/>
      <w:r>
        <w:rPr>
          <w:rFonts w:hint="eastAsia" w:ascii="微软雅黑" w:hAnsi="微软雅黑" w:cs="微软雅黑"/>
        </w:rPr>
        <w:t xml:space="preserve">供应商须知</w:t>
      </w:r>
      <w:bookmarkEnd w:id="53"/>
      <w:r/>
      <w:bookmarkEnd w:id="54"/>
      <w:r/>
      <w:bookmarkEnd w:id="55"/>
      <w:r/>
      <w:bookmarkEnd w:id="56"/>
      <w:r/>
      <w:bookmarkEnd w:id="57"/>
      <w:r>
        <w:rPr>
          <w:rFonts w:hint="eastAsia" w:ascii="微软雅黑" w:hAnsi="微软雅黑" w:cs="微软雅黑"/>
        </w:rPr>
      </w:r>
      <w:r/>
    </w:p>
    <w:p>
      <w:pPr>
        <w:pStyle w:val="1061"/>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trHeight w:val="734"/>
        </w:trPr>
        <w:tc>
          <w:tcPr>
            <w:tcW w:w="650" w:type="dxa"/>
            <w:vAlign w:val="center"/>
            <w:textDirection w:val="lrTb"/>
            <w:noWrap w:val="false"/>
          </w:tcPr>
          <w:p>
            <w:pPr>
              <w:pStyle w:val="106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583" w:type="dxa"/>
            <w:vAlign w:val="center"/>
            <w:textDirection w:val="lrTb"/>
            <w:noWrap w:val="false"/>
          </w:tcPr>
          <w:p>
            <w:pPr>
              <w:pStyle w:val="106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南京特殊教育师范学院2026-2028年车辆租赁项目</w:t>
            </w:r>
            <w:r>
              <w:rPr>
                <w:rFonts w:hint="eastAsia" w:ascii="微软雅黑" w:hAnsi="微软雅黑" w:cs="微软雅黑"/>
                <w:szCs w:val="21"/>
              </w:rPr>
            </w:r>
            <w:r/>
          </w:p>
        </w:tc>
      </w:tr>
      <w:tr>
        <w:trPr>
          <w:trHeight w:val="521"/>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583" w:type="dxa"/>
            <w:vAlign w:val="center"/>
            <w:textDirection w:val="lrTb"/>
            <w:noWrap w:val="false"/>
          </w:tcPr>
          <w:p>
            <w:pPr>
              <w:pStyle w:val="1061"/>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JSZC-320000-JSHC-G2026-0021</w:t>
            </w:r>
            <w:r>
              <w:rPr>
                <w:rFonts w:hint="eastAsia" w:ascii="微软雅黑" w:hAnsi="微软雅黑" w:eastAsia="微软雅黑" w:cs="微软雅黑"/>
                <w:szCs w:val="21"/>
                <w:lang w:eastAsia="zh-CN"/>
              </w:rPr>
            </w:r>
            <w:r/>
          </w:p>
          <w:p>
            <w:pPr>
              <w:pStyle w:val="1061"/>
              <w:spacing w:line="420" w:lineRule="exact"/>
              <w:rPr>
                <w:rFonts w:hint="eastAsia" w:ascii="微软雅黑" w:hAnsi="微软雅黑" w:cs="微软雅黑"/>
                <w:szCs w:val="21"/>
              </w:rPr>
            </w:pPr>
            <w:r>
              <w:rPr>
                <w:rFonts w:hint="eastAsia" w:ascii="微软雅黑" w:hAnsi="微软雅黑" w:cs="微软雅黑"/>
                <w:szCs w:val="21"/>
              </w:rPr>
              <w:t xml:space="preserve">代理机构内部编号：JSHC-2026050315B1</w:t>
            </w:r>
            <w:r>
              <w:rPr>
                <w:rFonts w:hint="eastAsia" w:ascii="微软雅黑" w:hAnsi="微软雅黑" w:cs="微软雅黑"/>
                <w:szCs w:val="21"/>
              </w:rPr>
            </w:r>
            <w:r/>
          </w:p>
        </w:tc>
      </w:tr>
      <w:tr>
        <w:trPr>
          <w:trHeight w:val="521"/>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8"/>
        </w:trPr>
        <w:tc>
          <w:tcPr>
            <w:tcW w:w="650" w:type="dxa"/>
            <w:vAlign w:val="center"/>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rPr>
                <w:rFonts w:hint="eastAsia" w:ascii="微软雅黑" w:hAnsi="微软雅黑" w:cs="微软雅黑"/>
                <w:szCs w:val="21"/>
                <w:highlight w:val="none"/>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rPr>
                <w:rFonts w:hint="eastAsia" w:ascii="微软雅黑" w:hAnsi="微软雅黑" w:cs="微软雅黑"/>
                <w:szCs w:val="21"/>
                <w:highlight w:val="none"/>
              </w:rPr>
            </w:r>
            <w:r/>
          </w:p>
        </w:tc>
        <w:tc>
          <w:tcPr>
            <w:tcW w:w="6583" w:type="dxa"/>
            <w:vAlign w:val="center"/>
            <w:textDirection w:val="lrTb"/>
            <w:noWrap w:val="false"/>
          </w:tcPr>
          <w:p>
            <w:pPr>
              <w:pStyle w:val="1061"/>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rPr>
                <w:rFonts w:hint="eastAsia" w:ascii="微软雅黑" w:hAnsi="微软雅黑" w:cs="微软雅黑"/>
                <w:szCs w:val="21"/>
                <w:highlight w:val="none"/>
              </w:rPr>
            </w:r>
            <w:r/>
          </w:p>
        </w:tc>
      </w:tr>
      <w:tr>
        <w:trPr>
          <w:trHeight w:val="275"/>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预算金额</w:t>
            </w:r>
            <w:r>
              <w:rPr>
                <w:rFonts w:hint="eastAsia" w:ascii="微软雅黑" w:hAnsi="微软雅黑" w:cs="微软雅黑"/>
                <w:szCs w:val="21"/>
              </w:rPr>
            </w:r>
            <w:r/>
          </w:p>
        </w:tc>
        <w:tc>
          <w:tcPr>
            <w:tcW w:w="6583" w:type="dxa"/>
            <w:vAlign w:val="center"/>
            <w:textDirection w:val="lrTb"/>
            <w:noWrap w:val="false"/>
          </w:tcPr>
          <w:p>
            <w:pPr>
              <w:pStyle w:val="1061"/>
              <w:spacing w:line="420" w:lineRule="exact"/>
              <w:rPr>
                <w:rFonts w:ascii="微软雅黑" w:hAnsi="微软雅黑" w:cs="微软雅黑"/>
                <w:szCs w:val="21"/>
              </w:rPr>
            </w:pPr>
            <w:r>
              <w:rPr>
                <w:rFonts w:hint="eastAsia" w:ascii="微软雅黑" w:hAnsi="微软雅黑" w:cs="微软雅黑"/>
                <w:szCs w:val="21"/>
              </w:rPr>
              <w:t xml:space="preserve">分包一：轿车、小客车；人民币30万/年，人民币60万/2年；</w:t>
            </w:r>
            <w:r>
              <w:rPr>
                <w:rFonts w:ascii="微软雅黑" w:hAnsi="微软雅黑" w:cs="微软雅黑"/>
                <w:szCs w:val="21"/>
              </w:rPr>
            </w:r>
            <w:r/>
          </w:p>
          <w:p>
            <w:pPr>
              <w:pStyle w:val="1061"/>
              <w:spacing w:line="420" w:lineRule="exact"/>
              <w:rPr>
                <w:rFonts w:hint="eastAsia" w:ascii="微软雅黑" w:hAnsi="微软雅黑" w:eastAsia="微软雅黑" w:cs="微软雅黑"/>
                <w:lang w:eastAsia="zh-CN"/>
              </w:rPr>
            </w:pPr>
            <w:r>
              <w:rPr>
                <w:rFonts w:hint="eastAsia" w:ascii="微软雅黑" w:hAnsi="微软雅黑" w:cs="微软雅黑"/>
                <w:szCs w:val="21"/>
              </w:rPr>
              <w:t xml:space="preserve">分包二：考斯特、大客车；人民币30万/年，人民币60万/2年</w:t>
            </w:r>
            <w:r>
              <w:rPr>
                <w:rFonts w:hint="eastAsia" w:ascii="微软雅黑" w:hAnsi="微软雅黑" w:cs="微软雅黑"/>
                <w:szCs w:val="21"/>
                <w:lang w:eastAsia="zh-CN"/>
              </w:rPr>
              <w:t xml:space="preserve">。</w:t>
            </w:r>
            <w:r>
              <w:rPr>
                <w:rFonts w:hint="eastAsia" w:ascii="微软雅黑" w:hAnsi="微软雅黑" w:eastAsia="微软雅黑" w:cs="微软雅黑"/>
                <w:lang w:eastAsia="zh-CN"/>
              </w:rPr>
            </w:r>
            <w:r/>
          </w:p>
        </w:tc>
      </w:tr>
      <w:tr>
        <w:trPr>
          <w:trHeight w:val="589"/>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不超过每项最高单价的100%</w:t>
            </w:r>
            <w:r>
              <w:rPr>
                <w:rFonts w:hint="eastAsia" w:ascii="微软雅黑" w:hAnsi="微软雅黑" w:cs="微软雅黑"/>
                <w:szCs w:val="21"/>
              </w:rPr>
            </w:r>
            <w:r/>
          </w:p>
        </w:tc>
      </w:tr>
      <w:tr>
        <w:trPr>
          <w:trHeight w:val="533"/>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583" w:type="dxa"/>
            <w:vAlign w:val="center"/>
            <w:textDirection w:val="lrTb"/>
            <w:noWrap w:val="false"/>
          </w:tcPr>
          <w:p>
            <w:pPr>
              <w:pStyle w:val="1061"/>
              <w:spacing w:line="420" w:lineRule="exact"/>
              <w:rPr>
                <w:rFonts w:hint="eastAsia" w:ascii="微软雅黑" w:hAnsi="微软雅黑" w:cs="微软雅黑"/>
                <w:szCs w:val="21"/>
              </w:rPr>
            </w:pPr>
            <w:r>
              <w:rPr>
                <w:rFonts w:hint="eastAsia" w:ascii="微软雅黑" w:hAnsi="微软雅黑" w:cs="微软雅黑"/>
                <w:szCs w:val="21"/>
              </w:rPr>
              <w:t xml:space="preserve">分包一：轿车、小客车；</w:t>
            </w:r>
            <w:r>
              <w:rPr>
                <w:rFonts w:hint="eastAsia" w:ascii="微软雅黑" w:hAnsi="微软雅黑" w:cs="微软雅黑"/>
                <w:szCs w:val="21"/>
              </w:rPr>
            </w:r>
            <w:r/>
          </w:p>
          <w:p>
            <w:pPr>
              <w:pStyle w:val="1061"/>
              <w:spacing w:line="420" w:lineRule="exact"/>
              <w:rPr>
                <w:rFonts w:hint="eastAsia" w:ascii="微软雅黑" w:hAnsi="微软雅黑" w:cs="微软雅黑"/>
                <w:szCs w:val="21"/>
              </w:rPr>
            </w:pPr>
            <w:r>
              <w:rPr>
                <w:rFonts w:hint="eastAsia" w:ascii="微软雅黑" w:hAnsi="微软雅黑" w:cs="微软雅黑"/>
                <w:szCs w:val="21"/>
              </w:rPr>
              <w:t xml:space="preserve">分包二：考斯特、大客车。</w:t>
            </w:r>
            <w:r>
              <w:rPr>
                <w:rFonts w:hint="eastAsia" w:ascii="微软雅黑" w:hAnsi="微软雅黑" w:cs="微软雅黑"/>
                <w:szCs w:val="21"/>
              </w:rPr>
            </w:r>
            <w:r/>
          </w:p>
        </w:tc>
      </w:tr>
      <w:tr>
        <w:trPr>
          <w:trHeight w:val="1269"/>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rPr>
              <w:t xml:space="preserve">南京特殊教育师范学院</w:t>
            </w:r>
            <w:r>
              <w:rPr>
                <w:rFonts w:hint="eastAsia" w:ascii="微软雅黑" w:hAnsi="微软雅黑" w:cs="微软雅黑"/>
                <w:szCs w:val="21"/>
              </w:rPr>
            </w:r>
            <w:r/>
          </w:p>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联系人：</w:t>
            </w:r>
            <w:r>
              <w:rPr>
                <w:rFonts w:hint="eastAsia" w:ascii="微软雅黑" w:hAnsi="微软雅黑" w:cs="微软雅黑"/>
                <w:bCs/>
                <w:szCs w:val="21"/>
              </w:rPr>
              <w:t xml:space="preserve">严老师 </w:t>
            </w:r>
            <w:r>
              <w:rPr>
                <w:rFonts w:hint="eastAsia" w:ascii="微软雅黑" w:hAnsi="微软雅黑" w:cs="微软雅黑"/>
              </w:rPr>
              <w:t xml:space="preserve">   </w:t>
            </w:r>
            <w:r>
              <w:rPr>
                <w:rFonts w:hint="eastAsia" w:ascii="微软雅黑" w:hAnsi="微软雅黑" w:cs="微软雅黑"/>
                <w:szCs w:val="21"/>
              </w:rPr>
              <w:t xml:space="preserve">                  </w:t>
            </w:r>
            <w:r>
              <w:rPr>
                <w:rFonts w:hint="eastAsia" w:ascii="微软雅黑" w:hAnsi="微软雅黑" w:cs="微软雅黑"/>
                <w:szCs w:val="21"/>
              </w:rPr>
            </w:r>
            <w:r/>
          </w:p>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rPr>
              <w:t xml:space="preserve">025-89668043</w:t>
            </w:r>
            <w:r>
              <w:rPr>
                <w:rFonts w:hint="eastAsia" w:ascii="微软雅黑" w:hAnsi="微软雅黑" w:cs="微软雅黑"/>
                <w:szCs w:val="21"/>
              </w:rPr>
            </w:r>
            <w:r/>
          </w:p>
        </w:tc>
      </w:tr>
      <w:tr>
        <w:trPr>
          <w:trHeight w:val="1303"/>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项目负责人：刘洁     </w:t>
            </w:r>
            <w:r>
              <w:rPr>
                <w:rFonts w:hint="eastAsia" w:ascii="微软雅黑" w:hAnsi="微软雅黑" w:cs="微软雅黑"/>
                <w:szCs w:val="21"/>
              </w:rPr>
            </w:r>
            <w:r/>
          </w:p>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72"/>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rHeight w:val="720"/>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szCs w:val="21"/>
              </w:rPr>
            </w:pPr>
            <w:r>
              <w:rPr>
                <w:rFonts w:hint="eastAsia" w:ascii="宋体" w:hAnsi="宋体" w:cs="宋体"/>
                <w:color w:val="000000"/>
                <w:szCs w:val="21"/>
                <w:lang w:bidi="ar"/>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89" w:type="dxa"/>
            <w:vAlign w:val="center"/>
            <w:textDirection w:val="lrTb"/>
            <w:noWrap w:val="false"/>
          </w:tcPr>
          <w:p>
            <w:pPr>
              <w:pStyle w:val="1061"/>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583" w:type="dxa"/>
            <w:vAlign w:val="center"/>
            <w:textDirection w:val="lrTb"/>
            <w:noWrap w:val="false"/>
          </w:tcPr>
          <w:p>
            <w:pPr>
              <w:pStyle w:val="1061"/>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投标文件数量</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sz w:val="22"/>
              </w:rPr>
            </w:pPr>
            <w:r>
              <w:rPr>
                <w:rFonts w:hint="eastAsia" w:ascii="微软雅黑" w:hAnsi="微软雅黑" w:cs="微软雅黑"/>
                <w:szCs w:val="21"/>
              </w:rPr>
              <w:t xml:space="preserve">电子投标文件上传“苏采云”政府采购交易系统。</w:t>
            </w:r>
            <w:r>
              <w:rPr>
                <w:rFonts w:hint="eastAsia" w:ascii="微软雅黑" w:hAnsi="微软雅黑" w:cs="微软雅黑"/>
                <w:sz w:val="22"/>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开标注意事项</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bCs/>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rPr>
                <w:rFonts w:hint="eastAsia" w:ascii="微软雅黑" w:hAnsi="微软雅黑" w:cs="微软雅黑"/>
                <w:bCs/>
                <w:szCs w:val="21"/>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320"/>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tcW w:w="1289" w:type="dxa"/>
            <w:vAlign w:val="center"/>
            <w:textDirection w:val="lrTb"/>
            <w:noWrap w:val="false"/>
          </w:tcPr>
          <w:p>
            <w:pPr>
              <w:pStyle w:val="1061"/>
              <w:jc w:val="center"/>
              <w:spacing w:line="40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hint="eastAsia" w:ascii="微软雅黑" w:hAnsi="微软雅黑" w:cs="微软雅黑"/>
                <w:szCs w:val="21"/>
              </w:rPr>
            </w:r>
            <w:r/>
          </w:p>
        </w:tc>
        <w:tc>
          <w:tcPr>
            <w:tcW w:w="6583" w:type="dxa"/>
            <w:vAlign w:val="center"/>
            <w:textDirection w:val="lrTb"/>
            <w:noWrap w:val="false"/>
          </w:tcPr>
          <w:p>
            <w:pPr>
              <w:pStyle w:val="1061"/>
              <w:jc w:val="left"/>
              <w:spacing w:line="440" w:lineRule="exact"/>
              <w:rPr>
                <w:rFonts w:ascii="微软雅黑" w:hAnsi="微软雅黑" w:cs="微软雅黑"/>
                <w:szCs w:val="21"/>
              </w:rPr>
            </w:pPr>
            <w:r>
              <w:rPr>
                <w:rFonts w:hint="eastAsia" w:ascii="微软雅黑" w:hAnsi="微软雅黑" w:cs="微软雅黑"/>
                <w:b/>
                <w:szCs w:val="21"/>
              </w:rPr>
              <w:t xml:space="preserve">租赁和商务服务业</w:t>
            </w:r>
            <w:r>
              <w:rPr>
                <w:rFonts w:ascii="微软雅黑" w:hAnsi="微软雅黑" w:cs="微软雅黑"/>
                <w:szCs w:val="21"/>
              </w:rPr>
            </w:r>
            <w:r/>
          </w:p>
        </w:tc>
      </w:tr>
      <w:tr>
        <w:trPr/>
        <w:tc>
          <w:tcPr>
            <w:tcW w:w="650"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18</w:t>
            </w:r>
            <w:r>
              <w:rPr>
                <w:rFonts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投标报价包括采购文件所规定的采购范围的全部内容。包括但不仅限于全部服务的价格及相关税费、培训、售后服务、代理服务费等其他有关的所有费用。</w:t>
            </w:r>
            <w:r>
              <w:rPr>
                <w:rFonts w:hint="eastAsia" w:ascii="微软雅黑" w:hAnsi="微软雅黑" w:cs="微软雅黑"/>
                <w:szCs w:val="21"/>
                <w:highlight w:val="none"/>
              </w:rPr>
            </w:r>
            <w:r/>
          </w:p>
        </w:tc>
      </w:tr>
      <w:tr>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583" w:type="dxa"/>
            <w:vAlign w:val="center"/>
            <w:textDirection w:val="lrTb"/>
            <w:noWrap w:val="false"/>
          </w:tcPr>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20</w:t>
            </w:r>
            <w:r>
              <w:rPr>
                <w:rFonts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583" w:type="dxa"/>
            <w:vAlign w:val="center"/>
            <w:textDirection w:val="lrTb"/>
            <w:noWrap w:val="false"/>
          </w:tcPr>
          <w:p>
            <w:pPr>
              <w:pStyle w:val="1061"/>
              <w:numPr>
                <w:ilvl w:val="0"/>
                <w:numId w:val="5"/>
              </w:numPr>
              <w:ind w:left="0" w:firstLine="0"/>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采用差额定率累进计费方式。参照苏财规[2026]1号规定，本项目采购人不支付代理服务费，代理服务费由中标供应商支付，供应商报价应包含代理服务费。中标供应商按“国家计委关于印发《招标代理服务收费管理暂行办法》的通知（计价格[2002]1980号）”中规定收费标准的 6 折向采购代理机构交付招标代理服务费，不足肆仟元的按肆仟元收取。 </w:t>
            </w:r>
            <w:r>
              <w:rPr>
                <w:rFonts w:hint="eastAsia" w:ascii="微软雅黑" w:hAnsi="微软雅黑" w:cs="微软雅黑"/>
                <w:highlight w:val="none"/>
              </w:rPr>
            </w:r>
            <w:r/>
          </w:p>
          <w:p>
            <w:pPr>
              <w:pStyle w:val="1061"/>
              <w:numPr>
                <w:ilvl w:val="0"/>
                <w:numId w:val="5"/>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本次采购活动招标代理服务费由中标供应商支付，中标供应商领取《中标通知书》时一次性向采购代理机构缴纳。</w:t>
            </w:r>
            <w:r>
              <w:rPr>
                <w:rFonts w:hint="eastAsia" w:ascii="微软雅黑" w:hAnsi="微软雅黑" w:cs="微软雅黑"/>
                <w:highlight w:val="none"/>
              </w:rPr>
            </w:r>
            <w:r/>
          </w:p>
          <w:p>
            <w:pPr>
              <w:pStyle w:val="1061"/>
              <w:numPr>
                <w:ilvl w:val="0"/>
                <w:numId w:val="5"/>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本次招标代理服务费不包括有可能产生的专家复议费及由于摆放样品额外租赁场地产生的场地使用费等，如有产生此项费用由中标供应商额外按实支付。</w:t>
            </w:r>
            <w:r>
              <w:rPr>
                <w:rFonts w:hint="eastAsia" w:ascii="微软雅黑" w:hAnsi="微软雅黑" w:cs="微软雅黑"/>
                <w:highlight w:val="none"/>
              </w:rPr>
            </w:r>
            <w:r/>
          </w:p>
          <w:p>
            <w:pPr>
              <w:pStyle w:val="1090"/>
              <w:numPr>
                <w:ilvl w:val="0"/>
                <w:numId w:val="5"/>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收款信息：</w:t>
            </w:r>
            <w:r>
              <w:rPr>
                <w:rFonts w:hint="eastAsia" w:ascii="微软雅黑" w:hAnsi="微软雅黑" w:cs="微软雅黑"/>
                <w:highlight w:val="none"/>
              </w:rPr>
            </w:r>
            <w:r/>
          </w:p>
          <w:p>
            <w:pPr>
              <w:pStyle w:val="1061"/>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户名：江苏省华采招标有限公司</w:t>
            </w:r>
            <w:r>
              <w:rPr>
                <w:rFonts w:hint="eastAsia" w:ascii="微软雅黑" w:hAnsi="微软雅黑" w:cs="微软雅黑"/>
                <w:szCs w:val="21"/>
                <w:highlight w:val="none"/>
              </w:rPr>
            </w:r>
            <w:r/>
          </w:p>
          <w:p>
            <w:pPr>
              <w:pStyle w:val="1061"/>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开户行：招商银行南京奥体支行</w:t>
            </w:r>
            <w:r>
              <w:rPr>
                <w:rFonts w:hint="eastAsia" w:ascii="微软雅黑" w:hAnsi="微软雅黑" w:cs="微软雅黑"/>
                <w:szCs w:val="21"/>
                <w:highlight w:val="none"/>
              </w:rPr>
            </w:r>
            <w:r/>
          </w:p>
          <w:p>
            <w:pPr>
              <w:pStyle w:val="1061"/>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账号：1259 0737 5810 501</w:t>
            </w:r>
            <w:r>
              <w:rPr>
                <w:rFonts w:hint="eastAsia" w:ascii="微软雅黑" w:hAnsi="微软雅黑" w:cs="微软雅黑"/>
                <w:szCs w:val="21"/>
                <w:highlight w:val="none"/>
              </w:rPr>
            </w:r>
            <w:r/>
          </w:p>
          <w:p>
            <w:pPr>
              <w:pStyle w:val="1090"/>
              <w:ind w:left="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开户行行号：3083 0100 6254</w:t>
            </w:r>
            <w:r>
              <w:rPr>
                <w:rFonts w:hint="eastAsia" w:ascii="微软雅黑" w:hAnsi="微软雅黑" w:cs="微软雅黑"/>
                <w:szCs w:val="21"/>
                <w:highlight w:val="none"/>
              </w:rPr>
            </w:r>
            <w:r/>
          </w:p>
          <w:p>
            <w:pPr>
              <w:pStyle w:val="1061"/>
              <w:rPr>
                <w:rFonts w:hint="eastAsia" w:ascii="微软雅黑" w:hAnsi="微软雅黑" w:cs="微软雅黑"/>
                <w:highlight w:val="none"/>
              </w:rPr>
            </w:pPr>
            <w:r>
              <w:rPr>
                <w:rFonts w:hint="eastAsia" w:ascii="微软雅黑" w:hAnsi="微软雅黑" w:cs="微软雅黑"/>
                <w:szCs w:val="21"/>
                <w:highlight w:val="none"/>
              </w:rPr>
              <w:t xml:space="preserve">备注315B1代理服务费</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tcW w:w="1289"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583" w:type="dxa"/>
            <w:vAlign w:val="center"/>
            <w:textDirection w:val="lrTb"/>
            <w:noWrap w:val="false"/>
          </w:tcPr>
          <w:p>
            <w:pPr>
              <w:pStyle w:val="1061"/>
              <w:spacing w:line="400" w:lineRule="exact"/>
              <w:rPr>
                <w:rFonts w:hint="eastAsia" w:ascii="微软雅黑" w:hAnsi="微软雅黑" w:cs="微软雅黑"/>
              </w:rPr>
            </w:pPr>
            <w:r>
              <w:rPr>
                <w:rFonts w:hint="eastAsia" w:ascii="微软雅黑" w:hAnsi="微软雅黑" w:cs="微软雅黑"/>
              </w:rPr>
              <w:t xml:space="preserve">1、有关本项目的相关公告敬请关注江苏政府采购网http://www.ccgp-jiangsu.gov.cn/，也可以与我公司项目部联系，联系人及电话：刘洁 025-83603368。</w:t>
            </w:r>
            <w:r>
              <w:rPr>
                <w:rFonts w:hint="eastAsia" w:ascii="微软雅黑" w:hAnsi="微软雅黑" w:cs="微软雅黑"/>
              </w:rPr>
            </w:r>
            <w:r/>
          </w:p>
          <w:p>
            <w:pPr>
              <w:pStyle w:val="1090"/>
              <w:ind w:left="0"/>
              <w:spacing w:line="400" w:lineRule="exact"/>
              <w:rPr>
                <w:rFonts w:hint="eastAsia" w:ascii="微软雅黑" w:hAnsi="微软雅黑" w:cs="微软雅黑"/>
              </w:rPr>
            </w:pPr>
            <w:r>
              <w:rPr>
                <w:rFonts w:hint="eastAsia" w:ascii="微软雅黑" w:hAnsi="微软雅黑" w:cs="微软雅黑"/>
                <w:szCs w:val="21"/>
              </w:rPr>
              <w:t xml:space="preserve">2、有关发票开具事项：请将开票信息</w:t>
            </w:r>
            <w:r>
              <w:rPr>
                <w:rFonts w:hint="eastAsia" w:ascii="微软雅黑" w:hAnsi="微软雅黑" w:cs="微软雅黑"/>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rPr>
            </w:r>
            <w:r/>
          </w:p>
        </w:tc>
      </w:tr>
    </w:tbl>
    <w:p>
      <w:pPr>
        <w:pStyle w:val="1061"/>
      </w:pPr>
      <w:r/>
      <w:r/>
    </w:p>
    <w:p>
      <w:pPr>
        <w:pStyle w:val="1063"/>
        <w:spacing w:after="100" w:line="420" w:lineRule="exact"/>
        <w:rPr>
          <w:rFonts w:hint="eastAsia" w:ascii="微软雅黑" w:hAnsi="微软雅黑" w:cs="微软雅黑"/>
        </w:rPr>
      </w:pPr>
      <w:r/>
      <w:bookmarkStart w:id="58" w:name="_Toc15919"/>
      <w:r>
        <w:rPr>
          <w:rFonts w:hint="eastAsia" w:ascii="微软雅黑" w:hAnsi="微软雅黑" w:cs="微软雅黑"/>
        </w:rPr>
        <w:br w:type="page" w:clear="all"/>
      </w:r>
      <w:bookmarkEnd w:id="58"/>
      <w:r/>
      <w:bookmarkStart w:id="59" w:name="_Toc27629"/>
      <w:r/>
      <w:bookmarkStart w:id="60" w:name="_Toc20692"/>
      <w:r/>
      <w:bookmarkStart w:id="61" w:name="_Toc1513"/>
      <w:r/>
      <w:bookmarkStart w:id="62" w:name="_Toc202469028"/>
      <w:r>
        <w:rPr>
          <w:rFonts w:hint="eastAsia" w:ascii="微软雅黑" w:hAnsi="微软雅黑" w:cs="微软雅黑"/>
        </w:rPr>
        <w:t xml:space="preserve">一、总则</w:t>
      </w:r>
      <w:bookmarkEnd w:id="59"/>
      <w:r/>
      <w:bookmarkEnd w:id="60"/>
      <w:r/>
      <w:bookmarkEnd w:id="61"/>
      <w:r/>
      <w:bookmarkEnd w:id="62"/>
      <w:r>
        <w:rPr>
          <w:rFonts w:hint="eastAsia" w:ascii="微软雅黑" w:hAnsi="微软雅黑" w:cs="微软雅黑"/>
        </w:rPr>
      </w:r>
      <w:r/>
    </w:p>
    <w:p>
      <w:pPr>
        <w:pStyle w:val="1064"/>
        <w:jc w:val="left"/>
        <w:spacing w:before="0" w:after="0" w:line="440" w:lineRule="exact"/>
        <w:rPr>
          <w:rFonts w:hint="eastAsia" w:ascii="微软雅黑" w:hAnsi="微软雅黑" w:cs="微软雅黑"/>
          <w:b/>
          <w:bCs w:val="0"/>
          <w:sz w:val="21"/>
          <w:szCs w:val="21"/>
        </w:rPr>
      </w:pPr>
      <w:r/>
      <w:bookmarkStart w:id="63" w:name="_Toc202469029"/>
      <w:r/>
      <w:bookmarkStart w:id="64" w:name="_Toc9423"/>
      <w:r/>
      <w:bookmarkStart w:id="65" w:name="_Toc30747"/>
      <w:r/>
      <w:bookmarkStart w:id="66" w:name="_Toc30960"/>
      <w:r/>
      <w:bookmarkStart w:id="67" w:name="_Toc452384171"/>
      <w:r>
        <w:rPr>
          <w:rFonts w:hint="eastAsia" w:ascii="微软雅黑" w:hAnsi="微软雅黑" w:cs="微软雅黑"/>
          <w:b/>
          <w:bCs w:val="0"/>
          <w:sz w:val="21"/>
          <w:szCs w:val="21"/>
        </w:rPr>
        <w:t xml:space="preserve">1.1 适用范围</w:t>
      </w:r>
      <w:bookmarkEnd w:id="63"/>
      <w:r/>
      <w:bookmarkEnd w:id="64"/>
      <w:r/>
      <w:bookmarkEnd w:id="65"/>
      <w:r/>
      <w:bookmarkEnd w:id="66"/>
      <w:r/>
      <w:bookmarkEnd w:id="67"/>
      <w:r>
        <w:rPr>
          <w:rFonts w:hint="eastAsia" w:ascii="微软雅黑" w:hAnsi="微软雅黑" w:cs="微软雅黑"/>
          <w:b/>
          <w:bCs w:val="0"/>
          <w:sz w:val="21"/>
          <w:szCs w:val="21"/>
        </w:rPr>
      </w:r>
      <w:r/>
    </w:p>
    <w:p>
      <w:pPr>
        <w:pStyle w:val="1061"/>
        <w:spacing w:line="420" w:lineRule="exact"/>
        <w:rPr>
          <w:rFonts w:hint="eastAsia" w:ascii="微软雅黑" w:hAnsi="微软雅黑" w:cs="微软雅黑"/>
        </w:rPr>
      </w:pPr>
      <w:r>
        <w:rPr>
          <w:rFonts w:hint="eastAsia" w:ascii="微软雅黑" w:hAnsi="微软雅黑" w:cs="微软雅黑"/>
        </w:rPr>
        <w:t xml:space="preserve">1.1.1 本采购文件仅适用于江苏省华采招标有限公司（以下简称采购代理机构）组织的采购活动。</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1.1.2 采购人指</w:t>
      </w:r>
      <w:r>
        <w:rPr>
          <w:rFonts w:hint="eastAsia" w:ascii="微软雅黑" w:hAnsi="微软雅黑" w:cs="微软雅黑"/>
          <w:b/>
          <w:bCs/>
        </w:rPr>
        <w:t xml:space="preserve">南京特殊教育师范学院</w:t>
      </w:r>
      <w:r>
        <w:rPr>
          <w:rFonts w:hint="eastAsia" w:ascii="微软雅黑" w:hAnsi="微软雅黑" w:cs="微软雅黑"/>
        </w:rPr>
        <w:t xml:space="preserve">。</w:t>
      </w:r>
      <w:r>
        <w:rPr>
          <w:rFonts w:hint="eastAsia" w:ascii="微软雅黑" w:hAnsi="微软雅黑" w:cs="微软雅黑"/>
        </w:rPr>
      </w:r>
      <w:r/>
    </w:p>
    <w:p>
      <w:pPr>
        <w:pStyle w:val="1064"/>
        <w:jc w:val="left"/>
        <w:spacing w:before="0" w:after="0" w:line="440" w:lineRule="exact"/>
        <w:rPr>
          <w:rFonts w:hint="eastAsia" w:ascii="微软雅黑" w:hAnsi="微软雅黑" w:cs="微软雅黑"/>
          <w:b/>
          <w:bCs w:val="0"/>
          <w:sz w:val="21"/>
          <w:szCs w:val="21"/>
        </w:rPr>
      </w:pPr>
      <w:r/>
      <w:bookmarkStart w:id="68" w:name="_Toc452384172"/>
      <w:r/>
      <w:bookmarkStart w:id="69" w:name="_Toc6316"/>
      <w:r/>
      <w:bookmarkStart w:id="70" w:name="_Toc20828"/>
      <w:r/>
      <w:bookmarkStart w:id="71" w:name="_Toc10949"/>
      <w:r/>
      <w:bookmarkStart w:id="72" w:name="_Toc2639"/>
      <w:r/>
      <w:bookmarkStart w:id="73" w:name="_Toc5050"/>
      <w:r>
        <w:rPr>
          <w:rFonts w:hint="eastAsia" w:ascii="微软雅黑" w:hAnsi="微软雅黑" w:cs="微软雅黑"/>
          <w:b/>
          <w:bCs w:val="0"/>
          <w:sz w:val="21"/>
          <w:szCs w:val="21"/>
        </w:rPr>
        <w:t xml:space="preserve">1.2 合格的</w:t>
      </w:r>
      <w:bookmarkEnd w:id="68"/>
      <w:r>
        <w:rPr>
          <w:rFonts w:hint="eastAsia" w:ascii="微软雅黑" w:hAnsi="微软雅黑" w:cs="微软雅黑"/>
          <w:b/>
          <w:bCs w:val="0"/>
          <w:sz w:val="21"/>
          <w:szCs w:val="21"/>
        </w:rPr>
        <w:t xml:space="preserve">供应商</w:t>
      </w:r>
      <w:bookmarkEnd w:id="69"/>
      <w:r/>
      <w:bookmarkEnd w:id="70"/>
      <w:r/>
      <w:bookmarkEnd w:id="71"/>
      <w:r/>
      <w:bookmarkEnd w:id="72"/>
      <w:r/>
      <w:bookmarkEnd w:id="73"/>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1.2.1 凡有能力按照本采购文件规定的要求提供货物、服务，并符合采购文件第一章 “申请人的资格要求”的投标单位均可成为合格的供应商。</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1.2.2 供应商参加本次采购活动应当符合本采购文件的规定。</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1.2.3 供应商应遵守《中华人民共和国政府采购法》、《中华人民共和国政府采购法实施条例》、《政府采购货物和服务招标投标管理办法》、《中华人民共和国民法典》和《反不正当竞争法》等有关法律、法规，如有违反将视为不合格供应商，其投标文件无效。</w:t>
      </w:r>
      <w:r>
        <w:rPr>
          <w:rFonts w:hint="eastAsia" w:ascii="微软雅黑" w:hAnsi="微软雅黑" w:cs="微软雅黑"/>
          <w:szCs w:val="21"/>
        </w:rPr>
      </w:r>
      <w:r/>
    </w:p>
    <w:p>
      <w:pPr>
        <w:pStyle w:val="1061"/>
        <w:jc w:val="left"/>
        <w:spacing w:line="440" w:lineRule="exact"/>
        <w:rPr>
          <w:rFonts w:hint="eastAsia" w:ascii="微软雅黑" w:hAnsi="微软雅黑" w:cs="微软雅黑"/>
          <w:b/>
          <w:i/>
          <w:szCs w:val="21"/>
          <w:u w:val="single"/>
        </w:rPr>
      </w:pPr>
      <w:r>
        <w:rPr>
          <w:rFonts w:hint="eastAsia" w:ascii="微软雅黑" w:hAnsi="微软雅黑" w:cs="微软雅黑"/>
          <w:szCs w:val="21"/>
        </w:rPr>
        <w:t xml:space="preserve">1.2.4 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供应商所提供的产品或者服务，必须满足国家相关强制性规定要求，否则，将视为不合格供应商，其投标文件无效。</w:t>
      </w:r>
      <w:r>
        <w:rPr>
          <w:rFonts w:hint="eastAsia" w:ascii="微软雅黑" w:hAnsi="微软雅黑" w:cs="微软雅黑"/>
          <w:b/>
          <w:i/>
          <w:szCs w:val="21"/>
          <w:u w:val="single"/>
        </w:rPr>
      </w:r>
      <w:r/>
    </w:p>
    <w:p>
      <w:pPr>
        <w:pStyle w:val="1064"/>
        <w:jc w:val="left"/>
        <w:spacing w:before="0" w:after="0" w:line="440" w:lineRule="exact"/>
        <w:rPr>
          <w:rFonts w:hint="eastAsia" w:ascii="微软雅黑" w:hAnsi="微软雅黑" w:cs="微软雅黑"/>
          <w:b/>
          <w:bCs w:val="0"/>
          <w:sz w:val="21"/>
          <w:szCs w:val="21"/>
        </w:rPr>
      </w:pPr>
      <w:r/>
      <w:bookmarkStart w:id="74" w:name="_Toc403671109"/>
      <w:r/>
      <w:bookmarkStart w:id="75" w:name="_Toc452384173"/>
      <w:r/>
      <w:bookmarkStart w:id="76" w:name="_Toc28084"/>
      <w:r/>
      <w:bookmarkStart w:id="77" w:name="_Toc25639"/>
      <w:r/>
      <w:bookmarkStart w:id="78" w:name="_Toc6344"/>
      <w:r/>
      <w:bookmarkStart w:id="79" w:name="_Toc31792"/>
      <w:r/>
      <w:bookmarkStart w:id="80" w:name="_Toc10476"/>
      <w:r>
        <w:rPr>
          <w:rFonts w:hint="eastAsia" w:ascii="微软雅黑" w:hAnsi="微软雅黑" w:cs="微软雅黑"/>
          <w:b/>
          <w:bCs w:val="0"/>
          <w:sz w:val="21"/>
          <w:szCs w:val="21"/>
        </w:rPr>
        <w:t xml:space="preserve">1.3 </w:t>
      </w:r>
      <w:bookmarkEnd w:id="74"/>
      <w:r>
        <w:rPr>
          <w:rFonts w:hint="eastAsia" w:ascii="微软雅黑" w:hAnsi="微软雅黑" w:cs="微软雅黑"/>
          <w:b/>
          <w:bCs w:val="0"/>
          <w:sz w:val="21"/>
          <w:szCs w:val="21"/>
        </w:rPr>
        <w:t xml:space="preserve">参加采购活动费用</w:t>
      </w:r>
      <w:bookmarkEnd w:id="75"/>
      <w:r/>
      <w:bookmarkEnd w:id="76"/>
      <w:r/>
      <w:bookmarkEnd w:id="77"/>
      <w:r/>
      <w:bookmarkEnd w:id="78"/>
      <w:r/>
      <w:bookmarkEnd w:id="79"/>
      <w:r/>
      <w:bookmarkEnd w:id="80"/>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1.3.1 无论采购活动过程中的做法和结果如何，供应商自行承担与参加采购活动有关的全部费用。</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1.3.2 有关费用的收取标准，详见供应商须知前附表。</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81" w:name="_Toc18341"/>
      <w:r/>
      <w:bookmarkStart w:id="82" w:name="_Toc10120"/>
      <w:r/>
      <w:bookmarkStart w:id="83" w:name="_Toc30030"/>
      <w:r/>
      <w:bookmarkStart w:id="84" w:name="_Toc22926"/>
      <w:r/>
      <w:bookmarkStart w:id="85" w:name="_Toc6551"/>
      <w:r/>
      <w:bookmarkStart w:id="86" w:name="_Toc452384174"/>
      <w:r>
        <w:rPr>
          <w:rFonts w:hint="eastAsia" w:ascii="微软雅黑" w:hAnsi="微软雅黑" w:cs="微软雅黑"/>
          <w:b/>
          <w:bCs w:val="0"/>
          <w:sz w:val="21"/>
          <w:szCs w:val="21"/>
        </w:rPr>
        <w:t xml:space="preserve">1.4 法律适用</w:t>
      </w:r>
      <w:bookmarkEnd w:id="81"/>
      <w:r/>
      <w:bookmarkEnd w:id="82"/>
      <w:r/>
      <w:bookmarkEnd w:id="83"/>
      <w:r/>
      <w:bookmarkEnd w:id="84"/>
      <w:r/>
      <w:bookmarkEnd w:id="85"/>
      <w:r/>
      <w:bookmarkEnd w:id="86"/>
      <w:r>
        <w:rPr>
          <w:rFonts w:hint="eastAsia" w:ascii="微软雅黑" w:hAnsi="微软雅黑" w:cs="微软雅黑"/>
          <w:b/>
          <w:bCs w:val="0"/>
          <w:sz w:val="21"/>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本次采购活动及其产生的合同适用中华人民共和国法律。</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87" w:name="_Toc452384175"/>
      <w:r/>
      <w:bookmarkStart w:id="88" w:name="_Toc21815"/>
      <w:r/>
      <w:bookmarkStart w:id="89" w:name="_Toc28575"/>
      <w:r/>
      <w:bookmarkStart w:id="90" w:name="_Toc22927"/>
      <w:r/>
      <w:bookmarkStart w:id="91" w:name="_Toc24537"/>
      <w:r/>
      <w:bookmarkStart w:id="92" w:name="_Toc9896"/>
      <w:r>
        <w:rPr>
          <w:rFonts w:hint="eastAsia" w:ascii="微软雅黑" w:hAnsi="微软雅黑" w:cs="微软雅黑"/>
          <w:b/>
          <w:bCs w:val="0"/>
          <w:sz w:val="21"/>
          <w:szCs w:val="21"/>
        </w:rPr>
        <w:t xml:space="preserve">1.5 采购文件的约束力</w:t>
      </w:r>
      <w:bookmarkEnd w:id="87"/>
      <w:r/>
      <w:bookmarkEnd w:id="88"/>
      <w:r/>
      <w:bookmarkEnd w:id="89"/>
      <w:r/>
      <w:bookmarkEnd w:id="90"/>
      <w:r/>
      <w:bookmarkEnd w:id="91"/>
      <w:r/>
      <w:bookmarkEnd w:id="92"/>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1.5.1 供应商一旦参加本次采购活动，即被认为接受了本采购文件中的所有条款和规定。</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1.5.2 本采购文件由采购代理机构负责解释。</w:t>
      </w:r>
      <w:r>
        <w:rPr>
          <w:rFonts w:hint="eastAsia" w:ascii="微软雅黑" w:hAnsi="微软雅黑" w:cs="微软雅黑"/>
          <w:szCs w:val="21"/>
        </w:rPr>
      </w:r>
      <w:r/>
    </w:p>
    <w:p>
      <w:pPr>
        <w:pStyle w:val="1063"/>
        <w:spacing w:before="0" w:after="0"/>
        <w:rPr>
          <w:rFonts w:hint="eastAsia" w:ascii="微软雅黑" w:hAnsi="微软雅黑" w:cs="微软雅黑"/>
          <w:b/>
          <w:bCs/>
        </w:rPr>
      </w:pPr>
      <w:r/>
      <w:bookmarkStart w:id="93" w:name="_Toc17914"/>
      <w:r/>
      <w:bookmarkStart w:id="94" w:name="_Toc25730"/>
      <w:r/>
      <w:bookmarkStart w:id="95" w:name="_Toc452384176"/>
      <w:r/>
      <w:bookmarkStart w:id="96" w:name="_Toc20019"/>
      <w:r/>
      <w:bookmarkStart w:id="97" w:name="_Toc15682"/>
      <w:r>
        <w:rPr>
          <w:rFonts w:hint="eastAsia" w:ascii="微软雅黑" w:hAnsi="微软雅黑" w:cs="微软雅黑"/>
          <w:b/>
          <w:bCs/>
        </w:rPr>
        <w:t xml:space="preserve">二、采购文件</w:t>
      </w:r>
      <w:bookmarkEnd w:id="93"/>
      <w:r/>
      <w:bookmarkEnd w:id="94"/>
      <w:r/>
      <w:bookmarkEnd w:id="95"/>
      <w:r/>
      <w:bookmarkEnd w:id="96"/>
      <w:r/>
      <w:bookmarkEnd w:id="97"/>
      <w:r>
        <w:rPr>
          <w:rFonts w:hint="eastAsia" w:ascii="微软雅黑" w:hAnsi="微软雅黑" w:cs="微软雅黑"/>
          <w:b/>
          <w:bCs/>
        </w:rPr>
      </w:r>
      <w:r/>
    </w:p>
    <w:p>
      <w:pPr>
        <w:pStyle w:val="1064"/>
        <w:jc w:val="left"/>
        <w:spacing w:before="0" w:after="0" w:line="440" w:lineRule="exact"/>
        <w:rPr>
          <w:rFonts w:hint="eastAsia" w:ascii="微软雅黑" w:hAnsi="微软雅黑" w:cs="微软雅黑"/>
          <w:b/>
          <w:bCs w:val="0"/>
          <w:sz w:val="21"/>
          <w:szCs w:val="21"/>
        </w:rPr>
      </w:pPr>
      <w:r/>
      <w:bookmarkStart w:id="98" w:name="_Toc4705"/>
      <w:r/>
      <w:bookmarkStart w:id="99" w:name="_Toc29026"/>
      <w:r/>
      <w:bookmarkStart w:id="100" w:name="_Toc6658"/>
      <w:r/>
      <w:bookmarkStart w:id="101" w:name="_Toc25037"/>
      <w:r/>
      <w:bookmarkStart w:id="102" w:name="_Toc452384177"/>
      <w:r/>
      <w:bookmarkStart w:id="103" w:name="_Toc28414"/>
      <w:r>
        <w:rPr>
          <w:rFonts w:hint="eastAsia" w:ascii="微软雅黑" w:hAnsi="微软雅黑" w:cs="微软雅黑"/>
          <w:b/>
          <w:bCs w:val="0"/>
          <w:sz w:val="21"/>
          <w:szCs w:val="21"/>
        </w:rPr>
        <w:t xml:space="preserve">2.1 采购文件的组成</w:t>
      </w:r>
      <w:bookmarkEnd w:id="98"/>
      <w:r/>
      <w:bookmarkEnd w:id="99"/>
      <w:r/>
      <w:bookmarkEnd w:id="100"/>
      <w:r/>
      <w:bookmarkEnd w:id="101"/>
      <w:r/>
      <w:bookmarkEnd w:id="102"/>
      <w:r/>
      <w:bookmarkEnd w:id="103"/>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2.1.1 采购文件由以下部分组成：</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第一章  投标邀请（采购公告）</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第二章  供应商须知</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第三章  评分标准和定标原则</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第四章  项目采购需求</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第五章  采购合同</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第六章  投标文件格式及附件</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请仔细检查采购文件是否齐全，如有缺漏，请立即与采购代理机构联系解决。</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104" w:name="_Toc21544"/>
      <w:r/>
      <w:bookmarkStart w:id="105" w:name="_Toc15305"/>
      <w:r/>
      <w:bookmarkStart w:id="106" w:name="_Toc29891"/>
      <w:r/>
      <w:bookmarkStart w:id="107" w:name="_Toc32308"/>
      <w:r/>
      <w:bookmarkStart w:id="108" w:name="_Toc10465"/>
      <w:r/>
      <w:bookmarkStart w:id="109" w:name="_Toc452384179"/>
      <w:r>
        <w:rPr>
          <w:rFonts w:hint="eastAsia" w:ascii="微软雅黑" w:hAnsi="微软雅黑" w:cs="微软雅黑"/>
          <w:b/>
          <w:bCs w:val="0"/>
          <w:sz w:val="21"/>
          <w:szCs w:val="21"/>
        </w:rPr>
        <w:t xml:space="preserve">2.2 采购文件的更正或补充</w:t>
      </w:r>
      <w:bookmarkEnd w:id="104"/>
      <w:r/>
      <w:bookmarkEnd w:id="105"/>
      <w:r/>
      <w:bookmarkEnd w:id="106"/>
      <w:r/>
      <w:bookmarkEnd w:id="107"/>
      <w:r/>
      <w:bookmarkEnd w:id="108"/>
      <w:r/>
      <w:bookmarkEnd w:id="109"/>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2.2.1 在投标截止时间前，采购代理机构可根据有关规定对采购文件用更正公告的方式进行修正。</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2.2.3 当采购文件与更正公告的内容不一致时，以采购代理机构最后发出的更正公告为准。</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rPr>
          <w:rFonts w:hint="eastAsia" w:ascii="微软雅黑" w:hAnsi="微软雅黑" w:cs="微软雅黑"/>
          <w:b/>
          <w:bCs/>
          <w:i/>
          <w:iCs/>
          <w:szCs w:val="21"/>
          <w:u w:val="single"/>
        </w:rPr>
      </w:r>
      <w:r/>
    </w:p>
    <w:p>
      <w:pPr>
        <w:pStyle w:val="1063"/>
        <w:spacing w:before="0" w:after="0"/>
        <w:rPr>
          <w:rFonts w:hint="eastAsia" w:ascii="微软雅黑" w:hAnsi="微软雅黑" w:cs="微软雅黑"/>
          <w:b/>
          <w:bCs/>
        </w:rPr>
      </w:pPr>
      <w:r/>
      <w:bookmarkStart w:id="110" w:name="_Toc10212"/>
      <w:r/>
      <w:bookmarkStart w:id="111" w:name="_Toc452384180"/>
      <w:r/>
      <w:bookmarkStart w:id="112" w:name="_Toc15544"/>
      <w:r/>
      <w:bookmarkStart w:id="113" w:name="_Toc13506"/>
      <w:r/>
      <w:bookmarkStart w:id="114" w:name="_Toc2521"/>
      <w:r/>
      <w:bookmarkStart w:id="115" w:name="_Toc23721"/>
      <w:r>
        <w:rPr>
          <w:rFonts w:hint="eastAsia" w:ascii="微软雅黑" w:hAnsi="微软雅黑" w:cs="微软雅黑"/>
          <w:b/>
          <w:bCs/>
        </w:rPr>
        <w:t xml:space="preserve">三、投标文件</w:t>
      </w:r>
      <w:bookmarkEnd w:id="110"/>
      <w:r/>
      <w:bookmarkEnd w:id="111"/>
      <w:r/>
      <w:bookmarkEnd w:id="112"/>
      <w:r/>
      <w:bookmarkEnd w:id="113"/>
      <w:r/>
      <w:bookmarkEnd w:id="114"/>
      <w:r/>
      <w:bookmarkEnd w:id="115"/>
      <w:r>
        <w:rPr>
          <w:rFonts w:hint="eastAsia" w:ascii="微软雅黑" w:hAnsi="微软雅黑" w:cs="微软雅黑"/>
          <w:b/>
          <w:bCs/>
        </w:rPr>
      </w:r>
      <w:r/>
    </w:p>
    <w:p>
      <w:pPr>
        <w:pStyle w:val="1064"/>
        <w:jc w:val="left"/>
        <w:spacing w:before="0" w:after="0" w:line="440" w:lineRule="exact"/>
        <w:rPr>
          <w:rFonts w:hint="eastAsia" w:ascii="微软雅黑" w:hAnsi="微软雅黑" w:cs="微软雅黑"/>
          <w:b/>
          <w:bCs w:val="0"/>
          <w:sz w:val="21"/>
          <w:szCs w:val="21"/>
        </w:rPr>
      </w:pPr>
      <w:r/>
      <w:bookmarkStart w:id="116" w:name="_Toc25966"/>
      <w:r/>
      <w:bookmarkStart w:id="117" w:name="_Toc17808"/>
      <w:r/>
      <w:bookmarkStart w:id="118" w:name="_Toc28047"/>
      <w:r/>
      <w:bookmarkStart w:id="119" w:name="_Toc15046"/>
      <w:r/>
      <w:bookmarkStart w:id="120" w:name="_Toc452384181"/>
      <w:r/>
      <w:bookmarkStart w:id="121" w:name="_Toc26098"/>
      <w:r>
        <w:rPr>
          <w:rFonts w:hint="eastAsia" w:ascii="微软雅黑" w:hAnsi="微软雅黑" w:cs="微软雅黑"/>
          <w:b/>
          <w:bCs w:val="0"/>
          <w:sz w:val="21"/>
          <w:szCs w:val="21"/>
        </w:rPr>
        <w:t xml:space="preserve">3.1 投标文件的语言及度量衡</w:t>
      </w:r>
      <w:bookmarkEnd w:id="116"/>
      <w:r/>
      <w:bookmarkEnd w:id="117"/>
      <w:r/>
      <w:bookmarkEnd w:id="118"/>
      <w:r/>
      <w:bookmarkEnd w:id="119"/>
      <w:r/>
      <w:bookmarkEnd w:id="120"/>
      <w:r/>
      <w:bookmarkEnd w:id="121"/>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3.1.1 投标文件以及供应商与采购代理机构之间的所有书面往来都应用简体中文书写。</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3.1.3 除在采购文件第六章中另有规定外，度量衡单位应使用国际单位制。</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3.1.4 本采购文件所表述的时间均为北京时间。</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122" w:name="_Toc452384182"/>
      <w:r/>
      <w:bookmarkStart w:id="123" w:name="_Toc21304"/>
      <w:r/>
      <w:bookmarkStart w:id="124" w:name="_Toc20626"/>
      <w:r/>
      <w:bookmarkStart w:id="125" w:name="_Toc29417"/>
      <w:r/>
      <w:bookmarkStart w:id="126" w:name="_Toc3528"/>
      <w:r/>
      <w:bookmarkStart w:id="127" w:name="_Toc31945"/>
      <w:r>
        <w:rPr>
          <w:rFonts w:hint="eastAsia" w:ascii="微软雅黑" w:hAnsi="微软雅黑" w:cs="微软雅黑"/>
          <w:b/>
          <w:bCs w:val="0"/>
          <w:sz w:val="21"/>
          <w:szCs w:val="21"/>
        </w:rPr>
        <w:t xml:space="preserve">3.2 投标文件的组成</w:t>
      </w:r>
      <w:bookmarkEnd w:id="122"/>
      <w:r/>
      <w:bookmarkEnd w:id="123"/>
      <w:r/>
      <w:bookmarkEnd w:id="124"/>
      <w:r/>
      <w:bookmarkEnd w:id="125"/>
      <w:r/>
      <w:bookmarkEnd w:id="126"/>
      <w:r/>
      <w:bookmarkEnd w:id="127"/>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3.2.1 投标文件应包括下列部分（目录及有关格式按采购文件第六章“投标文件格式”要求）：</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（1）投标函和投标报价及相关证明文件。</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（2）供应商资格证明文件。</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（3）投标供应商有能力履行合同的证明文件，除必须具有的履行合同所需的提供货物、服务的能力外，还必须具备相应的财务、专业技术方面的能力；</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（4）其他根据合同要求证明其产品质量合格以及符合采购文件规定的证明文件。</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3.2.2 采购文件第四章中指出的工艺、材料和设备的标准，以及商标、牌号或其目录编号，仅起说明作用并非进行限制。</w:t>
      </w:r>
      <w:r>
        <w:rPr>
          <w:rFonts w:hint="eastAsia" w:ascii="微软雅黑" w:hAnsi="微软雅黑" w:cs="微软雅黑"/>
          <w:szCs w:val="21"/>
        </w:rPr>
      </w:r>
      <w:r/>
    </w:p>
    <w:p>
      <w:pPr>
        <w:pStyle w:val="1061"/>
        <w:jc w:val="left"/>
        <w:spacing w:line="440" w:lineRule="exact"/>
        <w:rPr>
          <w:rFonts w:hint="eastAsia" w:ascii="微软雅黑" w:hAnsi="微软雅黑" w:cs="微软雅黑"/>
          <w:b/>
          <w:i/>
          <w:szCs w:val="21"/>
          <w:u w:val="single"/>
        </w:rPr>
      </w:pPr>
      <w:r>
        <w:rPr>
          <w:rFonts w:hint="eastAsia" w:ascii="微软雅黑" w:hAnsi="微软雅黑" w:cs="微软雅黑"/>
          <w:szCs w:val="21"/>
        </w:rPr>
        <w:t xml:space="preserve">3.2.3 </w:t>
      </w:r>
      <w:r>
        <w:rPr>
          <w:rFonts w:hint="eastAsia" w:ascii="微软雅黑" w:hAnsi="微软雅黑" w:cs="微软雅黑"/>
          <w:b/>
          <w:i/>
          <w:szCs w:val="21"/>
          <w:u w:val="single"/>
        </w:rPr>
        <w:t xml:space="preserve">若供应商未按采购文件的要求提供资料，或未对采购文件做出实质性响应，将导致投标文件被视为无效。</w:t>
      </w:r>
      <w:r>
        <w:rPr>
          <w:rFonts w:hint="eastAsia" w:ascii="微软雅黑" w:hAnsi="微软雅黑" w:cs="微软雅黑"/>
          <w:b/>
          <w:i/>
          <w:szCs w:val="21"/>
          <w:u w:val="single"/>
        </w:rPr>
      </w:r>
      <w:r/>
    </w:p>
    <w:p>
      <w:pPr>
        <w:pStyle w:val="1064"/>
        <w:jc w:val="left"/>
        <w:spacing w:before="0" w:after="0" w:line="440" w:lineRule="exact"/>
        <w:rPr>
          <w:rFonts w:hint="eastAsia" w:ascii="微软雅黑" w:hAnsi="微软雅黑" w:cs="微软雅黑"/>
          <w:b/>
          <w:bCs w:val="0"/>
          <w:sz w:val="21"/>
          <w:szCs w:val="21"/>
        </w:rPr>
      </w:pPr>
      <w:r/>
      <w:bookmarkStart w:id="128" w:name="_Toc452384183"/>
      <w:r/>
      <w:bookmarkStart w:id="129" w:name="_Toc4151"/>
      <w:r/>
      <w:bookmarkStart w:id="130" w:name="_Toc4793"/>
      <w:r/>
      <w:bookmarkStart w:id="131" w:name="_Toc31974"/>
      <w:r/>
      <w:bookmarkStart w:id="132" w:name="_Toc26951"/>
      <w:r/>
      <w:bookmarkStart w:id="133" w:name="_Toc17428"/>
      <w:r>
        <w:rPr>
          <w:rFonts w:hint="eastAsia" w:ascii="微软雅黑" w:hAnsi="微软雅黑" w:cs="微软雅黑"/>
          <w:b/>
          <w:bCs w:val="0"/>
          <w:sz w:val="21"/>
          <w:szCs w:val="21"/>
        </w:rPr>
        <w:t xml:space="preserve">3.3 投标报价</w:t>
      </w:r>
      <w:bookmarkEnd w:id="128"/>
      <w:r/>
      <w:bookmarkEnd w:id="129"/>
      <w:r/>
      <w:bookmarkEnd w:id="130"/>
      <w:r/>
      <w:bookmarkEnd w:id="131"/>
      <w:r/>
      <w:bookmarkEnd w:id="132"/>
      <w:r/>
      <w:bookmarkEnd w:id="133"/>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3.3.2 除非采购文件有特别说明，采购代理机构不接受备选的投标方案或有选择的报价。</w:t>
      </w:r>
      <w:r>
        <w:rPr>
          <w:rFonts w:hint="eastAsia" w:ascii="微软雅黑" w:hAnsi="微软雅黑" w:cs="微软雅黑"/>
          <w:szCs w:val="21"/>
        </w:rPr>
      </w:r>
      <w:r/>
    </w:p>
    <w:p>
      <w:pPr>
        <w:pStyle w:val="1061"/>
        <w:jc w:val="left"/>
        <w:spacing w:line="440" w:lineRule="exact"/>
        <w:rPr>
          <w:rFonts w:hint="eastAsia" w:ascii="微软雅黑" w:hAnsi="微软雅黑" w:cs="微软雅黑"/>
          <w:b/>
          <w:i/>
          <w:szCs w:val="21"/>
          <w:u w:val="single"/>
        </w:rPr>
      </w:pPr>
      <w:r>
        <w:rPr>
          <w:rFonts w:hint="eastAsia" w:ascii="微软雅黑" w:hAnsi="微软雅黑" w:cs="微软雅黑"/>
          <w:b/>
          <w:i/>
          <w:szCs w:val="21"/>
          <w:u w:val="single"/>
        </w:rPr>
        <w:t xml:space="preserve">3.3.3 投标报价不得超过每分包最高限价，否则投标文件被视为无效。</w:t>
      </w:r>
      <w:r>
        <w:rPr>
          <w:rFonts w:hint="eastAsia" w:ascii="微软雅黑" w:hAnsi="微软雅黑" w:cs="微软雅黑"/>
          <w:b/>
          <w:i/>
          <w:szCs w:val="21"/>
          <w:u w:val="single"/>
        </w:rPr>
      </w:r>
      <w:r/>
    </w:p>
    <w:p>
      <w:pPr>
        <w:pStyle w:val="1064"/>
        <w:jc w:val="left"/>
        <w:spacing w:before="0" w:after="0" w:line="440" w:lineRule="exact"/>
        <w:rPr>
          <w:rFonts w:hint="eastAsia" w:ascii="微软雅黑" w:hAnsi="微软雅黑" w:cs="微软雅黑"/>
          <w:b/>
          <w:bCs w:val="0"/>
          <w:sz w:val="21"/>
          <w:szCs w:val="21"/>
        </w:rPr>
      </w:pPr>
      <w:r/>
      <w:bookmarkStart w:id="134" w:name="_Toc5336"/>
      <w:r/>
      <w:bookmarkStart w:id="135" w:name="_Toc141"/>
      <w:r/>
      <w:bookmarkStart w:id="136" w:name="_Toc24764"/>
      <w:r/>
      <w:bookmarkStart w:id="137" w:name="_Toc22681"/>
      <w:r/>
      <w:bookmarkStart w:id="138" w:name="_Toc452384184"/>
      <w:r/>
      <w:bookmarkStart w:id="139" w:name="_Toc11686"/>
      <w:r>
        <w:rPr>
          <w:rFonts w:hint="eastAsia" w:ascii="微软雅黑" w:hAnsi="微软雅黑" w:cs="微软雅黑"/>
          <w:b/>
          <w:bCs w:val="0"/>
          <w:sz w:val="21"/>
          <w:szCs w:val="21"/>
        </w:rPr>
        <w:t xml:space="preserve">3.4 投标报价中的货币</w:t>
      </w:r>
      <w:bookmarkEnd w:id="134"/>
      <w:r/>
      <w:bookmarkEnd w:id="135"/>
      <w:r/>
      <w:bookmarkEnd w:id="136"/>
      <w:r/>
      <w:bookmarkEnd w:id="137"/>
      <w:r/>
      <w:bookmarkEnd w:id="138"/>
      <w:r/>
      <w:bookmarkEnd w:id="139"/>
      <w:r>
        <w:rPr>
          <w:rFonts w:hint="eastAsia" w:ascii="微软雅黑" w:hAnsi="微软雅黑" w:cs="微软雅黑"/>
          <w:b/>
          <w:bCs w:val="0"/>
          <w:sz w:val="21"/>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投标报价均须以人民币为计算单位，采购文件另有规定的，从其规定。</w:t>
      </w:r>
      <w:r>
        <w:rPr>
          <w:rFonts w:hint="eastAsia" w:ascii="微软雅黑" w:hAnsi="微软雅黑" w:cs="微软雅黑"/>
          <w:szCs w:val="21"/>
        </w:rPr>
      </w:r>
      <w:r/>
    </w:p>
    <w:p>
      <w:pPr>
        <w:pStyle w:val="1061"/>
        <w:jc w:val="left"/>
        <w:keepLines/>
        <w:keepNext/>
        <w:spacing w:line="440" w:lineRule="exact"/>
        <w:rPr>
          <w:rFonts w:hint="eastAsia" w:ascii="微软雅黑" w:hAnsi="微软雅黑" w:cs="微软雅黑"/>
          <w:b/>
          <w:szCs w:val="21"/>
        </w:rPr>
        <w:outlineLvl w:val="2"/>
      </w:pPr>
      <w:r/>
      <w:bookmarkStart w:id="140" w:name="_Toc23861"/>
      <w:r/>
      <w:bookmarkStart w:id="141" w:name="_Toc452384185"/>
      <w:r/>
      <w:bookmarkStart w:id="142" w:name="_Toc24048"/>
      <w:r/>
      <w:bookmarkStart w:id="143" w:name="_Toc1909"/>
      <w:r/>
      <w:bookmarkStart w:id="144" w:name="_Toc29582"/>
      <w:r/>
      <w:bookmarkStart w:id="145" w:name="_Toc24981"/>
      <w:r>
        <w:rPr>
          <w:rFonts w:hint="eastAsia" w:ascii="微软雅黑" w:hAnsi="微软雅黑" w:cs="微软雅黑"/>
          <w:b/>
          <w:szCs w:val="21"/>
        </w:rPr>
        <w:t xml:space="preserve">3.5 投标保证金</w:t>
      </w:r>
      <w:bookmarkEnd w:id="140"/>
      <w:r/>
      <w:bookmarkEnd w:id="141"/>
      <w:r>
        <w:rPr>
          <w:rFonts w:hint="eastAsia" w:ascii="微软雅黑" w:hAnsi="微软雅黑" w:cs="微软雅黑"/>
          <w:b/>
          <w:szCs w:val="21"/>
        </w:rPr>
        <w:t xml:space="preserve">：无</w:t>
      </w:r>
      <w:bookmarkEnd w:id="142"/>
      <w:r/>
      <w:bookmarkEnd w:id="143"/>
      <w:r/>
      <w:bookmarkEnd w:id="144"/>
      <w:r/>
      <w:bookmarkEnd w:id="145"/>
      <w:r>
        <w:rPr>
          <w:rFonts w:hint="eastAsia" w:ascii="微软雅黑" w:hAnsi="微软雅黑" w:cs="微软雅黑"/>
          <w:b/>
          <w:szCs w:val="21"/>
        </w:rPr>
      </w:r>
      <w:r/>
    </w:p>
    <w:p>
      <w:pPr>
        <w:pStyle w:val="1064"/>
        <w:jc w:val="left"/>
        <w:spacing w:before="0" w:after="0" w:line="440" w:lineRule="exact"/>
        <w:rPr>
          <w:rFonts w:hint="eastAsia" w:ascii="微软雅黑" w:hAnsi="微软雅黑" w:cs="微软雅黑"/>
          <w:b/>
          <w:bCs w:val="0"/>
          <w:sz w:val="21"/>
          <w:szCs w:val="21"/>
        </w:rPr>
      </w:pPr>
      <w:r/>
      <w:bookmarkStart w:id="146" w:name="_Toc29123"/>
      <w:r/>
      <w:bookmarkStart w:id="147" w:name="_Toc30704"/>
      <w:r/>
      <w:bookmarkStart w:id="148" w:name="_Toc16209"/>
      <w:r/>
      <w:bookmarkStart w:id="149" w:name="_Toc452384186"/>
      <w:r/>
      <w:bookmarkStart w:id="150" w:name="_Toc31169"/>
      <w:r/>
      <w:bookmarkStart w:id="151" w:name="_Toc4593"/>
      <w:r>
        <w:rPr>
          <w:rFonts w:hint="eastAsia" w:ascii="微软雅黑" w:hAnsi="微软雅黑" w:cs="微软雅黑"/>
          <w:b/>
          <w:bCs w:val="0"/>
          <w:sz w:val="21"/>
          <w:szCs w:val="21"/>
        </w:rPr>
        <w:t xml:space="preserve">3.6 投标有效期</w:t>
      </w:r>
      <w:bookmarkEnd w:id="146"/>
      <w:r/>
      <w:bookmarkEnd w:id="147"/>
      <w:r/>
      <w:bookmarkEnd w:id="148"/>
      <w:r/>
      <w:bookmarkEnd w:id="149"/>
      <w:r/>
      <w:bookmarkEnd w:id="150"/>
      <w:r/>
      <w:bookmarkEnd w:id="151"/>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3.6.1 投标有效期为从投标截止之日起计算的九十天，有效期短于此规定的投标文件将被视为无效。</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sz w:val="21"/>
          <w:szCs w:val="21"/>
        </w:rPr>
      </w:pPr>
      <w:r/>
      <w:bookmarkStart w:id="152" w:name="_Toc2873"/>
      <w:r/>
      <w:bookmarkStart w:id="153" w:name="_Toc1603"/>
      <w:r/>
      <w:bookmarkStart w:id="154" w:name="_Toc15540"/>
      <w:r/>
      <w:bookmarkStart w:id="155" w:name="_Toc16165"/>
      <w:r>
        <w:rPr>
          <w:rFonts w:hint="eastAsia" w:ascii="微软雅黑" w:hAnsi="微软雅黑" w:cs="微软雅黑"/>
          <w:b/>
          <w:bCs w:val="0"/>
          <w:sz w:val="21"/>
          <w:szCs w:val="21"/>
        </w:rPr>
        <w:t xml:space="preserve">3.7 投标文件的签署、形式</w:t>
      </w:r>
      <w:bookmarkEnd w:id="152"/>
      <w:r/>
      <w:bookmarkEnd w:id="153"/>
      <w:r/>
      <w:bookmarkEnd w:id="154"/>
      <w:r/>
      <w:bookmarkEnd w:id="155"/>
      <w:r>
        <w:rPr>
          <w:rFonts w:hint="eastAsia" w:ascii="微软雅黑" w:hAnsi="微软雅黑" w:cs="微软雅黑"/>
          <w:sz w:val="21"/>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3.7.1 投标文件规定盖章的地方，应盖单位公章或电子公章（文件中的单位盖章、印章、公章等处均仅指与投标人名称全称相一致的标准公章，如投标人为自然人可不加盖公章，仅由本人签字）。</w:t>
      </w:r>
      <w:r>
        <w:rPr>
          <w:rFonts w:hint="eastAsia" w:ascii="微软雅黑" w:hAnsi="微软雅黑" w:cs="微软雅黑"/>
          <w:bCs/>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3.7.2 </w:t>
      </w:r>
      <w:r>
        <w:rPr>
          <w:rFonts w:hint="eastAsia" w:ascii="微软雅黑" w:hAnsi="微软雅黑" w:cs="微软雅黑"/>
          <w:b/>
          <w:szCs w:val="21"/>
        </w:rPr>
        <w:t xml:space="preserve">本采购文件所表述（指定）的公章是指刻有供应商法定名称的印章，不包括投标、合同、财务、税务、发票等形式的业务专用章。</w:t>
      </w:r>
      <w:r>
        <w:rPr>
          <w:rFonts w:hint="eastAsia" w:ascii="微软雅黑" w:hAnsi="微软雅黑" w:cs="微软雅黑"/>
          <w:bCs/>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bCs/>
          <w:szCs w:val="21"/>
        </w:rPr>
        <w:t xml:space="preserve">3.7.3 除投标人对错处做必要修改外，投标文件不得行间插字、涂改或增删。如有修改错漏处，必须由法定代表人或其授权代表签字或盖章方有效。</w:t>
      </w:r>
      <w:r>
        <w:rPr>
          <w:rFonts w:hint="eastAsia" w:ascii="微软雅黑" w:hAnsi="微软雅黑" w:cs="微软雅黑"/>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3.7.4 投标文件需包含评分索引表、目录及页码。</w:t>
      </w:r>
      <w:r>
        <w:rPr>
          <w:rFonts w:hint="eastAsia" w:ascii="微软雅黑" w:hAnsi="微软雅黑" w:cs="微软雅黑"/>
          <w:bCs/>
          <w:szCs w:val="21"/>
        </w:rPr>
      </w:r>
      <w:r/>
    </w:p>
    <w:p>
      <w:pPr>
        <w:pStyle w:val="1063"/>
        <w:spacing w:before="0" w:after="0"/>
        <w:rPr>
          <w:rFonts w:hint="eastAsia" w:ascii="微软雅黑" w:hAnsi="微软雅黑" w:cs="微软雅黑"/>
          <w:b/>
          <w:bCs/>
        </w:rPr>
      </w:pPr>
      <w:r/>
      <w:bookmarkStart w:id="156" w:name="_Toc14088"/>
      <w:r/>
      <w:bookmarkStart w:id="157" w:name="_Toc28566"/>
      <w:r/>
      <w:bookmarkStart w:id="158" w:name="_Toc3387"/>
      <w:r/>
      <w:bookmarkStart w:id="159" w:name="_Toc19614"/>
      <w:r/>
      <w:bookmarkStart w:id="160" w:name="_Toc452384188"/>
      <w:r/>
      <w:bookmarkStart w:id="161" w:name="_Toc26007"/>
      <w:r>
        <w:rPr>
          <w:rFonts w:hint="eastAsia" w:ascii="微软雅黑" w:hAnsi="微软雅黑" w:cs="微软雅黑"/>
          <w:b/>
          <w:bCs/>
        </w:rPr>
        <w:t xml:space="preserve">四、投标文件的递交</w:t>
      </w:r>
      <w:bookmarkEnd w:id="156"/>
      <w:r/>
      <w:bookmarkEnd w:id="157"/>
      <w:r/>
      <w:bookmarkEnd w:id="158"/>
      <w:r/>
      <w:bookmarkEnd w:id="159"/>
      <w:r/>
      <w:bookmarkEnd w:id="160"/>
      <w:r/>
      <w:bookmarkEnd w:id="161"/>
      <w:r>
        <w:rPr>
          <w:rFonts w:hint="eastAsia" w:ascii="微软雅黑" w:hAnsi="微软雅黑" w:cs="微软雅黑"/>
          <w:b/>
          <w:bCs/>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162" w:name="_Toc7751"/>
      <w:r/>
      <w:bookmarkStart w:id="163" w:name="_Toc2168"/>
      <w:r/>
      <w:bookmarkStart w:id="164" w:name="_Toc11936"/>
      <w:r/>
      <w:bookmarkStart w:id="165" w:name="_Toc11977"/>
      <w:r/>
      <w:bookmarkStart w:id="166" w:name="_Toc452384192"/>
      <w:r/>
      <w:bookmarkStart w:id="167" w:name="_Toc11818"/>
      <w:r>
        <w:rPr>
          <w:rFonts w:hint="eastAsia" w:ascii="微软雅黑" w:hAnsi="微软雅黑" w:cs="微软雅黑"/>
          <w:b/>
          <w:bCs w:val="0"/>
          <w:sz w:val="21"/>
          <w:szCs w:val="21"/>
        </w:rPr>
        <w:t xml:space="preserve">4.2有下列情形的投标文件将被拒收</w:t>
      </w:r>
      <w:bookmarkEnd w:id="162"/>
      <w:r/>
      <w:bookmarkEnd w:id="163"/>
      <w:r/>
      <w:bookmarkEnd w:id="164"/>
      <w:r/>
      <w:bookmarkEnd w:id="165"/>
      <w:r>
        <w:rPr>
          <w:rFonts w:hint="eastAsia" w:ascii="微软雅黑" w:hAnsi="微软雅黑" w:cs="微软雅黑"/>
          <w:b/>
          <w:bCs w:val="0"/>
          <w:sz w:val="21"/>
          <w:szCs w:val="21"/>
        </w:rPr>
      </w:r>
      <w:r/>
    </w:p>
    <w:p>
      <w:pPr>
        <w:pStyle w:val="1064"/>
        <w:jc w:val="left"/>
        <w:spacing w:before="0" w:after="0" w:line="440" w:lineRule="exact"/>
        <w:rPr>
          <w:rFonts w:hint="eastAsia" w:ascii="微软雅黑" w:hAnsi="微软雅黑" w:cs="微软雅黑"/>
          <w:b/>
          <w:bCs w:val="0"/>
          <w:sz w:val="21"/>
          <w:szCs w:val="21"/>
        </w:rPr>
      </w:pPr>
      <w:r/>
      <w:bookmarkStart w:id="168" w:name="_Toc22241"/>
      <w:r/>
      <w:bookmarkStart w:id="169" w:name="_Toc7486"/>
      <w:r/>
      <w:bookmarkStart w:id="170" w:name="_Toc13038"/>
      <w:r/>
      <w:bookmarkStart w:id="171" w:name="_Toc6204"/>
      <w:r>
        <w:rPr>
          <w:rFonts w:hint="eastAsia" w:ascii="微软雅黑" w:hAnsi="微软雅黑" w:cs="微软雅黑"/>
          <w:b/>
          <w:bCs w:val="0"/>
          <w:sz w:val="21"/>
          <w:szCs w:val="21"/>
        </w:rPr>
        <w:t xml:space="preserve">4.2.1投标人应当按照《操作手册》规定，在“苏采云”系统规定的时间内对投标文件进行解密。</w:t>
      </w:r>
      <w:bookmarkEnd w:id="168"/>
      <w:r/>
      <w:bookmarkEnd w:id="169"/>
      <w:r/>
      <w:bookmarkEnd w:id="170"/>
      <w:r/>
      <w:bookmarkEnd w:id="171"/>
      <w:r>
        <w:rPr>
          <w:rFonts w:hint="eastAsia" w:ascii="微软雅黑" w:hAnsi="微软雅黑" w:cs="微软雅黑"/>
          <w:b/>
          <w:bCs w:val="0"/>
          <w:sz w:val="21"/>
          <w:szCs w:val="21"/>
        </w:rPr>
      </w:r>
      <w:r/>
    </w:p>
    <w:p>
      <w:pPr>
        <w:pStyle w:val="1064"/>
        <w:jc w:val="left"/>
        <w:spacing w:before="0" w:after="0" w:line="440" w:lineRule="exact"/>
        <w:rPr>
          <w:rFonts w:hint="eastAsia"/>
        </w:rPr>
      </w:pPr>
      <w:r/>
      <w:bookmarkStart w:id="172" w:name="_Toc1536"/>
      <w:r/>
      <w:bookmarkStart w:id="173" w:name="_Toc10418"/>
      <w:r/>
      <w:bookmarkStart w:id="174" w:name="_Toc1919"/>
      <w:r/>
      <w:bookmarkStart w:id="175" w:name="_Toc27804"/>
      <w:r>
        <w:rPr>
          <w:rFonts w:hint="eastAsia" w:ascii="微软雅黑" w:hAnsi="微软雅黑" w:cs="微软雅黑"/>
          <w:b/>
          <w:bCs w:val="0"/>
          <w:sz w:val="21"/>
          <w:szCs w:val="21"/>
        </w:rPr>
        <w:t xml:space="preserve">4.2.2投标人应充分考虑网络环境、网络带宽等因素可能对投标产生的影响，如因投标人自身原因造成的电子投标文件解密不成功的，做无效投标处理。</w:t>
      </w:r>
      <w:bookmarkEnd w:id="174"/>
      <w:r/>
      <w:bookmarkEnd w:id="175"/>
      <w:r>
        <w:rPr>
          <w:rFonts w:hint="eastAsia" w:ascii="微软雅黑" w:hAnsi="微软雅黑" w:cs="微软雅黑"/>
          <w:b/>
          <w:bCs w:val="0"/>
          <w:sz w:val="21"/>
          <w:szCs w:val="21"/>
        </w:rPr>
        <w:t xml:space="preserve">投标人未在“苏采云”系统规定的时间内完成解密的视为其放弃投标。但因系统故障导致投标人无法在“苏采云”系统规定的时间内完成签到或解密的情况除外。</w:t>
      </w:r>
      <w:bookmarkEnd w:id="172"/>
      <w:r/>
      <w:bookmarkEnd w:id="173"/>
      <w:r>
        <w:rPr>
          <w:rFonts w:hint="eastAsia"/>
        </w:rPr>
      </w:r>
      <w:r/>
    </w:p>
    <w:p>
      <w:pPr>
        <w:pStyle w:val="1064"/>
        <w:jc w:val="left"/>
        <w:spacing w:before="0" w:after="0" w:line="440" w:lineRule="exact"/>
        <w:rPr>
          <w:rFonts w:hint="eastAsia" w:ascii="微软雅黑" w:hAnsi="微软雅黑" w:cs="微软雅黑"/>
          <w:b/>
          <w:bCs w:val="0"/>
          <w:sz w:val="21"/>
          <w:szCs w:val="21"/>
        </w:rPr>
      </w:pPr>
      <w:r/>
      <w:bookmarkEnd w:id="166"/>
      <w:r/>
      <w:bookmarkEnd w:id="167"/>
      <w:r/>
      <w:bookmarkStart w:id="176" w:name="_Toc6818"/>
      <w:r/>
      <w:bookmarkStart w:id="177" w:name="_Toc452384190"/>
      <w:r/>
      <w:bookmarkStart w:id="178" w:name="_Toc28799"/>
      <w:r/>
      <w:bookmarkStart w:id="179" w:name="_Toc1859"/>
      <w:r/>
      <w:bookmarkStart w:id="180" w:name="_Toc9077"/>
      <w:r/>
      <w:bookmarkStart w:id="181" w:name="_Toc21630"/>
      <w:r>
        <w:rPr>
          <w:rFonts w:hint="eastAsia" w:ascii="微软雅黑" w:hAnsi="微软雅黑" w:cs="微软雅黑"/>
          <w:b/>
          <w:bCs w:val="0"/>
          <w:sz w:val="21"/>
          <w:szCs w:val="21"/>
        </w:rPr>
        <w:t xml:space="preserve">4.3 投标截止时间</w:t>
      </w:r>
      <w:bookmarkEnd w:id="176"/>
      <w:r/>
      <w:bookmarkEnd w:id="177"/>
      <w:r/>
      <w:bookmarkEnd w:id="178"/>
      <w:r/>
      <w:bookmarkEnd w:id="179"/>
      <w:r/>
      <w:bookmarkEnd w:id="180"/>
      <w:r/>
      <w:bookmarkEnd w:id="181"/>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182" w:name="_Toc12985"/>
      <w:r/>
      <w:bookmarkStart w:id="183" w:name="_Toc402"/>
      <w:r/>
      <w:bookmarkStart w:id="184" w:name="_Toc2903"/>
      <w:r/>
      <w:bookmarkStart w:id="185" w:name="_Toc4410"/>
      <w:r>
        <w:rPr>
          <w:rFonts w:hint="eastAsia" w:ascii="微软雅黑" w:hAnsi="微软雅黑" w:cs="微软雅黑"/>
          <w:b/>
          <w:bCs w:val="0"/>
          <w:sz w:val="21"/>
          <w:szCs w:val="21"/>
        </w:rPr>
        <w:t xml:space="preserve">4.4 投标文件的修改和撤回</w:t>
      </w:r>
      <w:bookmarkEnd w:id="182"/>
      <w:r/>
      <w:bookmarkEnd w:id="183"/>
      <w:r/>
      <w:bookmarkEnd w:id="184"/>
      <w:r/>
      <w:bookmarkEnd w:id="185"/>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4.4.1 投标文件的撤回</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4.4.2 投标文件的修改</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rPr>
          <w:rFonts w:hint="eastAsia" w:ascii="微软雅黑" w:hAnsi="微软雅黑" w:cs="微软雅黑"/>
          <w:szCs w:val="21"/>
        </w:rPr>
      </w:r>
      <w:r/>
    </w:p>
    <w:p>
      <w:pPr>
        <w:pStyle w:val="1063"/>
        <w:spacing w:before="0" w:after="0"/>
        <w:rPr>
          <w:rFonts w:hint="eastAsia" w:ascii="微软雅黑" w:hAnsi="微软雅黑" w:cs="微软雅黑"/>
          <w:b/>
          <w:bCs/>
        </w:rPr>
      </w:pPr>
      <w:r/>
      <w:bookmarkStart w:id="186" w:name="_Toc24848"/>
      <w:r/>
      <w:bookmarkStart w:id="187" w:name="_Toc22741"/>
      <w:r/>
      <w:bookmarkStart w:id="188" w:name="_Toc21941"/>
      <w:r/>
      <w:bookmarkStart w:id="189" w:name="_Toc1965"/>
      <w:r>
        <w:rPr>
          <w:rFonts w:hint="eastAsia" w:ascii="微软雅黑" w:hAnsi="微软雅黑" w:cs="微软雅黑"/>
          <w:b/>
          <w:bCs/>
        </w:rPr>
        <w:t xml:space="preserve">五、开标与评标</w:t>
      </w:r>
      <w:bookmarkEnd w:id="186"/>
      <w:r/>
      <w:bookmarkEnd w:id="187"/>
      <w:r/>
      <w:bookmarkEnd w:id="188"/>
      <w:r/>
      <w:bookmarkEnd w:id="189"/>
      <w:r>
        <w:rPr>
          <w:rFonts w:hint="eastAsia" w:ascii="微软雅黑" w:hAnsi="微软雅黑" w:cs="微软雅黑"/>
          <w:b/>
          <w:bCs/>
        </w:rPr>
      </w:r>
      <w:r/>
    </w:p>
    <w:p>
      <w:pPr>
        <w:pStyle w:val="1064"/>
        <w:jc w:val="left"/>
        <w:spacing w:before="0" w:after="0" w:line="440" w:lineRule="exact"/>
        <w:rPr>
          <w:rFonts w:hint="eastAsia" w:ascii="微软雅黑" w:hAnsi="微软雅黑" w:cs="微软雅黑"/>
          <w:b/>
          <w:bCs w:val="0"/>
          <w:sz w:val="21"/>
          <w:szCs w:val="21"/>
        </w:rPr>
      </w:pPr>
      <w:r/>
      <w:bookmarkStart w:id="190" w:name="_Toc7072"/>
      <w:r/>
      <w:bookmarkStart w:id="191" w:name="_Toc452384194"/>
      <w:r/>
      <w:bookmarkStart w:id="192" w:name="_Toc21670"/>
      <w:r/>
      <w:bookmarkStart w:id="193" w:name="_Toc19480"/>
      <w:r/>
      <w:bookmarkStart w:id="194" w:name="_Toc32518"/>
      <w:r/>
      <w:bookmarkStart w:id="195" w:name="_Toc4421"/>
      <w:r>
        <w:rPr>
          <w:rFonts w:hint="eastAsia" w:ascii="微软雅黑" w:hAnsi="微软雅黑" w:cs="微软雅黑"/>
          <w:b/>
          <w:bCs w:val="0"/>
          <w:sz w:val="21"/>
          <w:szCs w:val="21"/>
        </w:rPr>
        <w:t xml:space="preserve">5.1 投标文件启封</w:t>
      </w:r>
      <w:bookmarkEnd w:id="190"/>
      <w:r/>
      <w:bookmarkEnd w:id="191"/>
      <w:r/>
      <w:bookmarkEnd w:id="192"/>
      <w:r/>
      <w:bookmarkEnd w:id="193"/>
      <w:r/>
      <w:bookmarkEnd w:id="194"/>
      <w:r/>
      <w:bookmarkEnd w:id="195"/>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96" w:name="OLE_LINK3"/>
      <w:r>
        <w:rPr>
          <w:rFonts w:hint="eastAsia" w:ascii="微软雅黑" w:hAnsi="微软雅黑" w:cs="微软雅黑"/>
          <w:bCs/>
          <w:szCs w:val="21"/>
        </w:rPr>
        <w:t xml:space="preserve">“苏采云”系统规定的时间内</w:t>
      </w:r>
      <w:bookmarkEnd w:id="196"/>
      <w:r>
        <w:rPr>
          <w:rFonts w:hint="eastAsia" w:ascii="微软雅黑" w:hAnsi="微软雅黑" w:cs="微软雅黑"/>
          <w:bCs/>
          <w:szCs w:val="21"/>
        </w:rPr>
        <w:t xml:space="preserve">对投标文件进行解密。“苏采云”系统公布各投标人名称和投标价格。</w:t>
      </w:r>
      <w:r>
        <w:rPr>
          <w:rFonts w:hint="eastAsia" w:ascii="微软雅黑" w:hAnsi="微软雅黑" w:cs="微软雅黑"/>
          <w:bCs/>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rPr>
          <w:rFonts w:hint="eastAsia" w:ascii="微软雅黑" w:hAnsi="微软雅黑" w:cs="微软雅黑"/>
          <w:bCs/>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5.1.3 投标人不足3家的，不得开标。</w:t>
      </w:r>
      <w:r>
        <w:rPr>
          <w:rFonts w:hint="eastAsia" w:ascii="微软雅黑" w:hAnsi="微软雅黑" w:cs="微软雅黑"/>
          <w:bCs/>
          <w:szCs w:val="21"/>
        </w:rPr>
      </w:r>
      <w:r/>
    </w:p>
    <w:p>
      <w:pPr>
        <w:pStyle w:val="1061"/>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rPr>
          <w:rFonts w:hint="eastAsia" w:ascii="微软雅黑" w:hAnsi="微软雅黑" w:cs="微软雅黑"/>
          <w:bCs/>
          <w:szCs w:val="21"/>
        </w:rPr>
      </w:r>
      <w:r/>
    </w:p>
    <w:p>
      <w:pPr>
        <w:pStyle w:val="1064"/>
        <w:jc w:val="left"/>
        <w:spacing w:before="0" w:after="0" w:line="440" w:lineRule="exact"/>
        <w:rPr>
          <w:rFonts w:hint="eastAsia" w:ascii="微软雅黑" w:hAnsi="微软雅黑" w:cs="微软雅黑"/>
          <w:b/>
          <w:bCs w:val="0"/>
          <w:sz w:val="21"/>
          <w:szCs w:val="21"/>
        </w:rPr>
      </w:pPr>
      <w:r/>
      <w:bookmarkStart w:id="197" w:name="_Toc3406"/>
      <w:r/>
      <w:bookmarkStart w:id="198" w:name="_Toc32095"/>
      <w:r/>
      <w:bookmarkStart w:id="199" w:name="_Toc452384195"/>
      <w:r/>
      <w:bookmarkStart w:id="200" w:name="_Toc5596"/>
      <w:r/>
      <w:bookmarkStart w:id="201" w:name="_Toc15763"/>
      <w:r/>
      <w:bookmarkStart w:id="202" w:name="_Toc26160"/>
      <w:r>
        <w:rPr>
          <w:rFonts w:hint="eastAsia" w:ascii="微软雅黑" w:hAnsi="微软雅黑" w:cs="微软雅黑"/>
          <w:b/>
          <w:bCs w:val="0"/>
          <w:sz w:val="21"/>
          <w:szCs w:val="21"/>
        </w:rPr>
        <w:t xml:space="preserve">5.2 评标委员会</w:t>
      </w:r>
      <w:bookmarkEnd w:id="197"/>
      <w:r/>
      <w:bookmarkEnd w:id="198"/>
      <w:r/>
      <w:bookmarkEnd w:id="199"/>
      <w:r/>
      <w:bookmarkEnd w:id="200"/>
      <w:r/>
      <w:bookmarkEnd w:id="201"/>
      <w:r/>
      <w:bookmarkEnd w:id="202"/>
      <w:r>
        <w:rPr>
          <w:rFonts w:hint="eastAsia" w:ascii="微软雅黑" w:hAnsi="微软雅黑" w:cs="微软雅黑"/>
          <w:b/>
          <w:bCs w:val="0"/>
          <w:sz w:val="21"/>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szCs w:val="21"/>
        </w:rPr>
      </w:r>
      <w:r/>
    </w:p>
    <w:p>
      <w:pPr>
        <w:pStyle w:val="1064"/>
        <w:jc w:val="left"/>
        <w:spacing w:before="0" w:after="0" w:line="440" w:lineRule="exact"/>
        <w:rPr>
          <w:rFonts w:hint="eastAsia" w:ascii="微软雅黑" w:hAnsi="微软雅黑" w:cs="微软雅黑"/>
          <w:b/>
          <w:bCs w:val="0"/>
          <w:sz w:val="21"/>
          <w:szCs w:val="21"/>
        </w:rPr>
      </w:pPr>
      <w:r/>
      <w:bookmarkStart w:id="203" w:name="_Toc452384196"/>
      <w:r/>
      <w:bookmarkStart w:id="204" w:name="_Toc31905"/>
      <w:r/>
      <w:bookmarkStart w:id="205" w:name="_Toc13666"/>
      <w:r/>
      <w:bookmarkStart w:id="206" w:name="_Toc4342"/>
      <w:r/>
      <w:bookmarkStart w:id="207" w:name="_Toc4587"/>
      <w:r/>
      <w:bookmarkStart w:id="208" w:name="_Toc19051"/>
      <w:r>
        <w:rPr>
          <w:rFonts w:hint="eastAsia" w:ascii="微软雅黑" w:hAnsi="微软雅黑" w:cs="微软雅黑"/>
          <w:b/>
          <w:bCs w:val="0"/>
          <w:sz w:val="21"/>
          <w:szCs w:val="21"/>
        </w:rPr>
        <w:t xml:space="preserve">5.3 对投标文件的资格性审查和符合性审查</w:t>
      </w:r>
      <w:bookmarkEnd w:id="203"/>
      <w:r/>
      <w:bookmarkEnd w:id="204"/>
      <w:r/>
      <w:bookmarkEnd w:id="205"/>
      <w:r/>
      <w:bookmarkEnd w:id="206"/>
      <w:r/>
      <w:bookmarkEnd w:id="207"/>
      <w:r/>
      <w:bookmarkEnd w:id="208"/>
      <w:r>
        <w:rPr>
          <w:rFonts w:hint="eastAsia" w:ascii="微软雅黑" w:hAnsi="微软雅黑" w:cs="微软雅黑"/>
          <w:b/>
          <w:bCs w:val="0"/>
          <w:sz w:val="21"/>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5.3.1 资格性审查的内容包括：</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（1）供应商资质（采购文件第一章要求）；</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rPr>
          <w:rFonts w:hint="eastAsia" w:ascii="微软雅黑" w:hAnsi="微软雅黑" w:cs="微软雅黑"/>
          <w:szCs w:val="21"/>
        </w:rPr>
      </w:r>
      <w:r/>
    </w:p>
    <w:p>
      <w:pPr>
        <w:pStyle w:val="1061"/>
        <w:jc w:val="left"/>
        <w:spacing w:line="440" w:lineRule="exact"/>
        <w:rPr>
          <w:rFonts w:hint="eastAsia" w:ascii="微软雅黑" w:hAnsi="微软雅黑" w:cs="微软雅黑"/>
          <w:szCs w:val="21"/>
        </w:rPr>
      </w:pPr>
      <w:r>
        <w:rPr>
          <w:rFonts w:hint="eastAsia" w:ascii="微软雅黑" w:hAnsi="微软雅黑" w:cs="微软雅黑"/>
          <w:szCs w:val="21"/>
        </w:rPr>
        <w:t xml:space="preserve">5.3.2 符合性审查的内容包括：</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（1）投标文件的有效性(签署、盖章情况等)；</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（2）投标报价是否超过每分包最高限价；</w:t>
      </w:r>
      <w:r>
        <w:rPr>
          <w:rFonts w:hint="eastAsia" w:ascii="微软雅黑" w:hAnsi="微软雅黑" w:cs="微软雅黑"/>
          <w:szCs w:val="21"/>
        </w:rPr>
      </w:r>
      <w:r/>
    </w:p>
    <w:p>
      <w:pPr>
        <w:pStyle w:val="106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（3）对采购文件的响应程度（</w:t>
      </w:r>
      <w:r>
        <w:rPr>
          <w:rFonts w:hint="eastAsia"/>
        </w:rPr>
        <w:t xml:space="preserve">是否有实质性响应偏离</w:t>
      </w:r>
      <w:r>
        <w:rPr>
          <w:rFonts w:hint="eastAsia" w:ascii="微软雅黑" w:hAnsi="微软雅黑" w:cs="微软雅黑"/>
          <w:szCs w:val="21"/>
        </w:rPr>
        <w:t xml:space="preserve">等）。</w:t>
      </w:r>
      <w:r>
        <w:rPr>
          <w:rFonts w:hint="eastAsia" w:ascii="微软雅黑" w:hAnsi="微软雅黑" w:cs="微软雅黑"/>
          <w:szCs w:val="21"/>
        </w:rPr>
      </w:r>
      <w:r/>
    </w:p>
    <w:p>
      <w:pPr>
        <w:pStyle w:val="1061"/>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u w:val="single"/>
        </w:rPr>
      </w:r>
      <w:r/>
    </w:p>
    <w:p>
      <w:pPr>
        <w:pStyle w:val="1061"/>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rPr>
          <w:rFonts w:hint="eastAsia" w:ascii="微软雅黑" w:hAnsi="微软雅黑" w:cs="微软雅黑"/>
          <w:b/>
          <w:i/>
          <w:u w:val="single"/>
        </w:rPr>
      </w:r>
      <w:r/>
    </w:p>
    <w:p>
      <w:pPr>
        <w:pStyle w:val="1061"/>
        <w:spacing w:line="420" w:lineRule="exact"/>
        <w:rPr>
          <w:rFonts w:hint="eastAsia"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rPr>
      </w:r>
      <w:r/>
    </w:p>
    <w:p>
      <w:pPr>
        <w:pStyle w:val="1061"/>
        <w:spacing w:line="420" w:lineRule="exact"/>
        <w:rPr>
          <w:rFonts w:hint="eastAsia"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rPr>
          <w:rFonts w:hint="eastAsia" w:ascii="微软雅黑" w:hAnsi="微软雅黑" w:cs="微软雅黑"/>
          <w:b/>
          <w:i/>
          <w:u w:val="single"/>
        </w:rPr>
      </w:r>
      <w:r/>
    </w:p>
    <w:p>
      <w:pPr>
        <w:pStyle w:val="1061"/>
        <w:spacing w:line="420" w:lineRule="exact"/>
        <w:rPr>
          <w:rFonts w:hint="eastAsia" w:ascii="微软雅黑" w:hAnsi="微软雅黑" w:cs="微软雅黑"/>
        </w:rPr>
      </w:pPr>
      <w:r>
        <w:rPr>
          <w:rFonts w:hint="eastAsia" w:ascii="微软雅黑" w:hAnsi="微软雅黑" w:cs="微软雅黑"/>
        </w:rPr>
        <w:t xml:space="preserve">5.3.4评标委员会在初审中，对算术错误的修正原则如下:</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（1）开标一览表内容与投标文件中明细表内容不一致的，以开标一览表为准；</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（2）投标文件的大写金额和小写金额不一致的，以大写金额为准；</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（5）若供应商不同意以上修正，该投标文件将视为无效。</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09" w:name="_Toc5896"/>
      <w:r/>
      <w:bookmarkStart w:id="210" w:name="_Toc7104"/>
      <w:r/>
      <w:bookmarkStart w:id="211" w:name="_Toc452384197"/>
      <w:r/>
      <w:bookmarkStart w:id="212" w:name="_Toc14565"/>
      <w:r/>
      <w:bookmarkStart w:id="213" w:name="_Toc23900"/>
      <w:r/>
      <w:bookmarkStart w:id="214" w:name="_Toc3913"/>
      <w:r>
        <w:rPr>
          <w:rFonts w:hint="eastAsia" w:ascii="微软雅黑" w:hAnsi="微软雅黑" w:cs="微软雅黑"/>
          <w:bCs w:val="0"/>
          <w:sz w:val="24"/>
          <w:szCs w:val="24"/>
        </w:rPr>
        <w:t xml:space="preserve">5.4投标文件的澄清</w:t>
      </w:r>
      <w:bookmarkEnd w:id="209"/>
      <w:r/>
      <w:bookmarkEnd w:id="210"/>
      <w:r/>
      <w:bookmarkEnd w:id="211"/>
      <w:r/>
      <w:bookmarkEnd w:id="212"/>
      <w:r/>
      <w:bookmarkEnd w:id="213"/>
      <w:r/>
      <w:bookmarkEnd w:id="214"/>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5.4.3供应商不按评标委员会规定的时间和地点作书面澄清，将视为放弃该权利。</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5.4.4并非每个供应商都将被要求澄清。</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15" w:name="_Toc19981"/>
      <w:r/>
      <w:bookmarkStart w:id="216" w:name="_Toc2242"/>
      <w:r/>
      <w:bookmarkStart w:id="217" w:name="_Toc27862"/>
      <w:r/>
      <w:bookmarkStart w:id="218" w:name="_Toc452384198"/>
      <w:r/>
      <w:bookmarkStart w:id="219" w:name="_Toc3107"/>
      <w:r/>
      <w:bookmarkStart w:id="220" w:name="_Toc6372"/>
      <w:r>
        <w:rPr>
          <w:rFonts w:hint="eastAsia" w:ascii="微软雅黑" w:hAnsi="微软雅黑" w:cs="微软雅黑"/>
          <w:bCs w:val="0"/>
          <w:sz w:val="24"/>
          <w:szCs w:val="24"/>
        </w:rPr>
        <w:t xml:space="preserve">5.5评标及中标</w:t>
      </w:r>
      <w:bookmarkEnd w:id="215"/>
      <w:r/>
      <w:bookmarkEnd w:id="216"/>
      <w:r/>
      <w:bookmarkEnd w:id="217"/>
      <w:r/>
      <w:bookmarkEnd w:id="218"/>
      <w:r/>
      <w:bookmarkEnd w:id="219"/>
      <w:r/>
      <w:bookmarkEnd w:id="220"/>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21" w:name="_Toc11345"/>
      <w:r/>
      <w:bookmarkStart w:id="222" w:name="_Toc7591"/>
      <w:r/>
      <w:bookmarkStart w:id="223" w:name="_Toc26358"/>
      <w:r/>
      <w:bookmarkStart w:id="224" w:name="_Toc25985"/>
      <w:r/>
      <w:bookmarkStart w:id="225" w:name="_Toc12935"/>
      <w:r/>
      <w:bookmarkStart w:id="226" w:name="_Toc452384199"/>
      <w:r>
        <w:rPr>
          <w:rFonts w:hint="eastAsia" w:ascii="微软雅黑" w:hAnsi="微软雅黑" w:cs="微软雅黑"/>
          <w:bCs w:val="0"/>
          <w:sz w:val="24"/>
          <w:szCs w:val="24"/>
        </w:rPr>
        <w:t xml:space="preserve">5.6评标过程保密</w:t>
      </w:r>
      <w:bookmarkEnd w:id="221"/>
      <w:r/>
      <w:bookmarkEnd w:id="222"/>
      <w:r/>
      <w:bookmarkEnd w:id="223"/>
      <w:r/>
      <w:bookmarkEnd w:id="224"/>
      <w:r/>
      <w:bookmarkEnd w:id="225"/>
      <w:r/>
      <w:bookmarkEnd w:id="226"/>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5.6.3在评标期间，采购代理机构将有专门人员与供应商进行联络。</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27" w:name="_Toc10920"/>
      <w:r/>
      <w:bookmarkStart w:id="228" w:name="_Toc452384200"/>
      <w:r/>
      <w:bookmarkStart w:id="229" w:name="_Toc6161"/>
      <w:r/>
      <w:bookmarkStart w:id="230" w:name="_Toc8149"/>
      <w:r/>
      <w:bookmarkStart w:id="231" w:name="_Toc11696"/>
      <w:r/>
      <w:bookmarkStart w:id="232" w:name="_Toc13403"/>
      <w:r>
        <w:rPr>
          <w:rFonts w:hint="eastAsia" w:ascii="微软雅黑" w:hAnsi="微软雅黑" w:cs="微软雅黑"/>
          <w:bCs w:val="0"/>
          <w:sz w:val="24"/>
          <w:szCs w:val="24"/>
        </w:rPr>
        <w:t xml:space="preserve">5.7投标截止时间结束后参加供应商不足三家情况的处理</w:t>
      </w:r>
      <w:bookmarkEnd w:id="227"/>
      <w:r/>
      <w:bookmarkEnd w:id="228"/>
      <w:r/>
      <w:bookmarkEnd w:id="229"/>
      <w:r/>
      <w:bookmarkEnd w:id="230"/>
      <w:r/>
      <w:bookmarkEnd w:id="231"/>
      <w:r/>
      <w:bookmarkEnd w:id="232"/>
      <w:r>
        <w:rPr>
          <w:rFonts w:hint="eastAsia" w:ascii="微软雅黑" w:hAnsi="微软雅黑" w:cs="微软雅黑"/>
          <w:bCs w:val="0"/>
          <w:sz w:val="24"/>
          <w:szCs w:val="24"/>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33" w:name="_Toc452384201"/>
      <w:r/>
      <w:bookmarkStart w:id="234" w:name="_Toc14481"/>
      <w:r/>
      <w:bookmarkStart w:id="235" w:name="_Toc12833"/>
      <w:r/>
      <w:bookmarkStart w:id="236" w:name="_Toc11210"/>
      <w:r/>
      <w:bookmarkStart w:id="237" w:name="_Toc19086"/>
      <w:r/>
      <w:bookmarkStart w:id="238" w:name="_Toc31001"/>
      <w:r>
        <w:rPr>
          <w:rFonts w:hint="eastAsia" w:ascii="微软雅黑" w:hAnsi="微软雅黑" w:cs="微软雅黑"/>
          <w:bCs w:val="0"/>
          <w:sz w:val="24"/>
          <w:szCs w:val="24"/>
        </w:rPr>
        <w:t xml:space="preserve">5.8废标（终止采购活动）</w:t>
      </w:r>
      <w:bookmarkEnd w:id="233"/>
      <w:r/>
      <w:bookmarkEnd w:id="234"/>
      <w:r/>
      <w:bookmarkEnd w:id="235"/>
      <w:r/>
      <w:bookmarkEnd w:id="236"/>
      <w:r/>
      <w:bookmarkEnd w:id="237"/>
      <w:r/>
      <w:bookmarkEnd w:id="238"/>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出现下列情形之一的，将予废标（终止采购活动）：</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5.8.2出现影响采购公正的违法、违规行为的；</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5.8.3供应商的报价均超过了采购每分包限价，采购人不能支付的；</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39" w:name="_Toc25877"/>
      <w:r/>
      <w:bookmarkStart w:id="240" w:name="_Toc26119"/>
      <w:r/>
      <w:bookmarkStart w:id="241" w:name="_Toc18356"/>
      <w:r/>
      <w:bookmarkStart w:id="242" w:name="_Toc13165"/>
      <w:r/>
      <w:bookmarkStart w:id="243" w:name="_Toc24603"/>
      <w:r>
        <w:rPr>
          <w:rFonts w:hint="eastAsia" w:ascii="微软雅黑" w:hAnsi="微软雅黑" w:cs="微软雅黑"/>
          <w:bCs w:val="0"/>
          <w:sz w:val="24"/>
          <w:szCs w:val="24"/>
        </w:rPr>
        <w:t xml:space="preserve">5.9有下列情形之一的，视为投标供应商串通投标，其投标无效：</w:t>
      </w:r>
      <w:bookmarkEnd w:id="239"/>
      <w:r/>
      <w:bookmarkEnd w:id="240"/>
      <w:r/>
      <w:bookmarkEnd w:id="241"/>
      <w:r/>
      <w:bookmarkEnd w:id="242"/>
      <w:r/>
      <w:bookmarkEnd w:id="243"/>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hint="eastAsia" w:ascii="微软雅黑" w:hAnsi="微软雅黑" w:cs="微软雅黑"/>
        </w:rPr>
      </w:r>
      <w:r/>
    </w:p>
    <w:p>
      <w:pPr>
        <w:pStyle w:val="1244"/>
        <w:spacing w:line="420" w:lineRule="exact"/>
        <w:rPr>
          <w:rFonts w:hint="eastAsia" w:ascii="微软雅黑" w:hAnsi="微软雅黑" w:cs="微软雅黑"/>
        </w:rPr>
      </w:pPr>
      <w:r/>
      <w:bookmarkStart w:id="244" w:name="_Toc16539"/>
      <w:r/>
      <w:bookmarkStart w:id="245" w:name="_Toc15047"/>
      <w:r/>
      <w:bookmarkStart w:id="246" w:name="_Toc15764"/>
      <w:r/>
      <w:bookmarkStart w:id="247" w:name="_Toc452384202"/>
      <w:r/>
      <w:bookmarkStart w:id="248" w:name="_Toc19338"/>
      <w:r/>
      <w:bookmarkStart w:id="249" w:name="_Toc25642"/>
      <w:r>
        <w:rPr>
          <w:rFonts w:hint="eastAsia" w:ascii="微软雅黑" w:hAnsi="微软雅黑" w:cs="微软雅黑"/>
        </w:rPr>
        <w:t xml:space="preserve">六、合同授予及签订</w:t>
      </w:r>
      <w:bookmarkEnd w:id="244"/>
      <w:r/>
      <w:bookmarkEnd w:id="245"/>
      <w:r/>
      <w:bookmarkEnd w:id="246"/>
      <w:r/>
      <w:bookmarkEnd w:id="247"/>
      <w:r/>
      <w:bookmarkEnd w:id="248"/>
      <w:r/>
      <w:bookmarkEnd w:id="249"/>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50" w:name="_Toc19397"/>
      <w:r/>
      <w:bookmarkStart w:id="251" w:name="_Toc2419"/>
      <w:r/>
      <w:bookmarkStart w:id="252" w:name="_Toc6552"/>
      <w:r/>
      <w:bookmarkStart w:id="253" w:name="_Toc6259"/>
      <w:r/>
      <w:bookmarkStart w:id="254" w:name="_Toc452384203"/>
      <w:r/>
      <w:bookmarkStart w:id="255" w:name="_Toc32071"/>
      <w:r>
        <w:rPr>
          <w:rFonts w:hint="eastAsia" w:ascii="微软雅黑" w:hAnsi="微软雅黑" w:cs="微软雅黑"/>
          <w:bCs w:val="0"/>
          <w:sz w:val="24"/>
          <w:szCs w:val="24"/>
        </w:rPr>
        <w:t xml:space="preserve">6.1确定中标、成交供应商</w:t>
      </w:r>
      <w:bookmarkEnd w:id="250"/>
      <w:r/>
      <w:bookmarkEnd w:id="251"/>
      <w:r/>
      <w:bookmarkEnd w:id="252"/>
      <w:r/>
      <w:bookmarkEnd w:id="253"/>
      <w:r/>
      <w:bookmarkEnd w:id="254"/>
      <w:r/>
      <w:bookmarkEnd w:id="255"/>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56" w:name="_Toc26991"/>
      <w:r/>
      <w:bookmarkStart w:id="257" w:name="_Toc24458"/>
      <w:r/>
      <w:bookmarkStart w:id="258" w:name="_Toc7383"/>
      <w:r/>
      <w:bookmarkStart w:id="259" w:name="_Toc452384204"/>
      <w:r/>
      <w:bookmarkStart w:id="260" w:name="_Toc9310"/>
      <w:r/>
      <w:bookmarkStart w:id="261" w:name="_Toc14115"/>
      <w:r>
        <w:rPr>
          <w:rFonts w:hint="eastAsia" w:ascii="微软雅黑" w:hAnsi="微软雅黑" w:cs="微软雅黑"/>
          <w:bCs w:val="0"/>
          <w:sz w:val="24"/>
          <w:szCs w:val="24"/>
        </w:rPr>
        <w:t xml:space="preserve">6.2质疑处理</w:t>
      </w:r>
      <w:bookmarkEnd w:id="256"/>
      <w:r/>
      <w:bookmarkEnd w:id="257"/>
      <w:r/>
      <w:bookmarkEnd w:id="258"/>
      <w:r/>
      <w:bookmarkEnd w:id="259"/>
      <w:r/>
      <w:bookmarkEnd w:id="260"/>
      <w:r/>
      <w:bookmarkEnd w:id="261"/>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w:t>
      </w:r>
      <w:r>
        <w:rPr>
          <w:rFonts w:hint="eastAsia" w:ascii="微软雅黑" w:hAnsi="微软雅黑" w:cs="微软雅黑"/>
          <w:lang w:eastAsia="zh-CN"/>
        </w:rPr>
        <w:t xml:space="preserve">法定代表人</w:t>
      </w:r>
      <w:r>
        <w:rPr>
          <w:rFonts w:hint="eastAsia" w:ascii="微软雅黑" w:hAnsi="微软雅黑" w:cs="微软雅黑"/>
        </w:rPr>
        <w:t xml:space="preserve">授权委托书，其</w:t>
      </w:r>
      <w:r>
        <w:rPr>
          <w:rFonts w:hint="eastAsia" w:ascii="微软雅黑" w:hAnsi="微软雅黑" w:cs="微软雅黑"/>
          <w:lang w:eastAsia="zh-CN"/>
        </w:rPr>
        <w:t xml:space="preserve">法定代表人</w:t>
      </w:r>
      <w:r>
        <w:rPr>
          <w:rFonts w:hint="eastAsia" w:ascii="微软雅黑" w:hAnsi="微软雅黑" w:cs="微软雅黑"/>
        </w:rPr>
        <w:t xml:space="preserve">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62" w:name="_Toc452384205"/>
      <w:r/>
      <w:bookmarkStart w:id="263" w:name="_Toc29601"/>
      <w:r/>
      <w:bookmarkStart w:id="264" w:name="_Toc28896"/>
      <w:r/>
      <w:bookmarkStart w:id="265" w:name="_Toc1781"/>
      <w:r/>
      <w:bookmarkStart w:id="266" w:name="_Toc29169"/>
      <w:r/>
      <w:bookmarkStart w:id="267" w:name="_Toc4506"/>
      <w:r>
        <w:rPr>
          <w:rFonts w:hint="eastAsia" w:ascii="微软雅黑" w:hAnsi="微软雅黑" w:cs="微软雅黑"/>
          <w:bCs w:val="0"/>
          <w:sz w:val="24"/>
          <w:szCs w:val="24"/>
        </w:rPr>
        <w:t xml:space="preserve">6.3中标通知书</w:t>
      </w:r>
      <w:bookmarkEnd w:id="262"/>
      <w:r/>
      <w:bookmarkEnd w:id="263"/>
      <w:r/>
      <w:bookmarkEnd w:id="264"/>
      <w:r/>
      <w:bookmarkEnd w:id="265"/>
      <w:r/>
      <w:bookmarkEnd w:id="266"/>
      <w:r/>
      <w:bookmarkEnd w:id="267"/>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242"/>
        <w:spacing w:line="420" w:lineRule="exact"/>
        <w:rPr>
          <w:rFonts w:hint="eastAsia" w:ascii="微软雅黑" w:hAnsi="微软雅黑" w:cs="微软雅黑"/>
          <w:bCs w:val="0"/>
          <w:sz w:val="24"/>
          <w:szCs w:val="24"/>
        </w:rPr>
      </w:pPr>
      <w:r/>
      <w:bookmarkStart w:id="268" w:name="_Toc8978"/>
      <w:r/>
      <w:bookmarkStart w:id="269" w:name="_Toc14281"/>
      <w:r/>
      <w:bookmarkStart w:id="270" w:name="_Toc8696"/>
      <w:r/>
      <w:bookmarkStart w:id="271" w:name="_Toc23647"/>
      <w:r/>
      <w:bookmarkStart w:id="272" w:name="_Toc24863"/>
      <w:r/>
      <w:bookmarkStart w:id="273" w:name="_Toc452384206"/>
      <w:r>
        <w:rPr>
          <w:rFonts w:hint="eastAsia" w:ascii="微软雅黑" w:hAnsi="微软雅黑" w:cs="微软雅黑"/>
          <w:bCs w:val="0"/>
          <w:sz w:val="24"/>
          <w:szCs w:val="24"/>
        </w:rPr>
        <w:t xml:space="preserve">6.4签订合同</w:t>
      </w:r>
      <w:bookmarkEnd w:id="268"/>
      <w:r/>
      <w:bookmarkEnd w:id="269"/>
      <w:r/>
      <w:bookmarkEnd w:id="270"/>
      <w:r/>
      <w:bookmarkEnd w:id="271"/>
      <w:r/>
      <w:bookmarkEnd w:id="272"/>
      <w:r/>
      <w:bookmarkEnd w:id="273"/>
      <w:r>
        <w:rPr>
          <w:rFonts w:hint="eastAsia" w:ascii="微软雅黑" w:hAnsi="微软雅黑" w:cs="微软雅黑"/>
          <w:bCs w:val="0"/>
          <w:sz w:val="24"/>
          <w:szCs w:val="24"/>
        </w:rPr>
      </w:r>
      <w:r/>
    </w:p>
    <w:p>
      <w:pPr>
        <w:pStyle w:val="1061"/>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1061"/>
        <w:ind w:firstLine="525"/>
        <w:spacing w:line="44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rPr>
        <w:t xml:space="preserve">。</w:t>
      </w:r>
      <w:r>
        <w:rPr>
          <w:rFonts w:ascii="微软雅黑" w:hAnsi="微软雅黑" w:cs="微软雅黑"/>
        </w:rPr>
      </w:r>
      <w:r/>
    </w:p>
    <w:p>
      <w:pPr>
        <w:pStyle w:val="1062"/>
        <w:rPr>
          <w:rFonts w:hint="eastAsia"/>
        </w:rPr>
      </w:pPr>
      <w:r>
        <w:rPr>
          <w:rFonts w:hint="eastAsia" w:ascii="微软雅黑" w:hAnsi="微软雅黑" w:cs="微软雅黑"/>
        </w:rPr>
        <w:br w:type="page" w:clear="all"/>
      </w:r>
      <w:bookmarkStart w:id="274" w:name="_Toc30471"/>
      <w:r/>
      <w:bookmarkStart w:id="275" w:name="_Toc29688"/>
      <w:r/>
      <w:bookmarkStart w:id="276" w:name="_Toc5997"/>
      <w:r/>
      <w:bookmarkStart w:id="277" w:name="_Toc22478"/>
      <w:r>
        <w:rPr>
          <w:rFonts w:hint="eastAsia"/>
        </w:rPr>
        <w:t xml:space="preserve">第三章 评标办法和定标原则</w:t>
      </w:r>
      <w:bookmarkEnd w:id="274"/>
      <w:r/>
      <w:bookmarkEnd w:id="275"/>
      <w:r/>
      <w:bookmarkEnd w:id="276"/>
      <w:r/>
      <w:bookmarkEnd w:id="277"/>
      <w:r>
        <w:rPr>
          <w:rFonts w:hint="eastAsia"/>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cs="微软雅黑"/>
        </w:rPr>
      </w:r>
      <w:r/>
    </w:p>
    <w:p>
      <w:pPr>
        <w:pStyle w:val="1061"/>
        <w:ind w:firstLine="420"/>
        <w:jc w:val="left"/>
        <w:spacing w:line="420" w:lineRule="exact"/>
        <w:widowControl/>
        <w:rPr>
          <w:rFonts w:hint="eastAsia"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hint="eastAsia" w:ascii="微软雅黑" w:hAnsi="微软雅黑" w:cs="微软雅黑"/>
        </w:rPr>
      </w:r>
      <w:r/>
    </w:p>
    <w:p>
      <w:pPr>
        <w:pStyle w:val="1061"/>
        <w:ind w:firstLine="420"/>
        <w:jc w:val="left"/>
        <w:spacing w:line="420" w:lineRule="exact"/>
        <w:widowControl/>
        <w:rPr>
          <w:rFonts w:hint="eastAsia" w:ascii="微软雅黑" w:hAnsi="微软雅黑" w:cs="微软雅黑"/>
        </w:rPr>
      </w:pPr>
      <w:r>
        <w:rPr>
          <w:rFonts w:hint="eastAsia" w:ascii="微软雅黑" w:hAnsi="微软雅黑" w:cs="微软雅黑"/>
        </w:rPr>
        <w:t xml:space="preserve">（1）投标（响应）报价低于采购项目预算50%的；</w:t>
      </w:r>
      <w:r>
        <w:rPr>
          <w:rFonts w:hint="eastAsia" w:ascii="微软雅黑" w:hAnsi="微软雅黑" w:cs="微软雅黑"/>
        </w:rPr>
      </w:r>
      <w:r/>
    </w:p>
    <w:p>
      <w:pPr>
        <w:pStyle w:val="1061"/>
        <w:ind w:firstLine="420"/>
        <w:jc w:val="left"/>
        <w:spacing w:line="420" w:lineRule="exact"/>
        <w:widowControl/>
        <w:rPr>
          <w:rFonts w:hint="eastAsia" w:ascii="微软雅黑" w:hAnsi="微软雅黑" w:cs="微软雅黑"/>
        </w:rPr>
      </w:pPr>
      <w:r>
        <w:rPr>
          <w:rFonts w:hint="eastAsia" w:ascii="微软雅黑" w:hAnsi="微软雅黑" w:cs="微软雅黑"/>
        </w:rPr>
        <w:t xml:space="preserve">（2）投标（响应）报价低于采购项目最高限价45%的；</w:t>
      </w:r>
      <w:r>
        <w:rPr>
          <w:rFonts w:hint="eastAsia" w:ascii="微软雅黑" w:hAnsi="微软雅黑" w:cs="微软雅黑"/>
        </w:rPr>
      </w:r>
      <w:r/>
    </w:p>
    <w:p>
      <w:pPr>
        <w:pStyle w:val="1061"/>
        <w:ind w:firstLine="420"/>
        <w:jc w:val="left"/>
        <w:spacing w:line="420" w:lineRule="exact"/>
        <w:widowControl/>
        <w:rPr>
          <w:rFonts w:hint="eastAsia"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rPr>
          <w:rFonts w:hint="eastAsia" w:ascii="微软雅黑" w:hAnsi="微软雅黑" w:cs="微软雅黑"/>
        </w:rPr>
      </w:r>
      <w:r/>
    </w:p>
    <w:p>
      <w:pPr>
        <w:pStyle w:val="1061"/>
        <w:ind w:firstLine="420"/>
        <w:spacing w:line="440" w:lineRule="exact"/>
        <w:rPr>
          <w:rFonts w:hint="eastAsia" w:ascii="微软雅黑" w:hAnsi="微软雅黑" w:cs="微软雅黑"/>
          <w:b/>
          <w:bCs/>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b/>
          <w:bCs/>
        </w:rPr>
      </w:r>
      <w:r/>
    </w:p>
    <w:p>
      <w:pPr>
        <w:pStyle w:val="1061"/>
        <w:ind w:firstLine="420"/>
        <w:spacing w:line="440" w:lineRule="exact"/>
        <w:rPr>
          <w:rFonts w:hint="eastAsia" w:ascii="微软雅黑" w:hAnsi="微软雅黑" w:cs="微软雅黑"/>
        </w:rPr>
      </w:pPr>
      <w:r>
        <w:rPr>
          <w:rFonts w:hint="eastAsia" w:ascii="微软雅黑" w:hAnsi="微软雅黑" w:cs="微软雅黑"/>
        </w:rPr>
      </w:r>
      <w:r/>
    </w:p>
    <w:p>
      <w:pPr>
        <w:pStyle w:val="1061"/>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061"/>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法定代表人授权书盖章原件（法定代表人直接参与</w:t>
            </w:r>
            <w:r>
              <w:rPr>
                <w:rFonts w:hint="eastAsia" w:ascii="微软雅黑" w:hAnsi="微软雅黑" w:cs="微软雅黑"/>
              </w:rPr>
              <w:t xml:space="preserve">投标</w:t>
            </w:r>
            <w:r>
              <w:rPr>
                <w:rFonts w:hint="eastAsia" w:ascii="微软雅黑" w:hAnsi="微软雅黑" w:cs="微软雅黑"/>
                <w:lang w:val="zh-CN"/>
              </w:rPr>
              <w:t xml:space="preserve">的可不提供授权书）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lang w:val="zh-CN"/>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1"/>
              <w:spacing w:line="440" w:lineRule="exact"/>
              <w:rPr>
                <w:rFonts w:hint="eastAsia" w:ascii="微软雅黑" w:hAnsi="微软雅黑" w:cs="微软雅黑"/>
                <w:highlight w:val="yellow"/>
                <w:lang w:val="zh-CN"/>
              </w:rPr>
            </w:pPr>
            <w:r>
              <w:rPr>
                <w:rFonts w:hint="eastAsia" w:ascii="微软雅黑" w:hAnsi="微软雅黑" w:cs="微软雅黑"/>
                <w:szCs w:val="21"/>
              </w:rPr>
              <w:t xml:space="preserve">不超过每项最高单价的100%。</w:t>
            </w:r>
            <w:r>
              <w:rPr>
                <w:rFonts w:hint="eastAsia" w:ascii="微软雅黑" w:hAnsi="微软雅黑" w:cs="微软雅黑"/>
                <w:highlight w:val="yellow"/>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rPr>
              <w:t xml:space="preserve">中小企业声明函</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61"/>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61"/>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61"/>
              <w:spacing w:line="440" w:lineRule="exact"/>
              <w:rPr>
                <w:rFonts w:hint="eastAsia" w:ascii="微软雅黑" w:hAnsi="微软雅黑" w:cs="微软雅黑"/>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4</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61"/>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1"/>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61"/>
        <w:rPr>
          <w:rFonts w:hint="eastAsia"/>
        </w:rPr>
      </w:pPr>
      <w:r/>
      <w:bookmarkStart w:id="278" w:name="_Hlk72848049"/>
      <w:r>
        <w:rPr>
          <w:rFonts w:hint="eastAsia"/>
        </w:rPr>
        <w:t xml:space="preserve">（三）评分因素及分值（分包一、分包二）</w:t>
      </w:r>
      <w:r>
        <w:rPr>
          <w:rFonts w:hint="eastAsi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tc>
          <w:tcPr>
            <w:tcW w:w="681" w:type="dxa"/>
            <w:vAlign w:val="center"/>
            <w:textDirection w:val="lrTb"/>
            <w:noWrap w:val="false"/>
          </w:tcPr>
          <w:p>
            <w:pPr>
              <w:pStyle w:val="1061"/>
              <w:jc w:val="center"/>
              <w:spacing w:line="440" w:lineRule="exact"/>
              <w:rPr>
                <w:rFonts w:hint="eastAsia" w:ascii="微软雅黑" w:hAnsi="微软雅黑" w:cs="微软雅黑"/>
                <w:b/>
                <w:szCs w:val="21"/>
              </w:rPr>
            </w:pPr>
            <w:r>
              <w:rPr>
                <w:rFonts w:hint="eastAsia" w:ascii="微软雅黑" w:hAnsi="微软雅黑" w:cs="微软雅黑"/>
                <w:b/>
                <w:szCs w:val="21"/>
              </w:rPr>
              <w:t xml:space="preserve">序号</w:t>
            </w:r>
            <w:r>
              <w:rPr>
                <w:rFonts w:hint="eastAsia" w:ascii="微软雅黑" w:hAnsi="微软雅黑" w:cs="微软雅黑"/>
                <w:b/>
                <w:szCs w:val="21"/>
              </w:rPr>
            </w:r>
            <w:r/>
          </w:p>
        </w:tc>
        <w:tc>
          <w:tcPr>
            <w:tcW w:w="1104" w:type="dxa"/>
            <w:vAlign w:val="center"/>
            <w:textDirection w:val="lrTb"/>
            <w:noWrap w:val="false"/>
          </w:tcPr>
          <w:p>
            <w:pPr>
              <w:pStyle w:val="1061"/>
              <w:jc w:val="center"/>
              <w:spacing w:line="440" w:lineRule="exact"/>
              <w:rPr>
                <w:rFonts w:hint="eastAsia" w:ascii="微软雅黑" w:hAnsi="微软雅黑" w:cs="微软雅黑"/>
                <w:b/>
                <w:szCs w:val="21"/>
              </w:rPr>
            </w:pPr>
            <w:r>
              <w:rPr>
                <w:rFonts w:hint="eastAsia" w:ascii="微软雅黑" w:hAnsi="微软雅黑" w:cs="微软雅黑"/>
                <w:b/>
                <w:szCs w:val="21"/>
              </w:rPr>
              <w:t xml:space="preserve">评分因素</w:t>
            </w:r>
            <w:r>
              <w:rPr>
                <w:rFonts w:hint="eastAsia" w:ascii="微软雅黑" w:hAnsi="微软雅黑" w:cs="微软雅黑"/>
                <w:b/>
                <w:szCs w:val="21"/>
              </w:rPr>
            </w:r>
            <w:r/>
          </w:p>
        </w:tc>
        <w:tc>
          <w:tcPr>
            <w:tcW w:w="6510" w:type="dxa"/>
            <w:vAlign w:val="center"/>
            <w:textDirection w:val="lrTb"/>
            <w:noWrap w:val="false"/>
          </w:tcPr>
          <w:p>
            <w:pPr>
              <w:pStyle w:val="1061"/>
              <w:ind w:firstLine="420"/>
              <w:jc w:val="center"/>
              <w:spacing w:line="440" w:lineRule="exact"/>
              <w:rPr>
                <w:rFonts w:hint="eastAsia" w:ascii="微软雅黑" w:hAnsi="微软雅黑" w:cs="微软雅黑"/>
                <w:b/>
                <w:szCs w:val="21"/>
              </w:rPr>
            </w:pPr>
            <w:r>
              <w:rPr>
                <w:rFonts w:hint="eastAsia" w:ascii="微软雅黑" w:hAnsi="微软雅黑" w:cs="微软雅黑"/>
                <w:b/>
                <w:szCs w:val="21"/>
              </w:rPr>
              <w:t xml:space="preserve">评审标准</w:t>
            </w:r>
            <w:r>
              <w:rPr>
                <w:rFonts w:hint="eastAsia" w:ascii="微软雅黑" w:hAnsi="微软雅黑" w:cs="微软雅黑"/>
                <w:b/>
                <w:szCs w:val="21"/>
              </w:rPr>
            </w:r>
            <w:r/>
          </w:p>
        </w:tc>
        <w:tc>
          <w:tcPr>
            <w:tcW w:w="776" w:type="dxa"/>
            <w:vAlign w:val="center"/>
            <w:textDirection w:val="lrTb"/>
            <w:noWrap w:val="false"/>
          </w:tcPr>
          <w:p>
            <w:pPr>
              <w:pStyle w:val="1061"/>
              <w:jc w:val="center"/>
              <w:spacing w:line="440" w:lineRule="exact"/>
              <w:rPr>
                <w:rFonts w:hint="eastAsia" w:ascii="微软雅黑" w:hAnsi="微软雅黑" w:cs="微软雅黑"/>
                <w:b/>
                <w:szCs w:val="21"/>
              </w:rPr>
            </w:pPr>
            <w:r>
              <w:rPr>
                <w:rFonts w:hint="eastAsia" w:ascii="微软雅黑" w:hAnsi="微软雅黑" w:cs="微软雅黑"/>
                <w:b/>
                <w:szCs w:val="21"/>
              </w:rPr>
              <w:t xml:space="preserve">分值</w:t>
            </w:r>
            <w:r>
              <w:rPr>
                <w:rFonts w:hint="eastAsia" w:ascii="微软雅黑" w:hAnsi="微软雅黑" w:cs="微软雅黑"/>
                <w:b/>
                <w:szCs w:val="21"/>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104" w:type="dxa"/>
            <w:vAlign w:val="center"/>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价格</w:t>
            </w:r>
            <w:r>
              <w:rPr>
                <w:rFonts w:hint="eastAsia" w:ascii="微软雅黑" w:hAnsi="微软雅黑" w:cs="微软雅黑"/>
                <w:szCs w:val="21"/>
                <w:highlight w:val="none"/>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highlight w:val="none"/>
              </w:rPr>
            </w:pPr>
            <w:r>
              <w:rPr>
                <w:rFonts w:hint="eastAsia" w:ascii="微软雅黑" w:hAnsi="微软雅黑" w:cs="微软雅黑"/>
                <w:szCs w:val="21"/>
                <w:highlight w:val="none"/>
              </w:rPr>
              <w:t xml:space="preserve">价格分采用低价优先法计算，即满足招标文件要求且</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1-投标优惠率</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最低的投标人报价为评标基准价，其价格分为满分3</w:t>
            </w:r>
            <w:r>
              <w:rPr>
                <w:rFonts w:hint="eastAsia" w:ascii="微软雅黑" w:hAnsi="微软雅黑" w:cs="微软雅黑"/>
                <w:szCs w:val="21"/>
                <w:highlight w:val="none"/>
                <w:lang w:val="en-US" w:eastAsia="zh-CN"/>
              </w:rPr>
              <w:t xml:space="preserve">0</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61"/>
              <w:spacing w:line="440" w:lineRule="exact"/>
              <w:tabs>
                <w:tab w:val="left" w:pos="3600" w:leader="none"/>
              </w:tabs>
              <w:rPr>
                <w:rFonts w:hint="eastAsia" w:ascii="微软雅黑" w:hAnsi="微软雅黑" w:cs="微软雅黑"/>
                <w:szCs w:val="21"/>
                <w:highlight w:val="none"/>
              </w:rPr>
            </w:pPr>
            <w:r>
              <w:rPr>
                <w:rFonts w:hint="eastAsia" w:ascii="微软雅黑" w:hAnsi="微软雅黑" w:cs="微软雅黑"/>
                <w:szCs w:val="21"/>
                <w:highlight w:val="none"/>
              </w:rPr>
              <w:t xml:space="preserve">其它投标人的价格分统一按照以下公式计算：投标报价得分=(评标基准价/</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该投标供应商的投标报价</w:t>
            </w:r>
            <w:r>
              <w:rPr>
                <w:rFonts w:hint="eastAsia" w:ascii="微软雅黑" w:hAnsi="微软雅黑" w:cs="微软雅黑"/>
                <w:szCs w:val="21"/>
                <w:highlight w:val="none"/>
                <w:lang w:eastAsia="zh-CN"/>
              </w:rPr>
              <w:t xml:space="preserve">优惠率）</w:t>
            </w:r>
            <w:r>
              <w:rPr>
                <w:rFonts w:hint="eastAsia" w:ascii="微软雅黑" w:hAnsi="微软雅黑" w:cs="微软雅黑"/>
                <w:szCs w:val="21"/>
                <w:highlight w:val="none"/>
              </w:rPr>
              <w:t xml:space="preserve">×30分。（保留两位小数）</w:t>
            </w:r>
            <w:r>
              <w:rPr>
                <w:rFonts w:hint="eastAsia" w:ascii="微软雅黑" w:hAnsi="微软雅黑" w:cs="微软雅黑"/>
                <w:szCs w:val="21"/>
                <w:highlight w:val="none"/>
              </w:rPr>
            </w:r>
            <w:r/>
          </w:p>
          <w:p>
            <w:pPr>
              <w:pStyle w:val="1061"/>
              <w:spacing w:line="440" w:lineRule="exact"/>
              <w:tabs>
                <w:tab w:val="left" w:pos="3600" w:leader="none"/>
              </w:tabs>
              <w:rPr>
                <w:rFonts w:hint="eastAsia" w:ascii="微软雅黑" w:hAnsi="微软雅黑" w:cs="微软雅黑"/>
                <w:szCs w:val="21"/>
                <w:highlight w:val="none"/>
              </w:rPr>
            </w:pPr>
            <w:r>
              <w:rPr>
                <w:rFonts w:hint="eastAsia" w:ascii="微软雅黑" w:hAnsi="微软雅黑" w:cs="微软雅黑"/>
                <w:b/>
                <w:bCs/>
                <w:szCs w:val="21"/>
                <w:highlight w:val="none"/>
                <w:lang w:eastAsia="zh-CN"/>
              </w:rPr>
              <w:t xml:space="preserve">注：</w:t>
            </w:r>
            <w:r>
              <w:rPr>
                <w:rFonts w:hint="eastAsia" w:ascii="微软雅黑" w:hAnsi="微软雅黑" w:cs="微软雅黑"/>
                <w:b/>
                <w:bCs/>
                <w:sz w:val="21"/>
                <w:szCs w:val="21"/>
              </w:rPr>
              <w:t xml:space="preserve">本项目投标报价为收费定价（单价）标准的</w:t>
            </w:r>
            <w:r>
              <w:rPr>
                <w:rFonts w:hint="eastAsia" w:ascii="微软雅黑" w:hAnsi="微软雅黑" w:cs="微软雅黑"/>
                <w:b/>
                <w:bCs/>
                <w:sz w:val="21"/>
                <w:szCs w:val="21"/>
                <w:lang w:eastAsia="zh-CN"/>
              </w:rPr>
              <w:t xml:space="preserve">优惠</w:t>
            </w:r>
            <w:r>
              <w:rPr>
                <w:rFonts w:hint="eastAsia" w:ascii="微软雅黑" w:hAnsi="微软雅黑" w:cs="微软雅黑"/>
                <w:b/>
                <w:bCs/>
                <w:sz w:val="21"/>
                <w:szCs w:val="21"/>
              </w:rPr>
              <w:t xml:space="preserve">率，该</w:t>
            </w:r>
            <w:r>
              <w:rPr>
                <w:rFonts w:hint="eastAsia" w:ascii="微软雅黑" w:hAnsi="微软雅黑" w:cs="微软雅黑"/>
                <w:b/>
                <w:bCs/>
                <w:sz w:val="21"/>
                <w:szCs w:val="21"/>
                <w:lang w:eastAsia="zh-CN"/>
              </w:rPr>
              <w:t xml:space="preserve">优惠</w:t>
            </w:r>
            <w:r>
              <w:rPr>
                <w:rFonts w:hint="eastAsia" w:ascii="微软雅黑" w:hAnsi="微软雅黑" w:cs="微软雅黑"/>
                <w:b/>
                <w:bCs/>
                <w:sz w:val="21"/>
                <w:szCs w:val="21"/>
              </w:rPr>
              <w:t xml:space="preserve">率必须为唯一固定值，范围为0%﹤</w:t>
            </w:r>
            <w:r>
              <w:rPr>
                <w:rFonts w:hint="eastAsia" w:ascii="微软雅黑" w:hAnsi="微软雅黑" w:cs="微软雅黑"/>
                <w:b/>
                <w:bCs/>
                <w:sz w:val="21"/>
                <w:szCs w:val="21"/>
                <w:lang w:eastAsia="zh-CN"/>
              </w:rPr>
              <w:t xml:space="preserve">优惠</w:t>
            </w:r>
            <w:r>
              <w:rPr>
                <w:rFonts w:hint="eastAsia" w:ascii="微软雅黑" w:hAnsi="微软雅黑" w:cs="微软雅黑"/>
                <w:b/>
                <w:bCs/>
                <w:sz w:val="21"/>
                <w:szCs w:val="21"/>
              </w:rPr>
              <w:t xml:space="preserve">率≤100%。最终合同价格=最高单价限价*（1-投标优惠率）*实际用车次数。</w:t>
            </w:r>
            <w:r>
              <w:rPr>
                <w:rFonts w:hint="eastAsia" w:ascii="微软雅黑" w:hAnsi="微软雅黑" w:cs="微软雅黑"/>
                <w:b/>
                <w:bCs/>
                <w:sz w:val="21"/>
                <w:szCs w:val="21"/>
                <w:lang w:eastAsia="zh-CN"/>
              </w:rPr>
              <w:t xml:space="preserve">如某次用车670元标准</w:t>
            </w:r>
            <w:r>
              <w:rPr>
                <w:rFonts w:hint="eastAsia" w:ascii="微软雅黑" w:hAnsi="微软雅黑" w:cs="微软雅黑"/>
                <w:b/>
                <w:bCs/>
                <w:sz w:val="21"/>
                <w:szCs w:val="21"/>
              </w:rPr>
              <w:t xml:space="preserve">，中标供应商的优惠率报价为5%，那么实际结算金额为</w:t>
            </w:r>
            <w:r>
              <w:rPr>
                <w:rFonts w:hint="eastAsia" w:ascii="微软雅黑" w:hAnsi="微软雅黑" w:cs="微软雅黑"/>
                <w:b/>
                <w:bCs/>
                <w:sz w:val="21"/>
                <w:szCs w:val="21"/>
                <w:lang w:val="en-US" w:eastAsia="zh-CN"/>
              </w:rPr>
              <w:t xml:space="preserve">670</w:t>
            </w:r>
            <w:r>
              <w:rPr>
                <w:rFonts w:hint="eastAsia" w:ascii="微软雅黑" w:hAnsi="微软雅黑" w:cs="微软雅黑"/>
                <w:b/>
                <w:bCs/>
                <w:sz w:val="21"/>
                <w:szCs w:val="21"/>
              </w:rPr>
              <w:t xml:space="preserve">*(1-5%) =</w:t>
            </w:r>
            <w:r>
              <w:rPr>
                <w:rFonts w:hint="eastAsia" w:ascii="微软雅黑" w:hAnsi="微软雅黑" w:cs="微软雅黑"/>
                <w:b/>
                <w:bCs/>
                <w:sz w:val="21"/>
                <w:szCs w:val="21"/>
                <w:lang w:val="en-US" w:eastAsia="zh-CN"/>
              </w:rPr>
              <w:t xml:space="preserve">636.5</w:t>
            </w:r>
            <w:r>
              <w:rPr>
                <w:rFonts w:hint="eastAsia" w:ascii="微软雅黑" w:hAnsi="微软雅黑" w:cs="微软雅黑"/>
                <w:b/>
                <w:bCs/>
                <w:sz w:val="21"/>
                <w:szCs w:val="21"/>
              </w:rPr>
              <w:t xml:space="preserve">元</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tc>
        <w:tc>
          <w:tcPr>
            <w:tcW w:w="776" w:type="dxa"/>
            <w:vAlign w:val="center"/>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w:t>
            </w:r>
            <w:r>
              <w:rPr>
                <w:rFonts w:hint="eastAsia" w:ascii="微软雅黑" w:hAnsi="微软雅黑" w:cs="微软雅黑"/>
                <w:szCs w:val="21"/>
                <w:highlight w:val="none"/>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服务方案</w:t>
            </w:r>
            <w:r>
              <w:rPr>
                <w:rFonts w:ascii="微软雅黑" w:hAnsi="微软雅黑" w:cs="微软雅黑"/>
                <w:szCs w:val="21"/>
              </w:rPr>
            </w:r>
            <w:r/>
          </w:p>
        </w:tc>
        <w:tc>
          <w:tcPr>
            <w:tcW w:w="6510" w:type="dxa"/>
            <w:vAlign w:val="center"/>
            <w:textDirection w:val="lrTb"/>
            <w:noWrap w:val="false"/>
          </w:tcPr>
          <w:p>
            <w:pPr>
              <w:pStyle w:val="1061"/>
              <w:jc w:val="center"/>
              <w:spacing w:line="440" w:lineRule="exact"/>
              <w:tabs>
                <w:tab w:val="left" w:pos="3600" w:leader="none"/>
              </w:tabs>
              <w:rPr>
                <w:rFonts w:ascii="微软雅黑" w:hAnsi="微软雅黑" w:cs="微软雅黑"/>
                <w:szCs w:val="21"/>
              </w:rPr>
            </w:pPr>
            <w:r>
              <w:rPr>
                <w:rFonts w:hint="eastAsia" w:ascii="微软雅黑" w:hAnsi="微软雅黑" w:cs="微软雅黑"/>
                <w:szCs w:val="21"/>
              </w:rPr>
              <w:t xml:space="preserve">评审标准</w:t>
            </w:r>
            <w:r>
              <w:rPr>
                <w:rFonts w:ascii="微软雅黑" w:hAnsi="微软雅黑" w:cs="微软雅黑"/>
                <w:szCs w:val="21"/>
              </w:rPr>
            </w:r>
            <w:r/>
          </w:p>
        </w:tc>
        <w:tc>
          <w:tcPr>
            <w:tcW w:w="776"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tc>
          <w:tcPr>
            <w:tcW w:w="681"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2.1</w:t>
            </w:r>
            <w:r>
              <w:rPr>
                <w:rFonts w:ascii="微软雅黑" w:hAnsi="微软雅黑" w:cs="微软雅黑"/>
                <w:szCs w:val="21"/>
              </w:rPr>
            </w:r>
            <w:r/>
          </w:p>
        </w:tc>
        <w:tc>
          <w:tcPr>
            <w:tcW w:w="1104"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总体服务方案</w:t>
            </w:r>
            <w:r>
              <w:rPr>
                <w:rFonts w:ascii="微软雅黑" w:hAnsi="微软雅黑" w:cs="微软雅黑"/>
                <w:szCs w:val="21"/>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根据投标人对本项目的总体服务规划、服务团队人员配备、职责分工情况、租赁车辆管理、人员培训、项目管理规章制度、风险控制、服务质量保证等的合理性、科学性等进行综合评分；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方案全面，科学性、合理性、操作性强的得8分；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方案较全面，科学性、合理性、操作性较强的得6分；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方案基本全面，科学性、合理性、实际可操作性一般的得4分；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方案内容欠缺，科学性、合理性、实际可操作性较差的得2分；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未提供不得分。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8</w:t>
            </w:r>
            <w:r>
              <w:rPr>
                <w:rFonts w:ascii="微软雅黑" w:hAnsi="微软雅黑" w:cs="微软雅黑"/>
                <w:szCs w:val="21"/>
              </w:rPr>
            </w:r>
            <w:r/>
          </w:p>
        </w:tc>
      </w:tr>
      <w:tr>
        <w:trPr/>
        <w:tc>
          <w:tcPr>
            <w:tcW w:w="681"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2.2</w:t>
            </w:r>
            <w:r>
              <w:rPr>
                <w:rFonts w:ascii="微软雅黑" w:hAnsi="微软雅黑" w:cs="微软雅黑"/>
                <w:szCs w:val="21"/>
              </w:rPr>
            </w:r>
            <w:r/>
          </w:p>
        </w:tc>
        <w:tc>
          <w:tcPr>
            <w:tcW w:w="1104"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应急处理方案</w:t>
            </w:r>
            <w:r>
              <w:rPr>
                <w:rFonts w:ascii="微软雅黑" w:hAnsi="微软雅黑" w:cs="微软雅黑"/>
                <w:szCs w:val="21"/>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根据投标人制定的应急处理方案（包括紧急情况处理、发生事故应急处理、突发疾病处理、车辆相关安全、及采购人的临时要求，应对措施科学合理、服务协调配合度好）等进行综合评分；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方案全面，科学性、合理性、操作性强的得8分；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方案较全面，科学性、合理性、操作性较强的得6分；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方案基本全面，科学性、合理性、实际可操作性一般的得4分；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方案内容欠缺，科学性、合理性、实际可操作性较差的得2分；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未提供不得分。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8</w:t>
            </w:r>
            <w:r>
              <w:rPr>
                <w:rFonts w:ascii="微软雅黑" w:hAnsi="微软雅黑" w:cs="微软雅黑"/>
                <w:szCs w:val="21"/>
              </w:rPr>
            </w:r>
            <w:r/>
          </w:p>
        </w:tc>
      </w:tr>
      <w:tr>
        <w:trPr/>
        <w:tc>
          <w:tcPr>
            <w:tcW w:w="681"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2.3</w:t>
            </w:r>
            <w:r>
              <w:rPr>
                <w:rFonts w:ascii="微软雅黑" w:hAnsi="微软雅黑" w:cs="微软雅黑"/>
                <w:szCs w:val="21"/>
              </w:rPr>
            </w:r>
            <w:r/>
          </w:p>
        </w:tc>
        <w:tc>
          <w:tcPr>
            <w:tcW w:w="1104"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服务承诺</w:t>
            </w:r>
            <w:r>
              <w:rPr>
                <w:rFonts w:hint="eastAsia" w:ascii="微软雅黑" w:hAnsi="微软雅黑" w:cs="微软雅黑"/>
                <w:szCs w:val="21"/>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根据投标文件中有关服务承诺说明（包括服务保障措施、响应时间、维修保养、安全检查、专业技术人员保障等的实用性、合理性、科学性）进行综合评分；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方案全面，科学性、合理性、操作性强的得8分；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方案较全面，科学性、合理性、操作性较强的得6分；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方案基本全面，科学性、合理性、实际可操作性一般的得4分；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方案内容欠缺，科学性、合理性、实际可操作性较差的得2分；</w:t>
            </w:r>
            <w:r>
              <w:rPr>
                <w:rFonts w:hint="eastAsia" w:ascii="微软雅黑" w:hAnsi="微软雅黑" w:cs="微软雅黑"/>
                <w:szCs w:val="21"/>
              </w:rPr>
            </w:r>
            <w:r/>
          </w:p>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未提供不得分。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8</w:t>
            </w:r>
            <w:r>
              <w:rPr>
                <w:rFonts w:ascii="微软雅黑" w:hAnsi="微软雅黑" w:cs="微软雅黑"/>
                <w:szCs w:val="21"/>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hAnsi="宋体"/>
                <w:bCs/>
                <w:szCs w:val="24"/>
              </w:rPr>
              <w:t xml:space="preserve">增值服务</w:t>
            </w:r>
            <w:r>
              <w:rPr>
                <w:rFonts w:hint="eastAsia" w:ascii="微软雅黑" w:hAnsi="微软雅黑" w:cs="微软雅黑"/>
                <w:szCs w:val="21"/>
              </w:rPr>
            </w:r>
            <w:r/>
          </w:p>
        </w:tc>
        <w:tc>
          <w:tcPr>
            <w:tcW w:w="6510" w:type="dxa"/>
            <w:vAlign w:val="center"/>
            <w:textDirection w:val="lrTb"/>
            <w:noWrap w:val="false"/>
          </w:tcPr>
          <w:p>
            <w:pPr>
              <w:pStyle w:val="1061"/>
              <w:jc w:val="left"/>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根据投标人针对本项目提出的增值服务进行综合打分，每提供一个经评审委员会认定有效的增值服务得1分，最多得</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4</w:t>
            </w:r>
            <w:r>
              <w:rPr>
                <w:rFonts w:hint="eastAsia" w:ascii="微软雅黑" w:hAnsi="微软雅黑" w:eastAsia="微软雅黑" w:cs="微软雅黑"/>
                <w:szCs w:val="21"/>
                <w:lang w:eastAsia="zh-CN"/>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rPr>
                <w:rFonts w:hint="eastAsia" w:hAnsi="宋体"/>
                <w:bCs/>
                <w:szCs w:val="24"/>
              </w:rPr>
            </w:pPr>
            <w:r>
              <w:rPr>
                <w:rFonts w:hint="eastAsia" w:ascii="宋体" w:hAnsi="宋体"/>
                <w:color w:val="000000"/>
                <w:szCs w:val="21"/>
              </w:rPr>
              <w:t xml:space="preserve">配备的驾驶人员</w:t>
            </w:r>
            <w:r>
              <w:rPr>
                <w:rFonts w:hint="eastAsia" w:hAnsi="宋体"/>
                <w:bCs/>
                <w:szCs w:val="24"/>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投标人拟为本项目配备的驾驶人员驾龄在10年（含）以上的得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分，6年（含）到10年（不含）的得3分，6年（不含）以下的得1分。（提供拟投入本项目驾驶员驾驶证复印件</w:t>
            </w:r>
            <w:r>
              <w:rPr>
                <w:rFonts w:hint="eastAsia" w:ascii="微软雅黑" w:hAnsi="微软雅黑" w:cs="微软雅黑"/>
                <w:szCs w:val="21"/>
                <w:lang w:eastAsia="zh-CN"/>
              </w:rPr>
              <w:t xml:space="preserve">（须与准驾车型相符）</w:t>
            </w:r>
            <w:r>
              <w:rPr>
                <w:rFonts w:hint="eastAsia" w:ascii="微软雅黑" w:hAnsi="微软雅黑" w:cs="微软雅黑"/>
                <w:szCs w:val="21"/>
              </w:rPr>
              <w:t xml:space="preserve">加盖公章及驾驶员信息表，时间以驾驶证上的初次登记日期为准；同时提供投标人与其签订的劳动合同，以及投标人</w:t>
            </w:r>
            <w:r>
              <w:rPr>
                <w:rFonts w:hint="eastAsia" w:ascii="微软雅黑" w:hAnsi="微软雅黑" w:cs="微软雅黑"/>
                <w:szCs w:val="21"/>
                <w:lang w:eastAsia="zh-CN"/>
              </w:rPr>
              <w:t xml:space="preserve">2025年12月至</w:t>
            </w:r>
            <w:r>
              <w:rPr>
                <w:rFonts w:hint="eastAsia" w:ascii="微软雅黑" w:hAnsi="微软雅黑" w:cs="微软雅黑"/>
                <w:szCs w:val="21"/>
              </w:rPr>
              <w:t xml:space="preserve">今任意一个月为其缴纳的社保缴费证明)</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eastAsia="zh-CN"/>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rPr>
                <w:rFonts w:hint="eastAsia" w:hAnsi="宋体"/>
                <w:bCs/>
                <w:szCs w:val="24"/>
              </w:rPr>
            </w:pPr>
            <w:r>
              <w:rPr>
                <w:rFonts w:hint="eastAsia" w:ascii="宋体" w:hAnsi="宋体"/>
                <w:color w:val="000000"/>
                <w:szCs w:val="21"/>
              </w:rPr>
              <w:t xml:space="preserve">车辆年限</w:t>
            </w:r>
            <w:r>
              <w:rPr>
                <w:rFonts w:hint="eastAsia" w:hAnsi="宋体"/>
                <w:bCs/>
                <w:szCs w:val="24"/>
              </w:rPr>
            </w:r>
            <w:r/>
          </w:p>
        </w:tc>
        <w:tc>
          <w:tcPr>
            <w:tcW w:w="6510" w:type="dxa"/>
            <w:vAlign w:val="center"/>
            <w:textDirection w:val="lrTb"/>
            <w:noWrap w:val="false"/>
          </w:tcPr>
          <w:p>
            <w:pPr>
              <w:pStyle w:val="1061"/>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投标人拟投入本项目符合招标文件采购需求的车辆可以是租赁或者自有车辆，车辆车龄在3年（含）以内的得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分；车龄在3年（不含）以上的得</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分；满分</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分。（租赁车辆需提供车辆租赁合同、行驶证复印件，自有车辆需提供行驶证复印件及提供购车发票复印件；时间以车辆初次登记时间为准，未提供或提供不全不得分）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eastAsia="zh-CN"/>
              </w:rPr>
            </w:r>
            <w:r/>
          </w:p>
        </w:tc>
      </w:tr>
      <w:tr>
        <w:trPr>
          <w:trHeight w:val="525"/>
        </w:trPr>
        <w:tc>
          <w:tcPr>
            <w:tcW w:w="681" w:type="dxa"/>
            <w:vAlign w:val="center"/>
            <w:vMerge w:val="restart"/>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rPr>
                <w:rFonts w:hint="eastAsia" w:ascii="微软雅黑" w:hAnsi="微软雅黑" w:cs="微软雅黑"/>
                <w:szCs w:val="21"/>
                <w:highlight w:val="none"/>
              </w:rPr>
            </w:r>
            <w:r/>
          </w:p>
        </w:tc>
        <w:tc>
          <w:tcPr>
            <w:tcW w:w="1104" w:type="dxa"/>
            <w:vAlign w:val="center"/>
            <w:vMerge w:val="restart"/>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宋体" w:hAnsi="宋体"/>
                <w:color w:val="000000"/>
                <w:szCs w:val="21"/>
                <w:highlight w:val="none"/>
              </w:rPr>
              <w:t xml:space="preserve">保险要求</w:t>
            </w:r>
            <w:r>
              <w:rPr>
                <w:rFonts w:hint="eastAsia" w:ascii="微软雅黑" w:hAnsi="微软雅黑" w:cs="微软雅黑"/>
                <w:szCs w:val="21"/>
                <w:highlight w:val="none"/>
              </w:rPr>
            </w:r>
            <w:r/>
          </w:p>
        </w:tc>
        <w:tc>
          <w:tcPr>
            <w:tcW w:w="6510" w:type="dxa"/>
            <w:vAlign w:val="center"/>
            <w:textDirection w:val="lrTb"/>
            <w:noWrap w:val="false"/>
          </w:tcPr>
          <w:p>
            <w:pPr>
              <w:pStyle w:val="1061"/>
              <w:spacing w:line="440" w:lineRule="exact"/>
              <w:tabs>
                <w:tab w:val="left" w:pos="3600" w:leader="none"/>
              </w:tabs>
              <w:rPr>
                <w:rFonts w:ascii="微软雅黑" w:hAnsi="微软雅黑" w:cs="微软雅黑"/>
                <w:szCs w:val="21"/>
                <w:highlight w:val="none"/>
              </w:rPr>
            </w:pPr>
            <w:r>
              <w:rPr>
                <w:rFonts w:hint="eastAsia" w:ascii="微软雅黑" w:hAnsi="微软雅黑" w:cs="微软雅黑"/>
                <w:szCs w:val="21"/>
                <w:highlight w:val="none"/>
              </w:rPr>
              <w:t xml:space="preserve">分包一：</w:t>
            </w:r>
            <w:r>
              <w:rPr>
                <w:rFonts w:ascii="微软雅黑" w:hAnsi="微软雅黑" w:cs="微软雅黑"/>
                <w:szCs w:val="21"/>
                <w:highlight w:val="none"/>
              </w:rPr>
            </w:r>
            <w:r/>
          </w:p>
          <w:p>
            <w:pPr>
              <w:pStyle w:val="1061"/>
              <w:spacing w:line="440" w:lineRule="exact"/>
              <w:tabs>
                <w:tab w:val="left" w:pos="3600" w:leader="none"/>
              </w:tabs>
              <w:rPr>
                <w:rFonts w:hint="eastAsia" w:ascii="微软雅黑" w:hAnsi="微软雅黑" w:cs="微软雅黑"/>
                <w:szCs w:val="21"/>
                <w:highlight w:val="none"/>
              </w:rPr>
            </w:pPr>
            <w:r>
              <w:rPr>
                <w:rFonts w:hint="eastAsia" w:ascii="微软雅黑" w:hAnsi="微软雅黑" w:cs="微软雅黑"/>
                <w:szCs w:val="21"/>
                <w:highlight w:val="none"/>
              </w:rPr>
              <w:t xml:space="preserve">除国家规定的强制保险险种外，投标人承诺额外为提供租赁服务的车辆投保的得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分。（投保应包括但不限于第三者责任险（投保保额不低于200万元）、为车上乘客提供每人每座投保保额不低于10万元的保险险种。提供承诺书原件加盖公章）</w:t>
            </w:r>
            <w:r>
              <w:rPr>
                <w:rFonts w:hint="eastAsia" w:ascii="微软雅黑" w:hAnsi="微软雅黑" w:cs="微软雅黑"/>
                <w:szCs w:val="21"/>
                <w:highlight w:val="none"/>
              </w:rPr>
            </w:r>
            <w:r/>
          </w:p>
        </w:tc>
        <w:tc>
          <w:tcPr>
            <w:tcW w:w="776" w:type="dxa"/>
            <w:vAlign w:val="center"/>
            <w:vMerge w:val="restart"/>
            <w:textDirection w:val="lrTb"/>
            <w:noWrap w:val="false"/>
          </w:tcPr>
          <w:p>
            <w:pPr>
              <w:pStyle w:val="1061"/>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lang w:eastAsia="zh-CN"/>
              </w:rPr>
            </w:r>
            <w:r/>
          </w:p>
        </w:tc>
      </w:tr>
      <w:tr>
        <w:trPr>
          <w:trHeight w:val="1680"/>
        </w:trPr>
        <w:tc>
          <w:tcPr>
            <w:tcW w:w="681" w:type="dxa"/>
            <w:vAlign w:val="center"/>
            <w:vMerge w:val="continue"/>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104" w:type="dxa"/>
            <w:vAlign w:val="center"/>
            <w:vMerge w:val="continue"/>
            <w:textDirection w:val="lrTb"/>
            <w:noWrap w:val="false"/>
          </w:tcPr>
          <w:p>
            <w:pPr>
              <w:pStyle w:val="1061"/>
              <w:jc w:val="center"/>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6510" w:type="dxa"/>
            <w:vAlign w:val="center"/>
            <w:textDirection w:val="lrTb"/>
            <w:noWrap w:val="false"/>
          </w:tcPr>
          <w:p>
            <w:pPr>
              <w:pStyle w:val="1061"/>
              <w:spacing w:line="440" w:lineRule="exact"/>
              <w:tabs>
                <w:tab w:val="left" w:pos="3600" w:leader="none"/>
              </w:tabs>
              <w:rPr>
                <w:rFonts w:ascii="微软雅黑" w:hAnsi="微软雅黑" w:cs="微软雅黑"/>
                <w:szCs w:val="21"/>
                <w:highlight w:val="none"/>
              </w:rPr>
            </w:pPr>
            <w:r>
              <w:rPr>
                <w:rFonts w:hint="eastAsia" w:ascii="微软雅黑" w:hAnsi="微软雅黑" w:cs="微软雅黑"/>
                <w:szCs w:val="21"/>
                <w:highlight w:val="none"/>
              </w:rPr>
              <w:t xml:space="preserve">分包二：</w:t>
            </w:r>
            <w:r>
              <w:rPr>
                <w:rFonts w:ascii="微软雅黑" w:hAnsi="微软雅黑" w:cs="微软雅黑"/>
                <w:szCs w:val="21"/>
                <w:highlight w:val="none"/>
              </w:rPr>
            </w:r>
            <w:r/>
          </w:p>
          <w:p>
            <w:pPr>
              <w:pStyle w:val="1061"/>
              <w:spacing w:line="440" w:lineRule="exact"/>
              <w:tabs>
                <w:tab w:val="left" w:pos="3600" w:leader="none"/>
              </w:tabs>
              <w:rPr>
                <w:rFonts w:ascii="微软雅黑" w:hAnsi="微软雅黑" w:cs="微软雅黑"/>
                <w:szCs w:val="21"/>
                <w:highlight w:val="none"/>
              </w:rPr>
            </w:pPr>
            <w:r>
              <w:rPr>
                <w:rFonts w:hint="eastAsia" w:ascii="微软雅黑" w:hAnsi="微软雅黑" w:cs="微软雅黑"/>
                <w:szCs w:val="21"/>
                <w:highlight w:val="none"/>
              </w:rPr>
              <w:t xml:space="preserve">除国家规定的强制保险险种外，投标人承诺额外为提供租赁服务的车辆投保的得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分。（投保应包括但不限于第三者责任险（投保保额不低于300万元）、为车上乘客提供每人每座投保保额不低于40万元的保险险种。提供承诺书原件加盖公章）</w:t>
            </w:r>
            <w:r>
              <w:rPr>
                <w:rFonts w:ascii="微软雅黑" w:hAnsi="微软雅黑" w:cs="微软雅黑"/>
                <w:szCs w:val="21"/>
                <w:highlight w:val="none"/>
              </w:rPr>
            </w:r>
            <w:r/>
          </w:p>
        </w:tc>
        <w:tc>
          <w:tcPr>
            <w:tcW w:w="776" w:type="dxa"/>
            <w:vAlign w:val="center"/>
            <w:vMerge w:val="continue"/>
            <w:textDirection w:val="lrTb"/>
            <w:noWrap w:val="false"/>
          </w:tcPr>
          <w:p>
            <w:pPr>
              <w:pStyle w:val="1061"/>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业绩</w:t>
            </w:r>
            <w:r>
              <w:rPr>
                <w:rFonts w:hint="eastAsia" w:ascii="微软雅黑" w:hAnsi="微软雅黑" w:cs="微软雅黑"/>
                <w:szCs w:val="21"/>
              </w:rPr>
            </w:r>
            <w:r/>
          </w:p>
        </w:tc>
        <w:tc>
          <w:tcPr>
            <w:tcW w:w="6510" w:type="dxa"/>
            <w:vAlign w:val="center"/>
            <w:textDirection w:val="lrTb"/>
            <w:noWrap w:val="false"/>
          </w:tcPr>
          <w:p>
            <w:pPr>
              <w:pStyle w:val="1061"/>
              <w:jc w:val="left"/>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投标人自2023年1月1日起（以合同签订时间为准），承担过类似年度车辆租赁服务的，每提供一个业绩得3分，最高得15分。（须提供合同复印件加盖公章，同一使用单位不同年度的合同不可重复计分）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ascii="微软雅黑" w:hAnsi="微软雅黑" w:cs="微软雅黑"/>
                <w:szCs w:val="21"/>
              </w:rPr>
            </w:pPr>
            <w:r>
              <w:rPr>
                <w:rFonts w:hint="eastAsia" w:ascii="微软雅黑" w:hAnsi="微软雅黑" w:cs="微软雅黑"/>
                <w:szCs w:val="21"/>
              </w:rPr>
              <w:t xml:space="preserve">15</w:t>
            </w:r>
            <w:r>
              <w:rPr>
                <w:rFonts w:ascii="微软雅黑" w:hAnsi="微软雅黑" w:cs="微软雅黑"/>
                <w:szCs w:val="21"/>
              </w:rPr>
            </w:r>
            <w:r/>
          </w:p>
        </w:tc>
      </w:tr>
      <w:tr>
        <w:trPr/>
        <w:tc>
          <w:tcPr>
            <w:tcW w:w="681"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104" w:type="dxa"/>
            <w:vAlign w:val="center"/>
            <w:textDirection w:val="lrTb"/>
            <w:noWrap w:val="false"/>
          </w:tcPr>
          <w:p>
            <w:pPr>
              <w:pStyle w:val="1061"/>
              <w:jc w:val="center"/>
              <w:spacing w:line="440" w:lineRule="exact"/>
              <w:tabs>
                <w:tab w:val="left" w:pos="3600" w:leader="none"/>
              </w:tabs>
              <w:rPr>
                <w:rFonts w:hint="eastAsia" w:ascii="微软雅黑" w:hAnsi="微软雅黑" w:cs="微软雅黑"/>
                <w:szCs w:val="21"/>
              </w:rPr>
            </w:pPr>
            <w:r>
              <w:rPr>
                <w:rFonts w:hint="eastAsia" w:ascii="宋体" w:hAnsi="宋体"/>
                <w:color w:val="000000"/>
                <w:szCs w:val="21"/>
              </w:rPr>
              <w:t xml:space="preserve">满意度评价</w:t>
            </w:r>
            <w:r>
              <w:rPr>
                <w:rFonts w:hint="eastAsia" w:ascii="微软雅黑" w:hAnsi="微软雅黑" w:cs="微软雅黑"/>
                <w:szCs w:val="21"/>
              </w:rPr>
            </w:r>
            <w:r/>
          </w:p>
        </w:tc>
        <w:tc>
          <w:tcPr>
            <w:tcW w:w="6510" w:type="dxa"/>
            <w:vAlign w:val="center"/>
            <w:textDirection w:val="lrTb"/>
            <w:noWrap w:val="false"/>
          </w:tcPr>
          <w:p>
            <w:pPr>
              <w:pStyle w:val="1061"/>
              <w:jc w:val="left"/>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上述有效业绩中，投标人获得被服务单位良好或满意及以上评价的，每有一个得2分，最高得10分。（须提供被服务单位加盖公章的评价意见证明材料，同一单位不可重复计分）</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r>
      <w:tr>
        <w:trPr/>
        <w:tc>
          <w:tcPr>
            <w:gridSpan w:val="3"/>
            <w:tcW w:w="8295" w:type="dxa"/>
            <w:vAlign w:val="center"/>
            <w:textDirection w:val="lrTb"/>
            <w:noWrap w:val="false"/>
          </w:tcPr>
          <w:p>
            <w:pPr>
              <w:pStyle w:val="1061"/>
              <w:ind w:firstLine="420"/>
              <w:jc w:val="center"/>
              <w:spacing w:line="440" w:lineRule="exact"/>
              <w:rPr>
                <w:rFonts w:hint="eastAsia" w:ascii="微软雅黑" w:hAnsi="微软雅黑" w:cs="微软雅黑"/>
                <w:szCs w:val="21"/>
              </w:rPr>
            </w:pPr>
            <w:r>
              <w:rPr>
                <w:rFonts w:hint="eastAsia" w:ascii="微软雅黑" w:hAnsi="微软雅黑" w:cs="微软雅黑"/>
                <w:szCs w:val="21"/>
              </w:rPr>
              <w:t xml:space="preserve">合计</w:t>
            </w:r>
            <w:r>
              <w:rPr>
                <w:rFonts w:hint="eastAsia" w:ascii="微软雅黑" w:hAnsi="微软雅黑" w:cs="微软雅黑"/>
                <w:szCs w:val="21"/>
              </w:rPr>
            </w:r>
            <w:r/>
          </w:p>
        </w:tc>
        <w:tc>
          <w:tcPr>
            <w:tcW w:w="776" w:type="dxa"/>
            <w:vAlign w:val="center"/>
            <w:textDirection w:val="lrTb"/>
            <w:noWrap w:val="false"/>
          </w:tcPr>
          <w:p>
            <w:pPr>
              <w:pStyle w:val="1061"/>
              <w:jc w:val="center"/>
              <w:spacing w:line="440" w:lineRule="exact"/>
              <w:rPr>
                <w:rFonts w:ascii="微软雅黑" w:hAnsi="微软雅黑" w:cs="微软雅黑"/>
                <w:szCs w:val="21"/>
              </w:rPr>
            </w:pPr>
            <w:r>
              <w:rPr>
                <w:rFonts w:ascii="微软雅黑" w:hAnsi="微软雅黑" w:cs="微软雅黑"/>
                <w:szCs w:val="21"/>
              </w:rPr>
              <w:fldChar w:fldCharType="begin"/>
            </w:r>
            <w:r>
              <w:rPr>
                <w:rFonts w:ascii="微软雅黑" w:hAnsi="微软雅黑" w:cs="微软雅黑"/>
                <w:szCs w:val="21"/>
              </w:rPr>
              <w:instrText xml:space="preserve"> =SUM(ABOVE) \* MERGEFORMAT </w:instrText>
            </w:r>
            <w:r>
              <w:rPr>
                <w:rFonts w:ascii="微软雅黑" w:hAnsi="微软雅黑" w:cs="微软雅黑"/>
                <w:szCs w:val="21"/>
              </w:rPr>
              <w:fldChar w:fldCharType="separate"/>
            </w:r>
            <w:r>
              <w:rPr>
                <w:rFonts w:ascii="微软雅黑" w:hAnsi="微软雅黑" w:cs="微软雅黑"/>
                <w:szCs w:val="21"/>
              </w:rPr>
              <w:t xml:space="preserve">100</w:t>
            </w:r>
            <w:r>
              <w:rPr>
                <w:rFonts w:ascii="微软雅黑" w:hAnsi="微软雅黑" w:cs="微软雅黑"/>
                <w:szCs w:val="21"/>
              </w:rPr>
              <w:fldChar w:fldCharType="end"/>
            </w:r>
            <w:r>
              <w:rPr>
                <w:rFonts w:ascii="微软雅黑" w:hAnsi="微软雅黑" w:cs="微软雅黑"/>
                <w:szCs w:val="21"/>
              </w:rPr>
            </w:r>
            <w:r/>
          </w:p>
        </w:tc>
      </w:tr>
    </w:tbl>
    <w:p>
      <w:pPr>
        <w:pStyle w:val="1062"/>
        <w:spacing w:line="420" w:lineRule="exact"/>
        <w:rPr>
          <w:rFonts w:hint="eastAsia" w:ascii="微软雅黑" w:hAnsi="微软雅黑" w:cs="微软雅黑"/>
          <w:szCs w:val="32"/>
        </w:rPr>
      </w:pPr>
      <w:r/>
      <w:bookmarkEnd w:id="278"/>
      <w:r>
        <w:rPr>
          <w:rFonts w:hint="eastAsia" w:ascii="微软雅黑" w:hAnsi="微软雅黑" w:cs="微软雅黑"/>
        </w:rPr>
        <w:br w:type="page" w:clear="all"/>
      </w:r>
      <w:bookmarkStart w:id="279" w:name="_Toc21940"/>
      <w:r/>
      <w:bookmarkStart w:id="280" w:name="_Toc14376"/>
      <w:r/>
      <w:bookmarkStart w:id="281" w:name="_Toc3465"/>
      <w:r/>
      <w:bookmarkStart w:id="282" w:name="_Toc29101"/>
      <w:r/>
      <w:bookmarkStart w:id="283" w:name="_Toc21811"/>
      <w:r/>
      <w:bookmarkStart w:id="284" w:name="_Toc31300"/>
      <w:r>
        <w:rPr>
          <w:rFonts w:hint="eastAsia" w:ascii="微软雅黑" w:hAnsi="微软雅黑" w:cs="微软雅黑"/>
          <w:szCs w:val="32"/>
        </w:rPr>
        <w:t xml:space="preserve">第四章 项目采购需求</w:t>
      </w:r>
      <w:bookmarkEnd w:id="279"/>
      <w:r/>
      <w:bookmarkEnd w:id="280"/>
      <w:r/>
      <w:bookmarkEnd w:id="281"/>
      <w:r/>
      <w:bookmarkEnd w:id="282"/>
      <w:r/>
      <w:bookmarkEnd w:id="283"/>
      <w:r/>
      <w:bookmarkEnd w:id="284"/>
      <w:r/>
      <w:bookmarkStart w:id="285" w:name="_Toc13284"/>
      <w:r/>
      <w:bookmarkStart w:id="286" w:name="_Toc533671560"/>
      <w:r/>
      <w:bookmarkStart w:id="287" w:name="_Toc22289"/>
      <w:r/>
      <w:bookmarkStart w:id="288" w:name="_Toc522790135"/>
      <w:r/>
      <w:bookmarkStart w:id="289" w:name="_Toc13204"/>
      <w:r/>
      <w:bookmarkStart w:id="290" w:name="_Toc25617"/>
      <w:r>
        <w:rPr>
          <w:rFonts w:hint="eastAsia" w:ascii="微软雅黑" w:hAnsi="微软雅黑" w:cs="微软雅黑"/>
          <w:szCs w:val="32"/>
        </w:rPr>
      </w:r>
      <w:r/>
    </w:p>
    <w:p>
      <w:pPr>
        <w:pStyle w:val="1061"/>
        <w:jc w:val="center"/>
        <w:spacing w:line="420" w:lineRule="exact"/>
        <w:rPr>
          <w:rFonts w:hint="eastAsia" w:ascii="微软雅黑" w:hAnsi="微软雅黑" w:cs="微软雅黑"/>
        </w:rPr>
      </w:pPr>
      <w:r>
        <w:rPr>
          <w:rFonts w:hint="eastAsia" w:ascii="微软雅黑" w:hAnsi="微软雅黑" w:cs="微软雅黑"/>
          <w:b/>
          <w:bCs/>
          <w:spacing w:val="-6"/>
          <w:szCs w:val="21"/>
        </w:rPr>
        <w:t xml:space="preserve">采购文件中标注“</w:t>
      </w:r>
      <w:r>
        <w:rPr>
          <w:rFonts w:hint="eastAsia" w:ascii="微软雅黑" w:hAnsi="微软雅黑" w:cs="微软雅黑"/>
          <w:b/>
          <w:bCs/>
          <w:szCs w:val="21"/>
        </w:rPr>
        <w:t xml:space="preserve">★</w:t>
      </w:r>
      <w:r>
        <w:rPr>
          <w:rFonts w:hint="eastAsia" w:ascii="微软雅黑" w:hAnsi="微软雅黑" w:cs="微软雅黑"/>
          <w:b/>
          <w:bCs/>
          <w:spacing w:val="-6"/>
          <w:szCs w:val="21"/>
        </w:rPr>
        <w:t xml:space="preserve">”的内容为实质性要求，有一项负偏离的，作无效投标处理。</w:t>
      </w:r>
      <w:r>
        <w:rPr>
          <w:rFonts w:hint="eastAsia" w:ascii="微软雅黑" w:hAnsi="微软雅黑" w:cs="微软雅黑"/>
        </w:rPr>
      </w:r>
      <w:r/>
    </w:p>
    <w:p>
      <w:pPr>
        <w:pStyle w:val="1063"/>
        <w:jc w:val="left"/>
        <w:spacing w:line="420" w:lineRule="exact"/>
        <w:rPr>
          <w:rFonts w:hint="eastAsia" w:ascii="微软雅黑" w:hAnsi="微软雅黑" w:cs="微软雅黑"/>
          <w:color w:val="000000"/>
          <w:sz w:val="24"/>
          <w:szCs w:val="24"/>
        </w:rPr>
      </w:pPr>
      <w:r/>
      <w:bookmarkStart w:id="291" w:name="_Toc4683"/>
      <w:r/>
      <w:bookmarkStart w:id="292" w:name="_Toc208216800"/>
      <w:r/>
      <w:bookmarkStart w:id="293" w:name="_Toc30470"/>
      <w:r/>
      <w:bookmarkStart w:id="294" w:name="_Toc15184"/>
      <w:r>
        <w:rPr>
          <w:rFonts w:hint="eastAsia" w:ascii="微软雅黑" w:hAnsi="微软雅黑" w:cs="微软雅黑"/>
          <w:color w:val="000000"/>
          <w:sz w:val="24"/>
          <w:szCs w:val="24"/>
        </w:rPr>
        <w:t xml:space="preserve">★一、商务要求</w:t>
      </w:r>
      <w:bookmarkEnd w:id="291"/>
      <w:r/>
      <w:bookmarkEnd w:id="292"/>
      <w:r/>
      <w:bookmarkEnd w:id="293"/>
      <w:r/>
      <w:bookmarkEnd w:id="294"/>
      <w:r>
        <w:rPr>
          <w:rFonts w:hint="eastAsia" w:ascii="微软雅黑" w:hAnsi="微软雅黑" w:cs="微软雅黑"/>
          <w:color w:val="000000"/>
          <w:sz w:val="24"/>
          <w:szCs w:val="24"/>
        </w:rPr>
      </w:r>
      <w:r/>
    </w:p>
    <w:p>
      <w:pPr>
        <w:pStyle w:val="1247"/>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1、项目概况：因公务活动、外事接待、会议、集体活动等公务出行需要，南京教育师范学院通过社会租赁用车方式保障公务出行需要，</w:t>
      </w:r>
      <w:r>
        <w:rPr>
          <w:rFonts w:hint="eastAsia" w:ascii="微软雅黑" w:hAnsi="微软雅黑" w:cs="微软雅黑"/>
          <w:b/>
          <w:color w:val="000000"/>
        </w:rPr>
        <w:t xml:space="preserve">本项目包含两个分包（包一：轿车、小客车；包二：考斯特、大客车）</w:t>
      </w:r>
      <w:r>
        <w:rPr>
          <w:rFonts w:hint="eastAsia" w:ascii="微软雅黑" w:hAnsi="微软雅黑" w:cs="微软雅黑"/>
          <w:color w:val="000000"/>
        </w:rPr>
        <w:t xml:space="preserve">。</w:t>
      </w:r>
      <w:r>
        <w:rPr>
          <w:rFonts w:hint="eastAsia" w:ascii="微软雅黑" w:hAnsi="微软雅黑" w:cs="微软雅黑"/>
          <w:color w:val="000000"/>
        </w:rPr>
      </w:r>
      <w:r/>
    </w:p>
    <w:p>
      <w:pPr>
        <w:pStyle w:val="1247"/>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本项目分包一、分包二同时开标，并按以上分包一、二顺序依次进行评标。同一供应商可以同时参加两个分包的投标，但是只能中标一个分包，供应商在前一个分包中被推荐为第一中标候选人之后，仍然参加后续其他分包的评审，但是在后续其他分包中不能被推荐为中标候选人。</w:t>
      </w:r>
      <w:r>
        <w:rPr>
          <w:rFonts w:hint="eastAsia" w:ascii="微软雅黑" w:hAnsi="微软雅黑" w:cs="微软雅黑"/>
          <w:color w:val="000000"/>
        </w:rPr>
      </w:r>
      <w:r/>
    </w:p>
    <w:p>
      <w:pPr>
        <w:pStyle w:val="1247"/>
        <w:ind w:firstLine="420"/>
        <w:spacing w:line="420" w:lineRule="exact"/>
        <w:rPr>
          <w:rFonts w:hint="eastAsia" w:ascii="微软雅黑" w:hAnsi="微软雅黑" w:cs="微软雅黑"/>
          <w:color w:val="000000"/>
        </w:rPr>
      </w:pPr>
      <w:r>
        <w:rPr>
          <w:rFonts w:hint="eastAsia" w:ascii="微软雅黑" w:hAnsi="微软雅黑" w:cs="微软雅黑"/>
          <w:color w:val="000000"/>
          <w:lang w:val="en-US"/>
        </w:rPr>
        <w:t xml:space="preserve">2、</w:t>
      </w:r>
      <w:r>
        <w:rPr>
          <w:rFonts w:hint="eastAsia" w:ascii="微软雅黑" w:hAnsi="微软雅黑" w:cs="微软雅黑"/>
          <w:color w:val="000000"/>
        </w:rPr>
        <w:t xml:space="preserve">合同履行期限：自合同签订之日起两年。</w:t>
      </w:r>
      <w:r>
        <w:rPr>
          <w:rFonts w:hint="eastAsia" w:ascii="微软雅黑" w:hAnsi="微软雅黑" w:cs="微软雅黑"/>
          <w:color w:val="000000"/>
        </w:rPr>
      </w:r>
      <w:r/>
    </w:p>
    <w:p>
      <w:pPr>
        <w:pStyle w:val="1247"/>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3、报价要求：本项目投标报价为收费定价（单价）标准的</w:t>
      </w:r>
      <w:r>
        <w:rPr>
          <w:rFonts w:hint="eastAsia" w:ascii="微软雅黑" w:hAnsi="微软雅黑" w:cs="微软雅黑"/>
          <w:color w:val="000000"/>
          <w:lang w:eastAsia="zh-CN"/>
        </w:rPr>
        <w:t xml:space="preserve">优惠</w:t>
      </w:r>
      <w:r>
        <w:rPr>
          <w:rFonts w:hint="eastAsia" w:ascii="微软雅黑" w:hAnsi="微软雅黑" w:cs="微软雅黑"/>
          <w:color w:val="000000"/>
        </w:rPr>
        <w:t xml:space="preserve">率，该</w:t>
      </w:r>
      <w:r>
        <w:rPr>
          <w:rFonts w:hint="eastAsia" w:ascii="微软雅黑" w:hAnsi="微软雅黑" w:cs="微软雅黑"/>
          <w:color w:val="000000"/>
          <w:lang w:eastAsia="zh-CN"/>
        </w:rPr>
        <w:t xml:space="preserve">优惠</w:t>
      </w:r>
      <w:r>
        <w:rPr>
          <w:rFonts w:hint="eastAsia" w:ascii="微软雅黑" w:hAnsi="微软雅黑" w:cs="微软雅黑"/>
          <w:color w:val="000000"/>
        </w:rPr>
        <w:t xml:space="preserve">率必须为唯一固定值，范围为0%﹤</w:t>
      </w:r>
      <w:r>
        <w:rPr>
          <w:rFonts w:hint="eastAsia" w:ascii="微软雅黑" w:hAnsi="微软雅黑" w:cs="微软雅黑"/>
          <w:color w:val="000000"/>
          <w:lang w:eastAsia="zh-CN"/>
        </w:rPr>
        <w:t xml:space="preserve">优惠</w:t>
      </w:r>
      <w:r>
        <w:rPr>
          <w:rFonts w:hint="eastAsia" w:ascii="微软雅黑" w:hAnsi="微软雅黑" w:cs="微软雅黑"/>
          <w:color w:val="000000"/>
        </w:rPr>
        <w:t xml:space="preserve">率≤100%。最终合同价格=最高单价限价*</w:t>
      </w:r>
      <w:r>
        <w:rPr>
          <w:rFonts w:hint="eastAsia" w:ascii="微软雅黑" w:hAnsi="微软雅黑" w:cs="微软雅黑"/>
          <w:color w:val="000000"/>
          <w:lang w:eastAsia="zh-CN"/>
        </w:rPr>
        <w:t xml:space="preserve">（</w:t>
      </w:r>
      <w:r>
        <w:rPr>
          <w:rFonts w:hint="eastAsia" w:ascii="微软雅黑" w:hAnsi="微软雅黑" w:cs="微软雅黑"/>
          <w:color w:val="000000"/>
          <w:lang w:val="en-US" w:eastAsia="zh-CN"/>
        </w:rPr>
        <w:t xml:space="preserve">1-</w:t>
      </w:r>
      <w:r>
        <w:rPr>
          <w:rFonts w:hint="eastAsia" w:ascii="微软雅黑" w:hAnsi="微软雅黑" w:cs="微软雅黑"/>
          <w:color w:val="000000"/>
        </w:rPr>
        <w:t xml:space="preserve">投标</w:t>
      </w:r>
      <w:r>
        <w:rPr>
          <w:rFonts w:hint="eastAsia" w:ascii="微软雅黑" w:hAnsi="微软雅黑" w:cs="微软雅黑"/>
          <w:color w:val="000000"/>
          <w:lang w:eastAsia="zh-CN"/>
        </w:rPr>
        <w:t xml:space="preserve">优惠</w:t>
      </w:r>
      <w:r>
        <w:rPr>
          <w:rFonts w:hint="eastAsia" w:ascii="微软雅黑" w:hAnsi="微软雅黑" w:cs="微软雅黑"/>
          <w:color w:val="000000"/>
        </w:rPr>
        <w:t xml:space="preserve">率</w:t>
      </w:r>
      <w:r>
        <w:rPr>
          <w:rFonts w:hint="eastAsia" w:ascii="微软雅黑" w:hAnsi="微软雅黑" w:cs="微软雅黑"/>
          <w:color w:val="000000"/>
          <w:lang w:eastAsia="zh-CN"/>
        </w:rPr>
        <w:t xml:space="preserve">）</w:t>
      </w:r>
      <w:r>
        <w:rPr>
          <w:rFonts w:hint="eastAsia" w:ascii="微软雅黑" w:hAnsi="微软雅黑" w:cs="微软雅黑"/>
          <w:color w:val="000000"/>
        </w:rPr>
        <w:t xml:space="preserve">*实际用车次数。</w:t>
      </w:r>
      <w:r>
        <w:rPr>
          <w:rFonts w:hint="eastAsia" w:ascii="微软雅黑" w:hAnsi="微软雅黑" w:cs="微软雅黑"/>
          <w:color w:val="000000"/>
        </w:rPr>
      </w:r>
      <w:r/>
    </w:p>
    <w:p>
      <w:pPr>
        <w:pStyle w:val="1247"/>
        <w:ind w:firstLine="420"/>
        <w:spacing w:line="420" w:lineRule="exact"/>
        <w:rPr>
          <w:rFonts w:hint="eastAsia" w:ascii="微软雅黑" w:hAnsi="微软雅黑" w:cs="微软雅黑"/>
          <w:b/>
          <w:bCs/>
        </w:rPr>
      </w:pPr>
      <w:r>
        <w:rPr>
          <w:rFonts w:hint="eastAsia" w:ascii="微软雅黑" w:hAnsi="微软雅黑" w:cs="微软雅黑"/>
          <w:color w:val="000000"/>
        </w:rPr>
        <w:t xml:space="preserve">4、</w:t>
      </w:r>
      <w:r>
        <w:rPr>
          <w:rFonts w:hint="eastAsia" w:ascii="微软雅黑" w:hAnsi="微软雅黑" w:cs="微软雅黑"/>
          <w:b/>
          <w:bCs/>
        </w:rPr>
        <w:t xml:space="preserve">市内非固定线路租赁服务费定价标准</w:t>
      </w:r>
      <w:r>
        <w:rPr>
          <w:rFonts w:hint="eastAsia" w:ascii="微软雅黑" w:hAnsi="微软雅黑" w:cs="微软雅黑"/>
          <w:b/>
          <w:bCs/>
        </w:rPr>
      </w:r>
      <w:r/>
    </w:p>
    <w:tbl>
      <w:tblPr>
        <w:tblW w:w="5227" w:type="pct"/>
        <w:tblInd w:w="-108" w:type="dxa"/>
        <w:tblLayout w:type="fixed"/>
        <w:tblCellMar>
          <w:left w:w="108" w:type="dxa"/>
          <w:top w:w="0" w:type="dxa"/>
          <w:right w:w="108" w:type="dxa"/>
          <w:bottom w:w="0" w:type="dxa"/>
        </w:tblCellMar>
        <w:tblLook w:val="04A0" w:firstRow="1" w:lastRow="0" w:firstColumn="1" w:lastColumn="0" w:noHBand="0" w:noVBand="1"/>
      </w:tblPr>
      <w:tblGrid>
        <w:gridCol w:w="468"/>
        <w:gridCol w:w="620"/>
        <w:gridCol w:w="1371"/>
        <w:gridCol w:w="998"/>
        <w:gridCol w:w="995"/>
        <w:gridCol w:w="998"/>
        <w:gridCol w:w="870"/>
        <w:gridCol w:w="870"/>
        <w:gridCol w:w="963"/>
        <w:gridCol w:w="963"/>
      </w:tblGrid>
      <w:tr>
        <w:trPr>
          <w:cantSplit/>
          <w:trHeight w:val="1242"/>
        </w:trPr>
        <w:tc>
          <w:tcPr>
            <w:gridSpan w:val="3"/>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车   型</w:t>
            </w:r>
            <w:r>
              <w:rPr>
                <w:rFonts w:hint="eastAsia" w:ascii="微软雅黑" w:hAnsi="微软雅黑" w:cs="微软雅黑"/>
                <w:b/>
                <w:bCs/>
                <w:szCs w:val="21"/>
                <w:highlight w:val="none"/>
              </w:rPr>
            </w:r>
            <w:r/>
          </w:p>
          <w:p>
            <w:pPr>
              <w:pStyle w:val="1061"/>
              <w:ind w:right="-609"/>
              <w:jc w:val="center"/>
              <w:spacing w:line="42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（品牌或同档次品牌）</w:t>
            </w:r>
            <w:r>
              <w:rPr>
                <w:rFonts w:hint="eastAsia" w:ascii="微软雅黑" w:hAnsi="微软雅黑" w:cs="微软雅黑"/>
                <w:szCs w:val="21"/>
                <w:highlight w:val="none"/>
              </w:rPr>
            </w:r>
            <w:r/>
          </w:p>
        </w:tc>
        <w:tc>
          <w:tcPr>
            <w:tcBorders>
              <w:top w:val="single" w:color="000000" w:sz="4" w:space="0"/>
              <w:left w:val="none" w:color="000000" w:sz="4" w:space="0"/>
              <w:bottom w:val="none" w:color="000000" w:sz="0"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市内一天收费（元）</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市内半天收费（元）</w:t>
            </w:r>
            <w:r>
              <w:rPr>
                <w:rFonts w:hint="eastAsia" w:ascii="微软雅黑" w:hAnsi="微软雅黑" w:cs="微软雅黑"/>
                <w:b/>
                <w:bC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市内/天/公里</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会议价格（元/次）</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超公里收费（元/KM）</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b/>
                <w:bCs/>
                <w:szCs w:val="21"/>
                <w:highlight w:val="none"/>
              </w:rPr>
            </w:pPr>
            <w:r>
              <w:rPr>
                <w:rFonts w:hint="eastAsia" w:ascii="微软雅黑" w:hAnsi="微软雅黑" w:cs="微软雅黑"/>
                <w:b/>
                <w:bCs/>
                <w:szCs w:val="21"/>
                <w:highlight w:val="none"/>
              </w:rPr>
              <w:t xml:space="preserve">超小时收费（元/h）</w:t>
            </w:r>
            <w:r>
              <w:rPr>
                <w:rFonts w:ascii="微软雅黑" w:hAnsi="微软雅黑" w:cs="微软雅黑"/>
                <w:b/>
                <w:bCs/>
                <w:szCs w:val="21"/>
                <w:highlight w:val="none"/>
              </w:rPr>
            </w:r>
            <w:r/>
          </w:p>
        </w:tc>
      </w:tr>
      <w:tr>
        <w:trPr>
          <w:cantSplit/>
          <w:trHeight w:val="1242"/>
        </w:trPr>
        <w:tc>
          <w:tcPr>
            <w:tcBorders>
              <w:top w:val="none" w:color="000000" w:sz="4" w:space="0"/>
              <w:left w:val="single" w:color="000000" w:sz="4" w:space="0"/>
              <w:bottom w:val="none" w:color="000000" w:sz="0" w:space="0"/>
              <w:right w:val="single" w:color="000000" w:sz="4" w:space="0"/>
            </w:tcBorders>
            <w:tcW w:w="469" w:type="dxa"/>
            <w:vAlign w:val="center"/>
            <w:vMerge w:val="restart"/>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包一</w:t>
            </w:r>
            <w:r>
              <w:rPr>
                <w:rFonts w:hint="eastAsia" w:ascii="微软雅黑" w:hAnsi="微软雅黑" w:cs="微软雅黑"/>
                <w:b/>
                <w:bCs/>
                <w:szCs w:val="21"/>
                <w:highlight w:val="none"/>
              </w:rPr>
            </w:r>
            <w:r/>
          </w:p>
        </w:tc>
        <w:tc>
          <w:tcPr>
            <w:tcBorders>
              <w:top w:val="none" w:color="000000" w:sz="4" w:space="0"/>
              <w:left w:val="single" w:color="000000" w:sz="4" w:space="0"/>
              <w:bottom w:val="single" w:color="000000" w:sz="4" w:space="0"/>
              <w:right w:val="single" w:color="000000" w:sz="4" w:space="0"/>
            </w:tcBorders>
            <w:tcW w:w="62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轿车</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5座轿车（帕萨特或同级别）</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670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445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所有车辆行驶时间市内一天8小时，半天4小时。</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所有车辆每天可行驶100公里，半天50公里。</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2.8</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1242"/>
        </w:trPr>
        <w:tc>
          <w:tcPr>
            <w:tcBorders>
              <w:top w:val="none" w:color="000000" w:sz="0" w:space="0"/>
              <w:left w:val="single" w:color="000000" w:sz="4" w:space="0"/>
              <w:bottom w:val="none" w:color="000000" w:sz="4" w:space="0"/>
              <w:right w:val="single" w:color="000000" w:sz="4" w:space="0"/>
            </w:tcBorders>
            <w:tcW w:w="469"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4" w:space="0"/>
              <w:left w:val="single" w:color="000000" w:sz="4" w:space="0"/>
              <w:bottom w:val="none" w:color="000000" w:sz="4" w:space="0"/>
              <w:right w:val="single" w:color="000000" w:sz="4" w:space="0"/>
            </w:tcBorders>
            <w:tcW w:w="62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小客车</w:t>
            </w:r>
            <w:r>
              <w:rPr>
                <w:rFonts w:hint="eastAsia" w:ascii="微软雅黑" w:hAnsi="微软雅黑" w:cs="微软雅黑"/>
                <w:b/>
                <w:bCs/>
                <w:szCs w:val="21"/>
                <w:highlight w:val="none"/>
              </w:rPr>
            </w:r>
            <w:r/>
          </w:p>
        </w:tc>
        <w:tc>
          <w:tcPr>
            <w:tcBorders>
              <w:top w:val="single" w:color="000000" w:sz="4" w:space="0"/>
              <w:left w:val="none" w:color="000000" w:sz="4" w:space="0"/>
              <w:bottom w:val="none" w:color="000000" w:sz="0"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7座商务车（别克或同级别）</w:t>
            </w:r>
            <w:r>
              <w:rPr>
                <w:rFonts w:hint="eastAsia" w:ascii="微软雅黑" w:hAnsi="微软雅黑" w:cs="微软雅黑"/>
                <w:b/>
                <w:bCs/>
                <w:szCs w:val="21"/>
                <w:highlight w:val="none"/>
              </w:rPr>
            </w:r>
            <w:r/>
          </w:p>
        </w:tc>
        <w:tc>
          <w:tcPr>
            <w:tcBorders>
              <w:top w:val="single" w:color="000000" w:sz="4" w:space="0"/>
              <w:left w:val="none" w:color="000000" w:sz="4" w:space="0"/>
              <w:bottom w:val="none" w:color="000000" w:sz="0"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840</w:t>
            </w:r>
            <w:r>
              <w:rPr>
                <w:rFonts w:hint="eastAsia" w:ascii="微软雅黑" w:hAnsi="微软雅黑" w:cs="微软雅黑"/>
                <w:szCs w:val="21"/>
                <w:highlight w:val="none"/>
              </w:rPr>
            </w:r>
            <w:r/>
          </w:p>
        </w:tc>
        <w:tc>
          <w:tcPr>
            <w:tcBorders>
              <w:top w:val="single" w:color="000000" w:sz="4" w:space="0"/>
              <w:left w:val="none" w:color="000000" w:sz="4" w:space="0"/>
              <w:bottom w:val="none" w:color="000000" w:sz="0"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550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1100</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32"/>
        </w:trPr>
        <w:tc>
          <w:tcPr>
            <w:tcBorders>
              <w:top w:val="single" w:color="000000" w:sz="4" w:space="0"/>
              <w:left w:val="single" w:color="000000" w:sz="4" w:space="0"/>
              <w:bottom w:val="none" w:color="000000" w:sz="0" w:space="0"/>
              <w:right w:val="single" w:color="000000" w:sz="4" w:space="0"/>
            </w:tcBorders>
            <w:tcW w:w="469" w:type="dxa"/>
            <w:vAlign w:val="center"/>
            <w:vMerge w:val="restart"/>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包二</w:t>
            </w: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4" w:space="0"/>
              <w:right w:val="single" w:color="000000" w:sz="4" w:space="0"/>
            </w:tcBorders>
            <w:tcW w:w="620"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考斯特</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17-22座</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1100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800</w:t>
            </w:r>
            <w:r>
              <w:rPr>
                <w:rFonts w:hint="eastAsia" w:ascii="微软雅黑" w:hAnsi="微软雅黑" w:cs="微软雅黑"/>
                <w:szCs w:val="21"/>
                <w:highlight w:val="none"/>
              </w:rPr>
            </w:r>
            <w:r/>
          </w:p>
        </w:tc>
        <w:tc>
          <w:tcPr>
            <w:tcBorders>
              <w:top w:val="single" w:color="000000" w:sz="4" w:space="0"/>
              <w:left w:val="single" w:color="000000" w:sz="4" w:space="0"/>
              <w:bottom w:val="none" w:color="000000" w:sz="0" w:space="0"/>
              <w:right w:val="single" w:color="000000" w:sz="4" w:space="0"/>
            </w:tcBorders>
            <w:tcW w:w="998"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87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1500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421"/>
        </w:trPr>
        <w:tc>
          <w:tcPr>
            <w:tcBorders>
              <w:top w:val="none" w:color="000000" w:sz="0" w:space="0"/>
              <w:left w:val="single" w:color="000000" w:sz="4" w:space="0"/>
              <w:bottom w:val="none" w:color="000000" w:sz="0" w:space="0"/>
              <w:right w:val="single" w:color="000000" w:sz="4" w:space="0"/>
            </w:tcBorders>
            <w:tcW w:w="469"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none" w:color="000000" w:sz="0" w:space="0"/>
              <w:right w:val="single" w:color="000000" w:sz="4" w:space="0"/>
            </w:tcBorders>
            <w:tcW w:w="620" w:type="dxa"/>
            <w:vAlign w:val="center"/>
            <w:vMerge w:val="restart"/>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大客车</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33座大客</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1110</w:t>
            </w:r>
            <w:r>
              <w:rPr>
                <w:rFonts w:hint="eastAsia" w:ascii="微软雅黑" w:hAnsi="微软雅黑" w:cs="微软雅黑"/>
                <w:szCs w:val="21"/>
                <w:highlight w:val="none"/>
              </w:rPr>
            </w:r>
            <w:r/>
          </w:p>
        </w:tc>
        <w:tc>
          <w:tcPr>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890</w:t>
            </w:r>
            <w:r>
              <w:rPr>
                <w:rFonts w:hint="eastAsia" w:ascii="微软雅黑" w:hAnsi="微软雅黑" w:cs="微软雅黑"/>
                <w:szCs w:val="21"/>
                <w:highlight w:val="none"/>
              </w:rPr>
            </w:r>
            <w:r/>
          </w:p>
        </w:tc>
        <w:tc>
          <w:tcPr>
            <w:tcBorders>
              <w:top w:val="none" w:color="000000" w:sz="0" w:space="0"/>
              <w:left w:val="single" w:color="000000" w:sz="4" w:space="0"/>
              <w:bottom w:val="none" w:color="000000" w:sz="0" w:space="0"/>
              <w:right w:val="single" w:color="000000" w:sz="4" w:space="0"/>
            </w:tcBorders>
            <w:tcW w:w="998"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87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1560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3.9</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32"/>
        </w:trPr>
        <w:tc>
          <w:tcPr>
            <w:tcBorders>
              <w:top w:val="none" w:color="000000" w:sz="0" w:space="0"/>
              <w:left w:val="single" w:color="000000" w:sz="4" w:space="0"/>
              <w:bottom w:val="none" w:color="000000" w:sz="0" w:space="0"/>
              <w:right w:val="single" w:color="000000" w:sz="4" w:space="0"/>
            </w:tcBorders>
            <w:tcW w:w="469"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45座以上大客</w:t>
            </w:r>
            <w:r>
              <w:rPr>
                <w:rFonts w:hint="eastAsia" w:ascii="微软雅黑" w:hAnsi="微软雅黑" w:cs="微软雅黑"/>
                <w:b/>
                <w:bCs/>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1220</w:t>
            </w:r>
            <w:r>
              <w:rPr>
                <w:rFonts w:hint="eastAsia" w:ascii="微软雅黑" w:hAnsi="微软雅黑" w:cs="微软雅黑"/>
                <w:szCs w:val="21"/>
                <w:highlight w:val="none"/>
              </w:rPr>
            </w:r>
            <w:r/>
          </w:p>
        </w:tc>
        <w:tc>
          <w:tcPr>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890</w:t>
            </w:r>
            <w:r>
              <w:rPr>
                <w:rFonts w:hint="eastAsia" w:ascii="微软雅黑" w:hAnsi="微软雅黑" w:cs="微软雅黑"/>
                <w:szCs w:val="21"/>
                <w:highlight w:val="none"/>
              </w:rPr>
            </w:r>
            <w:r/>
          </w:p>
        </w:tc>
        <w:tc>
          <w:tcPr>
            <w:tcBorders>
              <w:top w:val="none" w:color="000000" w:sz="0" w:space="0"/>
              <w:left w:val="single" w:color="000000" w:sz="4" w:space="0"/>
              <w:bottom w:val="none" w:color="000000" w:sz="0" w:space="0"/>
              <w:right w:val="single" w:color="000000" w:sz="4" w:space="0"/>
            </w:tcBorders>
            <w:tcW w:w="998"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none" w:color="000000" w:sz="0" w:space="0"/>
              <w:right w:val="single" w:color="000000" w:sz="4" w:space="0"/>
            </w:tcBorders>
            <w:tcW w:w="87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1670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r>
        <w:trPr>
          <w:cantSplit/>
          <w:trHeight w:val="842"/>
        </w:trPr>
        <w:tc>
          <w:tcPr>
            <w:tcBorders>
              <w:top w:val="none" w:color="000000" w:sz="0" w:space="0"/>
              <w:left w:val="single" w:color="000000" w:sz="4" w:space="0"/>
              <w:bottom w:val="single" w:color="000000" w:sz="4" w:space="0"/>
              <w:right w:val="single" w:color="000000" w:sz="4" w:space="0"/>
            </w:tcBorders>
            <w:tcW w:w="469"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1371"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53座以上大客</w:t>
            </w:r>
            <w:r>
              <w:rPr>
                <w:rFonts w:hint="eastAsia" w:ascii="微软雅黑" w:hAnsi="微软雅黑" w:cs="微软雅黑"/>
                <w:b/>
                <w:bCs/>
                <w:szCs w:val="21"/>
                <w:highlight w:val="none"/>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1390</w:t>
            </w:r>
            <w:r>
              <w:rPr>
                <w:rFonts w:hint="eastAsia" w:ascii="微软雅黑" w:hAnsi="微软雅黑" w:cs="微软雅黑"/>
                <w:szCs w:val="21"/>
                <w:highlight w:val="none"/>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w:t>
            </w:r>
            <w:r>
              <w:rPr>
                <w:rFonts w:hint="eastAsia" w:ascii="微软雅黑" w:hAnsi="微软雅黑" w:cs="微软雅黑"/>
                <w:szCs w:val="21"/>
                <w:highlight w:val="none"/>
              </w:rPr>
            </w:r>
            <w:r/>
          </w:p>
        </w:tc>
        <w:tc>
          <w:tcPr>
            <w:tcBorders>
              <w:top w:val="none" w:color="000000" w:sz="0"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none" w:color="000000" w:sz="0"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1780</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061"/>
              <w:jc w:val="cente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60</w:t>
            </w:r>
            <w:r>
              <w:rPr>
                <w:rFonts w:ascii="微软雅黑" w:hAnsi="微软雅黑" w:cs="微软雅黑"/>
                <w:szCs w:val="21"/>
                <w:highlight w:val="none"/>
              </w:rPr>
            </w:r>
            <w:r/>
          </w:p>
        </w:tc>
      </w:tr>
    </w:tbl>
    <w:p>
      <w:pPr>
        <w:pStyle w:val="1061"/>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highlight w:val="none"/>
        </w:rPr>
      </w:r>
      <w:r/>
    </w:p>
    <w:p>
      <w:pPr>
        <w:pStyle w:val="1061"/>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①最终合同价格=最高单价限价*（1-投标优惠率）*实际用车次数。</w:t>
      </w:r>
      <w:r>
        <w:rPr>
          <w:rFonts w:hint="eastAsia" w:ascii="微软雅黑" w:hAnsi="微软雅黑" w:cs="微软雅黑"/>
          <w:b/>
          <w:bCs/>
          <w:szCs w:val="21"/>
          <w:highlight w:val="none"/>
        </w:rPr>
      </w:r>
      <w:r/>
    </w:p>
    <w:p>
      <w:pPr>
        <w:pStyle w:val="1061"/>
        <w:ind w:firstLine="420"/>
        <w:spacing w:line="42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②车辆租赁期间所发生的过桥费、过路费、停车费、驾驶员食宿等其他一切费用均由供应商自行承担；</w:t>
      </w:r>
      <w:r>
        <w:rPr>
          <w:rFonts w:hint="eastAsia" w:ascii="微软雅黑" w:hAnsi="微软雅黑" w:cs="微软雅黑"/>
          <w:b/>
          <w:bCs/>
          <w:color w:val="000000"/>
          <w:szCs w:val="21"/>
          <w:highlight w:val="none"/>
        </w:rPr>
      </w:r>
      <w:r/>
    </w:p>
    <w:p>
      <w:pPr>
        <w:pStyle w:val="1061"/>
        <w:ind w:firstLine="420"/>
        <w:spacing w:line="42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③会议用车每天用车时间从早上6：00到晚上22:00止，每天100公里，超出范围根据收费标准付费；</w:t>
      </w:r>
      <w:r>
        <w:rPr>
          <w:rFonts w:hint="eastAsia" w:ascii="微软雅黑" w:hAnsi="微软雅黑" w:cs="微软雅黑"/>
          <w:szCs w:val="21"/>
          <w:highlight w:val="none"/>
        </w:rPr>
      </w:r>
      <w:r/>
    </w:p>
    <w:p>
      <w:pPr>
        <w:pStyle w:val="1061"/>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④长途租车（离开南京市区）按日租报价价格产生每天（24小时）租车的基本费用，每天超公里费用累计加入每天总费用，不计算超时费用；</w:t>
      </w:r>
      <w:r>
        <w:rPr>
          <w:rFonts w:hint="eastAsia" w:ascii="微软雅黑" w:hAnsi="微软雅黑" w:cs="微软雅黑"/>
          <w:b/>
          <w:bCs/>
          <w:szCs w:val="21"/>
          <w:highlight w:val="none"/>
        </w:rPr>
      </w:r>
      <w:r/>
    </w:p>
    <w:p>
      <w:pPr>
        <w:pStyle w:val="1061"/>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⑤南京市区内租车由用车人选择半日租或日租，按标价表价格产生基本费用，超时、超公里费用同时累加计入总费用（半日租总费用超过日租报价，按日租报价产生基本费用，此后的超时、超公里费用同时累加计入总费用）。</w:t>
      </w:r>
      <w:r>
        <w:rPr>
          <w:rFonts w:hint="eastAsia" w:ascii="微软雅黑" w:hAnsi="微软雅黑" w:cs="微软雅黑"/>
          <w:b/>
          <w:bCs/>
          <w:szCs w:val="21"/>
          <w:highlight w:val="none"/>
        </w:rPr>
      </w:r>
      <w:r/>
    </w:p>
    <w:p>
      <w:pPr>
        <w:pStyle w:val="1061"/>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5、服务终止：</w:t>
      </w:r>
      <w:r>
        <w:rPr>
          <w:rFonts w:hint="eastAsia" w:ascii="微软雅黑" w:hAnsi="微软雅黑" w:cs="微软雅黑"/>
          <w:bCs/>
          <w:szCs w:val="21"/>
          <w:highlight w:val="none"/>
        </w:rPr>
      </w:r>
      <w:r/>
    </w:p>
    <w:p>
      <w:pPr>
        <w:pStyle w:val="1061"/>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（1）合同到期；</w:t>
      </w:r>
      <w:r>
        <w:rPr>
          <w:rFonts w:hint="eastAsia" w:ascii="微软雅黑" w:hAnsi="微软雅黑" w:cs="微软雅黑"/>
          <w:bCs/>
          <w:szCs w:val="21"/>
          <w:highlight w:val="none"/>
        </w:rPr>
      </w:r>
      <w:r/>
    </w:p>
    <w:p>
      <w:pPr>
        <w:pStyle w:val="1061"/>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（2）合同期内因乙方违约或服务质量差被投诉超过3次，采购人有权单方面终止合同。费用按实际已经发生的工作量结算。</w:t>
      </w:r>
      <w:r>
        <w:rPr>
          <w:rFonts w:hint="eastAsia" w:ascii="微软雅黑" w:hAnsi="微软雅黑" w:cs="微软雅黑"/>
          <w:bCs/>
          <w:szCs w:val="21"/>
          <w:highlight w:val="none"/>
        </w:rPr>
      </w:r>
      <w:r/>
    </w:p>
    <w:p>
      <w:pPr>
        <w:pStyle w:val="1061"/>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6、付款条件</w:t>
      </w:r>
      <w:r>
        <w:rPr>
          <w:rFonts w:hint="eastAsia" w:ascii="微软雅黑" w:hAnsi="微软雅黑" w:cs="微软雅黑"/>
          <w:bCs/>
          <w:szCs w:val="21"/>
          <w:highlight w:val="none"/>
        </w:rPr>
      </w:r>
      <w:r/>
    </w:p>
    <w:p>
      <w:pPr>
        <w:pStyle w:val="1061"/>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按次据实结算，每次租赁服务结束后，甲方对租赁车辆服务进行审核，采购人根据中标人提供的正规发票、行车单等报销材料办理租车费结算手续。</w:t>
      </w:r>
      <w:r>
        <w:rPr>
          <w:rFonts w:hint="eastAsia" w:ascii="微软雅黑" w:hAnsi="微软雅黑" w:cs="微软雅黑"/>
          <w:bCs/>
          <w:szCs w:val="21"/>
          <w:highlight w:val="none"/>
        </w:rPr>
      </w:r>
      <w:r/>
    </w:p>
    <w:p>
      <w:pPr>
        <w:pStyle w:val="1247"/>
        <w:ind w:firstLine="420"/>
        <w:spacing w:line="420" w:lineRule="exact"/>
        <w:rPr>
          <w:rFonts w:hint="eastAsia" w:ascii="微软雅黑" w:hAnsi="微软雅黑" w:cs="微软雅黑"/>
          <w:b/>
          <w:color w:val="000000"/>
          <w:highlight w:val="none"/>
        </w:rPr>
      </w:pPr>
      <w:r>
        <w:rPr>
          <w:rFonts w:hint="eastAsia" w:ascii="微软雅黑" w:hAnsi="微软雅黑" w:cs="微软雅黑"/>
          <w:b/>
          <w:highlight w:val="none"/>
        </w:rPr>
        <w:t xml:space="preserve">7、</w:t>
      </w:r>
      <w:r>
        <w:rPr>
          <w:rFonts w:hint="eastAsia" w:ascii="微软雅黑" w:hAnsi="微软雅黑" w:cs="微软雅黑"/>
          <w:b/>
          <w:color w:val="000000"/>
          <w:highlight w:val="none"/>
        </w:rPr>
        <w:t xml:space="preserve">履约保证金</w:t>
      </w:r>
      <w:r>
        <w:rPr>
          <w:rFonts w:hint="eastAsia" w:ascii="微软雅黑" w:hAnsi="微软雅黑" w:cs="微软雅黑"/>
          <w:b/>
          <w:color w:val="000000"/>
          <w:highlight w:val="none"/>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
          <w:color w:val="000000"/>
          <w:szCs w:val="21"/>
          <w:highlight w:val="none"/>
        </w:rPr>
        <w:t xml:space="preserve">合同签订前，中标供应商应向校方缴纳1万元作为履约保证金。履约保证金可以以支票、汇票、本票或者金融机构、担保机构出具的保函等非现金形式提交，履约保证金的有效期为该项目服务期满时止。服务期满后，中标供应商不存在任何违约行为的，校方方于30日内予</w:t>
      </w:r>
      <w:r>
        <w:rPr>
          <w:rFonts w:hint="eastAsia" w:ascii="微软雅黑" w:hAnsi="微软雅黑" w:cs="微软雅黑"/>
          <w:b/>
          <w:color w:val="000000"/>
          <w:szCs w:val="21"/>
        </w:rPr>
        <w:t xml:space="preserve">以无息返还至中标供应商账户。</w:t>
      </w:r>
      <w:r>
        <w:rPr>
          <w:rFonts w:hint="eastAsia" w:ascii="微软雅黑" w:hAnsi="微软雅黑" w:cs="微软雅黑"/>
          <w:bCs/>
          <w:szCs w:val="21"/>
        </w:rPr>
      </w:r>
      <w:r/>
    </w:p>
    <w:p>
      <w:pPr>
        <w:pStyle w:val="1063"/>
        <w:jc w:val="left"/>
        <w:spacing w:line="420" w:lineRule="exact"/>
        <w:rPr>
          <w:rFonts w:hint="eastAsia" w:ascii="微软雅黑" w:hAnsi="微软雅黑" w:cs="微软雅黑"/>
          <w:color w:val="000000"/>
          <w:sz w:val="24"/>
          <w:szCs w:val="24"/>
        </w:rPr>
      </w:pPr>
      <w:r/>
      <w:bookmarkStart w:id="295" w:name="_Toc26914"/>
      <w:r/>
      <w:bookmarkStart w:id="296" w:name="_Toc1092"/>
      <w:r/>
      <w:bookmarkStart w:id="297" w:name="_Toc32559"/>
      <w:r/>
      <w:bookmarkStart w:id="298" w:name="_Toc208216801"/>
      <w:r>
        <w:rPr>
          <w:rFonts w:hint="eastAsia" w:ascii="微软雅黑" w:hAnsi="微软雅黑" w:cs="微软雅黑"/>
          <w:color w:val="000000"/>
          <w:sz w:val="24"/>
          <w:szCs w:val="24"/>
        </w:rPr>
        <w:t xml:space="preserve">★二、技术要求</w:t>
      </w:r>
      <w:bookmarkEnd w:id="295"/>
      <w:r/>
      <w:bookmarkEnd w:id="296"/>
      <w:r/>
      <w:bookmarkEnd w:id="297"/>
      <w:r/>
      <w:bookmarkEnd w:id="298"/>
      <w:r>
        <w:rPr>
          <w:rFonts w:hint="eastAsia" w:ascii="微软雅黑" w:hAnsi="微软雅黑" w:cs="微软雅黑"/>
          <w:color w:val="000000"/>
          <w:sz w:val="24"/>
          <w:szCs w:val="24"/>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（一）安全保障要求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提供的车辆必须合法合规，保障车辆必须符合国家标准《机动车运行安全技术条件》，取得机动车检验合格证明，并已经在公安机关交通管理部门办理注册登记。所有车辆均来自正式购买或租赁，定期检查车辆健康情况。</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2、供应商提供的车辆必须完全按照国家规定按时年检。</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3、供应商提供的车辆必须按车型保养规定定期保养和维修，保证供给车辆车况良好，近3年均无重大维修记录。</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供应商提供的车辆必须按国家要求按时投保相应的车辆保险种类。除国家规定的必保险种，供应商应额外为提供租赁服务的车辆投保，投保应包括第三者责任险（投保保额不低于100万元），为车上乘客提供每人每座投保保额不低于10万元的保险险种，保证合同签订前提供的车辆保险险种、限额达到上述要求，否则中标供应商承担由此产生的所有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5、车辆和人员有效证件配备齐全，包括驾驶证、行驶证及国家或当地公安机关车辆管理部门要求随车配备的证件等。</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6、其他未涉及事项以国家、地方政府有关文件要求执行。</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7、供应商拟提供租赁服务的车辆为大中小型车（车型要求齐全），其中小型车（车龄为6年以内）、中大型车（车龄为4年以内）。</w:t>
      </w:r>
      <w:r>
        <w:rPr>
          <w:rFonts w:hint="eastAsia" w:ascii="微软雅黑" w:hAnsi="微软雅黑" w:cs="微软雅黑"/>
          <w:color w:val="000000"/>
          <w:szCs w:val="21"/>
        </w:rPr>
        <w:t xml:space="preserve">中标人接到招标人通过电话、信函传真、电子邮件、网上提交等方式提出关于表一所列服务的请求后，在2日内给予响应并提供服务，紧急情况下30分钟内给予响应。</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（二）驾驶员配置要求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1、供应商依法与驾驶人员建立劳动（务）关系。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2、驾驶员必须了解相应车辆技术性能相关标准，并有极强的责任感与工作能力，勤奋负责，热爱本职工作。</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3、严格检查驾驶员的任职资格，严把准入关，加强职业道德教育，定期召开安全生产例会，利用多种形式将知识传授给驾驶人员，杜绝人为事故发生。</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4、驾驶员具有良好的专业素养和丰富的行车经验，提供有效必要证件以供核查，有5年以上驾驶相应车辆驾龄，3年内无重大交通事故，持有公交机关交通管理部门核发的机动车驾驶证，年龄在55岁以下。</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（三）服务要求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1、供应商组织机构完善，企业设有较健全的人事、运营、安全、技术等机构并设专职管理人员，需有专门管理人员按要求负责车辆的组织调度协调。</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2、供应商安全体系建设完善，安全组织机构设置科学合理，相关制度完善。</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3、供应商有科学合理的用户信息反馈与处置机制，对招标人在用车期间提出的合理意见和建议应及时作出整改。</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4、协议期内，成交供应商应及时响应采购人用车需求，不可多次推诿，并提供应急方案和重大活动服务保障承诺。若有推诿情况，达到3次及以上则成交供应商同意无条件解除合同。</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5、协议期内，租用车辆应按照招标人的要求进行使用，驾驶员驾驶车辆时应遵守国家或当地的交通法规，驾驶员应负责租用车辆的合理停放。</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6、协议期内，驾驶员应着装干净整洁，对待乘客热情周到、文明礼貌，保证车辆内外干净卫生无异味等。</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7、协议期内，车辆租赁期间所发生的车辆租赁费由招标人据实支付，其他一切费用(过桥费、过路费、停车费、驾驶员餐费)均由供应商自行承担，招标人不再另行支付。</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8、协议期内，供应商行车必须遵守交通规则。如造成交通事故或乘客损伤，招标人有权向供应商索赔，由供应商承担所有责任。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9、协议期内，供应商及其驾驶员行车载客必须遵守交通规则，对供应商驾驶员的违章违规行为，招标人有权利和义务及时向供应商反映、投诉。如因供应商及其驾驶员不遵守交通规则而造成交通事故或乘客损害的，供应商及其驾驶员除依据法律法规的规定向受害方赔偿损失外，对于给招标人造成的任何损失，供应商应当无条件承担全部赔偿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10、协议期内，甲乙双方均不得要求驾驶员违章驾驶或违章上下客。如因招标人要求驾驶员违章驾驶或违章上下客产生交通事故赔偿责任或者行政处罚责任的，由招标人承担相应责任；如因供应商要求驾驶员违章驾驶或违章上下客产生交通事故赔偿责任或者行政处罚责任的，由供应商承担相应责任。如甲乙双方均有过错，则由双方根据各自的过错承担交通事故赔偿责任和行政处罚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b/>
          <w:color w:val="000000"/>
          <w:szCs w:val="21"/>
        </w:rPr>
      </w:pPr>
      <w:r>
        <w:rPr>
          <w:rFonts w:hint="eastAsia" w:ascii="微软雅黑" w:hAnsi="微软雅黑" w:cs="微软雅黑"/>
          <w:szCs w:val="21"/>
          <w:lang w:val="zh-CN"/>
        </w:rPr>
        <w:t xml:space="preserve">11、遵守招标人关于消杀的制度和要求，配合招标人做好消杀管理工作。</w:t>
      </w:r>
      <w:r>
        <w:rPr>
          <w:rFonts w:hint="eastAsia" w:ascii="微软雅黑" w:hAnsi="微软雅黑" w:cs="微软雅黑"/>
          <w:b/>
          <w:color w:val="000000"/>
          <w:szCs w:val="21"/>
        </w:rPr>
      </w:r>
      <w:r/>
    </w:p>
    <w:p>
      <w:pPr>
        <w:pStyle w:val="1247"/>
        <w:ind w:firstLine="420"/>
        <w:spacing w:line="420" w:lineRule="exact"/>
        <w:rPr>
          <w:rFonts w:hint="eastAsia" w:ascii="微软雅黑" w:hAnsi="微软雅黑" w:cs="微软雅黑"/>
          <w:b/>
        </w:rPr>
      </w:pPr>
      <w:r>
        <w:rPr>
          <w:rFonts w:hint="eastAsia" w:ascii="微软雅黑" w:hAnsi="微软雅黑" w:cs="微软雅黑"/>
          <w:b/>
        </w:rPr>
        <w:t xml:space="preserve">注：</w:t>
      </w:r>
      <w:r>
        <w:rPr>
          <w:rFonts w:hint="eastAsia" w:ascii="微软雅黑" w:hAnsi="微软雅黑" w:cs="微软雅黑"/>
          <w:b/>
        </w:rPr>
      </w:r>
      <w:r/>
    </w:p>
    <w:p>
      <w:pPr>
        <w:pStyle w:val="1247"/>
        <w:ind w:firstLine="420"/>
        <w:spacing w:line="420" w:lineRule="exact"/>
        <w:rPr>
          <w:rFonts w:hint="eastAsia" w:ascii="微软雅黑" w:hAnsi="微软雅黑" w:cs="微软雅黑"/>
          <w:b/>
        </w:rPr>
      </w:pPr>
      <w:r>
        <w:rPr>
          <w:rFonts w:hint="eastAsia" w:ascii="微软雅黑" w:hAnsi="微软雅黑" w:cs="微软雅黑"/>
          <w:b/>
        </w:rPr>
        <w:t xml:space="preserve">（1）供应商需在《商务</w:t>
      </w:r>
      <w:r>
        <w:rPr>
          <w:rFonts w:hint="eastAsia" w:ascii="微软雅黑" w:hAnsi="微软雅黑" w:cs="微软雅黑"/>
          <w:b/>
          <w:lang w:val="en-US"/>
        </w:rPr>
        <w:t xml:space="preserve">要求响应</w:t>
      </w:r>
      <w:r>
        <w:rPr>
          <w:rFonts w:hint="eastAsia" w:ascii="微软雅黑" w:hAnsi="微软雅黑" w:cs="微软雅黑"/>
          <w:b/>
        </w:rPr>
        <w:t xml:space="preserve">表》、《技术</w:t>
      </w:r>
      <w:r>
        <w:rPr>
          <w:rFonts w:hint="eastAsia" w:ascii="微软雅黑" w:hAnsi="微软雅黑" w:cs="微软雅黑"/>
          <w:b/>
          <w:lang w:val="en-US"/>
        </w:rPr>
        <w:t xml:space="preserve">要求响应</w:t>
      </w:r>
      <w:r>
        <w:rPr>
          <w:rFonts w:hint="eastAsia" w:ascii="微软雅黑" w:hAnsi="微软雅黑" w:cs="微软雅黑"/>
          <w:b/>
        </w:rPr>
        <w:t xml:space="preserve">表》中将本章条款逐一列出，并详细标明响应情况。上述条款需要提供承诺书或相关证明材料的，需按照要求提供。</w:t>
      </w:r>
      <w:r>
        <w:rPr>
          <w:rFonts w:hint="eastAsia" w:ascii="微软雅黑" w:hAnsi="微软雅黑" w:cs="微软雅黑"/>
          <w:b/>
        </w:rPr>
      </w:r>
      <w:r/>
    </w:p>
    <w:p>
      <w:pPr>
        <w:pStyle w:val="1247"/>
        <w:ind w:firstLine="420"/>
        <w:spacing w:line="420" w:lineRule="exact"/>
        <w:rPr>
          <w:rFonts w:hint="eastAsia" w:ascii="微软雅黑" w:hAnsi="微软雅黑" w:cs="微软雅黑"/>
          <w:color w:val="000000"/>
        </w:rPr>
      </w:pPr>
      <w:r>
        <w:rPr>
          <w:rFonts w:hint="eastAsia" w:ascii="微软雅黑" w:hAnsi="微软雅黑" w:cs="微软雅黑"/>
          <w:b/>
        </w:rPr>
        <w:t xml:space="preserve">（2）所有货物、服务必须符合国家相关标准和相关行业的规范要求，如有疑问请与采购人联系。</w:t>
      </w:r>
      <w:bookmarkEnd w:id="285"/>
      <w:r/>
      <w:bookmarkEnd w:id="286"/>
      <w:r/>
      <w:bookmarkEnd w:id="287"/>
      <w:r/>
      <w:bookmarkEnd w:id="288"/>
      <w:r/>
      <w:bookmarkStart w:id="299" w:name="_Toc208216802"/>
      <w:r>
        <w:rPr>
          <w:rFonts w:hint="eastAsia" w:ascii="微软雅黑" w:hAnsi="微软雅黑" w:cs="微软雅黑"/>
          <w:color w:val="000000"/>
        </w:rPr>
      </w:r>
      <w:r/>
    </w:p>
    <w:p>
      <w:pPr>
        <w:pStyle w:val="1062"/>
        <w:spacing w:before="0" w:after="0" w:line="420" w:lineRule="exact"/>
        <w:tabs>
          <w:tab w:val="left" w:pos="1440" w:leader="none"/>
          <w:tab w:val="left" w:pos="5670" w:leader="none"/>
        </w:tabs>
        <w:rPr>
          <w:rFonts w:hint="eastAsia" w:ascii="微软雅黑" w:hAnsi="微软雅黑" w:cs="微软雅黑"/>
          <w:color w:val="000000"/>
          <w:lang w:val="zh-CN"/>
        </w:rPr>
      </w:pPr>
      <w:r>
        <w:rPr>
          <w:rFonts w:hint="eastAsia" w:ascii="微软雅黑" w:hAnsi="微软雅黑" w:cs="微软雅黑"/>
          <w:color w:val="000000"/>
          <w:lang w:val="zh-CN"/>
        </w:rPr>
        <w:br w:type="page" w:clear="all"/>
      </w:r>
      <w:bookmarkStart w:id="300" w:name="_Toc30140"/>
      <w:r/>
      <w:bookmarkStart w:id="301" w:name="_Toc1659"/>
      <w:r/>
      <w:bookmarkStart w:id="302" w:name="_Toc19753"/>
      <w:r>
        <w:rPr>
          <w:rFonts w:hint="eastAsia" w:ascii="微软雅黑" w:hAnsi="微软雅黑" w:cs="微软雅黑"/>
          <w:color w:val="000000"/>
          <w:lang w:val="zh-CN"/>
        </w:rPr>
        <w:t xml:space="preserve">第五章</w:t>
      </w:r>
      <w:r>
        <w:rPr>
          <w:rFonts w:hint="eastAsia" w:ascii="微软雅黑" w:hAnsi="微软雅黑" w:cs="微软雅黑"/>
          <w:color w:val="000000"/>
        </w:rPr>
        <w:t xml:space="preserve"> </w:t>
      </w:r>
      <w:r>
        <w:rPr>
          <w:rFonts w:hint="eastAsia" w:ascii="微软雅黑" w:hAnsi="微软雅黑" w:cs="微软雅黑"/>
          <w:color w:val="000000"/>
          <w:lang w:val="zh-CN"/>
        </w:rPr>
        <w:t xml:space="preserve">合同主要条款及格式</w:t>
      </w:r>
      <w:bookmarkEnd w:id="299"/>
      <w:r/>
      <w:bookmarkEnd w:id="300"/>
      <w:r/>
      <w:bookmarkEnd w:id="301"/>
      <w:r/>
      <w:bookmarkEnd w:id="302"/>
      <w:r>
        <w:rPr>
          <w:rFonts w:hint="eastAsia" w:ascii="微软雅黑" w:hAnsi="微软雅黑" w:cs="微软雅黑"/>
          <w:color w:val="000000"/>
          <w:lang w:val="zh-CN"/>
        </w:rPr>
      </w:r>
      <w:r/>
    </w:p>
    <w:p>
      <w:pPr>
        <w:pStyle w:val="1061"/>
        <w:jc w:val="center"/>
        <w:spacing w:line="420" w:lineRule="exact"/>
        <w:rPr>
          <w:rFonts w:hint="eastAsia" w:ascii="微软雅黑" w:hAnsi="微软雅黑" w:cs="微软雅黑"/>
          <w:b/>
          <w:bCs/>
          <w:sz w:val="48"/>
          <w:szCs w:val="48"/>
        </w:rPr>
      </w:pPr>
      <w:r>
        <w:rPr>
          <w:rFonts w:hint="eastAsia" w:ascii="微软雅黑" w:hAnsi="微软雅黑" w:cs="微软雅黑"/>
          <w:b/>
          <w:bCs/>
          <w:sz w:val="48"/>
          <w:szCs w:val="48"/>
        </w:rPr>
      </w:r>
      <w:r/>
    </w:p>
    <w:p>
      <w:pPr>
        <w:pStyle w:val="1061"/>
        <w:jc w:val="center"/>
        <w:spacing w:line="420" w:lineRule="exact"/>
        <w:rPr>
          <w:rFonts w:hint="eastAsia" w:ascii="微软雅黑" w:hAnsi="微软雅黑" w:cs="微软雅黑"/>
          <w:b/>
          <w:color w:val="000000"/>
          <w:sz w:val="24"/>
        </w:rPr>
      </w:pPr>
      <w:r>
        <w:rPr>
          <w:rFonts w:hint="eastAsia" w:ascii="微软雅黑" w:hAnsi="微软雅黑" w:cs="微软雅黑"/>
          <w:b/>
          <w:color w:val="000000"/>
          <w:sz w:val="24"/>
        </w:rPr>
        <w:t xml:space="preserve">南京特殊教育师范学院车辆租赁采购合同</w:t>
      </w:r>
      <w:r>
        <w:rPr>
          <w:rFonts w:hint="eastAsia" w:ascii="微软雅黑" w:hAnsi="微软雅黑" w:cs="微软雅黑"/>
          <w:b/>
          <w:color w:val="000000"/>
          <w:sz w:val="24"/>
        </w:rPr>
      </w:r>
      <w:r/>
    </w:p>
    <w:p>
      <w:pPr>
        <w:pStyle w:val="1061"/>
        <w:jc w:val="left"/>
        <w:spacing w:line="420" w:lineRule="exact"/>
        <w:rPr>
          <w:rFonts w:hint="eastAsia" w:ascii="微软雅黑" w:hAnsi="微软雅黑" w:cs="微软雅黑"/>
          <w:color w:val="000000"/>
          <w:u w:val="single"/>
        </w:rPr>
      </w:pPr>
      <w:r>
        <w:rPr>
          <w:rFonts w:hint="eastAsia" w:ascii="微软雅黑" w:hAnsi="微软雅黑" w:cs="微软雅黑"/>
          <w:b/>
          <w:color w:val="000000"/>
        </w:rPr>
        <w:t xml:space="preserve">甲方（采购人）</w:t>
      </w:r>
      <w:r>
        <w:rPr>
          <w:rFonts w:hint="eastAsia" w:ascii="微软雅黑" w:hAnsi="微软雅黑" w:cs="微软雅黑"/>
          <w:color w:val="000000"/>
        </w:rPr>
        <w:t xml:space="preserve">：</w:t>
      </w:r>
      <w:r>
        <w:rPr>
          <w:rFonts w:hint="eastAsia" w:ascii="微软雅黑" w:hAnsi="微软雅黑" w:cs="微软雅黑"/>
          <w:color w:val="000000"/>
          <w:u w:val="single"/>
        </w:rPr>
        <w:t xml:space="preserve">南京特殊教育师范学院   </w:t>
      </w:r>
      <w:r>
        <w:rPr>
          <w:rFonts w:hint="eastAsia" w:ascii="微软雅黑" w:hAnsi="微软雅黑" w:cs="微软雅黑"/>
          <w:color w:val="000000"/>
          <w:u w:val="single"/>
        </w:rPr>
      </w:r>
      <w:r/>
    </w:p>
    <w:p>
      <w:pPr>
        <w:pStyle w:val="1061"/>
        <w:jc w:val="left"/>
        <w:spacing w:line="420" w:lineRule="exact"/>
        <w:rPr>
          <w:rFonts w:hint="eastAsia" w:ascii="微软雅黑" w:hAnsi="微软雅黑" w:cs="微软雅黑"/>
          <w:color w:val="000000"/>
          <w:u w:val="single"/>
        </w:rPr>
      </w:pPr>
      <w:r>
        <w:rPr>
          <w:rFonts w:hint="eastAsia" w:ascii="微软雅黑" w:hAnsi="微软雅黑" w:cs="微软雅黑"/>
          <w:b/>
          <w:color w:val="000000"/>
        </w:rPr>
        <w:t xml:space="preserve">乙方（供应商）</w:t>
      </w:r>
      <w:r>
        <w:rPr>
          <w:rFonts w:hint="eastAsia" w:ascii="微软雅黑" w:hAnsi="微软雅黑" w:cs="微软雅黑"/>
          <w:color w:val="000000"/>
        </w:rPr>
        <w:t xml:space="preserve">：</w:t>
      </w:r>
      <w:r>
        <w:rPr>
          <w:rFonts w:hint="eastAsia" w:ascii="微软雅黑" w:hAnsi="微软雅黑" w:cs="微软雅黑"/>
          <w:color w:val="000000"/>
          <w:u w:val="single"/>
        </w:rPr>
        <w:t xml:space="preserve">                    </w:t>
      </w:r>
      <w:r>
        <w:rPr>
          <w:rFonts w:hint="eastAsia" w:ascii="微软雅黑" w:hAnsi="微软雅黑" w:cs="微软雅黑"/>
          <w:b/>
          <w:color w:val="000000"/>
          <w:u w:val="single"/>
        </w:rPr>
        <w:t xml:space="preserve">  </w:t>
      </w:r>
      <w:r>
        <w:rPr>
          <w:rFonts w:hint="eastAsia" w:ascii="微软雅黑" w:hAnsi="微软雅黑" w:cs="微软雅黑"/>
          <w:color w:val="000000"/>
          <w:u w:val="single"/>
        </w:rPr>
        <w:t xml:space="preserve">  </w:t>
      </w:r>
      <w:r>
        <w:rPr>
          <w:rFonts w:hint="eastAsia" w:ascii="微软雅黑" w:hAnsi="微软雅黑" w:cs="微软雅黑"/>
          <w:color w:val="000000"/>
          <w:u w:val="single"/>
        </w:rPr>
      </w:r>
      <w:r/>
    </w:p>
    <w:p>
      <w:pPr>
        <w:pStyle w:val="1061"/>
        <w:jc w:val="left"/>
        <w:spacing w:line="420" w:lineRule="exact"/>
        <w:rPr>
          <w:rFonts w:hint="eastAsia" w:ascii="微软雅黑" w:hAnsi="微软雅黑" w:cs="微软雅黑"/>
          <w:color w:val="000000"/>
          <w:u w:val="single"/>
        </w:rPr>
      </w:pPr>
      <w:r>
        <w:rPr>
          <w:rFonts w:hint="eastAsia" w:ascii="微软雅黑" w:hAnsi="微软雅黑" w:cs="微软雅黑"/>
          <w:b/>
          <w:color w:val="000000"/>
        </w:rPr>
        <w:t xml:space="preserve">项目编号</w:t>
      </w:r>
      <w:r>
        <w:rPr>
          <w:rFonts w:hint="eastAsia" w:ascii="微软雅黑" w:hAnsi="微软雅黑" w:cs="微软雅黑"/>
          <w:color w:val="000000"/>
        </w:rPr>
        <w:t xml:space="preserve">：</w:t>
      </w:r>
      <w:r>
        <w:rPr>
          <w:rFonts w:hint="eastAsia" w:ascii="微软雅黑" w:hAnsi="微软雅黑" w:cs="微软雅黑"/>
          <w:color w:val="000000"/>
          <w:u w:val="single"/>
        </w:rPr>
        <w:t xml:space="preserve">                              </w:t>
      </w:r>
      <w:r>
        <w:rPr>
          <w:rFonts w:hint="eastAsia" w:ascii="微软雅黑" w:hAnsi="微软雅黑" w:cs="微软雅黑"/>
          <w:color w:val="000000"/>
          <w:u w:val="single"/>
        </w:rPr>
      </w:r>
      <w:r/>
    </w:p>
    <w:p>
      <w:pPr>
        <w:pStyle w:val="1061"/>
        <w:jc w:val="left"/>
        <w:spacing w:line="420" w:lineRule="exact"/>
        <w:rPr>
          <w:rFonts w:hint="eastAsia" w:ascii="微软雅黑" w:hAnsi="微软雅黑" w:cs="微软雅黑"/>
          <w:b/>
          <w:color w:val="000000"/>
        </w:rPr>
      </w:pPr>
      <w:r>
        <w:rPr>
          <w:rFonts w:hint="eastAsia" w:ascii="微软雅黑" w:hAnsi="微软雅黑" w:cs="微软雅黑"/>
          <w:b/>
          <w:color w:val="000000"/>
        </w:rPr>
        <w:t xml:space="preserve">合同编号：</w:t>
      </w:r>
      <w:r>
        <w:rPr>
          <w:rFonts w:hint="eastAsia" w:ascii="微软雅黑" w:hAnsi="微软雅黑" w:cs="微软雅黑"/>
          <w:b/>
          <w:color w:val="000000"/>
          <w:u w:val="single"/>
        </w:rPr>
        <w:t xml:space="preserve">                     </w:t>
      </w:r>
      <w:r>
        <w:rPr>
          <w:rFonts w:hint="eastAsia" w:ascii="微软雅黑" w:hAnsi="微软雅黑" w:cs="微软雅黑"/>
          <w:b/>
          <w:color w:val="000000"/>
        </w:rPr>
      </w:r>
      <w:r/>
    </w:p>
    <w:p>
      <w:pPr>
        <w:pStyle w:val="1061"/>
        <w:jc w:val="left"/>
        <w:spacing w:line="420" w:lineRule="exact"/>
        <w:rPr>
          <w:rFonts w:hint="eastAsia" w:ascii="微软雅黑" w:hAnsi="微软雅黑" w:cs="微软雅黑"/>
          <w:b/>
          <w:iCs/>
          <w:color w:val="000000"/>
          <w:u w:val="single"/>
        </w:rPr>
      </w:pPr>
      <w:r>
        <w:rPr>
          <w:rFonts w:hint="eastAsia" w:ascii="微软雅黑" w:hAnsi="微软雅黑" w:cs="微软雅黑"/>
          <w:b/>
          <w:iCs/>
          <w:color w:val="000000"/>
        </w:rPr>
        <w:t xml:space="preserve">签订时间：</w:t>
      </w:r>
      <w:r>
        <w:rPr>
          <w:rFonts w:hint="eastAsia" w:ascii="微软雅黑" w:hAnsi="微软雅黑" w:cs="微软雅黑"/>
          <w:iCs/>
          <w:color w:val="000000"/>
          <w:u w:val="single"/>
        </w:rPr>
        <w:t xml:space="preserve">               </w:t>
      </w:r>
      <w:r>
        <w:rPr>
          <w:rFonts w:hint="eastAsia" w:ascii="微软雅黑" w:hAnsi="微软雅黑" w:cs="微软雅黑"/>
          <w:b/>
          <w:iCs/>
          <w:color w:val="000000"/>
          <w:u w:val="single"/>
        </w:rPr>
      </w:r>
      <w:r/>
    </w:p>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根据《中华人民共和国民法典》、《中华人民共和国政府采购法》等法律、法规规定，</w:t>
      </w:r>
      <w:r>
        <w:rPr>
          <w:rFonts w:hint="eastAsia" w:ascii="微软雅黑" w:hAnsi="微软雅黑" w:cs="微软雅黑"/>
          <w:color w:val="000000"/>
          <w:highlight w:val="none"/>
        </w:rPr>
        <w:t xml:space="preserve">按照</w:t>
      </w:r>
      <w:r>
        <w:rPr>
          <w:rFonts w:hint="eastAsia" w:ascii="微软雅黑" w:hAnsi="微软雅黑" w:cs="微软雅黑"/>
          <w:color w:val="000000"/>
          <w:highlight w:val="none"/>
          <w:u w:val="single"/>
        </w:rPr>
        <w:t xml:space="preserve">南京特殊教育师范学院2026-2028年车辆租赁项目（项目编号：</w:t>
      </w:r>
      <w:r>
        <w:rPr>
          <w:rFonts w:hint="eastAsia" w:ascii="微软雅黑" w:hAnsi="微软雅黑" w:cs="微软雅黑"/>
          <w:szCs w:val="21"/>
          <w:highlight w:val="none"/>
          <w:u w:val="single"/>
          <w:lang w:eastAsia="zh-CN"/>
        </w:rPr>
        <w:t xml:space="preserve">JSZC-320000-JSHC-G2026-0021</w:t>
      </w:r>
      <w:r>
        <w:rPr>
          <w:rFonts w:hint="eastAsia" w:ascii="微软雅黑" w:hAnsi="微软雅黑" w:cs="微软雅黑"/>
          <w:szCs w:val="21"/>
          <w:highlight w:val="none"/>
          <w:u w:val="single"/>
        </w:rPr>
        <w:t xml:space="preserve">，代理</w:t>
      </w:r>
      <w:r>
        <w:rPr>
          <w:rFonts w:hint="eastAsia" w:ascii="微软雅黑" w:hAnsi="微软雅黑" w:cs="微软雅黑"/>
          <w:szCs w:val="21"/>
          <w:u w:val="single"/>
        </w:rPr>
        <w:t xml:space="preserve">机构内部编号：JSHC-2026050315B1</w:t>
      </w:r>
      <w:r>
        <w:rPr>
          <w:rFonts w:hint="eastAsia" w:ascii="微软雅黑" w:hAnsi="微软雅黑" w:cs="微软雅黑"/>
          <w:color w:val="000000"/>
          <w:u w:val="single"/>
        </w:rPr>
        <w:t xml:space="preserve">） </w:t>
      </w:r>
      <w:r>
        <w:rPr>
          <w:rFonts w:hint="eastAsia" w:ascii="微软雅黑" w:hAnsi="微软雅黑" w:cs="微软雅黑"/>
          <w:color w:val="000000"/>
        </w:rPr>
        <w:t xml:space="preserve">采购文件、投标（响应）文件规定条款和中标（成交）供应商承诺，甲方向乙方购置相关服务，双方同意以下内容（包括合同表一、附件）。</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b/>
          <w:color w:val="000000"/>
        </w:rPr>
      </w:pPr>
      <w:r>
        <w:rPr>
          <w:rFonts w:hint="eastAsia" w:ascii="微软雅黑" w:hAnsi="微软雅黑" w:cs="微软雅黑"/>
          <w:b/>
          <w:color w:val="000000"/>
        </w:rPr>
        <w:t xml:space="preserve">第一条　服务内容</w:t>
      </w:r>
      <w:r>
        <w:rPr>
          <w:rFonts w:hint="eastAsia" w:ascii="微软雅黑" w:hAnsi="微软雅黑" w:cs="微软雅黑"/>
          <w:b/>
          <w:color w:val="000000"/>
        </w:rPr>
      </w:r>
      <w:r/>
    </w:p>
    <w:p>
      <w:pPr>
        <w:pStyle w:val="1061"/>
        <w:ind w:firstLine="480"/>
        <w:spacing w:line="420" w:lineRule="exact"/>
        <w:rPr>
          <w:rFonts w:hint="eastAsia" w:ascii="微软雅黑" w:hAnsi="微软雅黑" w:cs="微软雅黑"/>
          <w:b/>
          <w:color w:val="000000"/>
          <w:szCs w:val="21"/>
        </w:rPr>
      </w:pPr>
      <w:r>
        <w:rPr>
          <w:rFonts w:hint="eastAsia" w:ascii="微软雅黑" w:hAnsi="微软雅黑" w:cs="微软雅黑"/>
          <w:color w:val="000000"/>
          <w:szCs w:val="21"/>
        </w:rPr>
        <w:t xml:space="preserve">1.乙方所提供的服务必须与采购文件和承诺相一致。</w:t>
      </w:r>
      <w:r>
        <w:rPr>
          <w:rFonts w:hint="eastAsia" w:ascii="微软雅黑" w:hAnsi="微软雅黑" w:cs="微软雅黑"/>
          <w:b/>
          <w:color w:val="000000"/>
          <w:szCs w:val="21"/>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3.乙方的服务承诺：</w:t>
      </w:r>
      <w:r>
        <w:rPr>
          <w:rFonts w:hint="eastAsia" w:ascii="微软雅黑" w:hAnsi="微软雅黑" w:cs="微软雅黑"/>
          <w:color w:val="000000"/>
        </w:rPr>
      </w:r>
      <w:r/>
    </w:p>
    <w:p>
      <w:pPr>
        <w:pStyle w:val="1061"/>
        <w:ind w:firstLine="240"/>
        <w:spacing w:line="420" w:lineRule="exact"/>
        <w:rPr>
          <w:rFonts w:hint="eastAsia" w:ascii="微软雅黑" w:hAnsi="微软雅黑" w:cs="微软雅黑"/>
          <w:color w:val="000000"/>
        </w:rPr>
      </w:pPr>
      <w:r>
        <w:rPr>
          <w:rFonts w:hint="eastAsia" w:ascii="微软雅黑" w:hAnsi="微软雅黑" w:cs="微软雅黑"/>
          <w:color w:val="000000"/>
        </w:rPr>
        <w:t xml:space="preserve">乙方接到甲方通过电话、信函传真、电子邮件、网上提交等方式提出关于表一所列服务的请求后，在2日内给予响应并提供服务，紧急情况下30分钟内给予响应。</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b/>
          <w:color w:val="000000"/>
        </w:rPr>
        <w:t xml:space="preserve">第二条　服务费及支付方式</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1.服务费按照乙方中标的</w:t>
      </w:r>
      <w:r>
        <w:rPr>
          <w:rFonts w:hint="eastAsia" w:ascii="微软雅黑" w:hAnsi="微软雅黑" w:cs="微软雅黑"/>
          <w:color w:val="000000"/>
          <w:szCs w:val="21"/>
        </w:rPr>
        <w:t xml:space="preserve">租赁服务费标准</w:t>
      </w:r>
      <w:r>
        <w:rPr>
          <w:rFonts w:hint="eastAsia" w:ascii="微软雅黑" w:hAnsi="微软雅黑" w:cs="微软雅黑"/>
          <w:color w:val="000000"/>
        </w:rPr>
        <w:t xml:space="preserve">（附件3），以</w:t>
      </w:r>
      <w:r>
        <w:rPr>
          <w:rFonts w:hint="eastAsia" w:ascii="微软雅黑" w:hAnsi="微软雅黑" w:cs="微软雅黑"/>
          <w:color w:val="000000"/>
          <w:szCs w:val="21"/>
        </w:rPr>
        <w:t xml:space="preserve">实际</w:t>
      </w:r>
      <w:r>
        <w:rPr>
          <w:rFonts w:hint="eastAsia" w:ascii="微软雅黑" w:hAnsi="微软雅黑" w:cs="微软雅黑"/>
          <w:color w:val="000000"/>
        </w:rPr>
        <w:t xml:space="preserve">使</w:t>
      </w:r>
      <w:r>
        <w:rPr>
          <w:rFonts w:hint="eastAsia" w:ascii="微软雅黑" w:hAnsi="微软雅黑" w:cs="微软雅黑"/>
          <w:color w:val="000000"/>
          <w:szCs w:val="21"/>
        </w:rPr>
        <w:t xml:space="preserve">用车辆</w:t>
      </w:r>
      <w:r>
        <w:rPr>
          <w:rFonts w:hint="eastAsia" w:ascii="微软雅黑" w:hAnsi="微软雅黑" w:cs="微软雅黑"/>
          <w:color w:val="000000"/>
        </w:rPr>
        <w:t xml:space="preserve">类型和数量</w:t>
      </w:r>
      <w:r>
        <w:rPr>
          <w:rFonts w:hint="eastAsia" w:ascii="微软雅黑" w:hAnsi="微软雅黑" w:cs="微软雅黑"/>
          <w:color w:val="000000"/>
          <w:szCs w:val="21"/>
        </w:rPr>
        <w:t xml:space="preserve">核算</w:t>
      </w:r>
      <w:r>
        <w:rPr>
          <w:rFonts w:hint="eastAsia" w:ascii="微软雅黑" w:hAnsi="微软雅黑" w:cs="微软雅黑"/>
          <w:color w:val="000000"/>
        </w:rPr>
        <w:t xml:space="preserve">。</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2.协议期内，车辆租赁期间所发生的一切费用</w:t>
      </w:r>
      <w:r>
        <w:rPr>
          <w:rFonts w:hint="eastAsia" w:ascii="微软雅黑" w:hAnsi="微软雅黑" w:cs="微软雅黑"/>
          <w:szCs w:val="21"/>
          <w:lang w:val="zh-CN"/>
        </w:rPr>
        <w:t xml:space="preserve">(过桥费、过路费、停车费、驾驶员餐费)</w:t>
      </w:r>
      <w:r>
        <w:rPr>
          <w:rFonts w:hint="eastAsia" w:ascii="微软雅黑" w:hAnsi="微软雅黑" w:cs="微软雅黑"/>
          <w:color w:val="000000"/>
        </w:rPr>
        <w:t xml:space="preserve">均由乙方自行承担，甲方不再另行支付。本合同执行中相关的一切税费均由乙方负担。</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3.甲乙双方一致同意项目服务费按阶段以人民币形式支付。</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4.具体的付款方式：</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4.1付款方式</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按次据实结算，每次租赁服务结束后，甲方对租赁车辆服务进行审核，采购人根据成交供应商提供的正规发票、行车单等报销材料办理租车费结算手续。</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4.2付款依据</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t xml:space="preserve">合同、增值税专用发票、行车单其他合同约定的付款条件。</w:t>
      </w:r>
      <w:r>
        <w:rPr>
          <w:rFonts w:hint="eastAsia" w:ascii="微软雅黑" w:hAnsi="微软雅黑" w:cs="微软雅黑"/>
        </w:rPr>
      </w:r>
      <w:r/>
    </w:p>
    <w:p>
      <w:pPr>
        <w:pStyle w:val="1061"/>
        <w:ind w:left="-61" w:firstLine="514"/>
        <w:spacing w:line="420" w:lineRule="exact"/>
        <w:rPr>
          <w:rFonts w:hint="eastAsia" w:ascii="微软雅黑" w:hAnsi="微软雅黑" w:cs="微软雅黑"/>
          <w:color w:val="000000"/>
        </w:rPr>
      </w:pPr>
      <w:r>
        <w:rPr>
          <w:rFonts w:hint="eastAsia" w:ascii="微软雅黑" w:hAnsi="微软雅黑" w:cs="微软雅黑"/>
          <w:color w:val="000000"/>
        </w:rPr>
        <w:t xml:space="preserve">5.有关发票方面的任何问题，甲方应在收到发票后及时书面通知乙方，乙方应及时作出解释或解决问题，以使甲方能按时付款。</w:t>
      </w:r>
      <w:r>
        <w:rPr>
          <w:rFonts w:hint="eastAsia" w:ascii="微软雅黑" w:hAnsi="微软雅黑" w:cs="微软雅黑"/>
          <w:color w:val="000000"/>
        </w:rPr>
      </w:r>
      <w:r/>
    </w:p>
    <w:p>
      <w:pPr>
        <w:pStyle w:val="1061"/>
        <w:ind w:left="-61" w:firstLine="514"/>
        <w:spacing w:line="420" w:lineRule="exact"/>
        <w:rPr>
          <w:rFonts w:hint="eastAsia" w:ascii="微软雅黑" w:hAnsi="微软雅黑" w:cs="微软雅黑"/>
          <w:color w:val="000000"/>
        </w:rPr>
      </w:pPr>
      <w:r>
        <w:rPr>
          <w:rFonts w:hint="eastAsia" w:ascii="微软雅黑" w:hAnsi="微软雅黑" w:cs="微软雅黑"/>
          <w:color w:val="000000"/>
        </w:rPr>
        <w:t xml:space="preserve">6.乙方将自行承担项目实施范围内合理的差旅费用。</w:t>
      </w:r>
      <w:r>
        <w:rPr>
          <w:rFonts w:hint="eastAsia" w:ascii="微软雅黑" w:hAnsi="微软雅黑" w:cs="微软雅黑"/>
          <w:color w:val="000000"/>
        </w:rPr>
      </w:r>
      <w:r/>
    </w:p>
    <w:p>
      <w:pPr>
        <w:pStyle w:val="1061"/>
        <w:ind w:left="-61" w:firstLine="514"/>
        <w:spacing w:line="420" w:lineRule="exact"/>
        <w:rPr>
          <w:rFonts w:hint="eastAsia" w:ascii="微软雅黑" w:hAnsi="微软雅黑" w:cs="微软雅黑"/>
          <w:color w:val="000000"/>
        </w:rPr>
      </w:pPr>
      <w:r>
        <w:rPr>
          <w:rFonts w:hint="eastAsia" w:ascii="微软雅黑" w:hAnsi="微软雅黑" w:cs="微软雅黑"/>
          <w:color w:val="000000"/>
        </w:rPr>
        <w:t xml:space="preserve">7.乙方同意免除项目杂费。</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第三条  技术资料</w:t>
      </w:r>
      <w:r>
        <w:rPr>
          <w:rFonts w:hint="eastAsia" w:ascii="微软雅黑" w:hAnsi="微软雅黑" w:cs="微软雅黑"/>
          <w:b/>
          <w:color w:val="000000"/>
        </w:rPr>
      </w:r>
      <w:r/>
    </w:p>
    <w:p>
      <w:pPr>
        <w:pStyle w:val="1061"/>
        <w:ind w:left="-61" w:firstLine="588"/>
        <w:spacing w:line="420" w:lineRule="exact"/>
        <w:rPr>
          <w:rFonts w:hint="eastAsia" w:ascii="微软雅黑" w:hAnsi="微软雅黑" w:cs="微软雅黑"/>
          <w:color w:val="000000"/>
        </w:rPr>
      </w:pPr>
      <w:r>
        <w:rPr>
          <w:rFonts w:hint="eastAsia" w:ascii="微软雅黑" w:hAnsi="微软雅黑" w:cs="微软雅黑"/>
          <w:color w:val="000000"/>
        </w:rPr>
        <w:t xml:space="preserve">1.乙方应按采购文件规定的时间向甲方提供有关技术资料。</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color w:val="000000"/>
        </w:rPr>
      </w:pPr>
      <w:r>
        <w:rPr>
          <w:rFonts w:hint="eastAsia" w:ascii="微软雅黑" w:hAnsi="微软雅黑" w:cs="微软雅黑"/>
          <w:color w:val="000000"/>
        </w:rPr>
        <w:t xml:space="preserve">2.没有甲方事先书面同意，乙方不得将由甲方提供的有关合同或任何合同条文、规格、计划、图纸、样品或资料提供给与履行本合同无关的任何其他人。接触本合同的任何人员，均应注意保密。</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第四条  知识产权</w:t>
      </w:r>
      <w:r>
        <w:rPr>
          <w:rFonts w:hint="eastAsia" w:ascii="微软雅黑" w:hAnsi="微软雅黑" w:cs="微软雅黑"/>
          <w:b/>
          <w:color w:val="000000"/>
        </w:rPr>
      </w:r>
      <w:r/>
    </w:p>
    <w:p>
      <w:pPr>
        <w:pStyle w:val="1061"/>
        <w:ind w:left="-61" w:firstLine="588"/>
        <w:spacing w:line="420" w:lineRule="exact"/>
        <w:rPr>
          <w:rFonts w:hint="eastAsia" w:ascii="微软雅黑" w:hAnsi="微软雅黑" w:cs="微软雅黑"/>
          <w:color w:val="000000"/>
        </w:rPr>
      </w:pPr>
      <w:r>
        <w:rPr>
          <w:rFonts w:hint="eastAsia" w:ascii="微软雅黑" w:hAnsi="微软雅黑" w:cs="微软雅黑"/>
          <w:color w:val="000000"/>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第五条  产权担保</w:t>
      </w:r>
      <w:r>
        <w:rPr>
          <w:rFonts w:hint="eastAsia" w:ascii="微软雅黑" w:hAnsi="微软雅黑" w:cs="微软雅黑"/>
          <w:b/>
          <w:color w:val="000000"/>
        </w:rPr>
      </w:r>
      <w:r/>
    </w:p>
    <w:p>
      <w:pPr>
        <w:pStyle w:val="1061"/>
        <w:ind w:firstLine="315"/>
        <w:spacing w:line="420" w:lineRule="exact"/>
        <w:rPr>
          <w:rFonts w:hint="eastAsia" w:ascii="微软雅黑" w:hAnsi="微软雅黑" w:cs="微软雅黑"/>
        </w:rPr>
      </w:pPr>
      <w:r>
        <w:rPr>
          <w:rFonts w:hint="eastAsia" w:ascii="微软雅黑" w:hAnsi="微软雅黑" w:cs="微软雅黑"/>
        </w:rPr>
        <w:t xml:space="preserve">乙方保证所交付标的无任何抵押、查封等产权瑕疵。</w:t>
      </w:r>
      <w:r>
        <w:rPr>
          <w:rFonts w:hint="eastAsia" w:ascii="微软雅黑" w:hAnsi="微软雅黑" w:cs="微软雅黑"/>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第六条　履约保证金 </w:t>
      </w:r>
      <w:r>
        <w:rPr>
          <w:rFonts w:hint="eastAsia" w:ascii="微软雅黑" w:hAnsi="微软雅黑" w:cs="微软雅黑"/>
          <w:b/>
          <w:color w:val="000000"/>
        </w:rPr>
      </w:r>
      <w:r/>
    </w:p>
    <w:p>
      <w:pPr>
        <w:pStyle w:val="1061"/>
        <w:ind w:left="-61" w:firstLine="588"/>
        <w:spacing w:line="420" w:lineRule="exact"/>
        <w:rPr>
          <w:rFonts w:hint="eastAsia" w:ascii="微软雅黑" w:hAnsi="微软雅黑" w:cs="微软雅黑"/>
          <w:bCs/>
          <w:color w:val="000000"/>
        </w:rPr>
      </w:pPr>
      <w:r>
        <w:rPr>
          <w:rFonts w:hint="eastAsia" w:ascii="微软雅黑" w:hAnsi="微软雅黑" w:cs="微软雅黑"/>
          <w:bCs/>
          <w:color w:val="000000"/>
        </w:rPr>
        <w:t xml:space="preserve">履约保证金用以约束乙方在合同履行中的行为，弥补合同执行中由于自身行为可能给甲方带来的各种损失。因乙方原因导致合同未能正常履行的，甲方将扣除成交人的全部履约保证</w:t>
      </w:r>
      <w:r>
        <w:rPr>
          <w:rFonts w:hint="eastAsia" w:ascii="微软雅黑" w:hAnsi="微软雅黑" w:cs="微软雅黑"/>
          <w:bCs/>
          <w:color w:val="000000"/>
          <w:highlight w:val="none"/>
        </w:rPr>
        <w:t xml:space="preserve">金。合同签订前，乙方应向甲方缴纳1万元作为履约保证金。履约保证金可以以支票、汇票、</w:t>
      </w:r>
      <w:r>
        <w:rPr>
          <w:rFonts w:hint="eastAsia" w:ascii="微软雅黑" w:hAnsi="微软雅黑" w:cs="微软雅黑"/>
          <w:bCs/>
          <w:color w:val="000000"/>
        </w:rPr>
        <w:t xml:space="preserve">本票或者金融机构、担保机构出具的保函等非现金形式提交，履约保证金的有效期为该项目服务期满时止。服务期满后，乙方不存在任何违约行为的，甲方于30日内予以无息返还至乙方账户。</w:t>
      </w:r>
      <w:r>
        <w:rPr>
          <w:rFonts w:hint="eastAsia" w:ascii="微软雅黑" w:hAnsi="微软雅黑" w:cs="微软雅黑"/>
          <w:bCs/>
          <w:color w:val="000000"/>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第七条  服务期</w:t>
      </w:r>
      <w:r>
        <w:rPr>
          <w:rFonts w:hint="eastAsia" w:ascii="微软雅黑" w:hAnsi="微软雅黑" w:cs="微软雅黑"/>
          <w:b/>
          <w:color w:val="000000"/>
        </w:rPr>
      </w:r>
      <w:r/>
    </w:p>
    <w:p>
      <w:pPr>
        <w:pStyle w:val="1061"/>
        <w:ind w:left="-61" w:firstLine="588"/>
        <w:spacing w:line="420" w:lineRule="exact"/>
        <w:rPr>
          <w:rFonts w:hint="eastAsia" w:ascii="微软雅黑" w:hAnsi="微软雅黑" w:cs="微软雅黑"/>
          <w:color w:val="000000"/>
        </w:rPr>
      </w:pPr>
      <w:r>
        <w:rPr>
          <w:rFonts w:hint="eastAsia" w:ascii="微软雅黑" w:hAnsi="微软雅黑" w:cs="微软雅黑"/>
          <w:color w:val="000000"/>
        </w:rPr>
        <w:t xml:space="preserve">服务期【】年，从     年    月   日至     年  月    日止。</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b/>
          <w:color w:val="000000"/>
        </w:rPr>
      </w:pPr>
      <w:r>
        <w:rPr>
          <w:rFonts w:hint="eastAsia" w:ascii="微软雅黑" w:hAnsi="微软雅黑" w:cs="微软雅黑"/>
          <w:b/>
          <w:color w:val="000000"/>
        </w:rPr>
        <w:t xml:space="preserve">第八条 双方责任</w:t>
      </w:r>
      <w:r>
        <w:rPr>
          <w:rFonts w:hint="eastAsia" w:ascii="微软雅黑" w:hAnsi="微软雅黑" w:cs="微软雅黑"/>
          <w:b/>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1.协议期内，乙方行车必须遵守交通规则。如造成交通事故或乘客损伤，甲方有权向乙方索赔，由乙方承担所有责任。</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2.协议期内，乙方及其驾驶员行车载客必须遵守交通规则，对乙方驾驶员的违章违规行为，甲方有权利和义务及时向乙方反映、投诉。如因乙方及其驾驶员不遵守交通规则而造成交通事故或乘客损害的，乙方及其驾驶员除依据法律法规的规定向受害方赔偿损失外，对于给甲方造成的任何损失，乙方应当无条件承担全部赔偿责任。</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3.协议期内，甲乙双方均不得要求驾驶员违章驾驶或违章上下客。如因甲方要求驾驶员违章驾驶或违章上下客产生交通事故赔偿责任或者行政处罚责任的，由甲方承担相应责任；如因乙方要求驾驶员违章驾驶或违章上下客产生交通事故赔偿责任或者行政处罚责任的，由乙方承担相应责任。如甲乙双方均有过错，则由双方根据各自的过错承担交通事故赔偿责任和行政处罚责任。</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4.遵守甲方关于防疫的制度和要求，配合甲方做好防疫管理工作。</w:t>
      </w:r>
      <w:r>
        <w:rPr>
          <w:rFonts w:hint="eastAsia" w:ascii="微软雅黑" w:hAnsi="微软雅黑" w:cs="微软雅黑"/>
          <w:color w:val="000000"/>
        </w:rPr>
      </w:r>
      <w:r/>
    </w:p>
    <w:p>
      <w:pPr>
        <w:pStyle w:val="1061"/>
        <w:ind w:left="-61" w:firstLine="588"/>
        <w:spacing w:line="420" w:lineRule="exact"/>
        <w:rPr>
          <w:rFonts w:hint="eastAsia" w:ascii="微软雅黑" w:hAnsi="微软雅黑" w:cs="微软雅黑"/>
          <w:b/>
          <w:color w:val="000000"/>
          <w:u w:val="single"/>
        </w:rPr>
      </w:pPr>
      <w:r>
        <w:rPr>
          <w:rFonts w:hint="eastAsia" w:ascii="微软雅黑" w:hAnsi="微软雅黑" w:cs="微软雅黑"/>
          <w:b/>
          <w:color w:val="000000"/>
          <w:u w:val="single"/>
        </w:rPr>
        <w:t xml:space="preserve">第九条 验收标准</w:t>
      </w:r>
      <w:r>
        <w:rPr>
          <w:rFonts w:hint="eastAsia" w:ascii="微软雅黑" w:hAnsi="微软雅黑" w:cs="微软雅黑"/>
          <w:b/>
          <w:color w:val="000000"/>
          <w:u w:val="single"/>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1．根据国家有关规定、甲方采购文件的要求、乙方的投标文件的承诺以及合同约定的内容和验收标准进行验收。</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b/>
          <w:color w:val="000000"/>
        </w:rPr>
      </w:pPr>
      <w:r>
        <w:rPr>
          <w:rFonts w:hint="eastAsia" w:ascii="微软雅黑" w:hAnsi="微软雅黑" w:cs="微软雅黑"/>
          <w:b/>
          <w:color w:val="000000"/>
        </w:rPr>
        <w:t xml:space="preserve">第十条　合同的变更、终止与转让</w:t>
      </w:r>
      <w:r>
        <w:rPr>
          <w:rFonts w:hint="eastAsia" w:ascii="微软雅黑" w:hAnsi="微软雅黑" w:cs="微软雅黑"/>
          <w:b/>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1.按照《中华人民共和国政府采购法》第50条规定，本合同一经签订，甲乙双方不得擅自变更、中止或终止。</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2.乙方不得擅自转让其应履行的合同义务。</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3.双方除非事先得到对方的书面同意或本合同另有约定，任何一方不得将本合同项下的任何权利、义务、责任转让给任何第三方。</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4.乙方逾期未完成约定义务超过日，甲方有权单方解除本合同。</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5.乙方履行本合同约定义务时，未达到甲方要求，修改或整改超过次，仍然无法达到甲方要求，甲方有权单方解除本合同。</w:t>
      </w:r>
      <w:r>
        <w:rPr>
          <w:rFonts w:hint="eastAsia" w:ascii="微软雅黑" w:hAnsi="微软雅黑" w:cs="微软雅黑"/>
          <w:color w:val="000000"/>
        </w:rPr>
      </w:r>
      <w:r/>
    </w:p>
    <w:p>
      <w:pPr>
        <w:pStyle w:val="1061"/>
        <w:ind w:left="560"/>
        <w:spacing w:line="420" w:lineRule="exact"/>
        <w:rPr>
          <w:rFonts w:hint="eastAsia" w:ascii="微软雅黑" w:hAnsi="微软雅黑" w:cs="微软雅黑"/>
          <w:b/>
          <w:color w:val="000000"/>
        </w:rPr>
      </w:pPr>
      <w:r>
        <w:rPr>
          <w:rFonts w:hint="eastAsia" w:ascii="微软雅黑" w:hAnsi="微软雅黑" w:cs="微软雅黑"/>
          <w:b/>
          <w:color w:val="000000"/>
        </w:rPr>
        <w:t xml:space="preserve">第十一条 违约责任</w:t>
      </w:r>
      <w:r>
        <w:rPr>
          <w:rFonts w:hint="eastAsia" w:ascii="微软雅黑" w:hAnsi="微软雅黑" w:cs="微软雅黑"/>
          <w:b/>
          <w:color w:val="000000"/>
        </w:rPr>
      </w:r>
      <w:r/>
    </w:p>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hint="eastAsia" w:ascii="微软雅黑" w:hAnsi="微软雅黑" w:cs="微软雅黑"/>
          <w:color w:val="000000"/>
        </w:rPr>
      </w:r>
      <w:r/>
    </w:p>
    <w:p>
      <w:pPr>
        <w:pStyle w:val="1061"/>
        <w:spacing w:line="420" w:lineRule="exact"/>
        <w:rPr>
          <w:rFonts w:hint="eastAsia" w:ascii="微软雅黑" w:hAnsi="微软雅黑" w:cs="微软雅黑"/>
        </w:rPr>
      </w:pPr>
      <w:r>
        <w:rPr>
          <w:rFonts w:hint="eastAsia" w:ascii="微软雅黑" w:hAnsi="微软雅黑" w:cs="微软雅黑"/>
          <w:color w:val="000000"/>
        </w:rPr>
        <w:t xml:space="preserve">3.</w:t>
      </w:r>
      <w:r>
        <w:rPr>
          <w:rFonts w:hint="eastAsia" w:ascii="微软雅黑" w:hAnsi="微软雅黑" w:cs="微软雅黑"/>
        </w:rPr>
        <w:t xml:space="preserve">乙方需按照单批服务约定时间交付服务，超过约定时间15分钟的，乙方向甲方偿付单批服务总额人民币300元的滞纳金，超过约定时间达30分钟的，乙方向甲方偿付单批服务总额人民币500元的滞纳金，若单批服务迟到30分钟情况累计达5次(因不可抗力造成的迟到除外)，甲方有权解除合同，解除合同的通知自到达乙方时生效。</w:t>
      </w:r>
      <w:r>
        <w:rPr>
          <w:rFonts w:hint="eastAsia" w:ascii="微软雅黑" w:hAnsi="微软雅黑" w:cs="微软雅黑"/>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4.乙方因逾期完成服务或因其他违约行为导致甲方解除合同的，乙方应向甲方支付本合同约定服务费总金额20%比例的违约金，如造成甲方损失超过违约金的，超出部分由乙方继续承担赔偿责任。</w:t>
      </w:r>
      <w:r>
        <w:rPr>
          <w:rFonts w:hint="eastAsia" w:ascii="微软雅黑" w:hAnsi="微软雅黑" w:cs="微软雅黑"/>
          <w:color w:val="000000"/>
        </w:rPr>
      </w:r>
      <w:r/>
    </w:p>
    <w:p>
      <w:pPr>
        <w:pStyle w:val="1061"/>
        <w:ind w:firstLine="480"/>
        <w:spacing w:line="420" w:lineRule="exact"/>
        <w:rPr>
          <w:rFonts w:hint="eastAsia" w:ascii="微软雅黑" w:hAnsi="微软雅黑" w:cs="微软雅黑"/>
          <w:color w:val="000000"/>
        </w:rPr>
      </w:pPr>
      <w:r>
        <w:rPr>
          <w:rFonts w:hint="eastAsia" w:ascii="微软雅黑" w:hAnsi="微软雅黑" w:cs="微软雅黑"/>
          <w:color w:val="000000"/>
        </w:rPr>
        <w:t xml:space="preserve">5.乙方违反本合同其他义务的，经甲方通知其限期改正，期满后仍未改正的，甲方有权解除本合同，并要求乙方承担服务费总金额20%的违约金。如因此给甲方造成经济损失的，还应赔偿由此给甲方造成的经济损失。</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b/>
          <w:color w:val="000000"/>
        </w:rPr>
      </w:pPr>
      <w:r>
        <w:rPr>
          <w:rFonts w:hint="eastAsia" w:ascii="微软雅黑" w:hAnsi="微软雅黑" w:cs="微软雅黑"/>
          <w:b/>
          <w:color w:val="000000"/>
        </w:rPr>
        <w:t xml:space="preserve">第十二条　争议处理</w:t>
      </w:r>
      <w:r>
        <w:rPr>
          <w:rFonts w:hint="eastAsia" w:ascii="微软雅黑" w:hAnsi="微软雅黑" w:cs="微软雅黑"/>
          <w:b/>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甲乙双方如对本合同约定条款的理解存在歧义或在本合同履行过程中发生争议，双方应友好协商解决，协商不能解决的，任何一方均可向甲方所在地人民法院提起诉讼。</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b/>
          <w:color w:val="000000"/>
        </w:rPr>
      </w:pPr>
      <w:r>
        <w:rPr>
          <w:rFonts w:hint="eastAsia" w:ascii="微软雅黑" w:hAnsi="微软雅黑" w:cs="微软雅黑"/>
          <w:b/>
          <w:color w:val="000000"/>
        </w:rPr>
        <w:t xml:space="preserve">第十三条 不可抗力</w:t>
      </w:r>
      <w:r>
        <w:rPr>
          <w:rFonts w:hint="eastAsia" w:ascii="微软雅黑" w:hAnsi="微软雅黑" w:cs="微软雅黑"/>
          <w:b/>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b/>
          <w:color w:val="000000"/>
        </w:rPr>
        <w:t xml:space="preserve">第十四条 其他</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1.合同附件是本合同不可分割的组成部分，与本合同具有同等法律效力。</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2.本合同未尽事宜，由甲乙双方负责人协商后达成书面补充协议，补充协议具备与本合同同等法律效力。</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3.对本合同内容的任何修改和变更需要用书面形式，并经双方签字盖章后生效。</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b/>
          <w:color w:val="000000"/>
        </w:rPr>
      </w:pPr>
      <w:r>
        <w:rPr>
          <w:rFonts w:hint="eastAsia" w:ascii="微软雅黑" w:hAnsi="微软雅黑" w:cs="微软雅黑"/>
          <w:b/>
          <w:color w:val="000000"/>
        </w:rPr>
        <w:t xml:space="preserve">第十五条　签订本合同依据</w:t>
      </w:r>
      <w:r>
        <w:rPr>
          <w:rFonts w:hint="eastAsia" w:ascii="微软雅黑" w:hAnsi="微软雅黑" w:cs="微软雅黑"/>
          <w:b/>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1.甲方发出的采购文件、中标（成交）通知书；</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2.乙方提供的投标（响应）文件；</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u w:val="single"/>
        </w:rPr>
      </w:pPr>
      <w:r>
        <w:rPr>
          <w:rFonts w:hint="eastAsia" w:ascii="微软雅黑" w:hAnsi="微软雅黑" w:cs="微软雅黑"/>
          <w:color w:val="000000"/>
        </w:rPr>
        <w:t xml:space="preserve">3.投标承诺书。</w:t>
      </w:r>
      <w:r>
        <w:rPr>
          <w:rFonts w:hint="eastAsia" w:ascii="微软雅黑" w:hAnsi="微软雅黑" w:cs="微软雅黑"/>
          <w:color w:val="000000"/>
          <w:u w:val="single"/>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b/>
          <w:color w:val="000000"/>
        </w:rPr>
        <w:t xml:space="preserve">第十六条　</w:t>
      </w:r>
      <w:r>
        <w:rPr>
          <w:rFonts w:hint="eastAsia" w:ascii="微软雅黑" w:hAnsi="微软雅黑" w:cs="微软雅黑"/>
          <w:color w:val="000000"/>
        </w:rPr>
        <w:t xml:space="preserve">本合同一式</w:t>
      </w:r>
      <w:r>
        <w:rPr>
          <w:rFonts w:hint="eastAsia" w:ascii="微软雅黑" w:hAnsi="微软雅黑" w:cs="微软雅黑"/>
          <w:color w:val="000000"/>
          <w:u w:val="single"/>
        </w:rPr>
        <w:t xml:space="preserve">陆</w:t>
      </w:r>
      <w:r>
        <w:rPr>
          <w:rFonts w:hint="eastAsia" w:ascii="微软雅黑" w:hAnsi="微软雅黑" w:cs="微软雅黑"/>
          <w:color w:val="000000"/>
        </w:rPr>
        <w:t xml:space="preserve">份，甲方</w:t>
      </w:r>
      <w:r>
        <w:rPr>
          <w:rFonts w:hint="eastAsia" w:ascii="微软雅黑" w:hAnsi="微软雅黑" w:cs="微软雅黑"/>
          <w:color w:val="000000"/>
          <w:u w:val="single"/>
        </w:rPr>
        <w:t xml:space="preserve">肆</w:t>
      </w:r>
      <w:r>
        <w:rPr>
          <w:rFonts w:hint="eastAsia" w:ascii="微软雅黑" w:hAnsi="微软雅黑" w:cs="微软雅黑"/>
          <w:color w:val="000000"/>
        </w:rPr>
        <w:t xml:space="preserve">份，乙方</w:t>
      </w:r>
      <w:r>
        <w:rPr>
          <w:rFonts w:hint="eastAsia" w:ascii="微软雅黑" w:hAnsi="微软雅黑" w:cs="微软雅黑"/>
          <w:color w:val="000000"/>
          <w:u w:val="single"/>
        </w:rPr>
        <w:t xml:space="preserve">贰</w:t>
      </w:r>
      <w:r>
        <w:rPr>
          <w:rFonts w:hint="eastAsia" w:ascii="微软雅黑" w:hAnsi="微软雅黑" w:cs="微软雅黑"/>
          <w:color w:val="000000"/>
        </w:rPr>
        <w:t xml:space="preserve">份。（如有需要可另增加）</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本合同自甲乙双方签字盖章后生效。</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附件1：售后服务具体事项</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附件2：服务要求</w:t>
      </w:r>
      <w:r>
        <w:rPr>
          <w:rFonts w:hint="eastAsia" w:ascii="微软雅黑" w:hAnsi="微软雅黑" w:cs="微软雅黑"/>
          <w:color w:val="000000"/>
        </w:rPr>
      </w:r>
      <w:r/>
    </w:p>
    <w:p>
      <w:pPr>
        <w:pStyle w:val="1061"/>
        <w:ind w:firstLine="420"/>
        <w:spacing w:line="420" w:lineRule="exact"/>
        <w:rPr>
          <w:rFonts w:hint="eastAsia" w:ascii="微软雅黑" w:hAnsi="微软雅黑" w:cs="微软雅黑"/>
          <w:color w:val="000000"/>
        </w:rPr>
      </w:pPr>
      <w:r>
        <w:rPr>
          <w:rFonts w:hint="eastAsia" w:ascii="微软雅黑" w:hAnsi="微软雅黑" w:cs="微软雅黑"/>
          <w:color w:val="000000"/>
        </w:rPr>
        <w:t xml:space="preserve">附件3：租赁服务费标准</w:t>
      </w:r>
      <w:r>
        <w:rPr>
          <w:rFonts w:hint="eastAsia" w:ascii="微软雅黑" w:hAnsi="微软雅黑" w:cs="微软雅黑"/>
          <w:color w:val="000000"/>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360"/>
      </w:tblGrid>
      <w:tr>
        <w:trPr>
          <w:cantSplit/>
          <w:trHeight w:val="936"/>
        </w:trPr>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甲方（公章）</w:t>
            </w:r>
            <w:r>
              <w:rPr>
                <w:rFonts w:hint="eastAsia" w:ascii="微软雅黑" w:hAnsi="微软雅黑" w:cs="微软雅黑"/>
                <w:color w:val="000000"/>
              </w:rPr>
            </w:r>
            <w:r/>
          </w:p>
          <w:p>
            <w:pPr>
              <w:pStyle w:val="1061"/>
              <w:ind w:firstLine="525"/>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年   月    日</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乙方（公章）</w:t>
            </w:r>
            <w:r>
              <w:rPr>
                <w:rFonts w:hint="eastAsia" w:ascii="微软雅黑" w:hAnsi="微软雅黑" w:cs="微软雅黑"/>
                <w:color w:val="000000"/>
              </w:rPr>
            </w:r>
            <w:r/>
          </w:p>
          <w:p>
            <w:pPr>
              <w:pStyle w:val="1061"/>
              <w:ind w:firstLine="525"/>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年   月   日</w:t>
            </w:r>
            <w:r>
              <w:rPr>
                <w:rFonts w:hint="eastAsia" w:ascii="微软雅黑" w:hAnsi="微软雅黑" w:cs="微软雅黑"/>
                <w:color w:val="000000"/>
              </w:rPr>
            </w:r>
            <w:r/>
          </w:p>
        </w:tc>
      </w:tr>
      <w:tr>
        <w:trPr>
          <w:cantSplit/>
          <w:trHeight w:val="250"/>
        </w:trPr>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单位地址： </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单位地址：</w:t>
            </w:r>
            <w:r>
              <w:rPr>
                <w:rFonts w:hint="eastAsia" w:ascii="微软雅黑" w:hAnsi="微软雅黑" w:cs="微软雅黑"/>
                <w:color w:val="000000"/>
              </w:rPr>
            </w:r>
            <w:r/>
          </w:p>
        </w:tc>
      </w:tr>
      <w:tr>
        <w:trPr>
          <w:cantSplit/>
          <w:trHeight w:val="849"/>
        </w:trPr>
        <w:tc>
          <w:tcPr>
            <w:tcW w:w="2500" w:type="dxa"/>
            <w:vAlign w:val="center"/>
            <w:textDirection w:val="lrTb"/>
            <w:noWrap w:val="false"/>
          </w:tcPr>
          <w:p>
            <w:pPr>
              <w:pStyle w:val="1061"/>
              <w:jc w:val="left"/>
              <w:spacing w:before="156" w:line="420" w:lineRule="exact"/>
              <w:rPr>
                <w:rFonts w:hint="eastAsia" w:ascii="微软雅黑" w:hAnsi="微软雅黑" w:cs="微软雅黑"/>
                <w:color w:val="000000"/>
              </w:rPr>
            </w:pPr>
            <w:r>
              <w:rPr>
                <w:rFonts w:hint="eastAsia" w:ascii="微软雅黑" w:hAnsi="微软雅黑" w:cs="微软雅黑"/>
                <w:color w:val="000000"/>
              </w:rPr>
              <w:t xml:space="preserve">法定代表人（或委托代理人）</w:t>
            </w:r>
            <w:r>
              <w:rPr>
                <w:rFonts w:hint="eastAsia" w:ascii="微软雅黑" w:hAnsi="微软雅黑" w:cs="微软雅黑"/>
                <w:color w:val="000000"/>
              </w:rPr>
            </w:r>
            <w:r/>
          </w:p>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（签字）：</w:t>
            </w:r>
            <w:r>
              <w:rPr>
                <w:rFonts w:hint="eastAsia" w:ascii="微软雅黑" w:hAnsi="微软雅黑" w:cs="微软雅黑"/>
                <w:color w:val="000000"/>
              </w:rPr>
            </w:r>
            <w:r/>
          </w:p>
        </w:tc>
        <w:tc>
          <w:tcPr>
            <w:tcW w:w="2500" w:type="dxa"/>
            <w:vAlign w:val="center"/>
            <w:textDirection w:val="lrTb"/>
            <w:noWrap w:val="false"/>
          </w:tcPr>
          <w:p>
            <w:pPr>
              <w:pStyle w:val="1061"/>
              <w:jc w:val="left"/>
              <w:spacing w:before="156" w:line="420" w:lineRule="exact"/>
              <w:rPr>
                <w:rFonts w:hint="eastAsia" w:ascii="微软雅黑" w:hAnsi="微软雅黑" w:cs="微软雅黑"/>
                <w:color w:val="000000"/>
              </w:rPr>
            </w:pPr>
            <w:r>
              <w:rPr>
                <w:rFonts w:hint="eastAsia" w:ascii="微软雅黑" w:hAnsi="微软雅黑" w:cs="微软雅黑"/>
                <w:color w:val="000000"/>
              </w:rPr>
              <w:t xml:space="preserve">法定代表人（或委托代理人）</w:t>
            </w:r>
            <w:r>
              <w:rPr>
                <w:rFonts w:hint="eastAsia" w:ascii="微软雅黑" w:hAnsi="微软雅黑" w:cs="微软雅黑"/>
                <w:color w:val="000000"/>
              </w:rPr>
            </w:r>
            <w:r/>
          </w:p>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（签字）：</w:t>
            </w:r>
            <w:r>
              <w:rPr>
                <w:rFonts w:hint="eastAsia" w:ascii="微软雅黑" w:hAnsi="微软雅黑" w:cs="微软雅黑"/>
                <w:color w:val="000000"/>
              </w:rPr>
            </w:r>
            <w:r/>
          </w:p>
        </w:tc>
      </w:tr>
      <w:tr>
        <w:trPr>
          <w:cantSplit/>
          <w:trHeight w:val="423"/>
        </w:trPr>
        <w:tc>
          <w:tcPr>
            <w:tcW w:w="25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电话：</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电话：</w:t>
            </w:r>
            <w:r>
              <w:rPr>
                <w:rFonts w:hint="eastAsia" w:ascii="微软雅黑" w:hAnsi="微软雅黑" w:cs="微软雅黑"/>
                <w:color w:val="000000"/>
              </w:rPr>
            </w:r>
            <w:r/>
          </w:p>
        </w:tc>
      </w:tr>
      <w:tr>
        <w:trPr>
          <w:cantSplit/>
          <w:trHeight w:val="653"/>
        </w:trPr>
        <w:tc>
          <w:tcPr>
            <w:tcW w:w="25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开户银行：</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开户银行：</w:t>
            </w:r>
            <w:r>
              <w:rPr>
                <w:rFonts w:hint="eastAsia" w:ascii="微软雅黑" w:hAnsi="微软雅黑" w:cs="微软雅黑"/>
                <w:color w:val="000000"/>
              </w:rPr>
            </w:r>
            <w:r/>
          </w:p>
        </w:tc>
      </w:tr>
      <w:tr>
        <w:trPr>
          <w:cantSplit/>
          <w:trHeight w:val="423"/>
        </w:trPr>
        <w:tc>
          <w:tcPr>
            <w:tcW w:w="25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账号：</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账号：</w:t>
            </w:r>
            <w:r>
              <w:rPr>
                <w:rFonts w:hint="eastAsia" w:ascii="微软雅黑" w:hAnsi="微软雅黑" w:cs="微软雅黑"/>
                <w:color w:val="000000"/>
              </w:rPr>
            </w:r>
            <w:r/>
          </w:p>
        </w:tc>
      </w:tr>
      <w:tr>
        <w:trPr>
          <w:cantSplit/>
          <w:trHeight w:val="421"/>
        </w:trPr>
        <w:tc>
          <w:tcPr>
            <w:tcW w:w="25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邮政编码：</w:t>
            </w:r>
            <w:r>
              <w:rPr>
                <w:rFonts w:hint="eastAsia" w:ascii="微软雅黑" w:hAnsi="微软雅黑" w:cs="微软雅黑"/>
                <w:color w:val="000000"/>
              </w:rPr>
            </w:r>
            <w:r/>
          </w:p>
        </w:tc>
        <w:tc>
          <w:tcPr>
            <w:tcW w:w="2500" w:type="dxa"/>
            <w:vAlign w:val="center"/>
            <w:textDirection w:val="lrTb"/>
            <w:noWrap w:val="false"/>
          </w:tcPr>
          <w:p>
            <w:pPr>
              <w:pStyle w:val="1061"/>
              <w:jc w:val="left"/>
              <w:spacing w:line="420" w:lineRule="exact"/>
              <w:rPr>
                <w:rFonts w:hint="eastAsia" w:ascii="微软雅黑" w:hAnsi="微软雅黑" w:cs="微软雅黑"/>
                <w:color w:val="000000"/>
              </w:rPr>
            </w:pPr>
            <w:r>
              <w:rPr>
                <w:rFonts w:hint="eastAsia" w:ascii="微软雅黑" w:hAnsi="微软雅黑" w:cs="微软雅黑"/>
                <w:color w:val="000000"/>
              </w:rPr>
              <w:t xml:space="preserve">邮政编码：</w:t>
            </w:r>
            <w:r>
              <w:rPr>
                <w:rFonts w:hint="eastAsia" w:ascii="微软雅黑" w:hAnsi="微软雅黑" w:cs="微软雅黑"/>
                <w:color w:val="000000"/>
              </w:rPr>
            </w:r>
            <w:r/>
          </w:p>
        </w:tc>
      </w:tr>
    </w:tbl>
    <w:p>
      <w:pPr>
        <w:pStyle w:val="1061"/>
        <w:spacing w:line="420" w:lineRule="exact"/>
        <w:rPr>
          <w:rFonts w:hint="eastAsia" w:ascii="微软雅黑" w:hAnsi="微软雅黑" w:cs="微软雅黑"/>
          <w:b/>
          <w:color w:val="000000"/>
        </w:rPr>
      </w:pPr>
      <w:r>
        <w:rPr>
          <w:rFonts w:hint="eastAsia" w:ascii="微软雅黑" w:hAnsi="微软雅黑" w:cs="微软雅黑"/>
          <w:b/>
          <w:color w:val="000000"/>
        </w:rPr>
      </w:r>
      <w:r/>
    </w:p>
    <w:p>
      <w:pPr>
        <w:pStyle w:val="1061"/>
        <w:jc w:val="left"/>
        <w:spacing w:line="420" w:lineRule="exact"/>
        <w:widowControl/>
        <w:rPr>
          <w:rFonts w:hint="eastAsia" w:ascii="微软雅黑" w:hAnsi="微软雅黑" w:cs="微软雅黑"/>
          <w:b/>
          <w:color w:val="000000"/>
        </w:rPr>
      </w:pPr>
      <w:r>
        <w:rPr>
          <w:rFonts w:hint="eastAsia" w:ascii="微软雅黑" w:hAnsi="微软雅黑" w:cs="微软雅黑"/>
          <w:b/>
          <w:color w:val="000000"/>
        </w:rPr>
        <w:br w:type="page" w:clear="all"/>
      </w:r>
      <w:r>
        <w:rPr>
          <w:rFonts w:hint="eastAsia" w:ascii="微软雅黑" w:hAnsi="微软雅黑" w:cs="微软雅黑"/>
          <w:b/>
          <w:color w:val="000000"/>
        </w:rPr>
      </w:r>
      <w:r/>
    </w:p>
    <w:p>
      <w:pPr>
        <w:pStyle w:val="1061"/>
        <w:spacing w:line="420" w:lineRule="exact"/>
        <w:rPr>
          <w:rFonts w:hint="eastAsia" w:ascii="微软雅黑" w:hAnsi="微软雅黑" w:cs="微软雅黑"/>
          <w:b/>
          <w:color w:val="000000"/>
        </w:rPr>
      </w:pPr>
      <w:r>
        <w:rPr>
          <w:rFonts w:hint="eastAsia" w:ascii="微软雅黑" w:hAnsi="微软雅黑" w:cs="微软雅黑"/>
          <w:b/>
          <w:color w:val="000000"/>
        </w:rPr>
        <w:t xml:space="preserve">附件1：</w:t>
      </w:r>
      <w:r>
        <w:rPr>
          <w:rFonts w:hint="eastAsia" w:ascii="微软雅黑" w:hAnsi="微软雅黑" w:cs="微软雅黑"/>
          <w:b/>
          <w:color w:val="000000"/>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1、供应商承诺具体事项：</w:t>
            </w: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2、售后服务具体事项：</w:t>
            </w: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3、保修期责任：</w:t>
            </w: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t xml:space="preserve">4、其他具体事项：</w:t>
            </w: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r>
            <w:r/>
          </w:p>
        </w:tc>
      </w:tr>
      <w:tr>
        <w:trPr>
          <w:trHeight w:val="454" w:hRule="exact"/>
        </w:trPr>
        <w:tc>
          <w:tcPr>
            <w:tcW w:w="5000" w:type="dxa"/>
            <w:vAlign w:val="center"/>
            <w:textDirection w:val="lrTb"/>
            <w:noWrap w:val="false"/>
          </w:tcPr>
          <w:p>
            <w:pPr>
              <w:pStyle w:val="1061"/>
              <w:spacing w:line="420" w:lineRule="exact"/>
              <w:rPr>
                <w:rFonts w:hint="eastAsia" w:ascii="微软雅黑" w:hAnsi="微软雅黑" w:cs="微软雅黑"/>
                <w:color w:val="000000"/>
              </w:rPr>
            </w:pPr>
            <w:r>
              <w:rPr>
                <w:rFonts w:hint="eastAsia" w:ascii="微软雅黑" w:hAnsi="微软雅黑" w:cs="微软雅黑"/>
                <w:color w:val="000000"/>
              </w:rPr>
            </w:r>
            <w:r/>
          </w:p>
        </w:tc>
      </w:tr>
    </w:tbl>
    <w:p>
      <w:pPr>
        <w:pStyle w:val="1061"/>
        <w:jc w:val="center"/>
        <w:spacing w:line="420" w:lineRule="exact"/>
        <w:rPr>
          <w:rFonts w:hint="eastAsia" w:ascii="微软雅黑" w:hAnsi="微软雅黑" w:cs="微软雅黑"/>
          <w:color w:val="000000"/>
        </w:rPr>
      </w:pPr>
      <w:r>
        <w:rPr>
          <w:rFonts w:hint="eastAsia" w:ascii="微软雅黑" w:hAnsi="微软雅黑" w:cs="微软雅黑"/>
          <w:color w:val="000000"/>
        </w:rPr>
        <w:t xml:space="preserve">注：售后服务事项填不下时可另加附页</w:t>
      </w:r>
      <w:r>
        <w:rPr>
          <w:rFonts w:hint="eastAsia" w:ascii="微软雅黑" w:hAnsi="微软雅黑" w:cs="微软雅黑"/>
          <w:color w:val="000000"/>
        </w:rPr>
      </w:r>
      <w:r/>
    </w:p>
    <w:p>
      <w:pPr>
        <w:pStyle w:val="1061"/>
        <w:jc w:val="left"/>
        <w:spacing w:line="420" w:lineRule="exact"/>
        <w:widowControl/>
        <w:rPr>
          <w:rFonts w:hint="eastAsia" w:ascii="微软雅黑" w:hAnsi="微软雅黑" w:cs="微软雅黑"/>
          <w:b/>
          <w:color w:val="000000"/>
        </w:rPr>
      </w:pPr>
      <w:r>
        <w:rPr>
          <w:rFonts w:hint="eastAsia" w:ascii="微软雅黑" w:hAnsi="微软雅黑" w:cs="微软雅黑"/>
          <w:b/>
          <w:color w:val="000000"/>
        </w:rPr>
        <w:br w:type="page" w:clear="all"/>
      </w:r>
      <w:r>
        <w:rPr>
          <w:rFonts w:hint="eastAsia" w:ascii="微软雅黑" w:hAnsi="微软雅黑" w:cs="微软雅黑"/>
          <w:b/>
          <w:color w:val="000000"/>
        </w:rPr>
      </w:r>
      <w:r/>
    </w:p>
    <w:p>
      <w:pPr>
        <w:pStyle w:val="1061"/>
        <w:spacing w:line="420" w:lineRule="exact"/>
        <w:rPr>
          <w:rFonts w:hint="eastAsia" w:ascii="微软雅黑" w:hAnsi="微软雅黑" w:cs="微软雅黑"/>
          <w:b/>
          <w:color w:val="000000"/>
        </w:rPr>
      </w:pPr>
      <w:r>
        <w:rPr>
          <w:rFonts w:hint="eastAsia" w:ascii="微软雅黑" w:hAnsi="微软雅黑" w:cs="微软雅黑"/>
          <w:b/>
          <w:color w:val="000000"/>
        </w:rPr>
        <w:t xml:space="preserve">附件2：服务要求</w:t>
      </w:r>
      <w:r>
        <w:rPr>
          <w:rFonts w:hint="eastAsia" w:ascii="微软雅黑" w:hAnsi="微软雅黑" w:cs="微软雅黑"/>
          <w:b/>
          <w:color w:val="000000"/>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（一）安全保障要求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提供的车辆必须合法合规，保障车辆必须符合国家标准《机动车运行安全技术条件》，取得机动车检验合格证明，并已经在公安机关交通管理部门办理注册登记。所有车辆均来自正式购买或租赁，定期检查车辆健康情况。</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2、供应商提供的车辆必须完全按照国家规定按时年检。</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3、供应商提供的车辆必须按车型保养规定定期保养和维修，保证供给车辆车况良好，近3年均无重大维修记录。</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供应商提供的车辆必须按国家要求按时投保相应的车辆保险种类。除国家规定的必保险种，供应商应额外为提供租赁服务的车辆投保，投保应包括第三者责任险（投保保额不低于100万元），为车上乘客提供每人每座投保保额不低于10万元的保险险种，保证合同签订前提供的车辆保险险种、限额达到上述要求，否则中标供应商承担由此产生的所有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5、车辆和人员有效证件配备齐全，包括驾驶证、行驶证及国家或当地公安机关车辆管理部门要求随车配备的证件等。</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6、其他未涉及事项以国家、地方政府有关文件要求执行。</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7、供应商拟提供租赁服务的车辆为大中小型车（车型要求齐全），其中小型车（车龄为6年以内）、中大型车（车龄为4年以内）。</w:t>
      </w:r>
      <w:r>
        <w:rPr>
          <w:rFonts w:hint="eastAsia" w:ascii="微软雅黑" w:hAnsi="微软雅黑" w:cs="微软雅黑"/>
          <w:color w:val="000000"/>
        </w:rPr>
        <w:t xml:space="preserve">中标人接到招标人通过电话、信函传真、电子邮件、网上提交等方式提出关于表一所列服务的请求后，在2日内给予响应并提供服务，紧急情况下30分钟内给予响应。</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（二）驾驶员配置要求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1、供应商依法与驾驶人员建立劳动（务）关系。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2、驾驶员必须了解相应车辆技术性能相关标准，并有极强的责任感与工作能力，勤奋负责，热爱本职工作。</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3、严格检查驾驶员的任职资格，严把准入关，加强职业道德教育，定期召开安全生产例会，利用多种形式将知识传授给驾驶人员，杜绝人为事故发生。</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4、驾驶员具有良好的专业素养和丰富的行车经验，提供有效必要证件以供核查，有5年以上驾驶相应车辆驾龄，3年内无重大交通事故，持有公交机关交通管理部门核发的机动车驾驶证，年龄在55岁以下。</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（三）服务要求</w:t>
      </w:r>
      <w:r>
        <w:rPr>
          <w:rFonts w:hint="eastAsia" w:ascii="微软雅黑" w:hAnsi="微软雅黑" w:cs="微软雅黑"/>
          <w:b/>
          <w:bCs/>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1、供应商组织机构完善，企业设有较健全的人事、运营、安全、技术等机构并设专职管理人员，需有专门管理人员按要求负责车辆的组织调度协调。</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2、供应商安全体系建设完善，安全组织机构设置科学合理，相关制度完善。</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3、供应商有科学合理的用户信息反馈与处置机制，对招标人在用车期间提出的合理意见和建议应及时作出整改。</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4、协议期内，成交供应商应及时响应采购人用车需求，不可多次推诿，并提供应急方案和重大活动服务保障承诺。若有推诿情况，达到3次及以上则成交供应商同意无条件解除合同。</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5、协议期内，租用车辆应按照招标人的要求进行使用，驾驶员驾驶车辆时应遵守国家或当地的交通法规，驾驶员应负责租用车辆的合理停放。</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6、协议期内，驾驶员应着装干净整洁，对待乘客热情周到、文明礼貌，保证车辆内外干净卫生无异味等。</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7、协议期内，车辆租赁期间所发生的车辆租赁费由招标人据实支付，其他一切费用(过桥费、过路费、停车费、驾驶员餐费)均由供应商自行承担，招标人不再另行支付。</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8、协议期内，供应商行车必须遵守交通规则。如造成交通事故或乘客损伤，招标人有权向供应商索赔，由供应商承担所有责任。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9、协议期内，供应商及其驾驶员行车载客必须遵守交通规则，对供应商驾驶员的违章违规行为，招标人有权利和义务及时向供应商反映、投诉。如因供应商及其驾驶员不遵守交通规则而造成交通事故或乘客损害的，供应商及其驾驶员除依据法律法规的规定向受害方赔偿损失外，对于给招标人造成的任何损失，供应商应当无条件承担全部赔偿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10、协议期内，甲乙双方均不得要求驾驶员违章驾驶或违章上下客。如因招标人要求驾驶员违章驾驶或违章上下客产生交通事故赔偿责任或者行政处罚责任的，由招标人承担相应责任；如因供应商要求驾驶员违章驾驶或违章上下客产生交通事故赔偿责任或者行政处罚责任的，由供应商承担相应责任。如甲乙双方均有过错，则由双方根据各自的过错承担交通事故赔偿责任和行政处罚责任。</w:t>
      </w:r>
      <w:r>
        <w:rPr>
          <w:rFonts w:hint="eastAsia" w:ascii="微软雅黑" w:hAnsi="微软雅黑" w:cs="微软雅黑"/>
          <w:szCs w:val="21"/>
          <w:lang w:val="zh-CN"/>
        </w:rPr>
      </w:r>
      <w:r/>
    </w:p>
    <w:p>
      <w:pPr>
        <w:pStyle w:val="1061"/>
        <w:ind w:firstLine="420"/>
        <w:jc w:val="left"/>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11、遵守招标人关于消杀的制度和要求，配合招标人做好消杀管理工作。</w:t>
      </w:r>
      <w:r>
        <w:rPr>
          <w:rFonts w:hint="eastAsia" w:ascii="微软雅黑" w:hAnsi="微软雅黑" w:cs="微软雅黑"/>
          <w:szCs w:val="21"/>
          <w:lang w:val="zh-CN"/>
        </w:rPr>
      </w:r>
      <w:r/>
    </w:p>
    <w:p>
      <w:pPr>
        <w:pStyle w:val="1061"/>
        <w:spacing w:line="420" w:lineRule="exact"/>
        <w:rPr>
          <w:rFonts w:hint="eastAsia" w:ascii="微软雅黑" w:hAnsi="微软雅黑" w:cs="微软雅黑"/>
          <w:b/>
          <w:color w:val="000000"/>
        </w:rPr>
      </w:pPr>
      <w:r>
        <w:rPr>
          <w:rFonts w:hint="eastAsia" w:ascii="微软雅黑" w:hAnsi="微软雅黑" w:cs="微软雅黑"/>
          <w:b/>
          <w:color w:val="000000"/>
        </w:rPr>
      </w:r>
      <w:r/>
    </w:p>
    <w:p>
      <w:pPr>
        <w:pStyle w:val="1061"/>
        <w:spacing w:line="420" w:lineRule="exact"/>
        <w:rPr>
          <w:rFonts w:hint="eastAsia" w:ascii="微软雅黑" w:hAnsi="微软雅黑" w:cs="微软雅黑"/>
          <w:b/>
          <w:color w:val="000000"/>
        </w:rPr>
      </w:pPr>
      <w:r>
        <w:rPr>
          <w:rFonts w:hint="eastAsia" w:ascii="微软雅黑" w:hAnsi="微软雅黑" w:cs="微软雅黑"/>
          <w:b/>
          <w:color w:val="000000"/>
        </w:rPr>
        <w:br w:type="page" w:clear="all"/>
      </w:r>
      <w:r>
        <w:rPr>
          <w:rFonts w:hint="eastAsia" w:ascii="微软雅黑" w:hAnsi="微软雅黑" w:cs="微软雅黑"/>
          <w:b/>
          <w:color w:val="000000"/>
        </w:rPr>
        <w:t xml:space="preserve">附件3：租赁服务费标准</w:t>
      </w:r>
      <w:r>
        <w:rPr>
          <w:rFonts w:hint="eastAsia" w:ascii="微软雅黑" w:hAnsi="微软雅黑" w:cs="微软雅黑"/>
          <w:b/>
          <w:color w:val="000000"/>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48"/>
        <w:gridCol w:w="593"/>
        <w:gridCol w:w="1311"/>
        <w:gridCol w:w="954"/>
        <w:gridCol w:w="952"/>
        <w:gridCol w:w="954"/>
        <w:gridCol w:w="832"/>
        <w:gridCol w:w="832"/>
        <w:gridCol w:w="923"/>
        <w:gridCol w:w="921"/>
      </w:tblGrid>
      <w:tr>
        <w:trPr>
          <w:cantSplit/>
          <w:trHeight w:val="817"/>
        </w:trPr>
        <w:tc>
          <w:tcPr>
            <w:gridSpan w:val="3"/>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车   型</w:t>
            </w:r>
            <w:r>
              <w:rPr>
                <w:rFonts w:hint="eastAsia" w:ascii="微软雅黑" w:hAnsi="微软雅黑" w:cs="微软雅黑"/>
                <w:b/>
                <w:bCs/>
                <w:szCs w:val="21"/>
                <w:highlight w:val="none"/>
              </w:rPr>
            </w:r>
            <w:r/>
          </w:p>
          <w:p>
            <w:pPr>
              <w:pStyle w:val="1061"/>
              <w:ind w:right="-609"/>
              <w:jc w:val="center"/>
              <w:spacing w:line="42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（品牌或同档次品牌）</w:t>
            </w:r>
            <w:r>
              <w:rPr>
                <w:rFonts w:hint="eastAsia" w:ascii="微软雅黑" w:hAnsi="微软雅黑" w:cs="微软雅黑"/>
                <w:szCs w:val="21"/>
                <w:highlight w:val="none"/>
              </w:rPr>
            </w:r>
            <w:r/>
          </w:p>
        </w:tc>
        <w:tc>
          <w:tcPr>
            <w:tcBorders>
              <w:top w:val="single" w:color="000000" w:sz="4" w:space="0"/>
              <w:left w:val="none" w:color="000000" w:sz="4" w:space="0"/>
              <w:bottom w:val="none" w:color="000000" w:sz="0"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市内一天收费（元）</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市内半天收费（元）</w:t>
            </w:r>
            <w:r>
              <w:rPr>
                <w:rFonts w:hint="eastAsia" w:ascii="微软雅黑" w:hAnsi="微软雅黑" w:cs="微软雅黑"/>
                <w:b/>
                <w:bC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市内/天/公里</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会议价格（元/次）</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超公里收费（元/KM）</w:t>
            </w:r>
            <w:r>
              <w:rPr>
                <w:rFonts w:hint="eastAsia" w:ascii="微软雅黑" w:hAnsi="微软雅黑" w:cs="微软雅黑"/>
                <w:b/>
                <w:bCs/>
                <w:szCs w:val="21"/>
                <w:highlight w:val="none"/>
              </w:rPr>
            </w:r>
            <w:r/>
          </w:p>
        </w:tc>
        <w:tc>
          <w:tcPr>
            <w:tcBorders>
              <w:top w:val="single" w:color="000000" w:sz="4" w:space="0"/>
              <w:left w:val="singl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超小时收费（元/h）</w:t>
            </w:r>
            <w:r>
              <w:rPr>
                <w:rFonts w:hint="eastAsia" w:ascii="微软雅黑" w:hAnsi="微软雅黑" w:cs="微软雅黑"/>
                <w:b/>
                <w:bCs/>
                <w:szCs w:val="21"/>
                <w:highlight w:val="none"/>
              </w:rPr>
            </w:r>
            <w:r/>
          </w:p>
        </w:tc>
      </w:tr>
      <w:tr>
        <w:trPr>
          <w:cantSplit/>
          <w:trHeight w:val="1000"/>
        </w:trPr>
        <w:tc>
          <w:tcPr>
            <w:tcBorders>
              <w:top w:val="none" w:color="000000" w:sz="4" w:space="0"/>
              <w:left w:val="single" w:color="000000" w:sz="4" w:space="0"/>
              <w:bottom w:val="none" w:color="000000" w:sz="0" w:space="0"/>
              <w:right w:val="single" w:color="000000" w:sz="4" w:space="0"/>
            </w:tcBorders>
            <w:tcW w:w="257" w:type="dxa"/>
            <w:vAlign w:val="center"/>
            <w:vMerge w:val="restart"/>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包一</w:t>
            </w:r>
            <w:r>
              <w:rPr>
                <w:rFonts w:hint="eastAsia" w:ascii="微软雅黑" w:hAnsi="微软雅黑" w:cs="微软雅黑"/>
                <w:b/>
                <w:bCs/>
                <w:szCs w:val="21"/>
              </w:rPr>
            </w:r>
            <w:r/>
          </w:p>
        </w:tc>
        <w:tc>
          <w:tcPr>
            <w:tcBorders>
              <w:top w:val="none" w:color="000000" w:sz="4" w:space="0"/>
              <w:left w:val="single" w:color="000000" w:sz="4" w:space="0"/>
              <w:bottom w:val="singl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轿车</w:t>
            </w: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highlight w:val="yellow"/>
              </w:rPr>
            </w:pPr>
            <w:r>
              <w:rPr>
                <w:rFonts w:hint="eastAsia" w:ascii="微软雅黑" w:hAnsi="微软雅黑" w:cs="微软雅黑"/>
                <w:b/>
                <w:bCs/>
                <w:szCs w:val="21"/>
              </w:rPr>
              <w:t xml:space="preserve">5座轿车（帕萨特或同级别）</w:t>
            </w:r>
            <w:r>
              <w:rPr>
                <w:rFonts w:hint="eastAsia" w:ascii="微软雅黑" w:hAnsi="微软雅黑" w:cs="微软雅黑"/>
                <w:b/>
                <w:bCs/>
                <w:szCs w:val="21"/>
                <w:highlight w:val="yellow"/>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所有车辆行驶时间市内一天8小时，半天4小时。</w:t>
            </w: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所有车辆每天可行驶100公里，半天50公里。</w:t>
            </w: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817"/>
        </w:trPr>
        <w:tc>
          <w:tcPr>
            <w:tcBorders>
              <w:top w:val="none" w:color="000000" w:sz="0" w:space="0"/>
              <w:left w:val="single" w:color="000000" w:sz="4" w:space="0"/>
              <w:bottom w:val="none" w:color="000000" w:sz="4"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4" w:space="0"/>
              <w:left w:val="single" w:color="000000" w:sz="4" w:space="0"/>
              <w:bottom w:val="non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小客车</w:t>
            </w:r>
            <w:r>
              <w:rPr>
                <w:rFonts w:hint="eastAsia" w:ascii="微软雅黑" w:hAnsi="微软雅黑" w:cs="微软雅黑"/>
                <w:b/>
                <w:bCs/>
                <w:szCs w:val="21"/>
              </w:rPr>
            </w:r>
            <w:r/>
          </w:p>
        </w:tc>
        <w:tc>
          <w:tcPr>
            <w:tcBorders>
              <w:top w:val="single" w:color="000000" w:sz="4" w:space="0"/>
              <w:left w:val="none" w:color="000000" w:sz="4" w:space="0"/>
              <w:bottom w:val="none" w:color="000000" w:sz="0"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7座商务车（别克或同级别）</w:t>
            </w:r>
            <w:r>
              <w:rPr>
                <w:rFonts w:hint="eastAsia" w:ascii="微软雅黑" w:hAnsi="微软雅黑" w:cs="微软雅黑"/>
                <w:b/>
                <w:bCs/>
                <w:szCs w:val="21"/>
              </w:rPr>
            </w:r>
            <w:r/>
          </w:p>
        </w:tc>
        <w:tc>
          <w:tcPr>
            <w:tcBorders>
              <w:top w:val="single" w:color="000000" w:sz="4" w:space="0"/>
              <w:left w:val="none" w:color="000000" w:sz="4" w:space="0"/>
              <w:bottom w:val="none" w:color="000000" w:sz="0"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none" w:color="000000" w:sz="0"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none" w:color="000000" w:sz="0"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none" w:color="000000" w:sz="0"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20"/>
        </w:trPr>
        <w:tc>
          <w:tcPr>
            <w:tcBorders>
              <w:top w:val="single" w:color="000000" w:sz="4" w:space="0"/>
              <w:left w:val="single" w:color="000000" w:sz="4" w:space="0"/>
              <w:bottom w:val="none" w:color="000000" w:sz="0" w:space="0"/>
              <w:right w:val="single" w:color="000000" w:sz="4" w:space="0"/>
            </w:tcBorders>
            <w:tcW w:w="257" w:type="dxa"/>
            <w:vAlign w:val="center"/>
            <w:vMerge w:val="restart"/>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包二</w:t>
            </w:r>
            <w:r>
              <w:rPr>
                <w:rFonts w:hint="eastAsia" w:ascii="微软雅黑" w:hAnsi="微软雅黑" w:cs="微软雅黑"/>
                <w:b/>
                <w:bCs/>
                <w:szCs w:val="21"/>
              </w:rPr>
            </w:r>
            <w:r/>
          </w:p>
        </w:tc>
        <w:tc>
          <w:tcPr>
            <w:tcBorders>
              <w:top w:val="single" w:color="000000" w:sz="4" w:space="0"/>
              <w:left w:val="single" w:color="000000" w:sz="4" w:space="0"/>
              <w:bottom w:val="none" w:color="000000" w:sz="4" w:space="0"/>
              <w:right w:val="single" w:color="000000" w:sz="4" w:space="0"/>
            </w:tcBorders>
            <w:tcW w:w="340"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考斯特</w:t>
            </w: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17-22座</w:t>
            </w: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20"/>
        </w:trPr>
        <w:tc>
          <w:tcPr>
            <w:tcBorders>
              <w:top w:val="none" w:color="000000" w:sz="0" w:space="0"/>
              <w:left w:val="single" w:color="000000" w:sz="4" w:space="0"/>
              <w:bottom w:val="none" w:color="000000" w:sz="0"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none" w:color="000000" w:sz="0" w:space="0"/>
              <w:right w:val="single" w:color="000000" w:sz="4" w:space="0"/>
            </w:tcBorders>
            <w:tcW w:w="340" w:type="dxa"/>
            <w:vAlign w:val="center"/>
            <w:vMerge w:val="restart"/>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大客车</w:t>
            </w:r>
            <w:r>
              <w:rPr>
                <w:rFonts w:hint="eastAsia" w:ascii="微软雅黑" w:hAnsi="微软雅黑" w:cs="微软雅黑"/>
                <w:b/>
                <w:bCs/>
                <w:szCs w:val="21"/>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33座大客</w:t>
            </w:r>
            <w:r>
              <w:rPr>
                <w:rFonts w:hint="eastAsia" w:ascii="微软雅黑" w:hAnsi="微软雅黑" w:cs="微软雅黑"/>
                <w:b/>
                <w:bCs/>
                <w:szCs w:val="21"/>
              </w:rPr>
            </w:r>
            <w:r/>
          </w:p>
        </w:tc>
        <w:tc>
          <w:tcPr>
            <w:tcBorders>
              <w:top w:val="non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0"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20"/>
        </w:trPr>
        <w:tc>
          <w:tcPr>
            <w:tcBorders>
              <w:top w:val="none" w:color="000000" w:sz="0" w:space="0"/>
              <w:left w:val="single" w:color="000000" w:sz="4" w:space="0"/>
              <w:bottom w:val="none" w:color="000000" w:sz="0"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0" w:space="0"/>
              <w:left w:val="single" w:color="000000" w:sz="4" w:space="0"/>
              <w:bottom w:val="none" w:color="000000" w:sz="0" w:space="0"/>
              <w:right w:val="single" w:color="000000" w:sz="4" w:space="0"/>
            </w:tcBorders>
            <w:tcW w:w="340"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45座以上大客</w:t>
            </w:r>
            <w:r>
              <w:rPr>
                <w:rFonts w:hint="eastAsia" w:ascii="微软雅黑" w:hAnsi="微软雅黑" w:cs="微软雅黑"/>
                <w:b/>
                <w:bCs/>
                <w:szCs w:val="21"/>
              </w:rPr>
            </w:r>
            <w:r/>
          </w:p>
        </w:tc>
        <w:tc>
          <w:tcPr>
            <w:tcBorders>
              <w:top w:val="non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none" w:color="000000" w:sz="4" w:space="0"/>
              <w:left w:val="none" w:color="000000" w:sz="4" w:space="0"/>
              <w:bottom w:val="single" w:color="000000" w:sz="4"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0" w:space="0"/>
              <w:left w:val="single" w:color="000000" w:sz="4" w:space="0"/>
              <w:bottom w:val="none" w:color="000000" w:sz="0"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20"/>
        </w:trPr>
        <w:tc>
          <w:tcPr>
            <w:tcBorders>
              <w:top w:val="none" w:color="000000" w:sz="0" w:space="0"/>
              <w:left w:val="single" w:color="000000" w:sz="4" w:space="0"/>
              <w:bottom w:val="single" w:color="000000" w:sz="4" w:space="0"/>
              <w:right w:val="single" w:color="000000" w:sz="4" w:space="0"/>
            </w:tcBorders>
            <w:tcW w:w="25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0"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53座以上大客</w:t>
            </w:r>
            <w:r>
              <w:rPr>
                <w:rFonts w:hint="eastAsia" w:ascii="微软雅黑" w:hAnsi="微软雅黑" w:cs="微软雅黑"/>
                <w:b/>
                <w:bCs/>
                <w:szCs w:val="21"/>
              </w:rPr>
            </w:r>
            <w:r/>
          </w:p>
        </w:tc>
        <w:tc>
          <w:tcPr>
            <w:tcBorders>
              <w:top w:val="single" w:color="000000" w:sz="4" w:space="0"/>
              <w:left w:val="none" w:color="000000" w:sz="4" w:space="0"/>
              <w:bottom w:val="single" w:color="000000" w:sz="4" w:space="0"/>
              <w:right w:val="single" w:color="000000" w:sz="4" w:space="0"/>
            </w:tcBorders>
            <w:tcW w:w="54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none" w:color="000000" w:sz="0"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none" w:color="000000" w:sz="0" w:space="0"/>
              <w:left w:val="single" w:color="000000" w:sz="4" w:space="0"/>
              <w:bottom w:val="single" w:color="000000" w:sz="4" w:space="0"/>
              <w:right w:val="single" w:color="000000" w:sz="4" w:space="0"/>
            </w:tcBorders>
            <w:tcW w:w="477" w:type="dxa"/>
            <w:vAlign w:val="center"/>
            <w:vMerge w:val="continue"/>
            <w:textDirection w:val="lrTb"/>
            <w:noWrap w:val="false"/>
          </w:tcPr>
          <w:p>
            <w:pPr>
              <w:pStyle w:val="1061"/>
              <w:jc w:val="center"/>
              <w:spacing w:line="420" w:lineRule="exact"/>
              <w:rPr>
                <w:rFonts w:hint="eastAsia" w:ascii="微软雅黑" w:hAnsi="微软雅黑" w:cs="微软雅黑"/>
                <w:b/>
                <w:bCs/>
                <w:szCs w:val="21"/>
              </w:rPr>
            </w:pP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28" w:type="dxa"/>
            <w:vAlign w:val="top"/>
            <w:textDirection w:val="lrTb"/>
            <w:noWrap w:val="false"/>
          </w:tcPr>
          <w:p>
            <w:pPr>
              <w:pStyle w:val="1061"/>
              <w:jc w:val="center"/>
              <w:spacing w:line="420" w:lineRule="exact"/>
              <w:rPr>
                <w:rFonts w:hint="eastAsia" w:ascii="微软雅黑" w:hAnsi="微软雅黑" w:cs="微软雅黑"/>
                <w:szCs w:val="21"/>
              </w:rPr>
            </w:pPr>
            <w:r>
              <w:rPr>
                <w:rFonts w:hint="eastAsia" w:ascii="微软雅黑" w:hAnsi="微软雅黑" w:cs="微软雅黑"/>
                <w:szCs w:val="21"/>
              </w:rPr>
            </w:r>
            <w:r/>
          </w:p>
        </w:tc>
      </w:tr>
    </w:tbl>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注：</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①最终合同价格=最高单价限价*（1-投标优惠率）*实际用车次数。</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②车辆租赁期间所发生的过桥费、过路费、停车费、驾驶员食宿等其他一切费用均由供应商自行承担，采购人不再另行支付；</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③会议用车每天用车时间从早上6：00到晚上22:00止；</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④长途租车（离开南京市区）按日租报价价格产生每天（24小时）租车的基本费用，每天超公里费用累计加入每天总费用，不计算超时费用；</w:t>
      </w:r>
      <w:r>
        <w:rPr>
          <w:rFonts w:hint="eastAsia" w:ascii="微软雅黑" w:hAnsi="微软雅黑" w:cs="微软雅黑"/>
          <w:bCs/>
          <w:szCs w:val="21"/>
        </w:rPr>
      </w:r>
      <w:r/>
    </w:p>
    <w:p>
      <w:pPr>
        <w:pStyle w:val="1061"/>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⑤南京市区内租车由用车人选择半日租或日租，按标价表价格产生基本费用，超时、超公里费用同时累加计入总费用（半日租总费用超过日租报价，按日租报价产生基本费用，此后的超时、超公里费用同时累加计入总费用）。</w:t>
      </w:r>
      <w:r>
        <w:rPr>
          <w:rFonts w:hint="eastAsia" w:ascii="微软雅黑" w:hAnsi="微软雅黑" w:cs="微软雅黑"/>
          <w:bCs/>
          <w:szCs w:val="21"/>
        </w:rPr>
      </w:r>
      <w:r/>
    </w:p>
    <w:p>
      <w:pPr>
        <w:pStyle w:val="1061"/>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1061"/>
        <w:rPr>
          <w:rFonts w:hint="eastAsia"/>
        </w:rPr>
      </w:pPr>
      <w:r>
        <w:rPr>
          <w:rFonts w:hint="eastAsia"/>
        </w:rPr>
      </w:r>
      <w:r/>
    </w:p>
    <w:p>
      <w:pPr>
        <w:pStyle w:val="1062"/>
        <w:rPr>
          <w:rFonts w:hint="eastAsia" w:ascii="微软雅黑" w:hAnsi="微软雅黑" w:cs="微软雅黑"/>
          <w:szCs w:val="32"/>
        </w:rPr>
      </w:pPr>
      <w:r>
        <w:rPr>
          <w:rFonts w:hint="eastAsia" w:ascii="微软雅黑" w:hAnsi="微软雅黑" w:cs="微软雅黑"/>
        </w:rPr>
        <w:br w:type="page" w:clear="all"/>
      </w:r>
      <w:bookmarkStart w:id="303" w:name="_Toc28424"/>
      <w:r/>
      <w:bookmarkStart w:id="304" w:name="_Toc1963"/>
      <w:r/>
      <w:bookmarkStart w:id="305" w:name="_Toc5110"/>
      <w:r/>
      <w:bookmarkStart w:id="306" w:name="_Toc10967"/>
      <w:r>
        <w:rPr>
          <w:rFonts w:hint="eastAsia" w:ascii="微软雅黑" w:hAnsi="微软雅黑" w:cs="微软雅黑"/>
        </w:rPr>
        <w:t xml:space="preserve">第六章 投标文件格式</w:t>
      </w:r>
      <w:bookmarkEnd w:id="289"/>
      <w:r>
        <w:rPr>
          <w:rFonts w:hint="eastAsia" w:ascii="微软雅黑" w:hAnsi="微软雅黑" w:cs="微软雅黑"/>
        </w:rPr>
        <w:t xml:space="preserve">及附件</w:t>
      </w:r>
      <w:bookmarkEnd w:id="290"/>
      <w:r/>
      <w:bookmarkEnd w:id="303"/>
      <w:r/>
      <w:bookmarkEnd w:id="304"/>
      <w:r/>
      <w:bookmarkEnd w:id="305"/>
      <w:r/>
      <w:bookmarkEnd w:id="306"/>
      <w:r>
        <w:rPr>
          <w:rFonts w:hint="eastAsia" w:ascii="微软雅黑" w:hAnsi="微软雅黑" w:cs="微软雅黑"/>
          <w:szCs w:val="32"/>
        </w:rPr>
      </w:r>
      <w:r/>
    </w:p>
    <w:p>
      <w:pPr>
        <w:pStyle w:val="1061"/>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hint="eastAsia" w:ascii="微软雅黑" w:hAnsi="微软雅黑" w:cs="微软雅黑"/>
          <w:b/>
          <w:bCs/>
          <w:sz w:val="24"/>
          <w:szCs w:val="24"/>
        </w:rPr>
      </w:r>
      <w:r/>
    </w:p>
    <w:p>
      <w:pPr>
        <w:pStyle w:val="1061"/>
        <w:numPr>
          <w:ilvl w:val="0"/>
          <w:numId w:val="6"/>
        </w:numPr>
        <w:ind w:hanging="205"/>
        <w:jc w:val="left"/>
        <w:spacing w:line="400" w:lineRule="exact"/>
        <w:widowControl/>
        <w:rPr>
          <w:rFonts w:hint="eastAsia" w:ascii="微软雅黑" w:hAnsi="微软雅黑" w:cs="微软雅黑"/>
          <w:szCs w:val="21"/>
        </w:rPr>
      </w:pPr>
      <w:r>
        <w:rPr>
          <w:rFonts w:hint="eastAsia" w:ascii="微软雅黑" w:hAnsi="微软雅黑" w:cs="微软雅黑"/>
          <w:szCs w:val="21"/>
        </w:rPr>
        <w:t xml:space="preserve">本部分内容仅供格式参考。</w:t>
      </w:r>
      <w:r>
        <w:rPr>
          <w:rFonts w:hint="eastAsia" w:ascii="微软雅黑" w:hAnsi="微软雅黑" w:cs="微软雅黑"/>
          <w:szCs w:val="21"/>
        </w:rPr>
      </w:r>
      <w:r/>
    </w:p>
    <w:p>
      <w:pPr>
        <w:pStyle w:val="1090"/>
        <w:numPr>
          <w:ilvl w:val="0"/>
          <w:numId w:val="6"/>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rPr>
      </w:r>
      <w:r/>
    </w:p>
    <w:p>
      <w:pPr>
        <w:pStyle w:val="1061"/>
        <w:numPr>
          <w:ilvl w:val="0"/>
          <w:numId w:val="6"/>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供应商提交的材料不予退还。</w:t>
      </w:r>
      <w:r>
        <w:rPr>
          <w:rFonts w:hint="eastAsia" w:ascii="微软雅黑" w:hAnsi="微软雅黑" w:cs="微软雅黑"/>
          <w:szCs w:val="21"/>
        </w:rPr>
      </w:r>
      <w:r/>
    </w:p>
    <w:p>
      <w:pPr>
        <w:pStyle w:val="1090"/>
        <w:ind w:left="1260"/>
        <w:rPr>
          <w:rFonts w:hint="eastAsia" w:ascii="微软雅黑" w:hAnsi="微软雅黑" w:cs="微软雅黑"/>
        </w:rPr>
      </w:pPr>
      <w:r>
        <w:rPr>
          <w:rFonts w:hint="eastAsia" w:ascii="微软雅黑" w:hAnsi="微软雅黑" w:cs="微软雅黑"/>
        </w:rPr>
      </w:r>
      <w:r/>
    </w:p>
    <w:p>
      <w:pPr>
        <w:pStyle w:val="1061"/>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61"/>
        <w:jc w:val="center"/>
        <w:spacing w:line="360" w:lineRule="auto"/>
        <w:rPr>
          <w:rFonts w:hint="eastAsia" w:ascii="微软雅黑" w:hAnsi="微软雅黑" w:cs="微软雅黑"/>
        </w:rPr>
      </w:pPr>
      <w:r>
        <w:rPr>
          <w:rFonts w:hint="eastAsia" w:ascii="微软雅黑" w:hAnsi="微软雅黑" w:cs="微软雅黑"/>
        </w:rPr>
      </w:r>
      <w:r/>
    </w:p>
    <w:p>
      <w:pPr>
        <w:pStyle w:val="1061"/>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rPr>
          <w:rFonts w:hint="eastAsia" w:ascii="微软雅黑" w:hAnsi="微软雅黑" w:cs="微软雅黑"/>
          <w:sz w:val="56"/>
          <w:szCs w:val="56"/>
        </w:rPr>
      </w:r>
      <w:r/>
    </w:p>
    <w:p>
      <w:pPr>
        <w:pStyle w:val="1061"/>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061"/>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06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1"/>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1061"/>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61"/>
        <w:ind w:firstLine="800"/>
        <w:spacing w:line="360" w:lineRule="auto"/>
        <w:rPr>
          <w:rFonts w:hint="eastAsia" w:ascii="微软雅黑" w:hAnsi="微软雅黑" w:eastAsia="微软雅黑" w:cs="微软雅黑"/>
          <w:sz w:val="32"/>
          <w:szCs w:val="32"/>
          <w:lang w:eastAsia="zh-CN"/>
        </w:rPr>
      </w:pPr>
      <w:r>
        <w:rPr>
          <w:rFonts w:hint="eastAsia" w:ascii="微软雅黑" w:hAnsi="微软雅黑" w:cs="微软雅黑"/>
          <w:sz w:val="32"/>
          <w:szCs w:val="32"/>
          <w:lang w:eastAsia="zh-CN"/>
        </w:rPr>
        <w:t xml:space="preserve">分包号：</w:t>
      </w:r>
      <w:r>
        <w:rPr>
          <w:rFonts w:hint="eastAsia" w:ascii="微软雅黑" w:hAnsi="微软雅黑" w:eastAsia="微软雅黑" w:cs="微软雅黑"/>
          <w:sz w:val="32"/>
          <w:szCs w:val="32"/>
          <w:lang w:eastAsia="zh-CN"/>
        </w:rPr>
      </w:r>
      <w:r/>
    </w:p>
    <w:p>
      <w:pPr>
        <w:pStyle w:val="1061"/>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6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106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6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61"/>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61"/>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61"/>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61"/>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61"/>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90"/>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106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61"/>
        <w:spacing w:line="420" w:lineRule="exact"/>
        <w:rPr>
          <w:rFonts w:hint="eastAsia" w:ascii="微软雅黑" w:hAnsi="微软雅黑" w:cs="微软雅黑"/>
        </w:rPr>
      </w:pPr>
      <w:r>
        <w:rPr>
          <w:rFonts w:hint="eastAsia" w:ascii="微软雅黑" w:hAnsi="微软雅黑" w:cs="微软雅黑"/>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sz w:val="24"/>
          <w:szCs w:val="21"/>
        </w:rPr>
      </w:pPr>
      <w:r>
        <w:rPr>
          <w:rFonts w:hint="eastAsia" w:ascii="微软雅黑" w:hAnsi="微软雅黑" w:cs="微软雅黑"/>
          <w:sz w:val="24"/>
          <w:szCs w:val="21"/>
        </w:rPr>
      </w:r>
      <w:r/>
    </w:p>
    <w:p>
      <w:pPr>
        <w:pStyle w:val="1061"/>
        <w:rPr>
          <w:rFonts w:hint="eastAsia" w:ascii="微软雅黑" w:hAnsi="微软雅黑" w:cs="微软雅黑"/>
          <w:sz w:val="24"/>
          <w:szCs w:val="21"/>
        </w:rPr>
      </w:pPr>
      <w:r>
        <w:rPr>
          <w:rFonts w:hint="eastAsia" w:ascii="微软雅黑" w:hAnsi="微软雅黑" w:cs="微软雅黑"/>
          <w:sz w:val="24"/>
          <w:szCs w:val="21"/>
        </w:rPr>
      </w:r>
      <w:r/>
    </w:p>
    <w:p>
      <w:pPr>
        <w:pStyle w:val="1090"/>
        <w:ind w:left="1260"/>
        <w:rPr>
          <w:rFonts w:hint="eastAsia" w:ascii="微软雅黑" w:hAnsi="微软雅黑" w:cs="微软雅黑"/>
        </w:rPr>
      </w:pPr>
      <w:r>
        <w:rPr>
          <w:rFonts w:hint="eastAsia" w:ascii="微软雅黑" w:hAnsi="微软雅黑" w:cs="微软雅黑"/>
        </w:rPr>
      </w:r>
      <w:r/>
    </w:p>
    <w:p>
      <w:pPr>
        <w:pStyle w:val="1090"/>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106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106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1"/>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61"/>
        <w:spacing w:line="420" w:lineRule="exact"/>
        <w:rPr>
          <w:rFonts w:hint="eastAsia" w:ascii="微软雅黑" w:hAnsi="微软雅黑" w:cs="微软雅黑"/>
        </w:rPr>
      </w:pPr>
      <w:r>
        <w:rPr>
          <w:rFonts w:hint="eastAsia" w:ascii="微软雅黑" w:hAnsi="微软雅黑" w:cs="微软雅黑"/>
        </w:rPr>
      </w:r>
      <w:r/>
    </w:p>
    <w:p>
      <w:pPr>
        <w:pStyle w:val="1061"/>
        <w:spacing w:line="420" w:lineRule="exact"/>
        <w:rPr>
          <w:rFonts w:hint="eastAsia" w:ascii="微软雅黑" w:hAnsi="微软雅黑" w:cs="微软雅黑"/>
        </w:rPr>
      </w:pPr>
      <w:r>
        <w:rPr>
          <w:rFonts w:hint="eastAsia" w:ascii="微软雅黑" w:hAnsi="微软雅黑" w:cs="微软雅黑"/>
        </w:rPr>
      </w:r>
      <w:r/>
    </w:p>
    <w:p>
      <w:pPr>
        <w:pStyle w:val="1063"/>
        <w:rPr>
          <w:rFonts w:hint="eastAsia" w:ascii="微软雅黑" w:hAnsi="微软雅黑" w:cs="微软雅黑"/>
          <w:szCs w:val="30"/>
        </w:rPr>
      </w:pPr>
      <w:r>
        <w:rPr>
          <w:rFonts w:hint="eastAsia" w:ascii="微软雅黑" w:hAnsi="微软雅黑" w:cs="微软雅黑"/>
        </w:rPr>
        <w:br w:type="page" w:clear="all"/>
      </w:r>
      <w:bookmarkStart w:id="307" w:name="_Toc24615"/>
      <w:r/>
      <w:bookmarkStart w:id="308" w:name="_Toc26741"/>
      <w:r/>
      <w:bookmarkStart w:id="309" w:name="_Toc4075"/>
      <w:r/>
      <w:bookmarkStart w:id="310" w:name="_Toc20642"/>
      <w:r/>
      <w:bookmarkStart w:id="311" w:name="_Toc27936"/>
      <w:r/>
      <w:bookmarkStart w:id="312" w:name="_Toc25174"/>
      <w:r>
        <w:rPr>
          <w:rFonts w:hint="eastAsia" w:ascii="微软雅黑" w:hAnsi="微软雅黑" w:cs="微软雅黑"/>
        </w:rPr>
        <w:t xml:space="preserve">一、投标函、投标报价及项目相关文件</w:t>
      </w:r>
      <w:bookmarkEnd w:id="307"/>
      <w:r/>
      <w:bookmarkEnd w:id="308"/>
      <w:r/>
      <w:bookmarkEnd w:id="309"/>
      <w:r/>
      <w:bookmarkEnd w:id="310"/>
      <w:r/>
      <w:bookmarkEnd w:id="311"/>
      <w:r/>
      <w:bookmarkEnd w:id="312"/>
      <w:r>
        <w:rPr>
          <w:rFonts w:hint="eastAsia" w:ascii="微软雅黑" w:hAnsi="微软雅黑" w:cs="微软雅黑"/>
          <w:szCs w:val="30"/>
        </w:rPr>
      </w:r>
      <w:r/>
    </w:p>
    <w:p>
      <w:pPr>
        <w:pStyle w:val="1064"/>
        <w:rPr>
          <w:rFonts w:hint="eastAsia" w:ascii="微软雅黑" w:hAnsi="微软雅黑" w:cs="微软雅黑"/>
          <w:b/>
          <w:bCs w:val="0"/>
          <w:sz w:val="24"/>
          <w:szCs w:val="24"/>
        </w:rPr>
      </w:pPr>
      <w:r/>
      <w:bookmarkStart w:id="313" w:name="_Toc8455"/>
      <w:r/>
      <w:bookmarkStart w:id="314" w:name="_Toc28838"/>
      <w:r/>
      <w:bookmarkStart w:id="315" w:name="_Toc22366"/>
      <w:r/>
      <w:bookmarkStart w:id="316" w:name="_Toc8176"/>
      <w:r/>
      <w:bookmarkStart w:id="317" w:name="_Toc10100"/>
      <w:r>
        <w:rPr>
          <w:rFonts w:hint="eastAsia" w:ascii="微软雅黑" w:hAnsi="微软雅黑" w:cs="微软雅黑"/>
          <w:b/>
          <w:bCs w:val="0"/>
          <w:sz w:val="24"/>
          <w:szCs w:val="24"/>
        </w:rPr>
        <w:t xml:space="preserve">1.投标函</w:t>
      </w:r>
      <w:bookmarkEnd w:id="313"/>
      <w:r/>
      <w:bookmarkEnd w:id="314"/>
      <w:r/>
      <w:bookmarkEnd w:id="315"/>
      <w:r/>
      <w:bookmarkEnd w:id="316"/>
      <w:r/>
      <w:bookmarkEnd w:id="317"/>
      <w:r>
        <w:rPr>
          <w:rFonts w:hint="eastAsia" w:ascii="微软雅黑" w:hAnsi="微软雅黑" w:cs="微软雅黑"/>
          <w:b/>
          <w:bCs w:val="0"/>
          <w:sz w:val="24"/>
          <w:szCs w:val="24"/>
        </w:rPr>
      </w:r>
      <w:r/>
    </w:p>
    <w:p>
      <w:pPr>
        <w:pStyle w:val="1061"/>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1061"/>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r>
      <w:r/>
    </w:p>
    <w:p>
      <w:pPr>
        <w:pStyle w:val="1090"/>
        <w:ind w:left="1260"/>
        <w:rPr>
          <w:rFonts w:hint="eastAsia" w:ascii="微软雅黑" w:hAnsi="微软雅黑" w:cs="微软雅黑"/>
        </w:rPr>
      </w:pPr>
      <w:r>
        <w:rPr>
          <w:rFonts w:hint="eastAsia" w:ascii="微软雅黑" w:hAnsi="微软雅黑" w:cs="微软雅黑"/>
        </w:rPr>
      </w:r>
      <w:r/>
    </w:p>
    <w:p>
      <w:pPr>
        <w:pStyle w:val="1061"/>
        <w:rPr>
          <w:rFonts w:hint="eastAsia" w:ascii="微软雅黑" w:hAnsi="微软雅黑" w:cs="微软雅黑"/>
        </w:rPr>
      </w:pPr>
      <w:r>
        <w:rPr>
          <w:rFonts w:hint="eastAsia" w:ascii="微软雅黑" w:hAnsi="微软雅黑" w:cs="微软雅黑"/>
        </w:rPr>
      </w:r>
      <w:r/>
    </w:p>
    <w:p>
      <w:pPr>
        <w:pStyle w:val="1090"/>
        <w:ind w:left="1260"/>
        <w:rPr>
          <w:rFonts w:hint="eastAsia" w:ascii="微软雅黑" w:hAnsi="微软雅黑" w:cs="微软雅黑"/>
        </w:rPr>
      </w:pPr>
      <w:r>
        <w:rPr>
          <w:rFonts w:hint="eastAsia" w:ascii="微软雅黑" w:hAnsi="微软雅黑" w:cs="微软雅黑"/>
        </w:rPr>
      </w:r>
      <w:r/>
    </w:p>
    <w:p>
      <w:pPr>
        <w:pStyle w:val="1061"/>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064"/>
        <w:rPr>
          <w:rFonts w:hint="eastAsia" w:ascii="微软雅黑" w:hAnsi="微软雅黑" w:cs="微软雅黑"/>
          <w:b/>
          <w:bCs w:val="0"/>
          <w:sz w:val="24"/>
          <w:szCs w:val="24"/>
        </w:rPr>
      </w:pPr>
      <w:r/>
      <w:bookmarkStart w:id="318" w:name="_Toc17675"/>
      <w:r/>
      <w:bookmarkStart w:id="319" w:name="_Toc28250"/>
      <w:r/>
      <w:bookmarkStart w:id="320" w:name="_Toc20671"/>
      <w:r/>
      <w:bookmarkStart w:id="321" w:name="_Toc758"/>
      <w:r/>
      <w:bookmarkStart w:id="322" w:name="_Toc17006"/>
      <w:r>
        <w:rPr>
          <w:rFonts w:hint="eastAsia" w:ascii="微软雅黑" w:hAnsi="微软雅黑" w:cs="微软雅黑"/>
          <w:b/>
          <w:bCs w:val="0"/>
          <w:sz w:val="24"/>
          <w:szCs w:val="24"/>
        </w:rPr>
        <w:t xml:space="preserve">2.开标一览表</w:t>
      </w:r>
      <w:bookmarkEnd w:id="318"/>
      <w:r/>
      <w:bookmarkEnd w:id="319"/>
      <w:r>
        <w:rPr>
          <w:rFonts w:hint="eastAsia" w:ascii="微软雅黑" w:hAnsi="微软雅黑" w:cs="微软雅黑"/>
          <w:b/>
          <w:bCs w:val="0"/>
          <w:sz w:val="24"/>
          <w:szCs w:val="24"/>
        </w:rPr>
        <w:t xml:space="preserve">（分包号：）</w:t>
      </w:r>
      <w:bookmarkEnd w:id="320"/>
      <w:r/>
      <w:bookmarkEnd w:id="321"/>
      <w:r/>
      <w:bookmarkEnd w:id="322"/>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86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607" w:type="dxa"/>
            <w:vAlign w:val="center"/>
            <w:textDirection w:val="lrTb"/>
            <w:noWrap w:val="false"/>
          </w:tcPr>
          <w:p>
            <w:pPr>
              <w:pStyle w:val="1061"/>
              <w:rPr>
                <w:rFonts w:hint="eastAsia" w:ascii="微软雅黑" w:hAnsi="微软雅黑" w:cs="微软雅黑"/>
              </w:rPr>
            </w:pPr>
            <w:r>
              <w:rPr>
                <w:rFonts w:hint="eastAsia" w:ascii="微软雅黑" w:hAnsi="微软雅黑" w:cs="微软雅黑"/>
              </w:rPr>
            </w:r>
            <w:r/>
          </w:p>
        </w:tc>
      </w:tr>
      <w:tr>
        <w:trPr>
          <w:cantSplit/>
          <w:trHeight w:val="870"/>
        </w:trPr>
        <w:tc>
          <w:tcPr>
            <w:tcW w:w="63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86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607" w:type="dxa"/>
            <w:vAlign w:val="center"/>
            <w:textDirection w:val="lrTb"/>
            <w:noWrap w:val="false"/>
          </w:tcPr>
          <w:p>
            <w:pPr>
              <w:pStyle w:val="1061"/>
              <w:rPr>
                <w:rFonts w:hint="eastAsia" w:ascii="微软雅黑" w:hAnsi="微软雅黑" w:cs="微软雅黑"/>
              </w:rPr>
            </w:pPr>
            <w:r>
              <w:rPr>
                <w:rFonts w:hint="eastAsia" w:ascii="微软雅黑" w:hAnsi="微软雅黑" w:cs="微软雅黑"/>
              </w:rPr>
            </w:r>
            <w:r/>
          </w:p>
        </w:tc>
      </w:tr>
      <w:tr>
        <w:trPr>
          <w:cantSplit/>
          <w:trHeight w:val="1452"/>
        </w:trPr>
        <w:tc>
          <w:tcPr>
            <w:tcW w:w="63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861" w:type="dxa"/>
            <w:vAlign w:val="center"/>
            <w:textDirection w:val="lrTb"/>
            <w:noWrap w:val="false"/>
          </w:tcPr>
          <w:p>
            <w:pPr>
              <w:pStyle w:val="1061"/>
              <w:jc w:val="center"/>
              <w:rPr>
                <w:rFonts w:hint="eastAsia" w:ascii="微软雅黑" w:hAnsi="微软雅黑" w:cs="微软雅黑"/>
              </w:rPr>
            </w:pPr>
            <w:r>
              <w:rPr>
                <w:rFonts w:hint="eastAsia" w:ascii="微软雅黑" w:hAnsi="微软雅黑" w:cs="微软雅黑"/>
              </w:rPr>
              <w:t xml:space="preserve">投标报价</w:t>
            </w:r>
            <w:r>
              <w:rPr>
                <w:rFonts w:hint="eastAsia" w:ascii="微软雅黑" w:hAnsi="微软雅黑" w:cs="微软雅黑"/>
              </w:rPr>
            </w:r>
            <w:r/>
          </w:p>
          <w:p>
            <w:pPr>
              <w:pStyle w:val="1061"/>
              <w:jc w:val="center"/>
              <w:rPr>
                <w:rFonts w:hint="eastAsia" w:ascii="微软雅黑" w:hAnsi="微软雅黑" w:cs="微软雅黑"/>
              </w:rPr>
            </w:pPr>
            <w:r>
              <w:rPr>
                <w:rFonts w:hint="eastAsia" w:ascii="微软雅黑" w:hAnsi="微软雅黑" w:cs="微软雅黑"/>
              </w:rPr>
              <w:t xml:space="preserve">（</w:t>
            </w:r>
            <w:r>
              <w:rPr>
                <w:rFonts w:hint="eastAsia" w:ascii="微软雅黑" w:hAnsi="微软雅黑" w:cs="微软雅黑"/>
                <w:lang w:eastAsia="zh-CN"/>
              </w:rPr>
              <w:t xml:space="preserve">优惠</w:t>
            </w:r>
            <w:r>
              <w:rPr>
                <w:rFonts w:hint="eastAsia" w:ascii="微软雅黑" w:hAnsi="微软雅黑" w:cs="微软雅黑"/>
              </w:rPr>
              <w:t xml:space="preserve">率）</w:t>
            </w:r>
            <w:r>
              <w:rPr>
                <w:rFonts w:hint="eastAsia" w:ascii="微软雅黑" w:hAnsi="微软雅黑" w:cs="微软雅黑"/>
              </w:rPr>
            </w:r>
            <w:r/>
          </w:p>
        </w:tc>
        <w:tc>
          <w:tcPr>
            <w:tcW w:w="5607" w:type="dxa"/>
            <w:vAlign w:val="center"/>
            <w:textDirection w:val="lrTb"/>
            <w:noWrap w:val="false"/>
          </w:tcPr>
          <w:p>
            <w:pPr>
              <w:pStyle w:val="1061"/>
              <w:rPr>
                <w:rFonts w:hint="eastAsia"/>
              </w:rPr>
            </w:pPr>
            <w:r>
              <w:rPr>
                <w:rFonts w:hint="eastAsia"/>
                <w:u w:val="single"/>
              </w:rPr>
              <w:t xml:space="preserve">               </w:t>
            </w:r>
            <w:r>
              <w:rPr>
                <w:rFonts w:hint="eastAsia" w:ascii="微软雅黑" w:hAnsi="微软雅黑" w:cs="微软雅黑"/>
                <w:u w:val="single"/>
              </w:rPr>
              <w:t xml:space="preserve">%</w:t>
            </w:r>
            <w:r>
              <w:rPr>
                <w:rFonts w:hint="eastAsia"/>
              </w:rPr>
            </w:r>
            <w:r/>
          </w:p>
        </w:tc>
      </w:tr>
    </w:tbl>
    <w:p>
      <w:pPr>
        <w:pStyle w:val="1061"/>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061"/>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1"/>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90"/>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61"/>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61"/>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061"/>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061"/>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1090"/>
        <w:ind w:left="0" w:firstLine="360"/>
        <w:spacing w:line="36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bookmarkStart w:id="323" w:name="_Toc17991"/>
      <w:r/>
      <w:bookmarkStart w:id="324" w:name="_Toc214"/>
      <w:r/>
      <w:bookmarkStart w:id="325" w:name="_Toc365968480"/>
      <w:r/>
      <w:bookmarkStart w:id="326" w:name="_Toc28866"/>
      <w:r/>
      <w:bookmarkStart w:id="327" w:name="_Toc365968484"/>
      <w:r/>
      <w:bookmarkStart w:id="328" w:name="_Toc351733249"/>
      <w:r>
        <w:rPr>
          <w:rFonts w:hint="eastAsia" w:ascii="微软雅黑" w:hAnsi="微软雅黑" w:cs="微软雅黑"/>
          <w:b/>
          <w:bCs/>
          <w:sz w:val="18"/>
          <w:szCs w:val="18"/>
        </w:rPr>
      </w:r>
      <w:r/>
    </w:p>
    <w:p>
      <w:pPr>
        <w:pStyle w:val="1061"/>
        <w:ind w:firstLine="360"/>
        <w:rPr>
          <w:rFonts w:hint="eastAsia" w:ascii="微软雅黑" w:hAnsi="微软雅黑" w:cs="微软雅黑"/>
          <w:b/>
          <w:bCs/>
          <w:sz w:val="18"/>
          <w:szCs w:val="18"/>
        </w:rPr>
      </w:pPr>
      <w:r>
        <w:rPr>
          <w:rFonts w:hint="eastAsia" w:ascii="微软雅黑" w:hAnsi="微软雅黑" w:cs="微软雅黑"/>
          <w:b/>
          <w:bCs/>
          <w:sz w:val="18"/>
          <w:szCs w:val="18"/>
        </w:rPr>
        <w:t xml:space="preserve">（4）报价要求：本项目投标报价为收费定价（单价）标准的</w:t>
      </w:r>
      <w:r>
        <w:rPr>
          <w:rFonts w:hint="eastAsia" w:ascii="微软雅黑" w:hAnsi="微软雅黑" w:cs="微软雅黑"/>
          <w:b/>
          <w:bCs/>
          <w:sz w:val="18"/>
          <w:szCs w:val="18"/>
          <w:lang w:eastAsia="zh-CN"/>
        </w:rPr>
        <w:t xml:space="preserve">优惠</w:t>
      </w:r>
      <w:r>
        <w:rPr>
          <w:rFonts w:hint="eastAsia" w:ascii="微软雅黑" w:hAnsi="微软雅黑" w:cs="微软雅黑"/>
          <w:b/>
          <w:bCs/>
          <w:sz w:val="18"/>
          <w:szCs w:val="18"/>
        </w:rPr>
        <w:t xml:space="preserve">率，该</w:t>
      </w:r>
      <w:r>
        <w:rPr>
          <w:rFonts w:hint="eastAsia" w:ascii="微软雅黑" w:hAnsi="微软雅黑" w:cs="微软雅黑"/>
          <w:b/>
          <w:bCs/>
          <w:sz w:val="18"/>
          <w:szCs w:val="18"/>
          <w:lang w:eastAsia="zh-CN"/>
        </w:rPr>
        <w:t xml:space="preserve">优惠</w:t>
      </w:r>
      <w:r>
        <w:rPr>
          <w:rFonts w:hint="eastAsia" w:ascii="微软雅黑" w:hAnsi="微软雅黑" w:cs="微软雅黑"/>
          <w:b/>
          <w:bCs/>
          <w:sz w:val="18"/>
          <w:szCs w:val="18"/>
        </w:rPr>
        <w:t xml:space="preserve">率必须为唯一固定值，范围为0%﹤</w:t>
      </w:r>
      <w:r>
        <w:rPr>
          <w:rFonts w:hint="eastAsia" w:ascii="微软雅黑" w:hAnsi="微软雅黑" w:cs="微软雅黑"/>
          <w:b/>
          <w:bCs/>
          <w:sz w:val="18"/>
          <w:szCs w:val="18"/>
          <w:lang w:eastAsia="zh-CN"/>
        </w:rPr>
        <w:t xml:space="preserve">优惠</w:t>
      </w:r>
      <w:r>
        <w:rPr>
          <w:rFonts w:hint="eastAsia" w:ascii="微软雅黑" w:hAnsi="微软雅黑" w:cs="微软雅黑"/>
          <w:b/>
          <w:bCs/>
          <w:sz w:val="18"/>
          <w:szCs w:val="18"/>
        </w:rPr>
        <w:t xml:space="preserve">率≤100%。最终合同价格=最高单价限价*（1-投标优惠率）*实际用车次数。</w:t>
      </w:r>
      <w:r>
        <w:rPr>
          <w:rFonts w:hint="eastAsia" w:ascii="微软雅黑" w:hAnsi="微软雅黑" w:cs="微软雅黑"/>
          <w:b/>
          <w:bCs/>
          <w:sz w:val="18"/>
          <w:szCs w:val="18"/>
          <w:lang w:eastAsia="zh-CN"/>
        </w:rPr>
        <w:t xml:space="preserve">如</w:t>
      </w:r>
      <w:r>
        <w:rPr>
          <w:rFonts w:hint="eastAsia" w:ascii="微软雅黑" w:hAnsi="微软雅黑" w:cs="微软雅黑"/>
          <w:b/>
          <w:bCs/>
          <w:sz w:val="18"/>
          <w:szCs w:val="18"/>
          <w:lang w:eastAsia="zh-CN"/>
        </w:rPr>
        <w:t xml:space="preserve">某次用车670元标准</w:t>
      </w:r>
      <w:r>
        <w:rPr>
          <w:rFonts w:hint="eastAsia" w:ascii="微软雅黑" w:hAnsi="微软雅黑" w:cs="微软雅黑"/>
          <w:b/>
          <w:bCs/>
          <w:sz w:val="18"/>
          <w:szCs w:val="18"/>
        </w:rPr>
        <w:t xml:space="preserve">，中标供应商的优惠率报价为5%，那么实际结算金额为</w:t>
      </w:r>
      <w:r>
        <w:rPr>
          <w:rFonts w:hint="eastAsia" w:ascii="微软雅黑" w:hAnsi="微软雅黑" w:cs="微软雅黑"/>
          <w:b/>
          <w:bCs/>
          <w:sz w:val="18"/>
          <w:szCs w:val="18"/>
          <w:lang w:val="en-US" w:eastAsia="zh-CN"/>
        </w:rPr>
        <w:t xml:space="preserve">6</w:t>
      </w:r>
      <w:r>
        <w:rPr>
          <w:rFonts w:hint="eastAsia" w:ascii="微软雅黑" w:hAnsi="微软雅黑" w:cs="微软雅黑"/>
          <w:b/>
          <w:bCs/>
          <w:sz w:val="18"/>
          <w:szCs w:val="18"/>
          <w:lang w:val="en-US" w:eastAsia="zh-CN"/>
        </w:rPr>
        <w:t xml:space="preserve">70</w:t>
      </w:r>
      <w:r>
        <w:rPr>
          <w:rFonts w:hint="eastAsia" w:ascii="微软雅黑" w:hAnsi="微软雅黑" w:cs="微软雅黑"/>
          <w:b/>
          <w:bCs/>
          <w:sz w:val="18"/>
          <w:szCs w:val="18"/>
        </w:rPr>
        <w:t xml:space="preserve">*(1-5%) =</w:t>
      </w:r>
      <w:r>
        <w:rPr>
          <w:rFonts w:hint="eastAsia" w:ascii="微软雅黑" w:hAnsi="微软雅黑" w:cs="微软雅黑"/>
          <w:b/>
          <w:bCs/>
          <w:sz w:val="18"/>
          <w:szCs w:val="18"/>
          <w:lang w:val="en-US" w:eastAsia="zh-CN"/>
        </w:rPr>
        <w:t xml:space="preserve">6</w:t>
      </w:r>
      <w:r>
        <w:rPr>
          <w:rFonts w:hint="eastAsia" w:ascii="微软雅黑" w:hAnsi="微软雅黑" w:cs="微软雅黑"/>
          <w:b/>
          <w:bCs/>
          <w:sz w:val="18"/>
          <w:szCs w:val="18"/>
          <w:lang w:val="en-US" w:eastAsia="zh-CN"/>
        </w:rPr>
        <w:t xml:space="preserve">36.5</w:t>
      </w:r>
      <w:r>
        <w:rPr>
          <w:rFonts w:hint="eastAsia" w:ascii="微软雅黑" w:hAnsi="微软雅黑" w:cs="微软雅黑"/>
          <w:b/>
          <w:bCs/>
          <w:sz w:val="18"/>
          <w:szCs w:val="18"/>
        </w:rPr>
        <w:t xml:space="preserve">元。</w:t>
      </w:r>
      <w:r>
        <w:rPr>
          <w:rFonts w:hint="eastAsia" w:ascii="微软雅黑" w:hAnsi="微软雅黑" w:cs="微软雅黑"/>
          <w:b/>
          <w:bCs/>
          <w:sz w:val="18"/>
          <w:szCs w:val="18"/>
        </w:rPr>
      </w:r>
      <w:r/>
    </w:p>
    <w:p>
      <w:pPr>
        <w:pStyle w:val="1061"/>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1061"/>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1061"/>
        <w:ind w:left="425" w:hanging="425"/>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1064"/>
        <w:rPr>
          <w:rFonts w:hint="eastAsia"/>
        </w:rPr>
      </w:pPr>
      <w:r>
        <w:rPr>
          <w:rFonts w:hint="eastAsia" w:ascii="微软雅黑" w:hAnsi="微软雅黑" w:cs="微软雅黑"/>
          <w:b/>
          <w:bCs w:val="0"/>
          <w:sz w:val="24"/>
          <w:szCs w:val="28"/>
        </w:rPr>
        <w:br w:type="page" w:clear="all"/>
      </w:r>
      <w:bookmarkStart w:id="329" w:name="_Toc13366"/>
      <w:r/>
      <w:bookmarkStart w:id="330" w:name="_Toc2983"/>
      <w:r/>
      <w:bookmarkStart w:id="331" w:name="_Toc31610"/>
      <w:r>
        <w:rPr>
          <w:rFonts w:hint="eastAsia" w:ascii="微软雅黑" w:hAnsi="微软雅黑" w:cs="微软雅黑"/>
          <w:b/>
          <w:bCs w:val="0"/>
          <w:sz w:val="24"/>
          <w:szCs w:val="28"/>
        </w:rPr>
        <w:t xml:space="preserve">3.技术要求响应表</w:t>
      </w:r>
      <w:bookmarkEnd w:id="323"/>
      <w:r/>
      <w:bookmarkEnd w:id="324"/>
      <w:r/>
      <w:bookmarkEnd w:id="325"/>
      <w:r/>
      <w:bookmarkEnd w:id="326"/>
      <w:r>
        <w:rPr>
          <w:rFonts w:hint="eastAsia" w:ascii="微软雅黑" w:hAnsi="微软雅黑" w:cs="微软雅黑"/>
          <w:b/>
          <w:bCs w:val="0"/>
          <w:sz w:val="24"/>
          <w:szCs w:val="28"/>
        </w:rPr>
        <w:t xml:space="preserve">（分包号：）</w:t>
      </w:r>
      <w:bookmarkEnd w:id="329"/>
      <w:r/>
      <w:bookmarkEnd w:id="330"/>
      <w:r/>
      <w:bookmarkEnd w:id="331"/>
      <w:r>
        <w:rPr>
          <w:rFonts w:hint="eastAsia"/>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序号</w:t>
            </w:r>
            <w:r>
              <w:rPr>
                <w:rFonts w:ascii="微软雅黑" w:hAnsi="微软雅黑"/>
              </w:rPr>
            </w:r>
            <w:r/>
          </w:p>
        </w:tc>
        <w:tc>
          <w:tcPr>
            <w:tcW w:w="2655"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原服务要求主要条款描述</w:t>
            </w:r>
            <w:r>
              <w:rPr>
                <w:rFonts w:ascii="微软雅黑" w:hAnsi="微软雅黑"/>
              </w:rPr>
            </w:r>
            <w:r/>
          </w:p>
        </w:tc>
        <w:tc>
          <w:tcPr>
            <w:tcW w:w="2406"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投标人服务要求描述</w:t>
            </w:r>
            <w:r>
              <w:rPr>
                <w:rFonts w:ascii="微软雅黑" w:hAnsi="微软雅黑"/>
              </w:rPr>
            </w:r>
            <w:r/>
          </w:p>
        </w:tc>
        <w:tc>
          <w:tcPr>
            <w:tcW w:w="1877"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偏离情况（+/-/=）</w:t>
            </w:r>
            <w:r>
              <w:rPr>
                <w:rFonts w:ascii="微软雅黑" w:hAnsi="微软雅黑"/>
              </w:rPr>
            </w:r>
            <w:r/>
          </w:p>
        </w:tc>
      </w:tr>
      <w:tr>
        <w:trPr>
          <w:trHeight w:val="619"/>
          <w:tblHeader/>
        </w:trPr>
        <w:tc>
          <w:tcPr>
            <w:tcW w:w="1079"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655"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r>
      <w:tr>
        <w:trPr>
          <w:trHeight w:val="605"/>
          <w:tblHeader/>
        </w:trPr>
        <w:tc>
          <w:tcPr>
            <w:tcW w:w="1079"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655"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r>
      <w:tr>
        <w:trPr>
          <w:trHeight w:val="618"/>
          <w:tblHeader/>
        </w:trPr>
        <w:tc>
          <w:tcPr>
            <w:tcW w:w="1079" w:type="dxa"/>
            <w:vAlign w:val="top"/>
            <w:textDirection w:val="lrTb"/>
            <w:noWrap w:val="false"/>
          </w:tcPr>
          <w:p>
            <w:pPr>
              <w:pStyle w:val="1061"/>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655"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61"/>
              <w:jc w:val="center"/>
              <w:spacing w:line="440" w:lineRule="exact"/>
              <w:rPr>
                <w:rFonts w:ascii="微软雅黑" w:hAnsi="微软雅黑"/>
              </w:rPr>
            </w:pPr>
            <w:r>
              <w:rPr>
                <w:rFonts w:ascii="微软雅黑" w:hAnsi="微软雅黑"/>
              </w:rPr>
            </w:r>
            <w:r/>
          </w:p>
        </w:tc>
      </w:tr>
    </w:tbl>
    <w:p>
      <w:pPr>
        <w:pStyle w:val="1061"/>
        <w:spacing w:line="440" w:lineRule="exact"/>
        <w:rPr>
          <w:rFonts w:ascii="微软雅黑" w:hAnsi="微软雅黑" w:cs="微软雅黑"/>
          <w:sz w:val="28"/>
        </w:rPr>
      </w:pPr>
      <w:r>
        <w:rPr>
          <w:rFonts w:ascii="微软雅黑" w:hAnsi="微软雅黑" w:cs="微软雅黑"/>
          <w:sz w:val="28"/>
        </w:rPr>
      </w:r>
      <w:r/>
    </w:p>
    <w:p>
      <w:pPr>
        <w:pStyle w:val="1061"/>
        <w:spacing w:line="440" w:lineRule="exact"/>
        <w:rPr>
          <w:rFonts w:ascii="微软雅黑" w:hAnsi="微软雅黑" w:cs="微软雅黑"/>
        </w:rPr>
      </w:pPr>
      <w:r>
        <w:rPr>
          <w:rFonts w:hint="eastAsia" w:ascii="微软雅黑" w:hAnsi="微软雅黑" w:cs="微软雅黑"/>
        </w:rPr>
        <w:t xml:space="preserve">供应商全称（公章）：        </w:t>
      </w:r>
      <w:r>
        <w:rPr>
          <w:rFonts w:ascii="微软雅黑" w:hAnsi="微软雅黑" w:cs="微软雅黑"/>
        </w:rPr>
      </w:r>
      <w:r/>
    </w:p>
    <w:p>
      <w:pPr>
        <w:pStyle w:val="1061"/>
        <w:spacing w:line="440" w:lineRule="exact"/>
        <w:rPr>
          <w:rFonts w:ascii="微软雅黑" w:hAnsi="微软雅黑" w:cs="微软雅黑"/>
        </w:rPr>
      </w:pPr>
      <w:r>
        <w:rPr>
          <w:rFonts w:hint="eastAsia" w:ascii="微软雅黑" w:hAnsi="微软雅黑" w:cs="微软雅黑"/>
        </w:rPr>
        <w:t xml:space="preserve">法定代表人（授权代表）（签字/盖章）：   </w:t>
      </w:r>
      <w:r>
        <w:rPr>
          <w:rFonts w:ascii="微软雅黑" w:hAnsi="微软雅黑" w:cs="微软雅黑"/>
        </w:rPr>
      </w:r>
      <w:r/>
    </w:p>
    <w:p>
      <w:pPr>
        <w:pStyle w:val="1090"/>
        <w:ind w:left="0"/>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61"/>
        <w:ind w:firstLine="140"/>
        <w:spacing w:line="440" w:lineRule="exact"/>
        <w:rPr>
          <w:rFonts w:ascii="微软雅黑" w:hAnsi="微软雅黑" w:cs="微软雅黑"/>
          <w:sz w:val="28"/>
        </w:rPr>
      </w:pPr>
      <w:r>
        <w:rPr>
          <w:rFonts w:ascii="微软雅黑" w:hAnsi="微软雅黑" w:cs="微软雅黑"/>
          <w:sz w:val="28"/>
        </w:rPr>
      </w:r>
      <w:r/>
    </w:p>
    <w:p>
      <w:pPr>
        <w:pStyle w:val="1061"/>
        <w:ind w:firstLine="90"/>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投标单位根据系统方案添加的设备、材料等也请列出。</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投标单位必须仔细阅读本采购文件“第四章”中所有服务要求，并对服务要求</w:t>
      </w:r>
      <w:r>
        <w:rPr>
          <w:rFonts w:hint="eastAsia" w:ascii="微软雅黑" w:hAnsi="微软雅黑" w:cs="黑体"/>
          <w:sz w:val="18"/>
          <w:szCs w:val="18"/>
          <w:lang w:eastAsia="zh-CN"/>
        </w:rPr>
        <w:t xml:space="preserve">逐条</w:t>
      </w:r>
      <w:r>
        <w:rPr>
          <w:rFonts w:hint="eastAsia" w:ascii="微软雅黑" w:hAnsi="微软雅黑" w:cs="黑体"/>
          <w:sz w:val="18"/>
          <w:szCs w:val="18"/>
        </w:rPr>
        <w:t xml:space="preserve">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投标单位必须根据所投货物、工程或服务的实际情况如实填写，评委会如发现有虚假描述的，该投标文件视为无效。</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若投标文件中出现技术参数和功能与此表表述不一致的，以此表为准。</w:t>
      </w:r>
      <w:r>
        <w:rPr>
          <w:rFonts w:ascii="微软雅黑" w:hAnsi="微软雅黑" w:cs="黑体"/>
          <w:sz w:val="18"/>
          <w:szCs w:val="18"/>
        </w:rPr>
      </w:r>
      <w:r/>
    </w:p>
    <w:p>
      <w:pPr>
        <w:pStyle w:val="1061"/>
        <w:numPr>
          <w:ilvl w:val="3"/>
          <w:numId w:val="7"/>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若本项目有多个分包的，则每个分包须分别填写此表，并注明分包号。</w:t>
      </w:r>
      <w:r>
        <w:rPr>
          <w:rFonts w:ascii="微软雅黑" w:hAnsi="微软雅黑" w:cs="黑体"/>
          <w:sz w:val="18"/>
          <w:szCs w:val="18"/>
        </w:rPr>
      </w:r>
      <w:r/>
    </w:p>
    <w:p>
      <w:pPr>
        <w:pStyle w:val="1061"/>
        <w:ind w:left="426" w:hanging="426"/>
        <w:spacing w:line="440" w:lineRule="exact"/>
        <w:rPr>
          <w:rFonts w:ascii="微软雅黑" w:hAnsi="微软雅黑" w:cs="微软雅黑"/>
          <w:szCs w:val="21"/>
        </w:rPr>
      </w:pPr>
      <w:r>
        <w:rPr>
          <w:rFonts w:ascii="微软雅黑" w:hAnsi="微软雅黑" w:cs="微软雅黑"/>
          <w:szCs w:val="21"/>
        </w:rPr>
      </w:r>
      <w:r/>
    </w:p>
    <w:p>
      <w:pPr>
        <w:pStyle w:val="1090"/>
        <w:ind w:left="1260"/>
        <w:spacing w:line="440" w:lineRule="exact"/>
        <w:rPr>
          <w:rFonts w:ascii="微软雅黑" w:hAnsi="微软雅黑" w:cs="微软雅黑"/>
          <w:szCs w:val="21"/>
        </w:rPr>
      </w:pPr>
      <w:r>
        <w:rPr>
          <w:rFonts w:ascii="微软雅黑" w:hAnsi="微软雅黑" w:cs="微软雅黑"/>
          <w:szCs w:val="21"/>
        </w:rPr>
      </w:r>
      <w:r/>
    </w:p>
    <w:p>
      <w:pPr>
        <w:pStyle w:val="1061"/>
        <w:spacing w:line="440" w:lineRule="exact"/>
        <w:rPr>
          <w:rFonts w:ascii="微软雅黑" w:hAnsi="微软雅黑" w:cs="微软雅黑"/>
          <w:szCs w:val="21"/>
        </w:rPr>
      </w:pPr>
      <w:r>
        <w:rPr>
          <w:rFonts w:ascii="微软雅黑" w:hAnsi="微软雅黑" w:cs="微软雅黑"/>
          <w:szCs w:val="21"/>
        </w:rPr>
      </w:r>
      <w:r/>
    </w:p>
    <w:p>
      <w:pPr>
        <w:pStyle w:val="1090"/>
        <w:ind w:left="1260"/>
        <w:spacing w:line="440" w:lineRule="exact"/>
        <w:rPr>
          <w:rFonts w:ascii="微软雅黑" w:hAnsi="微软雅黑" w:cs="微软雅黑"/>
          <w:szCs w:val="21"/>
        </w:rPr>
      </w:pPr>
      <w:r>
        <w:rPr>
          <w:rFonts w:ascii="微软雅黑" w:hAnsi="微软雅黑" w:cs="微软雅黑"/>
          <w:szCs w:val="21"/>
        </w:rPr>
      </w:r>
      <w:r/>
    </w:p>
    <w:p>
      <w:pPr>
        <w:pStyle w:val="1064"/>
        <w:rPr>
          <w:rFonts w:hint="eastAsia" w:ascii="微软雅黑" w:hAnsi="微软雅黑" w:cs="微软雅黑"/>
          <w:b/>
          <w:bCs w:val="0"/>
          <w:sz w:val="24"/>
          <w:szCs w:val="28"/>
        </w:rPr>
      </w:pPr>
      <w:r/>
      <w:bookmarkStart w:id="332" w:name="_Toc24595"/>
      <w:r/>
      <w:bookmarkStart w:id="333" w:name="_Toc365968482"/>
      <w:r/>
      <w:bookmarkStart w:id="334" w:name="_Toc493455961"/>
      <w:r>
        <w:rPr>
          <w:rFonts w:hint="eastAsia" w:ascii="微软雅黑" w:hAnsi="微软雅黑" w:cs="微软雅黑"/>
          <w:sz w:val="30"/>
          <w:szCs w:val="30"/>
        </w:rPr>
        <w:br w:type="page" w:clear="all"/>
      </w:r>
      <w:bookmarkStart w:id="335" w:name="_Toc24498"/>
      <w:r/>
      <w:bookmarkStart w:id="336" w:name="_Toc14634"/>
      <w:r/>
      <w:bookmarkStart w:id="337" w:name="_Toc4717"/>
      <w:r/>
      <w:bookmarkStart w:id="338" w:name="_Toc26505"/>
      <w:r/>
      <w:bookmarkStart w:id="339" w:name="_Toc12742"/>
      <w:r>
        <w:rPr>
          <w:rFonts w:hint="eastAsia" w:ascii="微软雅黑" w:hAnsi="微软雅黑" w:cs="微软雅黑"/>
          <w:b/>
          <w:bCs w:val="0"/>
          <w:sz w:val="24"/>
          <w:szCs w:val="28"/>
        </w:rPr>
        <w:t xml:space="preserve">4.商务要求响应表</w:t>
      </w:r>
      <w:bookmarkEnd w:id="332"/>
      <w:r/>
      <w:bookmarkEnd w:id="333"/>
      <w:r/>
      <w:bookmarkEnd w:id="334"/>
      <w:r/>
      <w:bookmarkEnd w:id="335"/>
      <w:r/>
      <w:bookmarkEnd w:id="336"/>
      <w:r>
        <w:rPr>
          <w:rFonts w:hint="eastAsia" w:ascii="微软雅黑" w:hAnsi="微软雅黑" w:cs="微软雅黑"/>
          <w:b/>
          <w:bCs w:val="0"/>
          <w:sz w:val="24"/>
          <w:szCs w:val="28"/>
        </w:rPr>
        <w:t xml:space="preserve">（分包号：）</w:t>
      </w:r>
      <w:bookmarkEnd w:id="337"/>
      <w:r/>
      <w:bookmarkEnd w:id="338"/>
      <w:r/>
      <w:bookmarkEnd w:id="339"/>
      <w:r>
        <w:rPr>
          <w:rFonts w:hint="eastAsia" w:ascii="微软雅黑" w:hAnsi="微软雅黑" w:cs="微软雅黑"/>
          <w:b/>
          <w:bCs w:val="0"/>
          <w:sz w:val="24"/>
          <w:szCs w:val="28"/>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1061"/>
              <w:jc w:val="center"/>
              <w:spacing w:line="440" w:lineRule="exact"/>
              <w:rPr>
                <w:rFonts w:ascii="微软雅黑" w:hAnsi="微软雅黑"/>
                <w:b/>
                <w:bCs/>
              </w:rPr>
            </w:pPr>
            <w:r>
              <w:rPr>
                <w:rFonts w:hint="eastAsia" w:ascii="微软雅黑" w:hAnsi="微软雅黑"/>
                <w:b/>
                <w:bCs/>
              </w:rPr>
              <w:t xml:space="preserve">序号</w:t>
            </w:r>
            <w:r>
              <w:rPr>
                <w:rFonts w:ascii="微软雅黑" w:hAnsi="微软雅黑"/>
                <w:b/>
                <w:bCs/>
              </w:rPr>
            </w:r>
            <w:r/>
          </w:p>
        </w:tc>
        <w:tc>
          <w:tcPr>
            <w:tcW w:w="2519" w:type="dxa"/>
            <w:vAlign w:val="center"/>
            <w:textDirection w:val="lrTb"/>
            <w:noWrap w:val="false"/>
          </w:tcPr>
          <w:p>
            <w:pPr>
              <w:pStyle w:val="1061"/>
              <w:jc w:val="center"/>
              <w:spacing w:line="440" w:lineRule="exact"/>
              <w:rPr>
                <w:rFonts w:ascii="微软雅黑" w:hAnsi="微软雅黑"/>
                <w:b/>
                <w:bCs/>
              </w:rPr>
            </w:pPr>
            <w:r>
              <w:rPr>
                <w:rFonts w:hint="eastAsia" w:ascii="微软雅黑" w:hAnsi="微软雅黑"/>
                <w:b/>
                <w:bCs/>
              </w:rPr>
              <w:t xml:space="preserve">项目</w:t>
            </w:r>
            <w:r>
              <w:rPr>
                <w:rFonts w:ascii="微软雅黑" w:hAnsi="微软雅黑"/>
                <w:b/>
                <w:bCs/>
              </w:rPr>
            </w:r>
            <w:r/>
          </w:p>
        </w:tc>
        <w:tc>
          <w:tcPr>
            <w:tcW w:w="2250" w:type="dxa"/>
            <w:vAlign w:val="center"/>
            <w:textDirection w:val="lrTb"/>
            <w:noWrap w:val="false"/>
          </w:tcPr>
          <w:p>
            <w:pPr>
              <w:pStyle w:val="1061"/>
              <w:jc w:val="center"/>
              <w:spacing w:line="440" w:lineRule="exact"/>
              <w:rPr>
                <w:rFonts w:ascii="微软雅黑" w:hAnsi="微软雅黑"/>
                <w:b/>
                <w:bCs/>
              </w:rPr>
            </w:pPr>
            <w:r>
              <w:rPr>
                <w:rFonts w:hint="eastAsia" w:ascii="微软雅黑" w:hAnsi="微软雅黑"/>
                <w:b/>
                <w:bCs/>
              </w:rPr>
              <w:t xml:space="preserve">原商务主要条款描述</w:t>
            </w:r>
            <w:r>
              <w:rPr>
                <w:rFonts w:ascii="微软雅黑" w:hAnsi="微软雅黑"/>
                <w:b/>
                <w:bCs/>
              </w:rPr>
            </w:r>
            <w:r/>
          </w:p>
        </w:tc>
        <w:tc>
          <w:tcPr>
            <w:tcW w:w="1812" w:type="dxa"/>
            <w:vAlign w:val="center"/>
            <w:textDirection w:val="lrTb"/>
            <w:noWrap w:val="false"/>
          </w:tcPr>
          <w:p>
            <w:pPr>
              <w:pStyle w:val="1061"/>
              <w:jc w:val="center"/>
              <w:spacing w:line="440" w:lineRule="exact"/>
              <w:rPr>
                <w:rFonts w:ascii="微软雅黑" w:hAnsi="微软雅黑"/>
                <w:b/>
                <w:bCs/>
              </w:rPr>
            </w:pPr>
            <w:r>
              <w:rPr>
                <w:rFonts w:hint="eastAsia" w:ascii="微软雅黑" w:hAnsi="微软雅黑"/>
                <w:b/>
                <w:bCs/>
              </w:rPr>
              <w:t xml:space="preserve">投标供应商的承诺或说明</w:t>
            </w:r>
            <w:r>
              <w:rPr>
                <w:rFonts w:ascii="微软雅黑" w:hAnsi="微软雅黑"/>
                <w:b/>
                <w:bCs/>
              </w:rPr>
            </w:r>
            <w:r/>
          </w:p>
        </w:tc>
        <w:tc>
          <w:tcPr>
            <w:tcW w:w="1270" w:type="dxa"/>
            <w:vAlign w:val="center"/>
            <w:textDirection w:val="lrTb"/>
            <w:noWrap w:val="false"/>
          </w:tcPr>
          <w:p>
            <w:pPr>
              <w:pStyle w:val="1061"/>
              <w:jc w:val="center"/>
              <w:spacing w:line="440" w:lineRule="exact"/>
              <w:rPr>
                <w:rFonts w:ascii="微软雅黑" w:hAnsi="微软雅黑"/>
                <w:b/>
                <w:bCs/>
              </w:rPr>
            </w:pPr>
            <w:r>
              <w:rPr>
                <w:rFonts w:hint="eastAsia" w:ascii="微软雅黑" w:hAnsi="微软雅黑"/>
                <w:b/>
                <w:bCs/>
              </w:rPr>
              <w:t xml:space="preserve">偏离</w:t>
            </w:r>
            <w:r>
              <w:rPr>
                <w:rFonts w:ascii="微软雅黑" w:hAnsi="微软雅黑"/>
                <w:b/>
                <w:bCs/>
              </w:rPr>
            </w:r>
            <w:r/>
          </w:p>
          <w:p>
            <w:pPr>
              <w:pStyle w:val="1061"/>
              <w:jc w:val="center"/>
              <w:spacing w:line="440" w:lineRule="exact"/>
              <w:rPr>
                <w:rFonts w:ascii="微软雅黑" w:hAnsi="微软雅黑"/>
                <w:b/>
                <w:bCs/>
              </w:rPr>
            </w:pPr>
            <w:r>
              <w:rPr>
                <w:rFonts w:hint="eastAsia" w:ascii="微软雅黑" w:hAnsi="微软雅黑"/>
                <w:b/>
                <w:bCs/>
              </w:rPr>
              <w:t xml:space="preserve">情况</w:t>
            </w:r>
            <w:r>
              <w:rPr>
                <w:rFonts w:ascii="微软雅黑" w:hAnsi="微软雅黑"/>
                <w:b/>
                <w:bCs/>
              </w:rPr>
            </w:r>
            <w:r/>
          </w:p>
        </w:tc>
      </w:tr>
      <w:tr>
        <w:trPr>
          <w:trHeight w:val="543"/>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r>
        <w:trPr>
          <w:trHeight w:val="621"/>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r>
        <w:trPr>
          <w:trHeight w:val="655"/>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r>
        <w:trPr>
          <w:trHeight w:val="535"/>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4</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r>
        <w:trPr>
          <w:trHeight w:val="560"/>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5</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r>
        <w:trPr>
          <w:trHeight w:val="572"/>
        </w:trPr>
        <w:tc>
          <w:tcPr>
            <w:tcW w:w="526" w:type="dxa"/>
            <w:vAlign w:val="center"/>
            <w:textDirection w:val="lrTb"/>
            <w:noWrap w:val="false"/>
          </w:tcPr>
          <w:p>
            <w:pPr>
              <w:pStyle w:val="1061"/>
              <w:jc w:val="center"/>
              <w:spacing w:line="440" w:lineRule="exact"/>
              <w:rPr>
                <w:rFonts w:ascii="微软雅黑" w:hAnsi="微软雅黑"/>
              </w:rPr>
            </w:pPr>
            <w:r>
              <w:rPr>
                <w:rFonts w:hint="eastAsia" w:ascii="微软雅黑" w:hAnsi="微软雅黑"/>
              </w:rPr>
              <w:t xml:space="preserve">6</w:t>
            </w:r>
            <w:r>
              <w:rPr>
                <w:rFonts w:ascii="微软雅黑" w:hAnsi="微软雅黑"/>
              </w:rPr>
            </w:r>
            <w:r/>
          </w:p>
        </w:tc>
        <w:tc>
          <w:tcPr>
            <w:tcW w:w="2519" w:type="dxa"/>
            <w:vAlign w:val="center"/>
            <w:textDirection w:val="lrTb"/>
            <w:noWrap w:val="false"/>
          </w:tcPr>
          <w:p>
            <w:pPr>
              <w:pStyle w:val="1061"/>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61"/>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61"/>
              <w:spacing w:line="440" w:lineRule="exact"/>
              <w:rPr>
                <w:rFonts w:ascii="微软雅黑" w:hAnsi="微软雅黑"/>
              </w:rPr>
            </w:pPr>
            <w:r>
              <w:rPr>
                <w:rFonts w:ascii="微软雅黑" w:hAnsi="微软雅黑"/>
              </w:rPr>
            </w:r>
            <w:r/>
          </w:p>
        </w:tc>
      </w:tr>
    </w:tbl>
    <w:p>
      <w:pPr>
        <w:pStyle w:val="1061"/>
        <w:spacing w:line="440" w:lineRule="exact"/>
        <w:rPr>
          <w:rFonts w:ascii="微软雅黑" w:hAnsi="微软雅黑"/>
        </w:rPr>
      </w:pPr>
      <w:r>
        <w:rPr>
          <w:rFonts w:ascii="微软雅黑" w:hAnsi="微软雅黑"/>
        </w:rPr>
      </w:r>
      <w:r/>
    </w:p>
    <w:p>
      <w:pPr>
        <w:pStyle w:val="1061"/>
        <w:spacing w:line="440" w:lineRule="exact"/>
        <w:rPr>
          <w:rFonts w:ascii="微软雅黑" w:hAnsi="微软雅黑"/>
        </w:rPr>
      </w:pPr>
      <w:r>
        <w:rPr>
          <w:rFonts w:hint="eastAsia" w:ascii="微软雅黑" w:hAnsi="微软雅黑"/>
        </w:rPr>
        <w:t xml:space="preserve">供应商全称（公章）：        </w:t>
      </w:r>
      <w:r>
        <w:rPr>
          <w:rFonts w:ascii="微软雅黑" w:hAnsi="微软雅黑"/>
        </w:rPr>
      </w:r>
      <w:r/>
    </w:p>
    <w:p>
      <w:pPr>
        <w:pStyle w:val="1061"/>
        <w:spacing w:line="440" w:lineRule="exact"/>
        <w:rPr>
          <w:rFonts w:ascii="微软雅黑" w:hAnsi="微软雅黑"/>
        </w:rPr>
      </w:pPr>
      <w:r>
        <w:rPr>
          <w:rFonts w:hint="eastAsia" w:ascii="微软雅黑" w:hAnsi="微软雅黑"/>
        </w:rPr>
        <w:t xml:space="preserve">法定代表人（授权代表）（签字/盖章）：   </w:t>
      </w:r>
      <w:r>
        <w:rPr>
          <w:rFonts w:ascii="微软雅黑" w:hAnsi="微软雅黑"/>
        </w:rPr>
      </w:r>
      <w:r/>
    </w:p>
    <w:p>
      <w:pPr>
        <w:pStyle w:val="1090"/>
        <w:ind w:left="0"/>
        <w:spacing w:line="440" w:lineRule="exact"/>
        <w:rPr>
          <w:rFonts w:ascii="微软雅黑" w:hAnsi="微软雅黑"/>
          <w:sz w:val="28"/>
          <w:szCs w:val="28"/>
        </w:rPr>
      </w:pPr>
      <w:r>
        <w:rPr>
          <w:rFonts w:hint="eastAsia" w:ascii="微软雅黑" w:hAnsi="微软雅黑"/>
        </w:rPr>
        <w:t xml:space="preserve">日期：</w:t>
      </w:r>
      <w:r>
        <w:rPr>
          <w:rFonts w:ascii="微软雅黑" w:hAnsi="微软雅黑"/>
          <w:sz w:val="28"/>
          <w:szCs w:val="28"/>
        </w:rPr>
      </w:r>
      <w:r/>
    </w:p>
    <w:p>
      <w:pPr>
        <w:pStyle w:val="1061"/>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hint="eastAsia" w:ascii="微软雅黑" w:hAnsi="微软雅黑" w:cs="黑体"/>
          <w:sz w:val="18"/>
          <w:szCs w:val="18"/>
        </w:rPr>
        <w:fldChar w:fldCharType="begin"/>
      </w:r>
      <w:r>
        <w:rPr>
          <w:rFonts w:hint="eastAsia" w:ascii="微软雅黑" w:hAnsi="微软雅黑" w:cs="黑体"/>
          <w:sz w:val="18"/>
          <w:szCs w:val="18"/>
        </w:rPr>
        <w:instrText xml:space="preserve">= 1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①</w:t>
      </w:r>
      <w:r>
        <w:rPr>
          <w:rFonts w:hint="eastAsia" w:ascii="微软雅黑" w:hAnsi="微软雅黑" w:cs="黑体"/>
          <w:sz w:val="18"/>
          <w:szCs w:val="18"/>
        </w:rPr>
        <w:fldChar w:fldCharType="end"/>
      </w: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061"/>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2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②</w:t>
      </w:r>
      <w:r>
        <w:rPr>
          <w:rFonts w:hint="eastAsia" w:ascii="微软雅黑" w:hAnsi="微软雅黑" w:cs="黑体"/>
          <w:sz w:val="18"/>
          <w:szCs w:val="18"/>
        </w:rPr>
        <w:fldChar w:fldCharType="end"/>
      </w:r>
      <w:r>
        <w:rPr>
          <w:rFonts w:hint="eastAsia" w:ascii="微软雅黑" w:hAnsi="微软雅黑" w:cs="黑体"/>
          <w:sz w:val="18"/>
          <w:szCs w:val="18"/>
        </w:rPr>
        <w:t xml:space="preserve">投标单位根据项目添加的服务承诺、培训等也请列出。</w:t>
      </w:r>
      <w:r>
        <w:rPr>
          <w:rFonts w:ascii="微软雅黑" w:hAnsi="微软雅黑" w:cs="黑体"/>
          <w:sz w:val="18"/>
          <w:szCs w:val="18"/>
        </w:rPr>
      </w:r>
      <w:r/>
    </w:p>
    <w:p>
      <w:pPr>
        <w:pStyle w:val="1061"/>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3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③</w:t>
      </w:r>
      <w:r>
        <w:rPr>
          <w:rFonts w:hint="eastAsia" w:ascii="微软雅黑" w:hAnsi="微软雅黑" w:cs="黑体"/>
          <w:sz w:val="18"/>
          <w:szCs w:val="18"/>
        </w:rPr>
        <w:fldChar w:fldCharType="end"/>
      </w: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061"/>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4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④</w:t>
      </w:r>
      <w:r>
        <w:rPr>
          <w:rFonts w:hint="eastAsia" w:ascii="微软雅黑" w:hAnsi="微软雅黑" w:cs="黑体"/>
          <w:sz w:val="18"/>
          <w:szCs w:val="18"/>
        </w:rPr>
        <w:fldChar w:fldCharType="end"/>
      </w:r>
      <w:r>
        <w:rPr>
          <w:rFonts w:hint="eastAsia" w:ascii="微软雅黑" w:hAnsi="微软雅黑" w:cs="黑体"/>
          <w:sz w:val="18"/>
          <w:szCs w:val="18"/>
        </w:rPr>
        <w:t xml:space="preserve">投标单位必须仔细阅读本采购文件“第四章”中所有商务条款和相关服务要求，并对所有商务条款和服务要求</w:t>
      </w:r>
      <w:r>
        <w:rPr>
          <w:rFonts w:hint="eastAsia" w:ascii="微软雅黑" w:hAnsi="微软雅黑" w:cs="黑体"/>
          <w:sz w:val="18"/>
          <w:szCs w:val="18"/>
          <w:lang w:eastAsia="zh-CN"/>
        </w:rPr>
        <w:t xml:space="preserve">逐条</w:t>
      </w:r>
      <w:r>
        <w:rPr>
          <w:rFonts w:hint="eastAsia" w:ascii="微软雅黑" w:hAnsi="微软雅黑" w:cs="黑体"/>
          <w:sz w:val="18"/>
          <w:szCs w:val="18"/>
        </w:rPr>
        <w:t xml:space="preserve">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。投标单位必须根据所将提供服务的实际情况如实填写，评委会如发现有虚假描述的，该投标文件视为无效。</w:t>
      </w:r>
      <w:r>
        <w:rPr>
          <w:rFonts w:ascii="微软雅黑" w:hAnsi="微软雅黑" w:cs="黑体"/>
          <w:sz w:val="18"/>
          <w:szCs w:val="18"/>
        </w:rPr>
      </w:r>
      <w:r/>
    </w:p>
    <w:p>
      <w:pPr>
        <w:pStyle w:val="1061"/>
        <w:ind w:firstLine="450"/>
        <w:spacing w:line="440" w:lineRule="exact"/>
        <w:rPr>
          <w:rFonts w:ascii="微软雅黑" w:hAnsi="微软雅黑" w:cs="微软雅黑"/>
          <w:sz w:val="24"/>
          <w:szCs w:val="24"/>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5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⑤</w:t>
      </w:r>
      <w:r>
        <w:rPr>
          <w:rFonts w:hint="eastAsia" w:ascii="微软雅黑" w:hAnsi="微软雅黑" w:cs="黑体"/>
          <w:sz w:val="18"/>
          <w:szCs w:val="18"/>
        </w:rPr>
        <w:fldChar w:fldCharType="end"/>
      </w:r>
      <w:r>
        <w:rPr>
          <w:rFonts w:hint="eastAsia" w:ascii="微软雅黑" w:hAnsi="微软雅黑" w:cs="黑体"/>
          <w:sz w:val="18"/>
          <w:szCs w:val="18"/>
        </w:rPr>
        <w:t xml:space="preserve">若本项目有多个分包的每个分包须分别填写此表，并注明分包号。</w:t>
      </w:r>
      <w:r>
        <w:rPr>
          <w:rFonts w:ascii="微软雅黑" w:hAnsi="微软雅黑" w:cs="微软雅黑"/>
          <w:sz w:val="24"/>
          <w:szCs w:val="24"/>
        </w:rPr>
      </w:r>
      <w:r/>
    </w:p>
    <w:p>
      <w:pPr>
        <w:pStyle w:val="1061"/>
        <w:spacing w:line="440" w:lineRule="exact"/>
        <w:rPr>
          <w:rFonts w:ascii="微软雅黑" w:hAnsi="微软雅黑" w:cs="微软雅黑"/>
          <w:sz w:val="24"/>
          <w:szCs w:val="24"/>
        </w:rPr>
        <w:sectPr>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 w:val="24"/>
          <w:szCs w:val="24"/>
        </w:rPr>
      </w:r>
      <w:r/>
    </w:p>
    <w:p>
      <w:pPr>
        <w:pStyle w:val="1064"/>
        <w:rPr>
          <w:rFonts w:hint="eastAsia" w:ascii="微软雅黑" w:hAnsi="微软雅黑" w:cs="微软雅黑"/>
          <w:b/>
          <w:bCs w:val="0"/>
          <w:sz w:val="24"/>
          <w:szCs w:val="24"/>
        </w:rPr>
      </w:pPr>
      <w:r/>
      <w:bookmarkStart w:id="340" w:name="_Toc7701"/>
      <w:r/>
      <w:bookmarkStart w:id="341" w:name="_Toc27219"/>
      <w:r/>
      <w:bookmarkStart w:id="342" w:name="_Toc23489"/>
      <w:r/>
      <w:bookmarkStart w:id="343" w:name="_Toc547"/>
      <w:r/>
      <w:bookmarkStart w:id="344" w:name="_Toc265"/>
      <w:r>
        <w:rPr>
          <w:rFonts w:hint="eastAsia" w:ascii="微软雅黑" w:hAnsi="微软雅黑" w:cs="微软雅黑"/>
          <w:b/>
          <w:bCs w:val="0"/>
          <w:sz w:val="24"/>
          <w:szCs w:val="24"/>
        </w:rPr>
        <w:t xml:space="preserve">5.项目实施方案</w:t>
      </w:r>
      <w:bookmarkEnd w:id="327"/>
      <w:r/>
      <w:bookmarkEnd w:id="328"/>
      <w:r/>
      <w:bookmarkEnd w:id="340"/>
      <w:r/>
      <w:bookmarkEnd w:id="341"/>
      <w:r/>
      <w:bookmarkEnd w:id="342"/>
      <w:r/>
      <w:bookmarkEnd w:id="343"/>
      <w:r/>
      <w:bookmarkEnd w:id="344"/>
      <w:r/>
      <w:bookmarkStart w:id="345" w:name="_Toc27939"/>
      <w:r/>
      <w:bookmarkStart w:id="346" w:name="_Toc1183"/>
      <w:r>
        <w:rPr>
          <w:rFonts w:hint="eastAsia" w:ascii="微软雅黑" w:hAnsi="微软雅黑" w:cs="微软雅黑"/>
          <w:b/>
          <w:bCs w:val="0"/>
          <w:sz w:val="24"/>
          <w:szCs w:val="24"/>
        </w:rPr>
      </w:r>
      <w:r/>
    </w:p>
    <w:p>
      <w:pPr>
        <w:pStyle w:val="1061"/>
        <w:rPr>
          <w:rFonts w:hint="eastAsia"/>
        </w:rPr>
      </w:pPr>
      <w:r>
        <w:rPr>
          <w:rFonts w:hint="eastAsia"/>
        </w:rPr>
      </w:r>
      <w:r/>
    </w:p>
    <w:p>
      <w:pPr>
        <w:pStyle w:val="1061"/>
        <w:rPr>
          <w:rFonts w:hint="eastAsia"/>
        </w:rPr>
      </w:pPr>
      <w:r>
        <w:rPr>
          <w:rFonts w:hint="eastAsia"/>
        </w:rPr>
      </w:r>
      <w:r/>
    </w:p>
    <w:p>
      <w:pPr>
        <w:pStyle w:val="1061"/>
        <w:rPr>
          <w:rFonts w:hint="eastAsia"/>
        </w:rPr>
      </w:pPr>
      <w:r>
        <w:rPr>
          <w:rFonts w:hint="eastAsia"/>
        </w:rPr>
      </w:r>
      <w:r/>
    </w:p>
    <w:p>
      <w:pPr>
        <w:pStyle w:val="1061"/>
        <w:rPr>
          <w:rFonts w:hint="eastAsia"/>
        </w:rPr>
      </w:pPr>
      <w:r>
        <w:rPr>
          <w:rFonts w:hint="eastAsia"/>
        </w:rPr>
      </w:r>
      <w:r/>
    </w:p>
    <w:p>
      <w:pPr>
        <w:pStyle w:val="1061"/>
        <w:rPr>
          <w:rFonts w:hint="eastAsia"/>
        </w:rPr>
      </w:pPr>
      <w:r>
        <w:rPr>
          <w:rFonts w:hint="eastAsia"/>
        </w:rPr>
      </w:r>
      <w:r/>
    </w:p>
    <w:p>
      <w:pPr>
        <w:pStyle w:val="1064"/>
        <w:rPr>
          <w:rFonts w:hint="eastAsia" w:ascii="微软雅黑" w:hAnsi="微软雅黑" w:cs="微软雅黑"/>
          <w:b/>
          <w:bCs w:val="0"/>
          <w:sz w:val="24"/>
          <w:szCs w:val="24"/>
        </w:rPr>
      </w:pPr>
      <w:r/>
      <w:bookmarkStart w:id="347" w:name="_Toc28621"/>
      <w:r/>
      <w:bookmarkStart w:id="348" w:name="_Toc12791"/>
      <w:r/>
      <w:bookmarkStart w:id="349" w:name="_Toc7107"/>
      <w:r>
        <w:rPr>
          <w:rFonts w:hint="eastAsia" w:ascii="微软雅黑" w:hAnsi="微软雅黑" w:cs="微软雅黑"/>
          <w:b/>
          <w:bCs w:val="0"/>
          <w:sz w:val="24"/>
          <w:szCs w:val="24"/>
        </w:rPr>
        <w:t xml:space="preserve">6.经营业绩（提供合同复印件）</w:t>
      </w:r>
      <w:bookmarkEnd w:id="345"/>
      <w:r/>
      <w:bookmarkEnd w:id="346"/>
      <w:r/>
      <w:bookmarkEnd w:id="347"/>
      <w:r/>
      <w:bookmarkEnd w:id="348"/>
      <w:r/>
      <w:bookmarkEnd w:id="349"/>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106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61"/>
              <w:rPr>
                <w:rFonts w:hint="eastAsia" w:ascii="微软雅黑" w:hAnsi="微软雅黑" w:cs="微软雅黑"/>
                <w:sz w:val="18"/>
                <w:szCs w:val="20"/>
              </w:rPr>
            </w:pPr>
            <w:r>
              <w:rPr>
                <w:rFonts w:hint="eastAsia" w:ascii="微软雅黑" w:hAnsi="微软雅黑" w:cs="微软雅黑"/>
                <w:sz w:val="18"/>
                <w:szCs w:val="20"/>
              </w:rPr>
            </w:r>
            <w:r/>
          </w:p>
        </w:tc>
      </w:tr>
    </w:tbl>
    <w:p>
      <w:pPr>
        <w:pStyle w:val="1061"/>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61"/>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1061"/>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1061"/>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rPr>
        <w:t xml:space="preserve"> </w:t>
      </w:r>
      <w:r>
        <w:rPr>
          <w:rFonts w:hint="eastAsia" w:ascii="微软雅黑" w:hAnsi="微软雅黑" w:cs="微软雅黑"/>
          <w:b/>
          <w:i/>
          <w:iCs/>
          <w:sz w:val="24"/>
          <w:szCs w:val="24"/>
          <w:u w:val="single"/>
        </w:rPr>
        <w:t xml:space="preserve">注： 1－4项为必须提供的内容，未提供或未按要求提供将不能通过符合性审查。</w:t>
      </w:r>
      <w:r>
        <w:rPr>
          <w:rFonts w:hint="eastAsia" w:ascii="微软雅黑" w:hAnsi="微软雅黑" w:cs="微软雅黑"/>
          <w:b/>
          <w:szCs w:val="21"/>
        </w:rPr>
      </w:r>
      <w:r/>
    </w:p>
    <w:p>
      <w:pPr>
        <w:pStyle w:val="1063"/>
        <w:numPr>
          <w:ilvl w:val="0"/>
          <w:numId w:val="8"/>
        </w:numPr>
        <w:rPr>
          <w:rFonts w:hint="eastAsia" w:ascii="微软雅黑" w:hAnsi="微软雅黑" w:cs="微软雅黑"/>
        </w:rPr>
      </w:pPr>
      <w:r/>
      <w:bookmarkStart w:id="350" w:name="__x000F_二、资格证明文件"/>
      <w:r>
        <w:rPr>
          <w:rFonts w:hint="eastAsia" w:ascii="微软雅黑" w:hAnsi="微软雅黑" w:cs="微软雅黑"/>
        </w:rPr>
        <w:br w:type="page" w:clear="all"/>
      </w:r>
      <w:bookmarkEnd w:id="350"/>
      <w:r/>
      <w:bookmarkStart w:id="351" w:name="_Toc1599"/>
      <w:r/>
      <w:bookmarkStart w:id="352" w:name="_Toc16714"/>
      <w:r/>
      <w:bookmarkStart w:id="353" w:name="_Toc3181"/>
      <w:r/>
      <w:bookmarkStart w:id="354" w:name="_Toc7939"/>
      <w:r/>
      <w:bookmarkStart w:id="355" w:name="_Toc30546"/>
      <w:r/>
      <w:bookmarkStart w:id="356" w:name="_Toc12456"/>
      <w:r>
        <w:rPr>
          <w:rFonts w:hint="eastAsia" w:ascii="微软雅黑" w:hAnsi="微软雅黑" w:cs="微软雅黑"/>
        </w:rPr>
        <w:t xml:space="preserve">资格证明文件格式</w:t>
      </w:r>
      <w:bookmarkEnd w:id="351"/>
      <w:r/>
      <w:bookmarkEnd w:id="352"/>
      <w:r/>
      <w:bookmarkEnd w:id="353"/>
      <w:r/>
      <w:bookmarkEnd w:id="354"/>
      <w:r/>
      <w:bookmarkEnd w:id="355"/>
      <w:r/>
      <w:bookmarkEnd w:id="356"/>
      <w:r>
        <w:rPr>
          <w:rFonts w:hint="eastAsia" w:ascii="微软雅黑" w:hAnsi="微软雅黑" w:cs="微软雅黑"/>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2025年12月至投标截止时间</w:t>
      </w:r>
      <w:r>
        <w:rPr>
          <w:rFonts w:hint="eastAsia" w:ascii="微软雅黑" w:hAnsi="微软雅黑" w:cs="微软雅黑"/>
          <w:szCs w:val="21"/>
        </w:rPr>
        <w:t xml:space="preserve">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致南京特殊教育师范学院、江苏省华采招标有限公司：</w:t>
      </w:r>
      <w:r>
        <w:rPr>
          <w:rFonts w:hint="eastAsia" w:ascii="微软雅黑" w:hAnsi="微软雅黑" w:cs="微软雅黑"/>
          <w:color w:val="000000"/>
          <w:szCs w:val="21"/>
        </w:rPr>
      </w:r>
      <w:r/>
    </w:p>
    <w:p>
      <w:pPr>
        <w:pStyle w:val="1061"/>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hint="eastAsia" w:ascii="微软雅黑" w:hAnsi="微软雅黑" w:cs="微软雅黑"/>
          <w:color w:val="000000"/>
          <w:szCs w:val="21"/>
        </w:rPr>
      </w:r>
      <w:r/>
    </w:p>
    <w:p>
      <w:pPr>
        <w:pStyle w:val="1061"/>
        <w:spacing w:line="50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61"/>
        <w:spacing w:line="500" w:lineRule="exact"/>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hint="eastAsia" w:ascii="微软雅黑" w:hAnsi="微软雅黑" w:cs="微软雅黑"/>
          <w:color w:val="000000"/>
          <w:szCs w:val="21"/>
        </w:rPr>
      </w:r>
      <w:r/>
    </w:p>
    <w:p>
      <w:pPr>
        <w:pStyle w:val="1061"/>
        <w:spacing w:line="500" w:lineRule="exact"/>
        <w:rPr>
          <w:rFonts w:hint="eastAsia"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hint="eastAsia" w:ascii="微软雅黑" w:hAnsi="微软雅黑" w:cs="微软雅黑"/>
          <w:color w:val="000000"/>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1.4.1有依法缴纳税收和社会保障资金的良好记录（提供</w:t>
      </w:r>
      <w:r>
        <w:rPr>
          <w:rFonts w:hint="eastAsia" w:ascii="微软雅黑" w:hAnsi="微软雅黑" w:cs="微软雅黑"/>
          <w:szCs w:val="21"/>
          <w:lang w:eastAsia="zh-CN"/>
        </w:rPr>
        <w:t xml:space="preserve">2025年12月至投标截止时间</w:t>
      </w:r>
      <w:r>
        <w:rPr>
          <w:rFonts w:hint="eastAsia" w:ascii="微软雅黑" w:hAnsi="微软雅黑" w:cs="微软雅黑"/>
          <w:szCs w:val="21"/>
        </w:rPr>
        <w:t xml:space="preserve">前任一月份依法缴纳税收的凭据（企业代缴的个人所得税除外）。依法免税的投标供应商，应提供相应文件证明）；</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1.4.2有依法缴纳社会保障资金的良好记录（提供</w:t>
      </w:r>
      <w:r>
        <w:rPr>
          <w:rFonts w:hint="eastAsia" w:ascii="微软雅黑" w:hAnsi="微软雅黑" w:cs="微软雅黑"/>
          <w:szCs w:val="21"/>
          <w:lang w:eastAsia="zh-CN"/>
        </w:rPr>
        <w:t xml:space="preserve">2025年12月至投标截止时间</w:t>
      </w:r>
      <w:r>
        <w:rPr>
          <w:rFonts w:hint="eastAsia" w:ascii="微软雅黑" w:hAnsi="微软雅黑" w:cs="微软雅黑"/>
          <w:szCs w:val="21"/>
        </w:rPr>
        <w:t xml:space="preserve">前任一月份依法缴纳社会保险的凭据（专用收据或社会保险的凭据）。依法不需要缴纳社会保障资金的投标供应商，应提供相应文件证明）；</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6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1061"/>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061"/>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r>
      <w:r/>
    </w:p>
    <w:p>
      <w:pPr>
        <w:pStyle w:val="1061"/>
        <w:jc w:val="right"/>
        <w:spacing w:line="360" w:lineRule="auto"/>
        <w:rPr>
          <w:rFonts w:hint="eastAsia" w:ascii="微软雅黑" w:hAnsi="微软雅黑" w:cs="微软雅黑"/>
          <w:szCs w:val="21"/>
        </w:rPr>
      </w:pP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1061"/>
        <w:jc w:val="right"/>
        <w:spacing w:line="360" w:lineRule="auto"/>
        <w:rPr>
          <w:rFonts w:hint="eastAsia" w:ascii="微软雅黑" w:hAnsi="微软雅黑" w:cs="微软雅黑"/>
          <w:szCs w:val="21"/>
        </w:rPr>
      </w:pPr>
      <w:r>
        <w:rPr>
          <w:rFonts w:hint="eastAsia" w:ascii="微软雅黑" w:hAnsi="微软雅黑" w:cs="微软雅黑"/>
          <w:szCs w:val="21"/>
        </w:rPr>
        <w:t xml:space="preserve">法定代表人（授权代表）签章/签字：</w:t>
      </w:r>
      <w:r>
        <w:rPr>
          <w:rFonts w:hint="eastAsia" w:ascii="微软雅黑" w:hAnsi="微软雅黑" w:cs="微软雅黑"/>
          <w:szCs w:val="21"/>
        </w:rPr>
      </w:r>
      <w:r/>
    </w:p>
    <w:p>
      <w:pPr>
        <w:pStyle w:val="1061"/>
        <w:jc w:val="right"/>
        <w:spacing w:line="360" w:lineRule="auto"/>
        <w:rPr>
          <w:rFonts w:hint="eastAsia" w:ascii="微软雅黑" w:hAnsi="微软雅黑" w:cs="微软雅黑"/>
          <w:szCs w:val="21"/>
        </w:rPr>
      </w:pPr>
      <w:r>
        <w:rPr>
          <w:rFonts w:hint="eastAsia" w:ascii="微软雅黑" w:hAnsi="微软雅黑" w:cs="微软雅黑"/>
          <w:szCs w:val="21"/>
        </w:rPr>
        <w:t xml:space="preserve">日期：</w:t>
      </w:r>
      <w:r>
        <w:rPr>
          <w:rFonts w:hint="eastAsia" w:ascii="微软雅黑" w:hAnsi="微软雅黑" w:cs="微软雅黑"/>
          <w:szCs w:val="21"/>
        </w:rPr>
      </w:r>
      <w:r/>
    </w:p>
    <w:p>
      <w:pPr>
        <w:pStyle w:val="1090"/>
        <w:ind w:left="0"/>
        <w:rPr>
          <w:rFonts w:hint="eastAsia" w:ascii="微软雅黑" w:hAnsi="微软雅黑" w:cs="微软雅黑"/>
          <w:szCs w:val="21"/>
        </w:rPr>
      </w:pPr>
      <w:r>
        <w:rPr>
          <w:rFonts w:hint="eastAsia" w:ascii="微软雅黑" w:hAnsi="微软雅黑" w:cs="微软雅黑"/>
          <w:szCs w:val="21"/>
        </w:rPr>
      </w:r>
      <w:r/>
    </w:p>
    <w:p>
      <w:pPr>
        <w:pStyle w:val="1090"/>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rPr>
          <w:rFonts w:hint="eastAsia" w:ascii="微软雅黑" w:hAnsi="微软雅黑" w:cs="微软雅黑"/>
          <w:b/>
          <w:bCs/>
          <w:szCs w:val="21"/>
        </w:rPr>
      </w:r>
      <w:r/>
    </w:p>
    <w:p>
      <w:pPr>
        <w:pStyle w:val="1090"/>
        <w:numPr>
          <w:ilvl w:val="0"/>
          <w:numId w:val="9"/>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090"/>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2. 较大数额罚款标准参照财库[2022]3号文规定执行，指的是200万元以上数额。</w:t>
      </w:r>
      <w:r>
        <w:rPr>
          <w:rFonts w:hint="eastAsia" w:ascii="微软雅黑" w:hAnsi="微软雅黑" w:cs="微软雅黑"/>
          <w:b/>
          <w:bCs/>
          <w:spacing w:val="-5"/>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064"/>
        <w:rPr>
          <w:rFonts w:hint="eastAsia" w:ascii="微软雅黑" w:hAnsi="微软雅黑" w:cs="微软雅黑"/>
          <w:b/>
          <w:bCs w:val="0"/>
          <w:sz w:val="24"/>
          <w:szCs w:val="24"/>
        </w:rPr>
      </w:pPr>
      <w:r/>
      <w:bookmarkStart w:id="357" w:name="_Toc18899"/>
      <w:r/>
      <w:bookmarkStart w:id="358" w:name="_Toc13171"/>
      <w:r/>
      <w:bookmarkStart w:id="359" w:name="_Toc16421"/>
      <w:r/>
      <w:bookmarkStart w:id="360" w:name="_Toc15819"/>
      <w:r/>
      <w:bookmarkStart w:id="361" w:name="_Toc16891"/>
      <w:r>
        <w:rPr>
          <w:rFonts w:hint="eastAsia" w:ascii="微软雅黑" w:hAnsi="微软雅黑" w:cs="微软雅黑"/>
          <w:b/>
          <w:bCs w:val="0"/>
          <w:sz w:val="24"/>
          <w:szCs w:val="24"/>
          <w:lang w:eastAsia="zh-CN"/>
        </w:rPr>
        <w:t xml:space="preserve">法定代表人</w:t>
      </w:r>
      <w:r>
        <w:rPr>
          <w:rFonts w:hint="eastAsia" w:ascii="微软雅黑" w:hAnsi="微软雅黑" w:cs="微软雅黑"/>
          <w:b/>
          <w:bCs w:val="0"/>
          <w:sz w:val="24"/>
          <w:szCs w:val="24"/>
        </w:rPr>
        <w:t xml:space="preserve">授权委托书</w:t>
      </w:r>
      <w:bookmarkEnd w:id="357"/>
      <w:r/>
      <w:bookmarkEnd w:id="358"/>
      <w:r/>
      <w:bookmarkEnd w:id="359"/>
      <w:r/>
      <w:bookmarkEnd w:id="360"/>
      <w:r/>
      <w:bookmarkEnd w:id="361"/>
      <w:r>
        <w:rPr>
          <w:rFonts w:hint="eastAsia" w:ascii="微软雅黑" w:hAnsi="微软雅黑" w:cs="微软雅黑"/>
          <w:b/>
          <w:bCs w:val="0"/>
          <w:sz w:val="24"/>
          <w:szCs w:val="24"/>
        </w:rPr>
      </w:r>
      <w:r/>
    </w:p>
    <w:p>
      <w:pPr>
        <w:pStyle w:val="1061"/>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61"/>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061"/>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061"/>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061"/>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61"/>
                              <w:jc w:val="center"/>
                              <w:spacing w:line="440" w:lineRule="exact"/>
                              <w:rPr>
                                <w:rFonts w:hint="eastAsia"/>
                              </w:rPr>
                            </w:pPr>
                            <w:r>
                              <w:rPr>
                                <w:rFonts w:hint="eastAsia"/>
                              </w:rPr>
                              <w:t xml:space="preserve">授权代表身份证复印件</w:t>
                            </w:r>
                            <w:r>
                              <w:rPr>
                                <w:rFonts w:hint="eastAsia"/>
                              </w:rPr>
                            </w:r>
                            <w:r/>
                          </w:p>
                          <w:p>
                            <w:pPr>
                              <w:pStyle w:val="1061"/>
                              <w:jc w:val="center"/>
                            </w:pPr>
                            <w:r>
                              <w:rPr>
                                <w:rFonts w:hint="eastAsia"/>
                              </w:rPr>
                              <w:t xml:space="preserve">（正反面）</w:t>
                            </w:r>
                            <w:r/>
                          </w:p>
                          <w:p>
                            <w:pPr>
                              <w:pStyle w:val="1061"/>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61"/>
                        <w:jc w:val="center"/>
                        <w:spacing w:line="440" w:lineRule="exact"/>
                        <w:rPr>
                          <w:rFonts w:hint="eastAsia"/>
                        </w:rPr>
                      </w:pPr>
                      <w:r>
                        <w:rPr>
                          <w:rFonts w:hint="eastAsia"/>
                        </w:rPr>
                        <w:t xml:space="preserve">授权代表身份证复印件</w:t>
                      </w:r>
                      <w:r>
                        <w:rPr>
                          <w:rFonts w:hint="eastAsia"/>
                        </w:rPr>
                      </w:r>
                      <w:r/>
                    </w:p>
                    <w:p>
                      <w:pPr>
                        <w:pStyle w:val="1061"/>
                        <w:jc w:val="center"/>
                      </w:pPr>
                      <w:r>
                        <w:rPr>
                          <w:rFonts w:hint="eastAsia"/>
                        </w:rPr>
                        <w:t xml:space="preserve">（正反面）</w:t>
                      </w:r>
                      <w:r/>
                    </w:p>
                    <w:p>
                      <w:pPr>
                        <w:pStyle w:val="1061"/>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61"/>
                              <w:jc w:val="center"/>
                              <w:spacing w:line="440" w:lineRule="exact"/>
                            </w:pPr>
                            <w:r>
                              <w:rPr>
                                <w:rFonts w:hint="eastAsia"/>
                              </w:rPr>
                              <w:t xml:space="preserve">法定代表人身份证复印件（正反面）</w:t>
                            </w:r>
                            <w:r/>
                          </w:p>
                          <w:p>
                            <w:pPr>
                              <w:pStyle w:val="1061"/>
                            </w:pPr>
                            <w:r/>
                            <w:r/>
                          </w:p>
                          <w:p>
                            <w:pPr>
                              <w:pStyle w:val="1061"/>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61"/>
                        <w:jc w:val="center"/>
                        <w:spacing w:line="440" w:lineRule="exact"/>
                      </w:pPr>
                      <w:r>
                        <w:rPr>
                          <w:rFonts w:hint="eastAsia"/>
                        </w:rPr>
                        <w:t xml:space="preserve">法定代表人身份证复印件（正反面）</w:t>
                      </w:r>
                      <w:r/>
                    </w:p>
                    <w:p>
                      <w:pPr>
                        <w:pStyle w:val="1061"/>
                      </w:pPr>
                      <w:r/>
                      <w:r/>
                    </w:p>
                    <w:p>
                      <w:pPr>
                        <w:pStyle w:val="1061"/>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r>
      <w:r/>
    </w:p>
    <w:p>
      <w:pPr>
        <w:pStyle w:val="1061"/>
        <w:spacing w:line="440" w:lineRule="exact"/>
        <w:rPr>
          <w:rFonts w:hint="eastAsia" w:ascii="微软雅黑" w:hAnsi="微软雅黑" w:cs="微软雅黑"/>
        </w:rPr>
      </w:pPr>
      <w:r>
        <w:rPr>
          <w:rFonts w:hint="eastAsia" w:ascii="微软雅黑" w:hAnsi="微软雅黑" w:cs="微软雅黑"/>
        </w:rPr>
      </w:r>
      <w:r/>
    </w:p>
    <w:p>
      <w:pPr>
        <w:pStyle w:val="1061"/>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1061"/>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rPr>
          <w:rFonts w:hint="eastAsia" w:ascii="微软雅黑" w:hAnsi="微软雅黑" w:cs="微软雅黑"/>
        </w:rPr>
      </w:r>
      <w:r/>
    </w:p>
    <w:p>
      <w:pPr>
        <w:pStyle w:val="1061"/>
        <w:jc w:val="right"/>
        <w:spacing w:line="440" w:lineRule="exact"/>
        <w:rPr>
          <w:rFonts w:hint="eastAsia" w:ascii="微软雅黑" w:hAnsi="微软雅黑" w:cs="微软雅黑"/>
        </w:rPr>
      </w:pPr>
      <w:r>
        <w:rPr>
          <w:rFonts w:hint="eastAsia" w:ascii="微软雅黑" w:hAnsi="微软雅黑" w:cs="微软雅黑"/>
        </w:rPr>
        <w:t xml:space="preserve">授权代表：（签字/盖章）    </w:t>
      </w:r>
      <w:r>
        <w:rPr>
          <w:rFonts w:hint="eastAsia" w:ascii="微软雅黑" w:hAnsi="微软雅黑" w:cs="微软雅黑"/>
        </w:rPr>
      </w:r>
      <w:r/>
    </w:p>
    <w:p>
      <w:pPr>
        <w:pStyle w:val="1061"/>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061"/>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61"/>
        <w:spacing w:line="420" w:lineRule="exact"/>
        <w:rPr>
          <w:rFonts w:hint="eastAsia" w:ascii="微软雅黑" w:hAnsi="微软雅黑" w:cs="微软雅黑"/>
        </w:rPr>
      </w:pPr>
      <w:r>
        <w:rPr>
          <w:rFonts w:hint="eastAsia" w:ascii="微软雅黑" w:hAnsi="微软雅黑" w:cs="微软雅黑"/>
          <w:sz w:val="18"/>
          <w:szCs w:val="18"/>
        </w:rPr>
        <w:t xml:space="preserve">注：供应商提供的所有证件必须真实有效，务必保证证件在有效期内。</w:t>
      </w:r>
      <w:r>
        <w:rPr>
          <w:rFonts w:hint="eastAsia" w:ascii="微软雅黑" w:hAnsi="微软雅黑" w:cs="微软雅黑"/>
        </w:rPr>
      </w:r>
      <w:r/>
    </w:p>
    <w:p>
      <w:pPr>
        <w:pStyle w:val="1064"/>
        <w:jc w:val="left"/>
        <w:rPr>
          <w:rFonts w:hint="eastAsia" w:ascii="微软雅黑" w:hAnsi="微软雅黑" w:cs="微软雅黑"/>
          <w:b/>
          <w:bCs w:val="0"/>
          <w:sz w:val="24"/>
          <w:szCs w:val="24"/>
        </w:rPr>
        <w:sectPr>
          <w:footerReference w:type="default" r:id="rId14"/>
          <w:footnotePr/>
          <w:endnotePr/>
          <w:type w:val="nextPage"/>
          <w:pgSz w:w="11906" w:h="16838" w:orient="portrait"/>
          <w:pgMar w:top="1440" w:right="1797" w:bottom="1440" w:left="1797" w:header="851" w:footer="992" w:gutter="0"/>
          <w:cols w:num="1" w:sep="0" w:space="1701" w:equalWidth="1"/>
          <w:docGrid w:linePitch="360"/>
        </w:sectPr>
      </w:pPr>
      <w:r/>
      <w:bookmarkStart w:id="362" w:name="_Toc9754"/>
      <w:r>
        <w:rPr>
          <w:rFonts w:hint="eastAsia" w:ascii="微软雅黑" w:hAnsi="微软雅黑" w:cs="微软雅黑"/>
          <w:b/>
          <w:bCs w:val="0"/>
          <w:sz w:val="24"/>
          <w:szCs w:val="24"/>
        </w:rPr>
      </w:r>
      <w:r/>
    </w:p>
    <w:p>
      <w:pPr>
        <w:pStyle w:val="1061"/>
        <w:jc w:val="center"/>
        <w:spacing w:line="420" w:lineRule="exact"/>
        <w:rPr>
          <w:rFonts w:hint="eastAsia" w:ascii="微软雅黑" w:hAnsi="微软雅黑" w:cs="微软雅黑"/>
          <w:b/>
          <w:bCs/>
        </w:rPr>
      </w:pPr>
      <w:r/>
      <w:bookmarkStart w:id="363" w:name="_Toc18155"/>
      <w:r/>
      <w:bookmarkStart w:id="364" w:name="_Toc22722"/>
      <w:r/>
      <w:bookmarkStart w:id="365" w:name="_Toc29707"/>
      <w:r/>
      <w:bookmarkStart w:id="366" w:name="_Toc8593"/>
      <w:r/>
      <w:bookmarkStart w:id="367" w:name="_Toc19784"/>
      <w:r>
        <w:rPr>
          <w:rFonts w:hint="eastAsia" w:ascii="微软雅黑" w:hAnsi="微软雅黑" w:cs="微软雅黑"/>
          <w:b/>
          <w:bCs/>
        </w:rPr>
        <w:t xml:space="preserve">中小企业声明函（工程、服务）</w:t>
      </w:r>
      <w:r>
        <w:rPr>
          <w:rFonts w:hint="eastAsia" w:ascii="微软雅黑" w:hAnsi="微软雅黑" w:cs="微软雅黑"/>
          <w:b/>
          <w:bCs/>
        </w:rPr>
      </w:r>
      <w:r/>
    </w:p>
    <w:p>
      <w:pPr>
        <w:pStyle w:val="1237"/>
        <w:rPr>
          <w:rFonts w:hint="eastAsia" w:ascii="微软雅黑" w:hAnsi="微软雅黑" w:cs="微软雅黑"/>
        </w:rPr>
      </w:pPr>
      <w:r>
        <w:rPr>
          <w:rFonts w:hint="eastAsia" w:ascii="微软雅黑" w:hAnsi="微软雅黑" w:cs="微软雅黑"/>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1.（标的名称），属于（采购文件中明确的所属行业）；承建（承接）企业为（企业名称），从业人员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2.（标的名称），属于（采购文件中明确的所属行业）；承建（承接）企业为（企业名称），从业人员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1061"/>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1061"/>
        <w:ind w:firstLine="420"/>
        <w:spacing w:line="420" w:lineRule="exact"/>
        <w:rPr>
          <w:rFonts w:hint="eastAsia" w:ascii="微软雅黑" w:hAnsi="微软雅黑" w:cs="微软雅黑"/>
        </w:rPr>
      </w:pPr>
      <w:r>
        <w:rPr>
          <w:rFonts w:hint="eastAsia" w:ascii="微软雅黑" w:hAnsi="微软雅黑" w:cs="微软雅黑"/>
        </w:rPr>
      </w:r>
      <w:r/>
    </w:p>
    <w:p>
      <w:pPr>
        <w:pStyle w:val="1061"/>
        <w:ind w:firstLine="420"/>
        <w:jc w:val="center"/>
        <w:spacing w:line="420" w:lineRule="exact"/>
        <w:rPr>
          <w:rFonts w:hint="eastAsia" w:ascii="微软雅黑" w:hAnsi="微软雅黑" w:cs="微软雅黑"/>
        </w:rPr>
      </w:pPr>
      <w:r>
        <w:rPr>
          <w:rFonts w:hint="eastAsia" w:ascii="微软雅黑" w:hAnsi="微软雅黑" w:cs="微软雅黑"/>
        </w:rPr>
        <w:t xml:space="preserve">                          企业名称（盖章）： </w:t>
      </w:r>
      <w:r>
        <w:rPr>
          <w:rFonts w:hint="eastAsia" w:ascii="微软雅黑" w:hAnsi="微软雅黑" w:cs="微软雅黑"/>
        </w:rPr>
      </w:r>
      <w:r/>
    </w:p>
    <w:p>
      <w:pPr>
        <w:pStyle w:val="1061"/>
        <w:ind w:firstLine="420"/>
        <w:jc w:val="center"/>
        <w:spacing w:line="420" w:lineRule="exact"/>
        <w:rPr>
          <w:rFonts w:hint="eastAsia" w:ascii="微软雅黑" w:hAnsi="微软雅黑" w:cs="微软雅黑"/>
        </w:rPr>
      </w:pPr>
      <w:r>
        <w:rPr>
          <w:rFonts w:hint="eastAsia" w:ascii="微软雅黑" w:hAnsi="微软雅黑" w:cs="微软雅黑"/>
        </w:rPr>
        <w:t xml:space="preserve">               日 期：</w:t>
      </w:r>
      <w:r>
        <w:rPr>
          <w:rFonts w:hint="eastAsia" w:ascii="微软雅黑" w:hAnsi="微软雅黑" w:cs="微软雅黑"/>
        </w:rPr>
      </w:r>
      <w:r/>
    </w:p>
    <w:p>
      <w:pPr>
        <w:pStyle w:val="1061"/>
        <w:ind w:firstLine="420"/>
        <w:spacing w:line="420" w:lineRule="exact"/>
        <w:rPr>
          <w:rFonts w:hint="eastAsia" w:ascii="微软雅黑" w:hAnsi="微软雅黑" w:cs="微软雅黑"/>
        </w:rPr>
      </w:pPr>
      <w:r>
        <w:rPr>
          <w:rFonts w:hint="eastAsia" w:ascii="微软雅黑" w:hAnsi="微软雅黑" w:cs="微软雅黑"/>
        </w:rPr>
      </w:r>
      <w:r/>
    </w:p>
    <w:p>
      <w:pPr>
        <w:pStyle w:val="1237"/>
        <w:rPr>
          <w:rFonts w:hint="eastAsia" w:ascii="微软雅黑" w:hAnsi="微软雅黑" w:cs="微软雅黑"/>
        </w:rPr>
      </w:pPr>
      <w:r>
        <w:rPr>
          <w:rFonts w:hint="eastAsia" w:ascii="微软雅黑" w:hAnsi="微软雅黑" w:cs="微软雅黑"/>
        </w:rPr>
      </w:r>
      <w:r/>
    </w:p>
    <w:p>
      <w:pPr>
        <w:pStyle w:val="1237"/>
        <w:rPr>
          <w:rFonts w:hint="eastAsia" w:ascii="微软雅黑" w:hAnsi="微软雅黑" w:cs="微软雅黑"/>
        </w:rPr>
      </w:pPr>
      <w:r>
        <w:rPr>
          <w:rFonts w:hint="eastAsia" w:ascii="微软雅黑" w:hAnsi="微软雅黑" w:cs="微软雅黑"/>
        </w:rPr>
      </w:r>
      <w:r/>
    </w:p>
    <w:p>
      <w:pPr>
        <w:pStyle w:val="106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注：从业人员、营业收入、资产总额填报上一年度数据，无上一年度数据的新成立企业可不填报。</w:t>
      </w:r>
      <w:r>
        <w:rPr>
          <w:rFonts w:hint="eastAsia" w:ascii="微软雅黑" w:hAnsi="微软雅黑" w:cs="微软雅黑"/>
          <w:szCs w:val="21"/>
        </w:rPr>
      </w:r>
      <w:r/>
    </w:p>
    <w:p>
      <w:pPr>
        <w:pStyle w:val="1061"/>
        <w:spacing w:line="420" w:lineRule="exact"/>
        <w:rPr>
          <w:rFonts w:hint="eastAsia" w:ascii="微软雅黑" w:hAnsi="微软雅黑" w:cs="微软雅黑"/>
          <w:sz w:val="24"/>
          <w:szCs w:val="24"/>
        </w:rPr>
      </w:pPr>
      <w:r/>
      <w:bookmarkEnd w:id="362"/>
      <w:r/>
      <w:bookmarkEnd w:id="363"/>
      <w:r/>
      <w:bookmarkEnd w:id="364"/>
      <w:r/>
      <w:bookmarkEnd w:id="365"/>
      <w:r/>
      <w:bookmarkEnd w:id="366"/>
      <w:r/>
      <w:bookmarkEnd w:id="367"/>
      <w:r>
        <w:rPr>
          <w:rFonts w:hint="eastAsia" w:ascii="微软雅黑" w:hAnsi="微软雅黑" w:cs="微软雅黑"/>
          <w:sz w:val="24"/>
          <w:szCs w:val="24"/>
        </w:rPr>
      </w:r>
      <w:r/>
    </w:p>
    <w:p>
      <w:pPr>
        <w:pStyle w:val="1064"/>
        <w:jc w:val="left"/>
        <w:rPr>
          <w:rFonts w:hint="eastAsia" w:ascii="微软雅黑" w:hAnsi="微软雅黑" w:cs="微软雅黑"/>
          <w:b/>
          <w:bCs w:val="0"/>
          <w:sz w:val="24"/>
          <w:szCs w:val="24"/>
        </w:rPr>
      </w:pPr>
      <w:r/>
      <w:bookmarkStart w:id="368" w:name="_Toc403725583"/>
      <w:r/>
      <w:bookmarkStart w:id="369" w:name="_Toc487098617"/>
      <w:r>
        <w:rPr>
          <w:rFonts w:hint="eastAsia" w:ascii="微软雅黑" w:hAnsi="微软雅黑" w:cs="微软雅黑"/>
          <w:b/>
          <w:bCs w:val="0"/>
          <w:sz w:val="24"/>
          <w:szCs w:val="24"/>
        </w:rPr>
        <w:br w:type="page" w:clear="all"/>
      </w:r>
      <w:bookmarkStart w:id="370" w:name="_Toc25983"/>
      <w:r/>
      <w:bookmarkStart w:id="371" w:name="_Toc6974"/>
      <w:r/>
      <w:bookmarkStart w:id="372" w:name="_Toc12673"/>
      <w:r/>
      <w:bookmarkStart w:id="373" w:name="_Toc31171"/>
      <w:r/>
      <w:bookmarkStart w:id="374" w:name="_Toc1448"/>
      <w:r>
        <w:rPr>
          <w:rFonts w:hint="eastAsia" w:ascii="微软雅黑" w:hAnsi="微软雅黑" w:cs="微软雅黑"/>
          <w:b/>
          <w:bCs w:val="0"/>
          <w:sz w:val="24"/>
          <w:szCs w:val="24"/>
        </w:rPr>
        <w:t xml:space="preserve">其他相关承诺（参考格式）</w:t>
      </w:r>
      <w:bookmarkEnd w:id="370"/>
      <w:r/>
      <w:bookmarkEnd w:id="371"/>
      <w:r/>
      <w:bookmarkEnd w:id="372"/>
      <w:r/>
      <w:bookmarkEnd w:id="373"/>
      <w:r>
        <w:rPr>
          <w:rFonts w:hint="eastAsia" w:ascii="微软雅黑" w:hAnsi="微软雅黑" w:cs="微软雅黑"/>
          <w:b/>
          <w:bCs w:val="0"/>
          <w:sz w:val="24"/>
          <w:szCs w:val="24"/>
        </w:rPr>
      </w:r>
      <w:r/>
    </w:p>
    <w:p>
      <w:pPr>
        <w:pStyle w:val="106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1061"/>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1061"/>
        <w:numPr>
          <w:ilvl w:val="0"/>
          <w:numId w:val="10"/>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1061"/>
        <w:numPr>
          <w:ilvl w:val="0"/>
          <w:numId w:val="10"/>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1061"/>
        <w:numPr>
          <w:ilvl w:val="0"/>
          <w:numId w:val="10"/>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1061"/>
        <w:spacing w:line="440" w:lineRule="exact"/>
        <w:rPr>
          <w:rFonts w:hint="eastAsia" w:ascii="微软雅黑" w:hAnsi="微软雅黑" w:cs="微软雅黑"/>
          <w:szCs w:val="21"/>
        </w:rPr>
      </w:pPr>
      <w:r>
        <w:rPr>
          <w:rFonts w:hint="eastAsia" w:ascii="微软雅黑" w:hAnsi="微软雅黑" w:cs="微软雅黑"/>
          <w:szCs w:val="21"/>
        </w:rPr>
      </w:r>
      <w:r/>
    </w:p>
    <w:p>
      <w:pPr>
        <w:pStyle w:val="106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1061"/>
        <w:rPr>
          <w:rFonts w:hint="eastAsia" w:ascii="微软雅黑" w:hAnsi="微软雅黑" w:cs="微软雅黑"/>
          <w:bCs/>
          <w:szCs w:val="21"/>
        </w:rPr>
      </w:pPr>
      <w:r>
        <w:rPr>
          <w:rFonts w:hint="eastAsia" w:ascii="微软雅黑" w:hAnsi="微软雅黑" w:cs="微软雅黑"/>
          <w:bCs/>
          <w:szCs w:val="21"/>
        </w:rPr>
      </w:r>
      <w:r/>
    </w:p>
    <w:p>
      <w:pPr>
        <w:pStyle w:val="1082"/>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82"/>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1082"/>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1082"/>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61"/>
        <w:jc w:val="left"/>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1061"/>
        <w:jc w:val="left"/>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pStyle w:val="1061"/>
        <w:rPr>
          <w:rFonts w:hint="eastAsia" w:ascii="微软雅黑" w:hAnsi="微软雅黑" w:cs="微软雅黑"/>
          <w:b/>
          <w:bCs/>
          <w:sz w:val="24"/>
          <w:szCs w:val="24"/>
        </w:rPr>
      </w:pPr>
      <w:r>
        <w:rPr>
          <w:rFonts w:hint="eastAsia" w:ascii="微软雅黑" w:hAnsi="微软雅黑" w:cs="微软雅黑"/>
          <w:b/>
          <w:bCs/>
          <w:sz w:val="24"/>
          <w:szCs w:val="24"/>
        </w:rPr>
      </w:r>
      <w:r/>
    </w:p>
    <w:p>
      <w:pPr>
        <w:pStyle w:val="1090"/>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061"/>
        <w:rPr>
          <w:rFonts w:hint="eastAsia" w:ascii="微软雅黑" w:hAnsi="微软雅黑" w:cs="微软雅黑"/>
          <w:b/>
          <w:bCs/>
          <w:sz w:val="24"/>
          <w:szCs w:val="24"/>
        </w:rPr>
      </w:pPr>
      <w:r>
        <w:rPr>
          <w:rFonts w:hint="eastAsia" w:ascii="微软雅黑" w:hAnsi="微软雅黑" w:cs="微软雅黑"/>
          <w:b/>
          <w:bCs/>
          <w:sz w:val="24"/>
          <w:szCs w:val="24"/>
        </w:rPr>
      </w:r>
      <w:r/>
    </w:p>
    <w:p>
      <w:pPr>
        <w:pStyle w:val="1090"/>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061"/>
        <w:spacing w:line="300" w:lineRule="exact"/>
        <w:rPr>
          <w:rFonts w:hint="eastAsia" w:ascii="微软雅黑" w:hAnsi="微软雅黑" w:cs="微软雅黑"/>
          <w:b/>
          <w:bCs/>
          <w:color w:val="000000"/>
          <w:szCs w:val="21"/>
        </w:rPr>
      </w:pPr>
      <w:r/>
      <w:bookmarkStart w:id="375" w:name="_Toc20254"/>
      <w:r/>
      <w:bookmarkStart w:id="376" w:name="_Toc16444"/>
      <w:r/>
      <w:bookmarkStart w:id="377" w:name="_Toc20332"/>
      <w:r>
        <w:rPr>
          <w:rFonts w:hint="eastAsia" w:ascii="微软雅黑" w:hAnsi="微软雅黑" w:cs="微软雅黑"/>
          <w:b/>
          <w:bCs/>
          <w:sz w:val="24"/>
          <w:szCs w:val="24"/>
          <w:highlight w:val="yellow"/>
        </w:rPr>
        <w:br w:type="page" w:clear="all"/>
      </w:r>
      <w:bookmarkEnd w:id="368"/>
      <w:r/>
      <w:bookmarkEnd w:id="369"/>
      <w:r/>
      <w:bookmarkEnd w:id="374"/>
      <w:r/>
      <w:bookmarkEnd w:id="375"/>
      <w:r/>
      <w:bookmarkEnd w:id="376"/>
      <w:r/>
      <w:bookmarkEnd w:id="377"/>
      <w:r/>
      <w:bookmarkStart w:id="378" w:name="_Toc17448"/>
      <w:r/>
      <w:bookmarkStart w:id="379" w:name="_Toc25461"/>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378"/>
      <w:r>
        <w:rPr>
          <w:rFonts w:hint="eastAsia" w:ascii="微软雅黑" w:hAnsi="微软雅黑" w:cs="微软雅黑"/>
          <w:b/>
          <w:bCs/>
          <w:color w:val="000000"/>
          <w:szCs w:val="21"/>
        </w:rPr>
      </w:r>
      <w:r/>
    </w:p>
    <w:p>
      <w:pPr>
        <w:pStyle w:val="1082"/>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91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4"/>
        <w:gridCol w:w="1586"/>
        <w:gridCol w:w="1027"/>
        <w:gridCol w:w="1866"/>
        <w:gridCol w:w="1680"/>
        <w:gridCol w:w="1147"/>
      </w:tblGrid>
      <w:tr>
        <w:trPr>
          <w:trHeight w:val="90"/>
        </w:trPr>
        <w:tc>
          <w:tcPr>
            <w:tcW w:w="1804" w:type="dxa"/>
            <w:vAlign w:val="top"/>
            <w:textDirection w:val="lrTb"/>
            <w:noWrap w:val="false"/>
          </w:tcPr>
          <w:p>
            <w:pPr>
              <w:pStyle w:val="106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586" w:type="dxa"/>
            <w:vAlign w:val="top"/>
            <w:textDirection w:val="lrTb"/>
            <w:noWrap w:val="false"/>
          </w:tcPr>
          <w:p>
            <w:pPr>
              <w:pStyle w:val="106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061"/>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06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06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06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804" w:type="dxa"/>
            <w:vAlign w:val="center"/>
            <w:textDirection w:val="lrTb"/>
            <w:noWrap w:val="false"/>
          </w:tcPr>
          <w:p>
            <w:pPr>
              <w:pStyle w:val="1208"/>
              <w:jc w:val="left"/>
              <w:spacing w:line="360" w:lineRule="exact"/>
              <w:rPr>
                <w:rFonts w:hint="eastAsia" w:ascii="微软雅黑" w:hAnsi="微软雅黑" w:cs="微软雅黑"/>
                <w:b/>
                <w:szCs w:val="21"/>
              </w:rPr>
            </w:pPr>
            <w:r>
              <w:rPr>
                <w:rFonts w:hint="eastAsia" w:ascii="微软雅黑" w:hAnsi="微软雅黑" w:cs="微软雅黑"/>
                <w:b/>
                <w:szCs w:val="21"/>
              </w:rPr>
              <w:t xml:space="preserve">农、林、牧、渔</w:t>
            </w:r>
            <w:r>
              <w:rPr>
                <w:rFonts w:hint="eastAsia" w:ascii="微软雅黑" w:hAnsi="微软雅黑" w:cs="微软雅黑"/>
                <w:b/>
                <w:szCs w:val="21"/>
              </w:rPr>
            </w:r>
            <w:r/>
          </w:p>
        </w:tc>
        <w:tc>
          <w:tcPr>
            <w:tcW w:w="1586" w:type="dxa"/>
            <w:vAlign w:val="top"/>
            <w:textDirection w:val="lrTb"/>
            <w:noWrap w:val="false"/>
          </w:tcPr>
          <w:p>
            <w:pPr>
              <w:pStyle w:val="1208"/>
              <w:jc w:val="left"/>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50≤Y＜500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147"/>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工业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2000≤Y＜40000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300≤Y＜2000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建筑业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6000≤Y＜80000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300≤Y＜6000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5000≤Z＜80000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300≤Z＜5000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Z＜300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批发业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20≤X＜200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5≤X＜20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X＜5</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5000≤Y＜40000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零售业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10≤X＜50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100≤Y＜500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交通运输业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3000≤Y＜30000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200≤Y＜3000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Y＜200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仓储业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100≤X＜200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1000≤Y＜30000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邮政业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2"/>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2000≤Y＜30000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住宿业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餐饮业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信息传输业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100≤X＜2000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1000≤Y＜100000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软件和信息技术服务</w:t>
            </w:r>
            <w:r>
              <w:rPr>
                <w:rFonts w:hint="eastAsia" w:ascii="微软雅黑" w:hAnsi="微软雅黑" w:cs="微软雅黑"/>
                <w:b/>
                <w:szCs w:val="21"/>
              </w:rPr>
              <w:t xml:space="preserve">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1000≤Y＜10000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50≤Y＜1000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szCs w:val="21"/>
              </w:rPr>
            </w:pPr>
            <w:r>
              <w:rPr>
                <w:rFonts w:hint="eastAsia" w:ascii="微软雅黑" w:hAnsi="微软雅黑" w:cs="微软雅黑"/>
                <w:szCs w:val="21"/>
              </w:rPr>
            </w:r>
            <w:r/>
          </w:p>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房地产开发经营</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1000≤Y＜200000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100≤X＜1000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4"/>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5000≤Z＜10000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2000≤Y＜5000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Y＜2000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物业管理</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500≤Y＜1000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Y＜500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08"/>
              <w:spacing w:line="360" w:lineRule="exact"/>
              <w:rPr>
                <w:rFonts w:hint="eastAsia" w:ascii="微软雅黑" w:hAnsi="微软雅黑" w:cs="微软雅黑"/>
                <w:b/>
                <w:szCs w:val="21"/>
              </w:rPr>
            </w:pPr>
            <w:r>
              <w:rPr>
                <w:rFonts w:hint="eastAsia" w:ascii="微软雅黑" w:hAnsi="微软雅黑" w:cs="微软雅黑"/>
                <w:b/>
                <w:szCs w:val="21"/>
              </w:rPr>
              <w:t xml:space="preserve">租赁和商务服务业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6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8000≤Z＜120000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100≤Z＜8000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textDirection w:val="lrTb"/>
            <w:noWrap w:val="false"/>
          </w:tcPr>
          <w:p>
            <w:pPr>
              <w:pStyle w:val="1208"/>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其他未列明行业</w:t>
            </w:r>
            <w:r>
              <w:rPr>
                <w:rFonts w:hint="eastAsia" w:ascii="微软雅黑" w:hAnsi="微软雅黑" w:cs="微软雅黑"/>
                <w:b/>
                <w:szCs w:val="21"/>
              </w:rPr>
            </w:r>
            <w:r/>
          </w:p>
        </w:tc>
        <w:tc>
          <w:tcPr>
            <w:tcW w:w="158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08"/>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bl>
    <w:p>
      <w:pPr>
        <w:pStyle w:val="1071"/>
        <w:ind w:firstLine="376"/>
        <w:spacing w:line="260" w:lineRule="exact"/>
        <w:rPr>
          <w:rFonts w:hint="eastAsia" w:ascii="微软雅黑" w:hAnsi="微软雅黑" w:eastAsia="微软雅黑" w:cs="微软雅黑"/>
          <w:spacing w:val="-3"/>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rPr>
      </w:r>
      <w:r/>
    </w:p>
    <w:p>
      <w:pPr>
        <w:pStyle w:val="1064"/>
        <w:jc w:val="both"/>
        <w:spacing w:before="0" w:after="0" w:line="300" w:lineRule="exact"/>
        <w:rPr>
          <w:rFonts w:hint="eastAsia" w:ascii="微软雅黑" w:hAnsi="微软雅黑" w:cs="微软雅黑"/>
          <w:bCs w:val="0"/>
          <w:szCs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rPr>
      </w:r>
      <w:r/>
    </w:p>
    <w:p>
      <w:pPr>
        <w:pStyle w:val="1064"/>
        <w:jc w:val="left"/>
        <w:spacing w:line="420" w:lineRule="exact"/>
        <w:rPr>
          <w:rFonts w:hint="eastAsia" w:ascii="微软雅黑" w:hAnsi="微软雅黑" w:cs="微软雅黑"/>
          <w:b/>
          <w:bCs w:val="0"/>
          <w:sz w:val="24"/>
          <w:szCs w:val="24"/>
        </w:rPr>
      </w:pPr>
      <w:r/>
      <w:bookmarkStart w:id="380" w:name="_Toc4944"/>
      <w:r/>
      <w:bookmarkStart w:id="381" w:name="_Toc24081"/>
      <w:r/>
      <w:bookmarkStart w:id="382" w:name="_Toc7290"/>
      <w:r/>
      <w:bookmarkStart w:id="383" w:name="_Toc10360"/>
      <w:r>
        <w:rPr>
          <w:rFonts w:hint="eastAsia" w:ascii="微软雅黑" w:hAnsi="微软雅黑" w:cs="微软雅黑"/>
          <w:b/>
          <w:bCs w:val="0"/>
          <w:sz w:val="24"/>
          <w:szCs w:val="24"/>
        </w:rPr>
        <w:t xml:space="preserve">附件.残疾人福利性单位声明函</w:t>
      </w:r>
      <w:bookmarkEnd w:id="379"/>
      <w:r/>
      <w:bookmarkEnd w:id="380"/>
      <w:r/>
      <w:bookmarkEnd w:id="381"/>
      <w:r/>
      <w:bookmarkEnd w:id="382"/>
      <w:r/>
      <w:bookmarkEnd w:id="383"/>
      <w:r>
        <w:rPr>
          <w:rFonts w:hint="eastAsia" w:ascii="微软雅黑" w:hAnsi="微软雅黑" w:cs="微软雅黑"/>
          <w:b/>
          <w:bCs w:val="0"/>
          <w:sz w:val="24"/>
          <w:szCs w:val="24"/>
        </w:rPr>
      </w:r>
      <w:r/>
    </w:p>
    <w:p>
      <w:pPr>
        <w:pStyle w:val="1061"/>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rPr>
          <w:rFonts w:hint="eastAsia" w:ascii="微软雅黑" w:hAnsi="微软雅黑" w:cs="微软雅黑"/>
          <w:b/>
          <w:bCs/>
          <w:sz w:val="24"/>
          <w:szCs w:val="24"/>
        </w:rPr>
      </w:r>
      <w:r/>
    </w:p>
    <w:p>
      <w:pPr>
        <w:pStyle w:val="1064"/>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1112"/>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1112"/>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1112"/>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1112"/>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1112"/>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61"/>
        <w:rPr>
          <w:rFonts w:ascii="微软雅黑" w:hAnsi="微软雅黑" w:cs="微软雅黑"/>
          <w:szCs w:val="21"/>
        </w:rPr>
      </w:pPr>
      <w:r>
        <w:rPr>
          <w:rFonts w:ascii="微软雅黑" w:hAnsi="微软雅黑" w:cs="微软雅黑"/>
          <w:szCs w:val="21"/>
        </w:rPr>
      </w:r>
      <w:r/>
    </w:p>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widowControl/>
      <w:rPr>
        <w:rFonts w:hint="eastAsia"/>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JSHC-2026050315B1</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left="420" w:hanging="420"/>
      <w:jc w:val="left"/>
      <w:widowControl/>
      <w:rPr>
        <w:rFonts w:hint="eastAsia"/>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JSHC-2026050315B1</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630"/>
      <w:spacing w:line="360" w:lineRule="auto"/>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JSHC-2026050315B1</w:t>
    </w:r>
    <w:r>
      <w:rPr>
        <w:rFonts w:hint="eastAsia" w:ascii="微软雅黑" w:hAnsi="微软雅黑" w:cs="微软雅黑"/>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6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6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91"/>
      <w:isLgl w:val="false"/>
      <w:suff w:val="tab"/>
      <w:lvlText w:val=""/>
      <w:lvlJc w:val="left"/>
      <w:pPr>
        <w:pStyle w:val="1061"/>
        <w:ind w:left="360" w:hanging="360"/>
        <w:tabs>
          <w:tab w:val="num" w:pos="360" w:leader="none"/>
        </w:tabs>
      </w:pPr>
      <w:rPr>
        <w:rFonts w:ascii="Symbol" w:hAnsi="Symbol"/>
      </w:rPr>
    </w:lvl>
    <w:lvl w:ilvl="1">
      <w:start w:val="1"/>
      <w:numFmt w:val="bullet"/>
      <w:isLgl w:val="false"/>
      <w:suff w:val="tab"/>
      <w:lvlText w:val="o"/>
      <w:lvlJc w:val="left"/>
      <w:pPr>
        <w:pStyle w:val="1061"/>
        <w:ind w:left="1080" w:hanging="360"/>
      </w:pPr>
      <w:rPr>
        <w:rFonts w:ascii="Courier New" w:hAnsi="Courier New" w:cs="Courier New"/>
      </w:rPr>
    </w:lvl>
    <w:lvl w:ilvl="2">
      <w:start w:val="1"/>
      <w:numFmt w:val="bullet"/>
      <w:isLgl w:val="false"/>
      <w:suff w:val="tab"/>
      <w:lvlText w:val=""/>
      <w:lvlJc w:val="left"/>
      <w:pPr>
        <w:pStyle w:val="1061"/>
        <w:ind w:left="1800" w:hanging="360"/>
      </w:pPr>
      <w:rPr>
        <w:rFonts w:ascii="Wingdings" w:hAnsi="Wingdings"/>
      </w:rPr>
    </w:lvl>
    <w:lvl w:ilvl="3">
      <w:start w:val="1"/>
      <w:numFmt w:val="bullet"/>
      <w:isLgl w:val="false"/>
      <w:suff w:val="tab"/>
      <w:lvlText w:val=""/>
      <w:lvlJc w:val="left"/>
      <w:pPr>
        <w:pStyle w:val="1061"/>
        <w:ind w:left="2520" w:hanging="360"/>
      </w:pPr>
      <w:rPr>
        <w:rFonts w:ascii="Symbol" w:hAnsi="Symbol"/>
      </w:rPr>
    </w:lvl>
    <w:lvl w:ilvl="4">
      <w:start w:val="1"/>
      <w:numFmt w:val="bullet"/>
      <w:isLgl w:val="false"/>
      <w:suff w:val="tab"/>
      <w:lvlText w:val="o"/>
      <w:lvlJc w:val="left"/>
      <w:pPr>
        <w:pStyle w:val="1061"/>
        <w:ind w:left="3240" w:hanging="360"/>
      </w:pPr>
      <w:rPr>
        <w:rFonts w:ascii="Courier New" w:hAnsi="Courier New" w:cs="Courier New"/>
      </w:rPr>
    </w:lvl>
    <w:lvl w:ilvl="5">
      <w:start w:val="1"/>
      <w:numFmt w:val="bullet"/>
      <w:isLgl w:val="false"/>
      <w:suff w:val="tab"/>
      <w:lvlText w:val=""/>
      <w:lvlJc w:val="left"/>
      <w:pPr>
        <w:pStyle w:val="1061"/>
        <w:ind w:left="3960" w:hanging="360"/>
      </w:pPr>
      <w:rPr>
        <w:rFonts w:ascii="Wingdings" w:hAnsi="Wingdings"/>
      </w:rPr>
    </w:lvl>
    <w:lvl w:ilvl="6">
      <w:start w:val="1"/>
      <w:numFmt w:val="bullet"/>
      <w:isLgl w:val="false"/>
      <w:suff w:val="tab"/>
      <w:lvlText w:val=""/>
      <w:lvlJc w:val="left"/>
      <w:pPr>
        <w:pStyle w:val="1061"/>
        <w:ind w:left="4680" w:hanging="360"/>
      </w:pPr>
      <w:rPr>
        <w:rFonts w:ascii="Symbol" w:hAnsi="Symbol"/>
      </w:rPr>
    </w:lvl>
    <w:lvl w:ilvl="7">
      <w:start w:val="1"/>
      <w:numFmt w:val="bullet"/>
      <w:isLgl w:val="false"/>
      <w:suff w:val="tab"/>
      <w:lvlText w:val="o"/>
      <w:lvlJc w:val="left"/>
      <w:pPr>
        <w:pStyle w:val="1061"/>
        <w:ind w:left="5400" w:hanging="360"/>
      </w:pPr>
      <w:rPr>
        <w:rFonts w:ascii="Courier New" w:hAnsi="Courier New" w:cs="Courier New"/>
      </w:rPr>
    </w:lvl>
    <w:lvl w:ilvl="8">
      <w:start w:val="1"/>
      <w:numFmt w:val="bullet"/>
      <w:isLgl w:val="false"/>
      <w:suff w:val="tab"/>
      <w:lvlText w:val=""/>
      <w:lvlJc w:val="left"/>
      <w:pPr>
        <w:pStyle w:val="1061"/>
        <w:ind w:left="6120" w:hanging="360"/>
      </w:pPr>
      <w:rPr>
        <w:rFonts w:ascii="Wingdings" w:hAnsi="Wingdings"/>
      </w:rPr>
    </w:lvl>
  </w:abstractNum>
  <w:abstractNum w:abstractNumId="4">
    <w:multiLevelType w:val="hybridMultilevel"/>
    <w:lvl w:ilvl="0">
      <w:start w:val="1"/>
      <w:numFmt w:val="decimal"/>
      <w:pStyle w:val="1195"/>
      <w:isLgl w:val="false"/>
      <w:suff w:val="tab"/>
      <w:lvlText w:val="%1."/>
      <w:lvlJc w:val="left"/>
      <w:pPr>
        <w:pStyle w:val="1061"/>
        <w:tabs>
          <w:tab w:val="num" w:pos="360" w:leader="none"/>
        </w:tabs>
      </w:pPr>
      <w:rPr>
        <w:rFonts w:hint="eastAsia"/>
      </w:rPr>
    </w:lvl>
    <w:lvl w:ilvl="1">
      <w:start w:val="1"/>
      <w:numFmt w:val="decimal"/>
      <w:pStyle w:val="1197"/>
      <w:isLgl w:val="false"/>
      <w:suff w:val="tab"/>
      <w:lvlText w:val="%1.%2"/>
      <w:lvlJc w:val="left"/>
      <w:pPr>
        <w:pStyle w:val="1061"/>
        <w:tabs>
          <w:tab w:val="num" w:pos="720" w:leader="none"/>
        </w:tabs>
      </w:pPr>
      <w:rPr>
        <w:rFonts w:hint="eastAsia"/>
        <w:b w:val="0"/>
        <w:bCs w:val="0"/>
        <w:i w:val="0"/>
        <w:iCs w:val="0"/>
      </w:rPr>
    </w:lvl>
    <w:lvl w:ilvl="2">
      <w:start w:val="1"/>
      <w:numFmt w:val="decimal"/>
      <w:pStyle w:val="1188"/>
      <w:isLgl w:val="false"/>
      <w:suff w:val="tab"/>
      <w:lvlText w:val="%1.%2.%3"/>
      <w:lvlJc w:val="left"/>
      <w:pPr>
        <w:pStyle w:val="1061"/>
        <w:tabs>
          <w:tab w:val="num" w:pos="720" w:leader="none"/>
        </w:tabs>
      </w:pPr>
      <w:rPr>
        <w:rFonts w:hint="eastAsia"/>
      </w:rPr>
    </w:lvl>
    <w:lvl w:ilvl="3">
      <w:start w:val="1"/>
      <w:numFmt w:val="decimal"/>
      <w:isLgl w:val="false"/>
      <w:suff w:val="tab"/>
      <w:lvlText w:val="%1.%2.%3.%4."/>
      <w:lvlJc w:val="left"/>
      <w:pPr>
        <w:pStyle w:val="1061"/>
        <w:ind w:left="851" w:hanging="851"/>
        <w:tabs>
          <w:tab w:val="num" w:pos="851" w:leader="none"/>
        </w:tabs>
      </w:pPr>
      <w:rPr>
        <w:rFonts w:hint="eastAsia"/>
      </w:rPr>
    </w:lvl>
    <w:lvl w:ilvl="4">
      <w:start w:val="1"/>
      <w:numFmt w:val="decimal"/>
      <w:isLgl w:val="false"/>
      <w:suff w:val="tab"/>
      <w:lvlText w:val="%1.%2.%3.%4.%5."/>
      <w:lvlJc w:val="left"/>
      <w:pPr>
        <w:pStyle w:val="1061"/>
        <w:ind w:left="992" w:hanging="992"/>
        <w:tabs>
          <w:tab w:val="num" w:pos="992" w:leader="none"/>
        </w:tabs>
      </w:pPr>
      <w:rPr>
        <w:rFonts w:hint="eastAsia"/>
      </w:rPr>
    </w:lvl>
    <w:lvl w:ilvl="5">
      <w:start w:val="1"/>
      <w:numFmt w:val="decimal"/>
      <w:isLgl w:val="false"/>
      <w:suff w:val="tab"/>
      <w:lvlText w:val="%1.%2.%3.%4.%5.%6."/>
      <w:lvlJc w:val="left"/>
      <w:pPr>
        <w:pStyle w:val="1061"/>
        <w:ind w:left="1134" w:hanging="1134"/>
        <w:tabs>
          <w:tab w:val="num" w:pos="1134" w:leader="none"/>
        </w:tabs>
      </w:pPr>
      <w:rPr>
        <w:rFonts w:hint="eastAsia"/>
      </w:rPr>
    </w:lvl>
    <w:lvl w:ilvl="6">
      <w:start w:val="1"/>
      <w:numFmt w:val="decimal"/>
      <w:isLgl w:val="false"/>
      <w:suff w:val="tab"/>
      <w:lvlText w:val="%1.%2.%3.%4.%5.%6.%7."/>
      <w:lvlJc w:val="left"/>
      <w:pPr>
        <w:pStyle w:val="1061"/>
        <w:ind w:left="1276" w:hanging="1276"/>
        <w:tabs>
          <w:tab w:val="num" w:pos="1276" w:leader="none"/>
        </w:tabs>
      </w:pPr>
      <w:rPr>
        <w:rFonts w:hint="eastAsia"/>
      </w:rPr>
    </w:lvl>
    <w:lvl w:ilvl="7">
      <w:start w:val="1"/>
      <w:numFmt w:val="decimal"/>
      <w:isLgl w:val="false"/>
      <w:suff w:val="tab"/>
      <w:lvlText w:val="%1.%2.%3.%4.%5.%6.%7.%8."/>
      <w:lvlJc w:val="left"/>
      <w:pPr>
        <w:pStyle w:val="1061"/>
        <w:ind w:left="1418" w:hanging="1418"/>
        <w:tabs>
          <w:tab w:val="num" w:pos="1418" w:leader="none"/>
        </w:tabs>
      </w:pPr>
      <w:rPr>
        <w:rFonts w:hint="eastAsia"/>
      </w:rPr>
    </w:lvl>
    <w:lvl w:ilvl="8">
      <w:start w:val="1"/>
      <w:numFmt w:val="decimal"/>
      <w:isLgl w:val="false"/>
      <w:suff w:val="tab"/>
      <w:lvlText w:val="%1.%2.%3.%4.%5.%6.%7.%8.%9."/>
      <w:lvlJc w:val="left"/>
      <w:pPr>
        <w:pStyle w:val="1061"/>
        <w:ind w:left="1559" w:hanging="1559"/>
        <w:tabs>
          <w:tab w:val="num" w:pos="1559" w:leader="none"/>
        </w:tabs>
      </w:pPr>
      <w:rPr>
        <w:rFonts w:hint="eastAsia"/>
      </w:rPr>
    </w:lvl>
  </w:abstractNum>
  <w:abstractNum w:abstractNumId="5">
    <w:multiLevelType w:val="hybridMultilevel"/>
    <w:lvl w:ilvl="0">
      <w:start w:val="1"/>
      <w:numFmt w:val="lowerLetter"/>
      <w:pStyle w:val="1077"/>
      <w:isLgl w:val="false"/>
      <w:suff w:val="tab"/>
      <w:lvlText w:val="%1)"/>
      <w:lvlJc w:val="left"/>
      <w:pPr>
        <w:pStyle w:val="1061"/>
        <w:ind w:left="990" w:hanging="360"/>
        <w:tabs>
          <w:tab w:val="num" w:pos="990" w:leader="none"/>
        </w:tabs>
      </w:pPr>
      <w:rPr>
        <w:rFonts w:hint="eastAsia"/>
      </w:rPr>
    </w:lvl>
    <w:lvl w:ilvl="1">
      <w:start w:val="1"/>
      <w:numFmt w:val="lowerLetter"/>
      <w:pStyle w:val="1185"/>
      <w:isLgl w:val="false"/>
      <w:suff w:val="tab"/>
      <w:lvlText w:val="%2)"/>
      <w:lvlJc w:val="left"/>
      <w:pPr>
        <w:pStyle w:val="1061"/>
        <w:ind w:left="1470" w:hanging="420"/>
        <w:tabs>
          <w:tab w:val="num" w:pos="1470" w:leader="none"/>
        </w:tabs>
      </w:pPr>
    </w:lvl>
    <w:lvl w:ilvl="2">
      <w:start w:val="1"/>
      <w:numFmt w:val="lowerRoman"/>
      <w:isLgl w:val="false"/>
      <w:suff w:val="tab"/>
      <w:lvlText w:val="%3."/>
      <w:lvlJc w:val="right"/>
      <w:pPr>
        <w:pStyle w:val="1061"/>
        <w:ind w:left="1890" w:hanging="420"/>
        <w:tabs>
          <w:tab w:val="num" w:pos="1890" w:leader="none"/>
        </w:tabs>
      </w:pPr>
    </w:lvl>
    <w:lvl w:ilvl="3">
      <w:start w:val="1"/>
      <w:numFmt w:val="decimal"/>
      <w:isLgl w:val="false"/>
      <w:suff w:val="tab"/>
      <w:lvlText w:val="%4."/>
      <w:lvlJc w:val="left"/>
      <w:pPr>
        <w:pStyle w:val="1061"/>
        <w:ind w:left="2310" w:hanging="420"/>
        <w:tabs>
          <w:tab w:val="num" w:pos="2310" w:leader="none"/>
        </w:tabs>
      </w:pPr>
    </w:lvl>
    <w:lvl w:ilvl="4">
      <w:start w:val="1"/>
      <w:numFmt w:val="lowerLetter"/>
      <w:isLgl w:val="false"/>
      <w:suff w:val="tab"/>
      <w:lvlText w:val="%5)"/>
      <w:lvlJc w:val="left"/>
      <w:pPr>
        <w:pStyle w:val="1061"/>
        <w:ind w:left="2730" w:hanging="420"/>
        <w:tabs>
          <w:tab w:val="num" w:pos="2730" w:leader="none"/>
        </w:tabs>
      </w:pPr>
    </w:lvl>
    <w:lvl w:ilvl="5">
      <w:start w:val="1"/>
      <w:numFmt w:val="lowerRoman"/>
      <w:isLgl w:val="false"/>
      <w:suff w:val="tab"/>
      <w:lvlText w:val="%6."/>
      <w:lvlJc w:val="right"/>
      <w:pPr>
        <w:pStyle w:val="1061"/>
        <w:ind w:left="3150" w:hanging="420"/>
        <w:tabs>
          <w:tab w:val="num" w:pos="3150" w:leader="none"/>
        </w:tabs>
      </w:pPr>
    </w:lvl>
    <w:lvl w:ilvl="6">
      <w:start w:val="1"/>
      <w:numFmt w:val="decimal"/>
      <w:isLgl w:val="false"/>
      <w:suff w:val="tab"/>
      <w:lvlText w:val="%7."/>
      <w:lvlJc w:val="left"/>
      <w:pPr>
        <w:pStyle w:val="1061"/>
        <w:ind w:left="3570" w:hanging="420"/>
        <w:tabs>
          <w:tab w:val="num" w:pos="3570" w:leader="none"/>
        </w:tabs>
      </w:pPr>
    </w:lvl>
    <w:lvl w:ilvl="7">
      <w:start w:val="1"/>
      <w:numFmt w:val="lowerLetter"/>
      <w:isLgl w:val="false"/>
      <w:suff w:val="tab"/>
      <w:lvlText w:val="%8)"/>
      <w:lvlJc w:val="left"/>
      <w:pPr>
        <w:pStyle w:val="1061"/>
        <w:ind w:left="3990" w:hanging="420"/>
        <w:tabs>
          <w:tab w:val="num" w:pos="3990" w:leader="none"/>
        </w:tabs>
      </w:pPr>
    </w:lvl>
    <w:lvl w:ilvl="8">
      <w:start w:val="1"/>
      <w:numFmt w:val="lowerRoman"/>
      <w:isLgl w:val="false"/>
      <w:suff w:val="tab"/>
      <w:lvlText w:val="%9."/>
      <w:lvlJc w:val="right"/>
      <w:pPr>
        <w:pStyle w:val="1061"/>
        <w:ind w:left="4410" w:hanging="420"/>
        <w:tabs>
          <w:tab w:val="num" w:pos="4410" w:leader="none"/>
        </w:tabs>
      </w:pPr>
    </w:lvl>
  </w:abstractNum>
  <w:abstractNum w:abstractNumId="6">
    <w:multiLevelType w:val="hybridMultilevel"/>
    <w:lvl w:ilvl="0">
      <w:start w:val="1"/>
      <w:numFmt w:val="decimal"/>
      <w:pStyle w:val="1161"/>
      <w:isLgl w:val="false"/>
      <w:suff w:val="tab"/>
      <w:lvlText w:val="%1注："/>
      <w:lvlJc w:val="left"/>
      <w:pPr>
        <w:pStyle w:val="1061"/>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61"/>
        <w:ind w:left="780" w:hanging="360"/>
        <w:tabs>
          <w:tab w:val="num" w:pos="780" w:leader="none"/>
        </w:tabs>
      </w:pPr>
      <w:rPr>
        <w:rFonts w:hint="eastAsia"/>
      </w:rPr>
    </w:lvl>
    <w:lvl w:ilvl="2">
      <w:start w:val="1"/>
      <w:numFmt w:val="lowerRoman"/>
      <w:isLgl w:val="false"/>
      <w:suff w:val="tab"/>
      <w:lvlText w:val="%3."/>
      <w:lvlJc w:val="right"/>
      <w:pPr>
        <w:pStyle w:val="1061"/>
        <w:ind w:left="1260" w:hanging="420"/>
        <w:tabs>
          <w:tab w:val="num" w:pos="1260" w:leader="none"/>
        </w:tabs>
      </w:pPr>
    </w:lvl>
    <w:lvl w:ilvl="3">
      <w:start w:val="1"/>
      <w:numFmt w:val="decimal"/>
      <w:isLgl w:val="false"/>
      <w:suff w:val="tab"/>
      <w:lvlText w:val="%4."/>
      <w:lvlJc w:val="left"/>
      <w:pPr>
        <w:pStyle w:val="1061"/>
        <w:ind w:left="1680" w:hanging="420"/>
        <w:tabs>
          <w:tab w:val="num" w:pos="1680" w:leader="none"/>
        </w:tabs>
      </w:pPr>
    </w:lvl>
    <w:lvl w:ilvl="4">
      <w:start w:val="1"/>
      <w:numFmt w:val="lowerLetter"/>
      <w:isLgl w:val="false"/>
      <w:suff w:val="tab"/>
      <w:lvlText w:val="%5)"/>
      <w:lvlJc w:val="left"/>
      <w:pPr>
        <w:pStyle w:val="1061"/>
        <w:ind w:left="2100" w:hanging="420"/>
        <w:tabs>
          <w:tab w:val="num" w:pos="2100" w:leader="none"/>
        </w:tabs>
      </w:pPr>
    </w:lvl>
    <w:lvl w:ilvl="5">
      <w:start w:val="1"/>
      <w:numFmt w:val="lowerRoman"/>
      <w:isLgl w:val="false"/>
      <w:suff w:val="tab"/>
      <w:lvlText w:val="%6."/>
      <w:lvlJc w:val="right"/>
      <w:pPr>
        <w:pStyle w:val="1061"/>
        <w:ind w:left="2520" w:hanging="420"/>
        <w:tabs>
          <w:tab w:val="num" w:pos="2520" w:leader="none"/>
        </w:tabs>
      </w:pPr>
    </w:lvl>
    <w:lvl w:ilvl="6">
      <w:start w:val="1"/>
      <w:numFmt w:val="decimal"/>
      <w:isLgl w:val="false"/>
      <w:suff w:val="tab"/>
      <w:lvlText w:val="%7."/>
      <w:lvlJc w:val="left"/>
      <w:pPr>
        <w:pStyle w:val="1061"/>
        <w:ind w:left="2940" w:hanging="420"/>
        <w:tabs>
          <w:tab w:val="num" w:pos="2940" w:leader="none"/>
        </w:tabs>
      </w:pPr>
    </w:lvl>
    <w:lvl w:ilvl="7">
      <w:start w:val="1"/>
      <w:numFmt w:val="lowerLetter"/>
      <w:isLgl w:val="false"/>
      <w:suff w:val="tab"/>
      <w:lvlText w:val="%8)"/>
      <w:lvlJc w:val="left"/>
      <w:pPr>
        <w:pStyle w:val="1061"/>
        <w:ind w:left="3360" w:hanging="420"/>
        <w:tabs>
          <w:tab w:val="num" w:pos="3360" w:leader="none"/>
        </w:tabs>
      </w:pPr>
    </w:lvl>
    <w:lvl w:ilvl="8">
      <w:start w:val="1"/>
      <w:numFmt w:val="lowerRoman"/>
      <w:isLgl w:val="false"/>
      <w:suff w:val="tab"/>
      <w:lvlText w:val="%9."/>
      <w:lvlJc w:val="right"/>
      <w:pPr>
        <w:pStyle w:val="1061"/>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1061"/>
        <w:ind w:left="420" w:hanging="420"/>
      </w:pPr>
      <w:rPr>
        <w:rFonts w:hint="eastAsia"/>
      </w:rPr>
    </w:lvl>
    <w:lvl w:ilvl="1">
      <w:start w:val="1"/>
      <w:numFmt w:val="lowerLetter"/>
      <w:isLgl w:val="false"/>
      <w:suff w:val="tab"/>
      <w:lvlText w:val="%2)"/>
      <w:lvlJc w:val="left"/>
      <w:pPr>
        <w:pStyle w:val="1061"/>
        <w:ind w:left="840" w:hanging="420"/>
      </w:pPr>
    </w:lvl>
    <w:lvl w:ilvl="2">
      <w:start w:val="1"/>
      <w:numFmt w:val="lowerRoman"/>
      <w:isLgl w:val="false"/>
      <w:suff w:val="tab"/>
      <w:lvlText w:val="%3."/>
      <w:lvlJc w:val="right"/>
      <w:pPr>
        <w:pStyle w:val="1061"/>
        <w:ind w:left="1260" w:hanging="420"/>
      </w:pPr>
    </w:lvl>
    <w:lvl w:ilvl="3">
      <w:start w:val="1"/>
      <w:numFmt w:val="decimal"/>
      <w:isLgl w:val="false"/>
      <w:suff w:val="tab"/>
      <w:lvlText w:val="%4."/>
      <w:lvlJc w:val="left"/>
      <w:pPr>
        <w:pStyle w:val="1061"/>
        <w:ind w:left="1680" w:hanging="420"/>
      </w:pPr>
    </w:lvl>
    <w:lvl w:ilvl="4">
      <w:start w:val="1"/>
      <w:numFmt w:val="lowerLetter"/>
      <w:isLgl w:val="false"/>
      <w:suff w:val="tab"/>
      <w:lvlText w:val="%5)"/>
      <w:lvlJc w:val="left"/>
      <w:pPr>
        <w:pStyle w:val="1061"/>
        <w:ind w:left="2100" w:hanging="420"/>
      </w:pPr>
    </w:lvl>
    <w:lvl w:ilvl="5">
      <w:start w:val="1"/>
      <w:numFmt w:val="lowerRoman"/>
      <w:isLgl w:val="false"/>
      <w:suff w:val="tab"/>
      <w:lvlText w:val="%6."/>
      <w:lvlJc w:val="right"/>
      <w:pPr>
        <w:pStyle w:val="1061"/>
        <w:ind w:left="2520" w:hanging="420"/>
      </w:pPr>
    </w:lvl>
    <w:lvl w:ilvl="6">
      <w:start w:val="1"/>
      <w:numFmt w:val="decimal"/>
      <w:isLgl w:val="false"/>
      <w:suff w:val="tab"/>
      <w:lvlText w:val="%7."/>
      <w:lvlJc w:val="left"/>
      <w:pPr>
        <w:pStyle w:val="1061"/>
        <w:ind w:left="2940" w:hanging="420"/>
      </w:pPr>
    </w:lvl>
    <w:lvl w:ilvl="7">
      <w:start w:val="1"/>
      <w:numFmt w:val="lowerLetter"/>
      <w:isLgl w:val="false"/>
      <w:suff w:val="tab"/>
      <w:lvlText w:val="%8)"/>
      <w:lvlJc w:val="left"/>
      <w:pPr>
        <w:pStyle w:val="1061"/>
        <w:ind w:left="3360" w:hanging="420"/>
      </w:pPr>
    </w:lvl>
    <w:lvl w:ilvl="8">
      <w:start w:val="1"/>
      <w:numFmt w:val="lowerRoman"/>
      <w:isLgl w:val="false"/>
      <w:suff w:val="tab"/>
      <w:lvlText w:val="%9."/>
      <w:lvlJc w:val="right"/>
      <w:pPr>
        <w:pStyle w:val="1061"/>
        <w:ind w:left="3780" w:hanging="420"/>
      </w:pPr>
    </w:lvl>
  </w:abstractNum>
  <w:abstractNum w:abstractNumId="8">
    <w:multiLevelType w:val="hybridMultilevel"/>
    <w:lvl w:ilvl="0">
      <w:start w:val="1"/>
      <w:numFmt w:val="decimal"/>
      <w:isLgl w:val="false"/>
      <w:suff w:val="tab"/>
      <w:lvlText w:val="%1."/>
      <w:lvlJc w:val="left"/>
      <w:pPr>
        <w:pStyle w:val="106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6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9"/>
  </w:num>
  <w:num w:numId="6">
    <w:abstractNumId w:val="1"/>
  </w:num>
  <w:num w:numId="7">
    <w:abstractNumId w:val="7"/>
  </w:num>
  <w:num w:numId="8">
    <w:abstractNumId w:val="2"/>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name w:val="Heading 1"/>
    <w:basedOn w:val="1061"/>
    <w:next w:val="1061"/>
    <w:link w:val="886"/>
    <w:uiPriority w:val="9"/>
    <w:qFormat/>
    <w:pPr>
      <w:keepLines/>
      <w:keepNext/>
      <w:spacing w:before="480" w:after="200"/>
      <w:outlineLvl w:val="0"/>
    </w:pPr>
    <w:rPr>
      <w:rFonts w:ascii="Arial" w:hAnsi="Arial" w:eastAsia="Arial" w:cs="Arial"/>
      <w:sz w:val="40"/>
      <w:szCs w:val="40"/>
    </w:rPr>
  </w:style>
  <w:style w:type="character" w:styleId="886">
    <w:name w:val="Heading 1 Char"/>
    <w:link w:val="885"/>
    <w:uiPriority w:val="9"/>
    <w:rPr>
      <w:rFonts w:ascii="Arial" w:hAnsi="Arial" w:eastAsia="Arial" w:cs="Arial"/>
      <w:sz w:val="40"/>
      <w:szCs w:val="40"/>
    </w:rPr>
  </w:style>
  <w:style w:type="paragraph" w:styleId="887">
    <w:name w:val="Heading 2"/>
    <w:basedOn w:val="1061"/>
    <w:next w:val="1061"/>
    <w:link w:val="888"/>
    <w:uiPriority w:val="9"/>
    <w:unhideWhenUsed/>
    <w:qFormat/>
    <w:pPr>
      <w:keepLines/>
      <w:keepNext/>
      <w:spacing w:before="360" w:after="200"/>
      <w:outlineLvl w:val="1"/>
    </w:pPr>
    <w:rPr>
      <w:rFonts w:ascii="Arial" w:hAnsi="Arial" w:eastAsia="Arial" w:cs="Arial"/>
      <w:sz w:val="34"/>
    </w:rPr>
  </w:style>
  <w:style w:type="character" w:styleId="888">
    <w:name w:val="Heading 2 Char"/>
    <w:link w:val="887"/>
    <w:uiPriority w:val="9"/>
    <w:rPr>
      <w:rFonts w:ascii="Arial" w:hAnsi="Arial" w:eastAsia="Arial" w:cs="Arial"/>
      <w:sz w:val="34"/>
    </w:rPr>
  </w:style>
  <w:style w:type="paragraph" w:styleId="889">
    <w:name w:val="Heading 3"/>
    <w:basedOn w:val="1061"/>
    <w:next w:val="1061"/>
    <w:link w:val="890"/>
    <w:uiPriority w:val="9"/>
    <w:unhideWhenUsed/>
    <w:qFormat/>
    <w:pPr>
      <w:keepLines/>
      <w:keepNext/>
      <w:spacing w:before="320" w:after="200"/>
      <w:outlineLvl w:val="2"/>
    </w:pPr>
    <w:rPr>
      <w:rFonts w:ascii="Arial" w:hAnsi="Arial" w:eastAsia="Arial" w:cs="Arial"/>
      <w:sz w:val="30"/>
      <w:szCs w:val="30"/>
    </w:rPr>
  </w:style>
  <w:style w:type="character" w:styleId="890">
    <w:name w:val="Heading 3 Char"/>
    <w:link w:val="889"/>
    <w:uiPriority w:val="9"/>
    <w:rPr>
      <w:rFonts w:ascii="Arial" w:hAnsi="Arial" w:eastAsia="Arial" w:cs="Arial"/>
      <w:sz w:val="30"/>
      <w:szCs w:val="30"/>
    </w:rPr>
  </w:style>
  <w:style w:type="paragraph" w:styleId="891">
    <w:name w:val="Heading 4"/>
    <w:basedOn w:val="1061"/>
    <w:next w:val="1061"/>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link w:val="891"/>
    <w:uiPriority w:val="9"/>
    <w:rPr>
      <w:rFonts w:ascii="Arial" w:hAnsi="Arial" w:eastAsia="Arial" w:cs="Arial"/>
      <w:b/>
      <w:bCs/>
      <w:sz w:val="26"/>
      <w:szCs w:val="26"/>
    </w:rPr>
  </w:style>
  <w:style w:type="paragraph" w:styleId="893">
    <w:name w:val="Heading 5"/>
    <w:basedOn w:val="1061"/>
    <w:next w:val="1061"/>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link w:val="893"/>
    <w:uiPriority w:val="9"/>
    <w:rPr>
      <w:rFonts w:ascii="Arial" w:hAnsi="Arial" w:eastAsia="Arial" w:cs="Arial"/>
      <w:b/>
      <w:bCs/>
      <w:sz w:val="24"/>
      <w:szCs w:val="24"/>
    </w:rPr>
  </w:style>
  <w:style w:type="paragraph" w:styleId="895">
    <w:name w:val="Heading 6"/>
    <w:basedOn w:val="1061"/>
    <w:next w:val="1061"/>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link w:val="895"/>
    <w:uiPriority w:val="9"/>
    <w:rPr>
      <w:rFonts w:ascii="Arial" w:hAnsi="Arial" w:eastAsia="Arial" w:cs="Arial"/>
      <w:b/>
      <w:bCs/>
      <w:sz w:val="22"/>
      <w:szCs w:val="22"/>
    </w:rPr>
  </w:style>
  <w:style w:type="paragraph" w:styleId="897">
    <w:name w:val="Heading 7"/>
    <w:basedOn w:val="1061"/>
    <w:next w:val="1061"/>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link w:val="897"/>
    <w:uiPriority w:val="9"/>
    <w:rPr>
      <w:rFonts w:ascii="Arial" w:hAnsi="Arial" w:eastAsia="Arial" w:cs="Arial"/>
      <w:b/>
      <w:bCs/>
      <w:i/>
      <w:iCs/>
      <w:sz w:val="22"/>
      <w:szCs w:val="22"/>
    </w:rPr>
  </w:style>
  <w:style w:type="paragraph" w:styleId="899">
    <w:name w:val="Heading 8"/>
    <w:basedOn w:val="1061"/>
    <w:next w:val="1061"/>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link w:val="899"/>
    <w:uiPriority w:val="9"/>
    <w:rPr>
      <w:rFonts w:ascii="Arial" w:hAnsi="Arial" w:eastAsia="Arial" w:cs="Arial"/>
      <w:i/>
      <w:iCs/>
      <w:sz w:val="22"/>
      <w:szCs w:val="22"/>
    </w:rPr>
  </w:style>
  <w:style w:type="paragraph" w:styleId="901">
    <w:name w:val="Heading 9"/>
    <w:basedOn w:val="1061"/>
    <w:next w:val="1061"/>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link w:val="901"/>
    <w:uiPriority w:val="9"/>
    <w:rPr>
      <w:rFonts w:ascii="Arial" w:hAnsi="Arial" w:eastAsia="Arial" w:cs="Arial"/>
      <w:i/>
      <w:iCs/>
      <w:sz w:val="21"/>
      <w:szCs w:val="21"/>
    </w:rPr>
  </w:style>
  <w:style w:type="paragraph" w:styleId="903">
    <w:name w:val="Title"/>
    <w:basedOn w:val="1061"/>
    <w:next w:val="1061"/>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61"/>
    <w:next w:val="1061"/>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61"/>
    <w:next w:val="1061"/>
    <w:link w:val="908"/>
    <w:uiPriority w:val="29"/>
    <w:qFormat/>
    <w:pPr>
      <w:ind w:left="720" w:right="720"/>
    </w:pPr>
    <w:rPr>
      <w:i/>
    </w:rPr>
  </w:style>
  <w:style w:type="character" w:styleId="908">
    <w:name w:val="Quote Char"/>
    <w:link w:val="907"/>
    <w:uiPriority w:val="29"/>
    <w:rPr>
      <w:i/>
    </w:rPr>
  </w:style>
  <w:style w:type="paragraph" w:styleId="909">
    <w:name w:val="Intense Quote"/>
    <w:basedOn w:val="1061"/>
    <w:next w:val="1061"/>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61"/>
    <w:link w:val="912"/>
    <w:uiPriority w:val="99"/>
    <w:unhideWhenUsed/>
    <w:pPr>
      <w:spacing w:after="0" w:line="240" w:lineRule="auto"/>
      <w:tabs>
        <w:tab w:val="center" w:pos="7143" w:leader="none"/>
        <w:tab w:val="right" w:pos="14287" w:leader="none"/>
      </w:tabs>
    </w:pPr>
  </w:style>
  <w:style w:type="character" w:styleId="912">
    <w:name w:val="Header Char"/>
    <w:link w:val="911"/>
    <w:uiPriority w:val="99"/>
  </w:style>
  <w:style w:type="paragraph" w:styleId="913">
    <w:name w:val="Footer"/>
    <w:basedOn w:val="1061"/>
    <w:link w:val="916"/>
    <w:uiPriority w:val="99"/>
    <w:unhideWhenUsed/>
    <w:pPr>
      <w:spacing w:after="0" w:line="240" w:lineRule="auto"/>
      <w:tabs>
        <w:tab w:val="center" w:pos="7143" w:leader="none"/>
        <w:tab w:val="right" w:pos="14287" w:leader="none"/>
      </w:tabs>
    </w:pPr>
  </w:style>
  <w:style w:type="character" w:styleId="914">
    <w:name w:val="Footer Char"/>
    <w:link w:val="913"/>
    <w:uiPriority w:val="99"/>
  </w:style>
  <w:style w:type="paragraph" w:styleId="915">
    <w:name w:val="Caption"/>
    <w:basedOn w:val="1061"/>
    <w:next w:val="1061"/>
    <w:uiPriority w:val="35"/>
    <w:semiHidden/>
    <w:unhideWhenUsed/>
    <w:qFormat/>
    <w:pPr>
      <w:spacing w:line="276" w:lineRule="auto"/>
    </w:pPr>
    <w:rPr>
      <w:b/>
      <w:bCs/>
      <w:color w:val="4f81bd" w:themeColor="accent1"/>
      <w:sz w:val="18"/>
      <w:szCs w:val="18"/>
    </w:rPr>
  </w:style>
  <w:style w:type="character" w:styleId="916">
    <w:name w:val="Caption Char"/>
    <w:basedOn w:val="915"/>
    <w:link w:val="913"/>
    <w:uiPriority w:val="99"/>
  </w:style>
  <w:style w:type="table" w:styleId="9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3">
    <w:name w:val="Hyperlink"/>
    <w:uiPriority w:val="99"/>
    <w:unhideWhenUsed/>
    <w:rPr>
      <w:color w:val="0000ff" w:themeColor="hyperlink"/>
      <w:u w:val="single"/>
    </w:rPr>
  </w:style>
  <w:style w:type="paragraph" w:styleId="1044">
    <w:name w:val="footnote text"/>
    <w:basedOn w:val="1061"/>
    <w:link w:val="1045"/>
    <w:uiPriority w:val="99"/>
    <w:semiHidden/>
    <w:unhideWhenUsed/>
    <w:pPr>
      <w:spacing w:after="40" w:line="240" w:lineRule="auto"/>
    </w:pPr>
    <w:rPr>
      <w:sz w:val="18"/>
    </w:rPr>
  </w:style>
  <w:style w:type="character" w:styleId="1045">
    <w:name w:val="Footnote Text Char"/>
    <w:link w:val="1044"/>
    <w:uiPriority w:val="99"/>
    <w:rPr>
      <w:sz w:val="18"/>
    </w:rPr>
  </w:style>
  <w:style w:type="character" w:styleId="1046">
    <w:name w:val="footnote reference"/>
    <w:uiPriority w:val="99"/>
    <w:unhideWhenUsed/>
    <w:rPr>
      <w:vertAlign w:val="superscript"/>
    </w:rPr>
  </w:style>
  <w:style w:type="paragraph" w:styleId="1047">
    <w:name w:val="endnote text"/>
    <w:basedOn w:val="1061"/>
    <w:link w:val="1048"/>
    <w:uiPriority w:val="99"/>
    <w:semiHidden/>
    <w:unhideWhenUsed/>
    <w:pPr>
      <w:spacing w:after="0" w:line="240" w:lineRule="auto"/>
    </w:pPr>
    <w:rPr>
      <w:sz w:val="20"/>
    </w:rPr>
  </w:style>
  <w:style w:type="character" w:styleId="1048">
    <w:name w:val="Endnote Text Char"/>
    <w:link w:val="1047"/>
    <w:uiPriority w:val="99"/>
    <w:rPr>
      <w:sz w:val="20"/>
    </w:rPr>
  </w:style>
  <w:style w:type="character" w:styleId="1049">
    <w:name w:val="endnote reference"/>
    <w:uiPriority w:val="99"/>
    <w:semiHidden/>
    <w:unhideWhenUsed/>
    <w:rPr>
      <w:vertAlign w:val="superscript"/>
    </w:rPr>
  </w:style>
  <w:style w:type="paragraph" w:styleId="1050">
    <w:name w:val="toc 1"/>
    <w:basedOn w:val="1061"/>
    <w:next w:val="1061"/>
    <w:uiPriority w:val="39"/>
    <w:unhideWhenUsed/>
    <w:pPr>
      <w:ind w:left="0" w:right="0" w:firstLine="0"/>
      <w:spacing w:after="57"/>
    </w:p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next w:val="1061"/>
    <w:link w:val="1061"/>
    <w:qFormat/>
    <w:pPr>
      <w:jc w:val="both"/>
      <w:widowControl w:val="off"/>
    </w:pPr>
    <w:rPr>
      <w:rFonts w:eastAsia="微软雅黑"/>
      <w:sz w:val="21"/>
      <w:szCs w:val="22"/>
      <w:lang w:val="en-US" w:eastAsia="zh-CN" w:bidi="ar-SA"/>
    </w:rPr>
  </w:style>
  <w:style w:type="paragraph" w:styleId="1062">
    <w:name w:val="标题 1"/>
    <w:basedOn w:val="1061"/>
    <w:next w:val="1061"/>
    <w:link w:val="1069"/>
    <w:qFormat/>
    <w:pPr>
      <w:jc w:val="center"/>
      <w:keepLines/>
      <w:keepNext/>
      <w:spacing w:before="340" w:after="330"/>
      <w:outlineLvl w:val="0"/>
    </w:pPr>
    <w:rPr>
      <w:rFonts w:ascii="Calibri" w:hAnsi="Calibri"/>
      <w:b/>
      <w:bCs/>
      <w:sz w:val="32"/>
      <w:szCs w:val="44"/>
    </w:rPr>
  </w:style>
  <w:style w:type="paragraph" w:styleId="1063">
    <w:name w:val="标题 2"/>
    <w:basedOn w:val="1062"/>
    <w:next w:val="1071"/>
    <w:link w:val="1070"/>
    <w:qFormat/>
    <w:pPr>
      <w:jc w:val="center"/>
      <w:keepLines/>
      <w:keepNext/>
      <w:spacing w:before="260" w:after="260"/>
      <w:outlineLvl w:val="1"/>
    </w:pPr>
    <w:rPr>
      <w:rFonts w:ascii="Cambria" w:hAnsi="Cambria"/>
      <w:b w:val="0"/>
      <w:bCs w:val="0"/>
      <w:sz w:val="28"/>
      <w:szCs w:val="32"/>
    </w:rPr>
  </w:style>
  <w:style w:type="paragraph" w:styleId="1064">
    <w:name w:val="标题 3"/>
    <w:basedOn w:val="1061"/>
    <w:next w:val="1061"/>
    <w:link w:val="1072"/>
    <w:qFormat/>
    <w:pPr>
      <w:jc w:val="center"/>
      <w:keepLines/>
      <w:keepNext/>
      <w:spacing w:before="260" w:after="260" w:line="416" w:lineRule="auto"/>
      <w:outlineLvl w:val="2"/>
    </w:pPr>
    <w:rPr>
      <w:rFonts w:ascii="Calibri" w:hAnsi="Calibri"/>
      <w:bCs/>
      <w:sz w:val="28"/>
      <w:szCs w:val="32"/>
    </w:rPr>
  </w:style>
  <w:style w:type="paragraph" w:styleId="1065">
    <w:name w:val="标题 4"/>
    <w:basedOn w:val="1061"/>
    <w:next w:val="1061"/>
    <w:link w:val="1073"/>
    <w:qFormat/>
    <w:pPr>
      <w:keepLines/>
      <w:keepNext/>
      <w:spacing w:line="360" w:lineRule="auto"/>
      <w:outlineLvl w:val="3"/>
    </w:pPr>
    <w:rPr>
      <w:rFonts w:ascii="Arial" w:hAnsi="Arial" w:eastAsia="宋体"/>
      <w:b/>
      <w:bCs/>
      <w:sz w:val="24"/>
      <w:szCs w:val="28"/>
    </w:rPr>
  </w:style>
  <w:style w:type="paragraph" w:styleId="1066">
    <w:name w:val="标题 5"/>
    <w:basedOn w:val="1061"/>
    <w:next w:val="1061"/>
    <w:link w:val="1074"/>
    <w:qFormat/>
    <w:pPr>
      <w:keepLines/>
      <w:keepNext/>
      <w:spacing w:before="280" w:after="290" w:line="376" w:lineRule="auto"/>
      <w:outlineLvl w:val="4"/>
    </w:pPr>
    <w:rPr>
      <w:rFonts w:ascii="Calibri" w:hAnsi="Calibri" w:eastAsia="宋体"/>
      <w:b/>
      <w:bCs/>
      <w:sz w:val="28"/>
      <w:szCs w:val="28"/>
    </w:rPr>
  </w:style>
  <w:style w:type="character" w:styleId="1067">
    <w:name w:val="默认段落字体"/>
    <w:next w:val="1067"/>
    <w:link w:val="1061"/>
    <w:uiPriority w:val="1"/>
    <w:unhideWhenUsed/>
  </w:style>
  <w:style w:type="table" w:styleId="1068">
    <w:name w:val="普通表格"/>
    <w:next w:val="1068"/>
    <w:link w:val="1061"/>
    <w:uiPriority w:val="99"/>
    <w:unhideWhenUsed/>
    <w:tblPr/>
  </w:style>
  <w:style w:type="character" w:styleId="1069">
    <w:name w:val="标题 1 字符"/>
    <w:next w:val="1069"/>
    <w:link w:val="1062"/>
    <w:qFormat/>
    <w:rPr>
      <w:rFonts w:ascii="Calibri" w:hAnsi="Calibri" w:eastAsia="微软雅黑"/>
      <w:b/>
      <w:bCs/>
      <w:sz w:val="32"/>
      <w:szCs w:val="44"/>
    </w:rPr>
  </w:style>
  <w:style w:type="character" w:styleId="1070">
    <w:name w:val="标题 2 字符"/>
    <w:next w:val="1070"/>
    <w:link w:val="1063"/>
    <w:qFormat/>
    <w:rPr>
      <w:rFonts w:ascii="Cambria" w:hAnsi="Cambria" w:eastAsia="微软雅黑" w:cs="Times New Roman"/>
      <w:b/>
      <w:bCs/>
      <w:sz w:val="28"/>
      <w:szCs w:val="32"/>
    </w:rPr>
  </w:style>
  <w:style w:type="paragraph" w:styleId="1071">
    <w:name w:val="正文缩进"/>
    <w:basedOn w:val="1061"/>
    <w:next w:val="1061"/>
    <w:link w:val="1061"/>
    <w:uiPriority w:val="99"/>
    <w:qFormat/>
    <w:pPr>
      <w:ind w:firstLine="420"/>
      <w:jc w:val="left"/>
      <w:spacing w:line="360" w:lineRule="atLeast"/>
    </w:pPr>
    <w:rPr>
      <w:rFonts w:eastAsia="宋体"/>
      <w:szCs w:val="21"/>
    </w:rPr>
  </w:style>
  <w:style w:type="character" w:styleId="1072">
    <w:name w:val="标题 3 字符"/>
    <w:next w:val="1072"/>
    <w:link w:val="1064"/>
    <w:qFormat/>
    <w:rPr>
      <w:rFonts w:ascii="Calibri" w:hAnsi="Calibri" w:eastAsia="微软雅黑" w:cs="Times New Roman"/>
      <w:bCs/>
      <w:sz w:val="28"/>
      <w:szCs w:val="32"/>
    </w:rPr>
  </w:style>
  <w:style w:type="character" w:styleId="1073">
    <w:name w:val="标题 4 字符"/>
    <w:next w:val="1073"/>
    <w:link w:val="1065"/>
    <w:qFormat/>
    <w:rPr>
      <w:rFonts w:ascii="Arial" w:hAnsi="Arial"/>
      <w:b/>
      <w:bCs/>
      <w:sz w:val="24"/>
      <w:szCs w:val="28"/>
    </w:rPr>
  </w:style>
  <w:style w:type="character" w:styleId="1074">
    <w:name w:val="标题 5 字符"/>
    <w:next w:val="1074"/>
    <w:link w:val="1066"/>
    <w:qFormat/>
    <w:rPr>
      <w:rFonts w:ascii="Calibri" w:hAnsi="Calibri"/>
      <w:b/>
      <w:bCs/>
      <w:sz w:val="28"/>
      <w:szCs w:val="28"/>
    </w:rPr>
  </w:style>
  <w:style w:type="paragraph" w:styleId="1075">
    <w:name w:val="目录 7"/>
    <w:basedOn w:val="1061"/>
    <w:next w:val="1061"/>
    <w:link w:val="1061"/>
    <w:qFormat/>
    <w:pPr>
      <w:ind w:left="2520"/>
    </w:pPr>
    <w:rPr>
      <w:szCs w:val="24"/>
    </w:rPr>
  </w:style>
  <w:style w:type="paragraph" w:styleId="1076">
    <w:name w:val="题注"/>
    <w:basedOn w:val="1061"/>
    <w:next w:val="1061"/>
    <w:link w:val="1061"/>
    <w:uiPriority w:val="35"/>
    <w:qFormat/>
    <w:rPr>
      <w:rFonts w:ascii="Cambria" w:hAnsi="Cambria" w:eastAsia="黑体"/>
      <w:sz w:val="20"/>
      <w:szCs w:val="20"/>
    </w:rPr>
  </w:style>
  <w:style w:type="paragraph" w:styleId="1077">
    <w:name w:val="列表项目符号"/>
    <w:basedOn w:val="1061"/>
    <w:next w:val="1077"/>
    <w:link w:val="1061"/>
    <w:qFormat/>
    <w:pPr>
      <w:numPr>
        <w:ilvl w:val="0"/>
        <w:numId w:val="1"/>
      </w:numPr>
      <w:spacing w:line="360" w:lineRule="atLeast"/>
      <w:tabs>
        <w:tab w:val="left" w:pos="360" w:leader="none"/>
        <w:tab w:val="left" w:pos="990" w:leader="none"/>
      </w:tabs>
    </w:pPr>
    <w:rPr>
      <w:rFonts w:ascii="Arial" w:hAnsi="Arial"/>
      <w:szCs w:val="21"/>
    </w:rPr>
  </w:style>
  <w:style w:type="paragraph" w:styleId="1078">
    <w:name w:val="文档结构图"/>
    <w:basedOn w:val="1061"/>
    <w:next w:val="1078"/>
    <w:link w:val="1079"/>
    <w:qFormat/>
    <w:rPr>
      <w:rFonts w:ascii="宋体" w:eastAsia="宋体"/>
      <w:sz w:val="18"/>
      <w:szCs w:val="18"/>
    </w:rPr>
  </w:style>
  <w:style w:type="character" w:styleId="1079">
    <w:name w:val="文档结构图 字符"/>
    <w:next w:val="1079"/>
    <w:link w:val="1078"/>
    <w:qFormat/>
    <w:rPr>
      <w:rFonts w:ascii="宋体"/>
      <w:sz w:val="18"/>
      <w:szCs w:val="18"/>
    </w:rPr>
  </w:style>
  <w:style w:type="paragraph" w:styleId="1080">
    <w:name w:val="批注文字"/>
    <w:basedOn w:val="1061"/>
    <w:next w:val="1080"/>
    <w:link w:val="1081"/>
    <w:uiPriority w:val="99"/>
    <w:qFormat/>
    <w:pPr>
      <w:jc w:val="left"/>
    </w:pPr>
    <w:rPr>
      <w:rFonts w:eastAsia="宋体"/>
      <w:sz w:val="20"/>
      <w:szCs w:val="21"/>
    </w:rPr>
  </w:style>
  <w:style w:type="character" w:styleId="1081">
    <w:name w:val="批注文字 字符1"/>
    <w:next w:val="1081"/>
    <w:link w:val="1080"/>
    <w:semiHidden/>
    <w:qFormat/>
    <w:rPr>
      <w:rFonts w:ascii="Times New Roman" w:hAnsi="Times New Roman" w:eastAsia="宋体" w:cs="Times New Roman"/>
      <w:szCs w:val="21"/>
    </w:rPr>
  </w:style>
  <w:style w:type="paragraph" w:styleId="1082">
    <w:name w:val="正文文本"/>
    <w:basedOn w:val="1061"/>
    <w:next w:val="1084"/>
    <w:link w:val="1083"/>
    <w:qFormat/>
    <w:rPr>
      <w:rFonts w:ascii="仿宋_GB2312" w:hAnsi="宋体" w:eastAsia="仿宋_GB2312"/>
      <w:sz w:val="24"/>
      <w:szCs w:val="24"/>
    </w:rPr>
  </w:style>
  <w:style w:type="character" w:styleId="1083">
    <w:name w:val="正文文本 字符1"/>
    <w:next w:val="1083"/>
    <w:link w:val="1082"/>
    <w:qFormat/>
    <w:rPr>
      <w:rFonts w:ascii="仿宋_GB2312" w:hAnsi="宋体" w:eastAsia="仿宋_GB2312" w:cs="仿宋_GB2312"/>
      <w:sz w:val="24"/>
      <w:szCs w:val="24"/>
    </w:rPr>
  </w:style>
  <w:style w:type="paragraph" w:styleId="1084">
    <w:name w:val="一级条标题"/>
    <w:basedOn w:val="1085"/>
    <w:next w:val="1086"/>
    <w:link w:val="1061"/>
    <w:qFormat/>
    <w:pPr>
      <w:outlineLvl w:val="2"/>
    </w:pPr>
    <w:rPr>
      <w:rFonts w:eastAsia="黑体"/>
      <w:sz w:val="21"/>
      <w:szCs w:val="21"/>
      <w:lang w:val="en-US" w:eastAsia="zh-CN" w:bidi="ar-SA"/>
    </w:rPr>
  </w:style>
  <w:style w:type="paragraph" w:styleId="1085">
    <w:name w:val="章标题"/>
    <w:next w:val="1061"/>
    <w:link w:val="1061"/>
    <w:qFormat/>
    <w:pPr>
      <w:jc w:val="both"/>
      <w:outlineLvl w:val="1"/>
    </w:pPr>
    <w:rPr>
      <w:rFonts w:ascii="黑体" w:eastAsia="黑体" w:cs="黑体"/>
      <w:sz w:val="21"/>
      <w:szCs w:val="21"/>
      <w:lang w:val="en-US" w:eastAsia="zh-CN" w:bidi="ar-SA"/>
    </w:rPr>
  </w:style>
  <w:style w:type="paragraph" w:styleId="1086">
    <w:name w:val="段"/>
    <w:next w:val="1061"/>
    <w:link w:val="1061"/>
    <w:qFormat/>
    <w:pPr>
      <w:ind w:firstLine="200"/>
      <w:jc w:val="both"/>
    </w:pPr>
    <w:rPr>
      <w:rFonts w:ascii="宋体" w:cs="宋体"/>
      <w:sz w:val="21"/>
      <w:szCs w:val="21"/>
      <w:lang w:val="en-US" w:eastAsia="zh-CN" w:bidi="ar-SA"/>
    </w:rPr>
  </w:style>
  <w:style w:type="paragraph" w:styleId="1087">
    <w:name w:val="正文文本缩进"/>
    <w:basedOn w:val="1061"/>
    <w:next w:val="1087"/>
    <w:link w:val="1088"/>
    <w:qFormat/>
    <w:pPr>
      <w:ind w:firstLine="403"/>
      <w:spacing w:line="440" w:lineRule="exact"/>
    </w:pPr>
    <w:rPr>
      <w:rFonts w:ascii="宋体" w:hAnsi="宋体" w:eastAsia="宋体"/>
      <w:sz w:val="20"/>
      <w:szCs w:val="21"/>
    </w:rPr>
  </w:style>
  <w:style w:type="character" w:styleId="1088">
    <w:name w:val="正文文本缩进 字符"/>
    <w:next w:val="1088"/>
    <w:link w:val="1087"/>
    <w:qFormat/>
    <w:rPr>
      <w:rFonts w:ascii="宋体" w:hAnsi="宋体" w:eastAsia="宋体" w:cs="宋体"/>
      <w:szCs w:val="21"/>
    </w:rPr>
  </w:style>
  <w:style w:type="paragraph" w:styleId="1089">
    <w:name w:val="文本块"/>
    <w:basedOn w:val="1061"/>
    <w:next w:val="1089"/>
    <w:link w:val="1061"/>
    <w:uiPriority w:val="99"/>
    <w:unhideWhenUsed/>
    <w:qFormat/>
    <w:pPr>
      <w:ind w:left="1440" w:right="1440"/>
      <w:spacing w:after="120"/>
    </w:pPr>
  </w:style>
  <w:style w:type="paragraph" w:styleId="1090">
    <w:name w:val="索引 4"/>
    <w:basedOn w:val="1061"/>
    <w:next w:val="1061"/>
    <w:link w:val="1061"/>
    <w:unhideWhenUsed/>
    <w:qFormat/>
    <w:pPr>
      <w:ind w:left="600"/>
    </w:pPr>
    <w:rPr>
      <w:rFonts w:ascii="Verdana" w:hAnsi="Verdana"/>
      <w:szCs w:val="20"/>
    </w:rPr>
  </w:style>
  <w:style w:type="paragraph" w:styleId="1091">
    <w:name w:val="目录 5"/>
    <w:basedOn w:val="1061"/>
    <w:next w:val="1061"/>
    <w:link w:val="1061"/>
    <w:qFormat/>
    <w:pPr>
      <w:ind w:left="1680"/>
    </w:pPr>
    <w:rPr>
      <w:szCs w:val="24"/>
    </w:rPr>
  </w:style>
  <w:style w:type="paragraph" w:styleId="1092">
    <w:name w:val="目录 3"/>
    <w:basedOn w:val="1061"/>
    <w:next w:val="1061"/>
    <w:link w:val="1061"/>
    <w:uiPriority w:val="39"/>
    <w:unhideWhenUsed/>
    <w:qFormat/>
    <w:pPr>
      <w:ind w:left="840"/>
    </w:pPr>
    <w:rPr>
      <w:rFonts w:ascii="Calibri" w:hAnsi="Calibri" w:eastAsia="宋体"/>
    </w:rPr>
  </w:style>
  <w:style w:type="paragraph" w:styleId="1093">
    <w:name w:val="纯文本"/>
    <w:basedOn w:val="1061"/>
    <w:next w:val="1093"/>
    <w:link w:val="1094"/>
    <w:qFormat/>
    <w:rPr>
      <w:rFonts w:ascii="宋体" w:hAnsi="Courier New" w:eastAsia="宋体"/>
      <w:sz w:val="28"/>
      <w:szCs w:val="28"/>
    </w:rPr>
  </w:style>
  <w:style w:type="character" w:styleId="1094">
    <w:name w:val="纯文本 字符"/>
    <w:next w:val="1094"/>
    <w:link w:val="1093"/>
    <w:qFormat/>
    <w:rPr>
      <w:rFonts w:ascii="宋体" w:hAnsi="Courier New" w:eastAsia="宋体" w:cs="宋体"/>
      <w:sz w:val="28"/>
      <w:szCs w:val="28"/>
    </w:rPr>
  </w:style>
  <w:style w:type="paragraph" w:styleId="1095">
    <w:name w:val="目录 8"/>
    <w:basedOn w:val="1061"/>
    <w:next w:val="1061"/>
    <w:link w:val="1061"/>
    <w:qFormat/>
    <w:pPr>
      <w:ind w:left="2940"/>
    </w:pPr>
    <w:rPr>
      <w:szCs w:val="24"/>
    </w:rPr>
  </w:style>
  <w:style w:type="paragraph" w:styleId="1096">
    <w:name w:val="日期"/>
    <w:basedOn w:val="1061"/>
    <w:next w:val="1061"/>
    <w:link w:val="1097"/>
    <w:qFormat/>
    <w:pPr>
      <w:ind w:left="100"/>
    </w:pPr>
    <w:rPr>
      <w:rFonts w:eastAsia="宋体"/>
      <w:sz w:val="20"/>
      <w:szCs w:val="21"/>
    </w:rPr>
  </w:style>
  <w:style w:type="character" w:styleId="1097">
    <w:name w:val="日期 字符"/>
    <w:next w:val="1097"/>
    <w:link w:val="1096"/>
    <w:qFormat/>
    <w:rPr>
      <w:rFonts w:ascii="Times New Roman" w:hAnsi="Times New Roman" w:eastAsia="宋体" w:cs="Times New Roman"/>
      <w:szCs w:val="21"/>
    </w:rPr>
  </w:style>
  <w:style w:type="paragraph" w:styleId="1098">
    <w:name w:val="正文文本缩进 2"/>
    <w:basedOn w:val="1061"/>
    <w:next w:val="1098"/>
    <w:link w:val="1099"/>
    <w:qFormat/>
    <w:pPr>
      <w:ind w:firstLine="420"/>
      <w:spacing w:line="440" w:lineRule="exact"/>
    </w:pPr>
    <w:rPr>
      <w:rFonts w:ascii="宋体" w:hAnsi="宋体" w:eastAsia="宋体"/>
      <w:sz w:val="20"/>
      <w:szCs w:val="21"/>
    </w:rPr>
  </w:style>
  <w:style w:type="character" w:styleId="1099">
    <w:name w:val="正文文本缩进 2 字符"/>
    <w:next w:val="1099"/>
    <w:link w:val="1098"/>
    <w:qFormat/>
    <w:rPr>
      <w:rFonts w:ascii="宋体" w:hAnsi="宋体" w:eastAsia="宋体" w:cs="宋体"/>
      <w:szCs w:val="21"/>
    </w:rPr>
  </w:style>
  <w:style w:type="paragraph" w:styleId="1100">
    <w:name w:val="批注框文本"/>
    <w:basedOn w:val="1061"/>
    <w:next w:val="1100"/>
    <w:link w:val="1101"/>
    <w:semiHidden/>
    <w:qFormat/>
    <w:rPr>
      <w:rFonts w:eastAsia="宋体"/>
      <w:sz w:val="18"/>
      <w:szCs w:val="18"/>
    </w:rPr>
  </w:style>
  <w:style w:type="character" w:styleId="1101">
    <w:name w:val="批注框文本 字符"/>
    <w:next w:val="1101"/>
    <w:link w:val="1100"/>
    <w:semiHidden/>
    <w:qFormat/>
    <w:rPr>
      <w:rFonts w:ascii="Times New Roman" w:hAnsi="Times New Roman" w:eastAsia="宋体" w:cs="Times New Roman"/>
      <w:sz w:val="18"/>
      <w:szCs w:val="18"/>
    </w:rPr>
  </w:style>
  <w:style w:type="paragraph" w:styleId="1102">
    <w:name w:val="页脚"/>
    <w:basedOn w:val="1061"/>
    <w:next w:val="1102"/>
    <w:link w:val="1103"/>
    <w:uiPriority w:val="99"/>
    <w:unhideWhenUsed/>
    <w:qFormat/>
    <w:pPr>
      <w:jc w:val="left"/>
      <w:tabs>
        <w:tab w:val="center" w:pos="4153" w:leader="none"/>
        <w:tab w:val="right" w:pos="8306" w:leader="none"/>
      </w:tabs>
    </w:pPr>
    <w:rPr>
      <w:rFonts w:ascii="宋体" w:eastAsia="宋体"/>
      <w:sz w:val="18"/>
      <w:szCs w:val="18"/>
    </w:rPr>
  </w:style>
  <w:style w:type="character" w:styleId="1103">
    <w:name w:val="页脚 字符"/>
    <w:next w:val="1103"/>
    <w:link w:val="1102"/>
    <w:uiPriority w:val="99"/>
    <w:qFormat/>
    <w:rPr>
      <w:rFonts w:ascii="宋体" w:hAnsi="Times New Roman" w:eastAsia="宋体" w:cs="Times New Roman"/>
      <w:sz w:val="18"/>
      <w:szCs w:val="18"/>
    </w:rPr>
  </w:style>
  <w:style w:type="paragraph" w:styleId="1104">
    <w:name w:val="寄信人地址"/>
    <w:basedOn w:val="1061"/>
    <w:next w:val="1104"/>
    <w:link w:val="1061"/>
    <w:qFormat/>
    <w:rPr>
      <w:rFonts w:ascii="Arial" w:hAnsi="Arial" w:eastAsia="宋体" w:cs="Times New Roman"/>
    </w:rPr>
  </w:style>
  <w:style w:type="paragraph" w:styleId="1105">
    <w:name w:val="页眉"/>
    <w:basedOn w:val="1061"/>
    <w:next w:val="1105"/>
    <w:link w:val="1106"/>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06">
    <w:name w:val="页眉 字符"/>
    <w:next w:val="1106"/>
    <w:link w:val="1105"/>
    <w:uiPriority w:val="99"/>
    <w:qFormat/>
    <w:rPr>
      <w:rFonts w:ascii="宋体" w:hAnsi="Times New Roman" w:eastAsia="宋体" w:cs="Times New Roman"/>
      <w:sz w:val="18"/>
      <w:szCs w:val="18"/>
    </w:rPr>
  </w:style>
  <w:style w:type="paragraph" w:styleId="1107">
    <w:name w:val="目录 1"/>
    <w:basedOn w:val="1061"/>
    <w:next w:val="1061"/>
    <w:link w:val="1061"/>
    <w:uiPriority w:val="39"/>
    <w:unhideWhenUsed/>
    <w:qFormat/>
    <w:rPr>
      <w:rFonts w:ascii="Calibri" w:hAnsi="Calibri" w:eastAsia="宋体"/>
    </w:rPr>
  </w:style>
  <w:style w:type="paragraph" w:styleId="1108">
    <w:name w:val="目录 4"/>
    <w:basedOn w:val="1061"/>
    <w:next w:val="1061"/>
    <w:link w:val="1061"/>
    <w:qFormat/>
    <w:pPr>
      <w:ind w:left="1260"/>
    </w:pPr>
    <w:rPr>
      <w:szCs w:val="24"/>
    </w:rPr>
  </w:style>
  <w:style w:type="paragraph" w:styleId="1109">
    <w:name w:val="目录 6"/>
    <w:basedOn w:val="1061"/>
    <w:next w:val="1061"/>
    <w:link w:val="1061"/>
    <w:qFormat/>
    <w:pPr>
      <w:ind w:left="2100"/>
    </w:pPr>
    <w:rPr>
      <w:szCs w:val="24"/>
    </w:rPr>
  </w:style>
  <w:style w:type="paragraph" w:styleId="1110">
    <w:name w:val="目录 2"/>
    <w:basedOn w:val="1061"/>
    <w:next w:val="1061"/>
    <w:link w:val="1061"/>
    <w:uiPriority w:val="39"/>
    <w:unhideWhenUsed/>
    <w:qFormat/>
    <w:pPr>
      <w:ind w:left="420"/>
    </w:pPr>
    <w:rPr>
      <w:rFonts w:ascii="Calibri" w:hAnsi="Calibri" w:eastAsia="宋体"/>
    </w:rPr>
  </w:style>
  <w:style w:type="paragraph" w:styleId="1111">
    <w:name w:val="目录 9"/>
    <w:basedOn w:val="1061"/>
    <w:next w:val="1061"/>
    <w:link w:val="1061"/>
    <w:qFormat/>
    <w:pPr>
      <w:ind w:left="3360"/>
    </w:pPr>
    <w:rPr>
      <w:szCs w:val="24"/>
    </w:rPr>
  </w:style>
  <w:style w:type="paragraph" w:styleId="1112">
    <w:name w:val="普通(网站)"/>
    <w:basedOn w:val="1061"/>
    <w:next w:val="1112"/>
    <w:link w:val="1061"/>
    <w:unhideWhenUsed/>
    <w:qFormat/>
    <w:pPr>
      <w:jc w:val="left"/>
      <w:spacing w:before="100" w:beforeAutospacing="1" w:after="100" w:afterAutospacing="1"/>
      <w:widowControl/>
    </w:pPr>
    <w:rPr>
      <w:rFonts w:ascii="宋体" w:hAnsi="宋体" w:eastAsia="宋体" w:cs="宋体"/>
      <w:sz w:val="24"/>
      <w:szCs w:val="24"/>
    </w:rPr>
  </w:style>
  <w:style w:type="paragraph" w:styleId="1113">
    <w:name w:val="批注主题"/>
    <w:basedOn w:val="1080"/>
    <w:next w:val="1080"/>
    <w:link w:val="1114"/>
    <w:uiPriority w:val="99"/>
    <w:unhideWhenUsed/>
    <w:qFormat/>
    <w:rPr>
      <w:b/>
      <w:bCs/>
      <w:sz w:val="21"/>
      <w:szCs w:val="22"/>
    </w:rPr>
  </w:style>
  <w:style w:type="character" w:styleId="1114">
    <w:name w:val="批注主题 字符"/>
    <w:next w:val="1114"/>
    <w:link w:val="1113"/>
    <w:uiPriority w:val="99"/>
    <w:semiHidden/>
    <w:qFormat/>
    <w:rPr>
      <w:rFonts w:ascii="Times New Roman" w:hAnsi="Times New Roman" w:eastAsia="宋体" w:cs="Times New Roman"/>
      <w:b/>
      <w:bCs/>
      <w:sz w:val="21"/>
      <w:szCs w:val="22"/>
    </w:rPr>
  </w:style>
  <w:style w:type="paragraph" w:styleId="1115">
    <w:name w:val="正文首行缩进"/>
    <w:basedOn w:val="1082"/>
    <w:next w:val="1115"/>
    <w:link w:val="1116"/>
    <w:uiPriority w:val="99"/>
    <w:unhideWhenUsed/>
    <w:qFormat/>
    <w:pPr>
      <w:ind w:firstLine="420"/>
      <w:spacing w:after="120"/>
    </w:pPr>
    <w:rPr>
      <w:rFonts w:ascii="Times New Roman" w:hAnsi="Times New Roman"/>
      <w:sz w:val="21"/>
      <w:szCs w:val="22"/>
    </w:rPr>
  </w:style>
  <w:style w:type="character" w:styleId="1116">
    <w:name w:val="正文文本首行缩进 字符"/>
    <w:next w:val="1116"/>
    <w:link w:val="1115"/>
    <w:uiPriority w:val="99"/>
    <w:qFormat/>
    <w:rPr>
      <w:rFonts w:ascii="Times New Roman" w:hAnsi="Times New Roman" w:eastAsia="仿宋_GB2312" w:cs="仿宋_GB2312"/>
      <w:sz w:val="21"/>
      <w:szCs w:val="22"/>
    </w:rPr>
  </w:style>
  <w:style w:type="table" w:styleId="1117">
    <w:name w:val="网格型"/>
    <w:basedOn w:val="1068"/>
    <w:next w:val="1117"/>
    <w:link w:val="1061"/>
    <w:uiPriority w:val="39"/>
    <w:qFormat/>
    <w:tblPr/>
  </w:style>
  <w:style w:type="character" w:styleId="1118">
    <w:name w:val="要点"/>
    <w:next w:val="1118"/>
    <w:link w:val="1061"/>
    <w:qFormat/>
    <w:rPr>
      <w:b/>
      <w:bCs/>
    </w:rPr>
  </w:style>
  <w:style w:type="character" w:styleId="1119">
    <w:name w:val="页码"/>
    <w:next w:val="1119"/>
    <w:link w:val="1061"/>
    <w:qFormat/>
  </w:style>
  <w:style w:type="character" w:styleId="1120">
    <w:name w:val="已访问的超链接"/>
    <w:next w:val="1120"/>
    <w:link w:val="1061"/>
    <w:uiPriority w:val="99"/>
    <w:qFormat/>
    <w:rPr>
      <w:color w:val="000000"/>
      <w:sz w:val="18"/>
      <w:szCs w:val="18"/>
      <w:u w:val="none"/>
    </w:rPr>
  </w:style>
  <w:style w:type="character" w:styleId="1121">
    <w:name w:val="强调"/>
    <w:next w:val="1121"/>
    <w:link w:val="1061"/>
    <w:uiPriority w:val="20"/>
    <w:qFormat/>
    <w:rPr>
      <w:i/>
      <w:iCs/>
    </w:rPr>
  </w:style>
  <w:style w:type="character" w:styleId="1122">
    <w:name w:val="超链接"/>
    <w:next w:val="1122"/>
    <w:link w:val="1061"/>
    <w:uiPriority w:val="99"/>
    <w:qFormat/>
    <w:rPr>
      <w:color w:val="000000"/>
      <w:sz w:val="18"/>
      <w:szCs w:val="18"/>
      <w:u w:val="none"/>
    </w:rPr>
  </w:style>
  <w:style w:type="character" w:styleId="1123">
    <w:name w:val="批注引用"/>
    <w:next w:val="1123"/>
    <w:link w:val="1061"/>
    <w:qFormat/>
    <w:rPr>
      <w:sz w:val="21"/>
      <w:szCs w:val="21"/>
    </w:rPr>
  </w:style>
  <w:style w:type="character" w:styleId="1124">
    <w:name w:val="selected"/>
    <w:next w:val="1124"/>
    <w:link w:val="1061"/>
    <w:qFormat/>
    <w:rPr>
      <w:shd w:val="clear" w:color="auto" w:fill="b00006"/>
    </w:rPr>
  </w:style>
  <w:style w:type="character" w:styleId="1125">
    <w:name w:val="1page sec3 Char"/>
    <w:next w:val="1125"/>
    <w:link w:val="1061"/>
    <w:qFormat/>
    <w:rPr>
      <w:rFonts w:eastAsia="宋体"/>
      <w:sz w:val="18"/>
      <w:szCs w:val="18"/>
      <w:lang w:val="en-US" w:eastAsia="zh-CN" w:bidi="ar-SA"/>
    </w:rPr>
  </w:style>
  <w:style w:type="character" w:styleId="1126">
    <w:name w:val="z-窗体底端 字符"/>
    <w:next w:val="1126"/>
    <w:link w:val="1127"/>
    <w:uiPriority w:val="99"/>
    <w:semiHidden/>
    <w:qFormat/>
    <w:rPr>
      <w:rFonts w:ascii="Arial" w:hAnsi="Arial" w:eastAsia="宋体" w:cs="Arial"/>
      <w:vanish/>
      <w:sz w:val="16"/>
      <w:szCs w:val="16"/>
    </w:rPr>
  </w:style>
  <w:style w:type="paragraph" w:styleId="1127">
    <w:name w:val="z-窗体底端1"/>
    <w:basedOn w:val="1061"/>
    <w:next w:val="1061"/>
    <w:link w:val="1126"/>
    <w:uiPriority w:val="99"/>
    <w:unhideWhenUsed/>
    <w:qFormat/>
    <w:pPr>
      <w:jc w:val="center"/>
      <w:widowControl/>
      <w:pBdr>
        <w:top w:val="single" w:color="000000" w:sz="6" w:space="1"/>
      </w:pBdr>
    </w:pPr>
    <w:rPr>
      <w:rFonts w:ascii="Arial" w:hAnsi="Arial" w:eastAsia="宋体"/>
      <w:vanish/>
      <w:sz w:val="16"/>
      <w:szCs w:val="16"/>
    </w:rPr>
  </w:style>
  <w:style w:type="character" w:styleId="1128">
    <w:name w:val="Char Char5"/>
    <w:next w:val="1128"/>
    <w:link w:val="1061"/>
    <w:qFormat/>
    <w:rPr>
      <w:rFonts w:ascii="宋体" w:hAnsi="Courier New" w:eastAsia="宋体" w:cs="宋体"/>
      <w:sz w:val="28"/>
      <w:szCs w:val="28"/>
      <w:lang w:val="en-US" w:eastAsia="zh-CN"/>
    </w:rPr>
  </w:style>
  <w:style w:type="character" w:styleId="1129">
    <w:name w:val="Char Char13"/>
    <w:next w:val="1129"/>
    <w:link w:val="1061"/>
    <w:qFormat/>
    <w:rPr>
      <w:b/>
      <w:bCs/>
      <w:sz w:val="44"/>
      <w:szCs w:val="44"/>
    </w:rPr>
  </w:style>
  <w:style w:type="character" w:styleId="1130">
    <w:name w:val="正文文字 Char Char"/>
    <w:next w:val="1130"/>
    <w:link w:val="1061"/>
    <w:qFormat/>
    <w:rPr>
      <w:rFonts w:ascii="仿宋_GB2312" w:hAnsi="宋体" w:eastAsia="仿宋_GB2312" w:cs="仿宋_GB2312"/>
      <w:sz w:val="24"/>
      <w:szCs w:val="24"/>
    </w:rPr>
  </w:style>
  <w:style w:type="character" w:styleId="1131">
    <w:name w:val="不明显强调1"/>
    <w:next w:val="1131"/>
    <w:link w:val="1061"/>
    <w:uiPriority w:val="19"/>
    <w:qFormat/>
    <w:rPr>
      <w:i/>
      <w:iCs/>
      <w:color w:val="808080"/>
    </w:rPr>
  </w:style>
  <w:style w:type="character" w:styleId="1132">
    <w:name w:val="font01"/>
    <w:next w:val="1132"/>
    <w:link w:val="1061"/>
    <w:qFormat/>
    <w:rPr>
      <w:rFonts w:ascii="Calibri" w:hAnsi="Calibri" w:cs="Calibri"/>
      <w:color w:val="000000"/>
      <w:sz w:val="21"/>
      <w:szCs w:val="21"/>
      <w:u w:val="none"/>
    </w:rPr>
  </w:style>
  <w:style w:type="character" w:styleId="1133">
    <w:name w:val="font51"/>
    <w:next w:val="1133"/>
    <w:link w:val="1061"/>
    <w:qFormat/>
    <w:rPr>
      <w:rFonts w:hint="eastAsia" w:ascii="宋体" w:hAnsi="宋体" w:eastAsia="宋体" w:cs="宋体"/>
      <w:color w:val="000000"/>
      <w:sz w:val="21"/>
      <w:szCs w:val="21"/>
      <w:u w:val="none"/>
    </w:rPr>
  </w:style>
  <w:style w:type="character" w:styleId="1134">
    <w:name w:val="apple-style-span"/>
    <w:next w:val="1134"/>
    <w:link w:val="1061"/>
    <w:qFormat/>
  </w:style>
  <w:style w:type="character" w:styleId="1135">
    <w:name w:val="gpa"/>
    <w:next w:val="1135"/>
    <w:link w:val="1061"/>
    <w:qFormat/>
    <w:rPr>
      <w:rFonts w:ascii="Arial" w:hAnsi="Arial" w:cs="Arial"/>
      <w:sz w:val="15"/>
      <w:szCs w:val="15"/>
    </w:rPr>
  </w:style>
  <w:style w:type="character" w:styleId="1136">
    <w:name w:val="纯文本 Char2"/>
    <w:next w:val="1136"/>
    <w:link w:val="1061"/>
    <w:qFormat/>
    <w:rPr>
      <w:rFonts w:ascii="宋体" w:hAnsi="Courier New" w:eastAsia="宋体"/>
      <w:sz w:val="24"/>
      <w:lang w:val="en-US" w:eastAsia="zh-CN" w:bidi="ar-SA"/>
    </w:rPr>
  </w:style>
  <w:style w:type="character" w:styleId="1137">
    <w:name w:val="文档结构图 Char1"/>
    <w:next w:val="1137"/>
    <w:link w:val="1061"/>
    <w:uiPriority w:val="99"/>
    <w:semiHidden/>
    <w:qFormat/>
    <w:rPr>
      <w:rFonts w:ascii="宋体"/>
      <w:sz w:val="18"/>
      <w:szCs w:val="18"/>
    </w:rPr>
  </w:style>
  <w:style w:type="character" w:styleId="1138">
    <w:name w:val="displayarti"/>
    <w:next w:val="1138"/>
    <w:link w:val="1061"/>
    <w:qFormat/>
    <w:rPr>
      <w:color w:val="ffffff"/>
      <w:shd w:val="clear" w:color="auto" w:fill="a00000"/>
    </w:rPr>
  </w:style>
  <w:style w:type="character" w:styleId="1139">
    <w:name w:val="批注文字 字符"/>
    <w:next w:val="1139"/>
    <w:link w:val="1061"/>
    <w:uiPriority w:val="99"/>
    <w:qFormat/>
    <w:rPr>
      <w:rFonts w:ascii="Times New Roman" w:hAnsi="Times New Roman" w:eastAsia="宋体" w:cs="Times New Roman"/>
      <w:szCs w:val="21"/>
    </w:rPr>
  </w:style>
  <w:style w:type="character" w:styleId="1140">
    <w:name w:val="正文文本 字符"/>
    <w:next w:val="1140"/>
    <w:link w:val="1061"/>
    <w:qFormat/>
    <w:rPr>
      <w:rFonts w:ascii="仿宋_GB2312" w:hAnsi="宋体" w:eastAsia="仿宋_GB2312" w:cs="仿宋_GB2312"/>
      <w:sz w:val="24"/>
      <w:szCs w:val="24"/>
    </w:rPr>
  </w:style>
  <w:style w:type="character" w:styleId="1141">
    <w:name w:val="z-窗体顶端 字符"/>
    <w:next w:val="1141"/>
    <w:link w:val="1142"/>
    <w:uiPriority w:val="99"/>
    <w:semiHidden/>
    <w:qFormat/>
    <w:rPr>
      <w:rFonts w:ascii="Arial" w:hAnsi="Arial" w:eastAsia="宋体" w:cs="Arial"/>
      <w:vanish/>
      <w:sz w:val="16"/>
      <w:szCs w:val="16"/>
    </w:rPr>
  </w:style>
  <w:style w:type="paragraph" w:styleId="1142">
    <w:name w:val="z-窗体顶端1"/>
    <w:basedOn w:val="1061"/>
    <w:next w:val="1061"/>
    <w:link w:val="1141"/>
    <w:uiPriority w:val="99"/>
    <w:unhideWhenUsed/>
    <w:qFormat/>
    <w:pPr>
      <w:jc w:val="center"/>
      <w:widowControl/>
      <w:pBdr>
        <w:bottom w:val="single" w:color="000000" w:sz="6" w:space="1"/>
      </w:pBdr>
    </w:pPr>
    <w:rPr>
      <w:rFonts w:ascii="Arial" w:hAnsi="Arial" w:eastAsia="宋体"/>
      <w:vanish/>
      <w:sz w:val="16"/>
      <w:szCs w:val="16"/>
    </w:rPr>
  </w:style>
  <w:style w:type="paragraph" w:styleId="1143">
    <w:name w:val="xl89"/>
    <w:basedOn w:val="1061"/>
    <w:next w:val="1143"/>
    <w:link w:val="1061"/>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44">
    <w:name w:val="font6"/>
    <w:basedOn w:val="1061"/>
    <w:next w:val="1144"/>
    <w:link w:val="1061"/>
    <w:qFormat/>
    <w:pPr>
      <w:jc w:val="left"/>
      <w:spacing w:before="100" w:beforeAutospacing="1" w:after="100" w:afterAutospacing="1"/>
      <w:widowControl/>
    </w:pPr>
    <w:rPr>
      <w:color w:val="000000"/>
      <w:szCs w:val="21"/>
    </w:rPr>
  </w:style>
  <w:style w:type="paragraph" w:styleId="1145">
    <w:name w:val="xl81"/>
    <w:basedOn w:val="1061"/>
    <w:next w:val="1145"/>
    <w:link w:val="1061"/>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146">
    <w:name w:val="正文222"/>
    <w:basedOn w:val="1082"/>
    <w:next w:val="1146"/>
    <w:link w:val="1061"/>
    <w:qFormat/>
    <w:pPr>
      <w:ind w:firstLine="200"/>
      <w:spacing w:line="440" w:lineRule="exact"/>
    </w:pPr>
  </w:style>
  <w:style w:type="paragraph" w:styleId="1147">
    <w:name w:val="xl103"/>
    <w:basedOn w:val="1061"/>
    <w:next w:val="1147"/>
    <w:link w:val="10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48">
    <w:name w:val="样式1"/>
    <w:basedOn w:val="1061"/>
    <w:next w:val="1148"/>
    <w:link w:val="1061"/>
    <w:qFormat/>
    <w:pPr>
      <w:ind w:left="180" w:firstLine="300"/>
      <w:spacing w:line="430" w:lineRule="exact"/>
    </w:pPr>
    <w:rPr>
      <w:sz w:val="24"/>
      <w:szCs w:val="24"/>
    </w:rPr>
  </w:style>
  <w:style w:type="paragraph" w:styleId="1149">
    <w:name w:val="xl80"/>
    <w:basedOn w:val="1061"/>
    <w:next w:val="1149"/>
    <w:link w:val="1061"/>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50">
    <w:name w:val="font13"/>
    <w:basedOn w:val="1061"/>
    <w:next w:val="1150"/>
    <w:link w:val="1061"/>
    <w:qFormat/>
    <w:pPr>
      <w:jc w:val="left"/>
      <w:spacing w:before="100" w:beforeAutospacing="1" w:after="100" w:afterAutospacing="1"/>
      <w:widowControl/>
    </w:pPr>
    <w:rPr>
      <w:rFonts w:ascii="宋体" w:hAnsi="宋体" w:cs="宋体"/>
      <w:sz w:val="18"/>
      <w:szCs w:val="18"/>
    </w:rPr>
  </w:style>
  <w:style w:type="paragraph" w:styleId="1151">
    <w:name w:val="font12"/>
    <w:basedOn w:val="1061"/>
    <w:next w:val="1151"/>
    <w:link w:val="1061"/>
    <w:qFormat/>
    <w:pPr>
      <w:jc w:val="left"/>
      <w:spacing w:before="100" w:beforeAutospacing="1" w:after="100" w:afterAutospacing="1"/>
      <w:widowControl/>
    </w:pPr>
    <w:rPr>
      <w:rFonts w:ascii="宋体" w:hAnsi="宋体" w:cs="宋体"/>
      <w:color w:val="000000"/>
      <w:sz w:val="20"/>
      <w:szCs w:val="20"/>
    </w:rPr>
  </w:style>
  <w:style w:type="paragraph" w:styleId="1152">
    <w:name w:val="xl104"/>
    <w:basedOn w:val="1061"/>
    <w:next w:val="1152"/>
    <w:link w:val="1061"/>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53">
    <w:name w:val="xl94"/>
    <w:basedOn w:val="1061"/>
    <w:next w:val="1153"/>
    <w:link w:val="1061"/>
    <w:qFormat/>
    <w:pPr>
      <w:jc w:val="center"/>
      <w:spacing w:before="100" w:beforeAutospacing="1" w:after="100" w:afterAutospacing="1"/>
      <w:widowControl/>
      <w:pBdr>
        <w:left w:val="single" w:color="000000" w:sz="4" w:space="0"/>
        <w:right w:val="single" w:color="000000" w:sz="4" w:space="0"/>
      </w:pBdr>
    </w:pPr>
    <w:rPr>
      <w:szCs w:val="21"/>
    </w:rPr>
  </w:style>
  <w:style w:type="paragraph" w:styleId="1154">
    <w:name w:val="xl92"/>
    <w:basedOn w:val="1061"/>
    <w:next w:val="1154"/>
    <w:link w:val="10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55">
    <w:name w:val="正文宋体4"/>
    <w:basedOn w:val="1061"/>
    <w:next w:val="1155"/>
    <w:link w:val="1061"/>
    <w:qFormat/>
    <w:pPr>
      <w:ind w:firstLine="359"/>
      <w:tabs>
        <w:tab w:val="left" w:pos="0" w:leader="none"/>
      </w:tabs>
    </w:pPr>
    <w:rPr>
      <w:rFonts w:ascii="仿宋_GB2312" w:eastAsia="仿宋_GB2312"/>
      <w:b/>
      <w:color w:val="000000"/>
      <w:sz w:val="24"/>
      <w:szCs w:val="24"/>
    </w:rPr>
  </w:style>
  <w:style w:type="paragraph" w:styleId="1156">
    <w:name w:val="xl111"/>
    <w:basedOn w:val="1061"/>
    <w:next w:val="1156"/>
    <w:link w:val="1061"/>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57">
    <w:name w:val="xl108"/>
    <w:basedOn w:val="1061"/>
    <w:next w:val="1157"/>
    <w:link w:val="10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name w:val="tc"/>
    <w:basedOn w:val="1061"/>
    <w:next w:val="1158"/>
    <w:link w:val="1061"/>
    <w:qFormat/>
    <w:pPr>
      <w:jc w:val="center"/>
    </w:pPr>
    <w:rPr>
      <w:szCs w:val="24"/>
    </w:rPr>
  </w:style>
  <w:style w:type="paragraph" w:styleId="1159">
    <w:name w:val="xl74"/>
    <w:basedOn w:val="1061"/>
    <w:next w:val="1159"/>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60">
    <w:name w:val="Default"/>
    <w:next w:val="1160"/>
    <w:link w:val="1061"/>
    <w:qFormat/>
    <w:pPr>
      <w:widowControl w:val="off"/>
    </w:pPr>
    <w:rPr>
      <w:rFonts w:ascii="宋体" w:cs="宋体"/>
      <w:color w:val="000000"/>
      <w:sz w:val="24"/>
      <w:szCs w:val="24"/>
      <w:lang w:val="en-US" w:eastAsia="zh-CN" w:bidi="ar-SA"/>
    </w:rPr>
  </w:style>
  <w:style w:type="paragraph" w:styleId="1161">
    <w:name w:val="注："/>
    <w:next w:val="1061"/>
    <w:link w:val="1061"/>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1162">
    <w:name w:val="xl76"/>
    <w:basedOn w:val="1061"/>
    <w:next w:val="1162"/>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3">
    <w:name w:val="五级条标题"/>
    <w:basedOn w:val="1164"/>
    <w:next w:val="1061"/>
    <w:link w:val="1061"/>
    <w:qFormat/>
    <w:pPr>
      <w:outlineLvl w:val="6"/>
    </w:pPr>
  </w:style>
  <w:style w:type="paragraph" w:styleId="1164">
    <w:name w:val="四级条标题"/>
    <w:basedOn w:val="1165"/>
    <w:next w:val="1061"/>
    <w:link w:val="1061"/>
    <w:qFormat/>
    <w:pPr>
      <w:outlineLvl w:val="5"/>
    </w:pPr>
  </w:style>
  <w:style w:type="paragraph" w:styleId="1165">
    <w:name w:val="三级条标题"/>
    <w:basedOn w:val="1166"/>
    <w:next w:val="1061"/>
    <w:link w:val="1061"/>
    <w:qFormat/>
    <w:pPr>
      <w:outlineLvl w:val="4"/>
    </w:pPr>
  </w:style>
  <w:style w:type="paragraph" w:styleId="1166">
    <w:name w:val="二级条标题"/>
    <w:basedOn w:val="1084"/>
    <w:next w:val="1061"/>
    <w:link w:val="1061"/>
    <w:qFormat/>
    <w:pPr>
      <w:outlineLvl w:val="3"/>
    </w:pPr>
  </w:style>
  <w:style w:type="paragraph" w:styleId="1167">
    <w:name w:val="xl85"/>
    <w:basedOn w:val="1061"/>
    <w:next w:val="1167"/>
    <w:link w:val="1061"/>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68">
    <w:name w:val="xl83"/>
    <w:basedOn w:val="1061"/>
    <w:next w:val="1168"/>
    <w:link w:val="1061"/>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169">
    <w:name w:val="Char1"/>
    <w:basedOn w:val="1061"/>
    <w:next w:val="1169"/>
    <w:link w:val="1061"/>
    <w:qFormat/>
    <w:rPr>
      <w:rFonts w:ascii="仿宋_GB2312" w:eastAsia="仿宋_GB2312"/>
      <w:b/>
      <w:sz w:val="32"/>
      <w:szCs w:val="32"/>
    </w:rPr>
  </w:style>
  <w:style w:type="paragraph" w:styleId="1170">
    <w:name w:val="xl68"/>
    <w:basedOn w:val="1061"/>
    <w:next w:val="1170"/>
    <w:link w:val="10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71">
    <w:name w:val="xl78"/>
    <w:basedOn w:val="1061"/>
    <w:next w:val="1171"/>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name w:val="图表标题"/>
    <w:basedOn w:val="1061"/>
    <w:next w:val="1172"/>
    <w:link w:val="1061"/>
    <w:qFormat/>
    <w:pPr>
      <w:jc w:val="center"/>
      <w:widowControl/>
    </w:pPr>
    <w:rPr>
      <w:rFonts w:eastAsia="黑体"/>
      <w:szCs w:val="21"/>
    </w:rPr>
  </w:style>
  <w:style w:type="paragraph" w:styleId="1173">
    <w:name w:val="TOC 标题1"/>
    <w:basedOn w:val="1062"/>
    <w:next w:val="1061"/>
    <w:link w:val="1061"/>
    <w:uiPriority w:val="39"/>
    <w:qFormat/>
    <w:pPr>
      <w:jc w:val="left"/>
      <w:spacing w:before="480" w:after="0" w:line="276" w:lineRule="auto"/>
      <w:widowControl/>
      <w:outlineLvl w:val="9"/>
    </w:pPr>
    <w:rPr>
      <w:rFonts w:ascii="Cambria" w:hAnsi="Cambria"/>
      <w:color w:val="365f91"/>
      <w:sz w:val="28"/>
      <w:szCs w:val="28"/>
    </w:rPr>
  </w:style>
  <w:style w:type="paragraph" w:styleId="1174">
    <w:name w:val="xl91"/>
    <w:basedOn w:val="1061"/>
    <w:next w:val="1174"/>
    <w:link w:val="106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75">
    <w:name w:val="xl71"/>
    <w:basedOn w:val="1061"/>
    <w:next w:val="1175"/>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76">
    <w:name w:val="标准称谓"/>
    <w:next w:val="1061"/>
    <w:link w:val="1061"/>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177">
    <w:name w:val="前言、引言标题"/>
    <w:next w:val="1061"/>
    <w:link w:val="1061"/>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178">
    <w:name w:val="font10"/>
    <w:basedOn w:val="1061"/>
    <w:next w:val="1178"/>
    <w:link w:val="1061"/>
    <w:qFormat/>
    <w:pPr>
      <w:jc w:val="left"/>
      <w:spacing w:before="100" w:beforeAutospacing="1" w:after="100" w:afterAutospacing="1"/>
      <w:widowControl/>
    </w:pPr>
    <w:rPr>
      <w:rFonts w:ascii="宋体" w:hAnsi="宋体" w:cs="宋体"/>
      <w:color w:val="000000"/>
      <w:sz w:val="22"/>
    </w:rPr>
  </w:style>
  <w:style w:type="paragraph" w:styleId="1179">
    <w:name w:val="xl98"/>
    <w:basedOn w:val="1061"/>
    <w:next w:val="1179"/>
    <w:link w:val="1061"/>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180">
    <w:name w:val="xl82"/>
    <w:basedOn w:val="1061"/>
    <w:next w:val="1180"/>
    <w:link w:val="106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181">
    <w:name w:val="xl72"/>
    <w:basedOn w:val="1061"/>
    <w:next w:val="1181"/>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2">
    <w:name w:val="No Spacing"/>
    <w:next w:val="1182"/>
    <w:link w:val="1061"/>
    <w:uiPriority w:val="1"/>
    <w:qFormat/>
    <w:pPr>
      <w:jc w:val="both"/>
      <w:widowControl w:val="off"/>
    </w:pPr>
    <w:rPr>
      <w:rFonts w:ascii="等线" w:hAnsi="等线" w:eastAsia="等线"/>
      <w:sz w:val="21"/>
      <w:szCs w:val="22"/>
      <w:lang w:val="en-US" w:eastAsia="zh-CN" w:bidi="ar-SA"/>
    </w:rPr>
  </w:style>
  <w:style w:type="paragraph" w:styleId="1183">
    <w:name w:val="正文 A"/>
    <w:next w:val="1183"/>
    <w:link w:val="1061"/>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84">
    <w:name w:val="List Paragraph1"/>
    <w:basedOn w:val="1061"/>
    <w:next w:val="1184"/>
    <w:link w:val="1061"/>
    <w:uiPriority w:val="34"/>
    <w:qFormat/>
    <w:pPr>
      <w:ind w:firstLine="420"/>
    </w:pPr>
    <w:rPr>
      <w:rFonts w:ascii="Calibri" w:hAnsi="Calibri" w:eastAsia="宋体"/>
    </w:rPr>
  </w:style>
  <w:style w:type="paragraph" w:styleId="1185">
    <w:name w:val="程序1.1"/>
    <w:next w:val="1185"/>
    <w:link w:val="1061"/>
    <w:qFormat/>
    <w:pPr>
      <w:numPr>
        <w:ilvl w:val="1"/>
        <w:numId w:val="1"/>
      </w:numPr>
      <w:tabs>
        <w:tab w:val="left" w:pos="359" w:leader="none"/>
        <w:tab w:val="left" w:pos="990" w:leader="none"/>
      </w:tabs>
    </w:pPr>
    <w:rPr>
      <w:sz w:val="21"/>
      <w:szCs w:val="21"/>
      <w:lang w:val="en-US" w:eastAsia="zh-CN" w:bidi="ar-SA"/>
    </w:rPr>
  </w:style>
  <w:style w:type="paragraph" w:styleId="1186">
    <w:name w:val="xl102"/>
    <w:basedOn w:val="1061"/>
    <w:next w:val="1186"/>
    <w:link w:val="106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87">
    <w:name w:val="font14"/>
    <w:basedOn w:val="1061"/>
    <w:next w:val="1187"/>
    <w:link w:val="1061"/>
    <w:qFormat/>
    <w:pPr>
      <w:jc w:val="left"/>
      <w:spacing w:before="100" w:beforeAutospacing="1" w:after="100" w:afterAutospacing="1"/>
      <w:widowControl/>
    </w:pPr>
    <w:rPr>
      <w:rFonts w:ascii="宋体" w:hAnsi="宋体" w:cs="宋体"/>
      <w:color w:val="000000"/>
      <w:szCs w:val="21"/>
    </w:rPr>
  </w:style>
  <w:style w:type="paragraph" w:styleId="1188">
    <w:name w:val="字母编号"/>
    <w:next w:val="1188"/>
    <w:link w:val="1061"/>
    <w:qFormat/>
    <w:pPr>
      <w:numPr>
        <w:ilvl w:val="2"/>
        <w:numId w:val="3"/>
      </w:numPr>
      <w:tabs>
        <w:tab w:val="left" w:pos="360" w:leader="none"/>
      </w:tabs>
    </w:pPr>
    <w:rPr>
      <w:sz w:val="21"/>
      <w:szCs w:val="21"/>
      <w:lang w:val="en-US" w:eastAsia="zh-CN" w:bidi="ar-SA"/>
    </w:rPr>
  </w:style>
  <w:style w:type="paragraph" w:styleId="1189">
    <w:name w:val="xl67"/>
    <w:basedOn w:val="1061"/>
    <w:next w:val="1189"/>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90">
    <w:name w:val="font11"/>
    <w:basedOn w:val="1061"/>
    <w:next w:val="1190"/>
    <w:link w:val="1061"/>
    <w:qFormat/>
    <w:pPr>
      <w:jc w:val="left"/>
      <w:spacing w:before="100" w:beforeAutospacing="1" w:after="100" w:afterAutospacing="1"/>
      <w:widowControl/>
    </w:pPr>
    <w:rPr>
      <w:rFonts w:ascii="宋体" w:hAnsi="宋体" w:cs="宋体"/>
      <w:color w:val="000000"/>
      <w:sz w:val="18"/>
      <w:szCs w:val="18"/>
    </w:rPr>
  </w:style>
  <w:style w:type="paragraph" w:styleId="1191">
    <w:name w:val="Standard"/>
    <w:next w:val="1191"/>
    <w:link w:val="1061"/>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192">
    <w:name w:val="font7"/>
    <w:basedOn w:val="1061"/>
    <w:next w:val="1192"/>
    <w:link w:val="1061"/>
    <w:qFormat/>
    <w:pPr>
      <w:jc w:val="left"/>
      <w:spacing w:before="100" w:beforeAutospacing="1" w:after="100" w:afterAutospacing="1"/>
      <w:widowControl/>
    </w:pPr>
    <w:rPr>
      <w:b/>
      <w:bCs/>
      <w:color w:val="000000"/>
      <w:szCs w:val="21"/>
    </w:rPr>
  </w:style>
  <w:style w:type="paragraph" w:styleId="1193">
    <w:name w:val="xl70"/>
    <w:basedOn w:val="1061"/>
    <w:next w:val="1193"/>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94">
    <w:name w:val="xl97"/>
    <w:basedOn w:val="1061"/>
    <w:next w:val="1194"/>
    <w:link w:val="1061"/>
    <w:qFormat/>
    <w:pPr>
      <w:jc w:val="left"/>
      <w:spacing w:before="100" w:beforeAutospacing="1" w:after="100" w:afterAutospacing="1"/>
      <w:widowControl/>
    </w:pPr>
    <w:rPr>
      <w:rFonts w:ascii="宋体" w:hAnsi="宋体" w:cs="宋体"/>
      <w:szCs w:val="21"/>
    </w:rPr>
  </w:style>
  <w:style w:type="paragraph" w:styleId="1195">
    <w:name w:val="程序1"/>
    <w:next w:val="1061"/>
    <w:link w:val="1061"/>
    <w:qFormat/>
    <w:pPr>
      <w:numPr>
        <w:ilvl w:val="0"/>
        <w:numId w:val="3"/>
      </w:numPr>
      <w:ind w:left="360" w:hanging="360"/>
      <w:tabs>
        <w:tab w:val="left" w:pos="360" w:leader="none"/>
      </w:tabs>
    </w:pPr>
    <w:rPr>
      <w:b/>
      <w:bCs/>
      <w:sz w:val="24"/>
      <w:szCs w:val="24"/>
      <w:lang w:val="en-US" w:eastAsia="zh-CN" w:bidi="ar-SA"/>
    </w:rPr>
  </w:style>
  <w:style w:type="paragraph" w:styleId="1196">
    <w:name w:val="列出段落1"/>
    <w:basedOn w:val="1061"/>
    <w:next w:val="1196"/>
    <w:link w:val="1061"/>
    <w:uiPriority w:val="34"/>
    <w:qFormat/>
    <w:pPr>
      <w:ind w:firstLine="420"/>
    </w:pPr>
    <w:rPr>
      <w:rFonts w:ascii="Calibri" w:hAnsi="Calibri"/>
    </w:rPr>
  </w:style>
  <w:style w:type="paragraph" w:styleId="1197">
    <w:name w:val="程序1.1.1"/>
    <w:next w:val="1197"/>
    <w:link w:val="1061"/>
    <w:qFormat/>
    <w:pPr>
      <w:numPr>
        <w:ilvl w:val="1"/>
        <w:numId w:val="3"/>
      </w:numPr>
      <w:tabs>
        <w:tab w:val="left" w:pos="360" w:leader="none"/>
        <w:tab w:val="left" w:pos="525" w:leader="none"/>
      </w:tabs>
    </w:pPr>
    <w:rPr>
      <w:sz w:val="21"/>
      <w:szCs w:val="21"/>
      <w:lang w:val="en-US" w:eastAsia="zh-CN" w:bidi="ar-SA"/>
    </w:rPr>
  </w:style>
  <w:style w:type="paragraph" w:styleId="1198">
    <w:name w:val="font5"/>
    <w:basedOn w:val="1061"/>
    <w:next w:val="1198"/>
    <w:link w:val="1061"/>
    <w:qFormat/>
    <w:pPr>
      <w:jc w:val="left"/>
      <w:spacing w:before="100" w:beforeAutospacing="1" w:after="100" w:afterAutospacing="1"/>
      <w:widowControl/>
    </w:pPr>
    <w:rPr>
      <w:color w:val="000000"/>
      <w:sz w:val="20"/>
      <w:szCs w:val="20"/>
    </w:rPr>
  </w:style>
  <w:style w:type="paragraph" w:styleId="1199">
    <w:name w:val="Char Char"/>
    <w:basedOn w:val="1061"/>
    <w:next w:val="1199"/>
    <w:link w:val="1061"/>
    <w:qFormat/>
    <w:pPr>
      <w:tabs>
        <w:tab w:val="left" w:pos="360" w:leader="none"/>
      </w:tabs>
    </w:pPr>
    <w:rPr>
      <w:sz w:val="24"/>
      <w:szCs w:val="24"/>
    </w:rPr>
  </w:style>
  <w:style w:type="paragraph" w:styleId="1200">
    <w:name w:val="章正文"/>
    <w:basedOn w:val="1061"/>
    <w:next w:val="1200"/>
    <w:link w:val="1061"/>
    <w:qFormat/>
    <w:pPr>
      <w:ind w:firstLine="480"/>
      <w:spacing w:after="120" w:line="300" w:lineRule="auto"/>
    </w:pPr>
    <w:rPr>
      <w:rFonts w:ascii="Helvetica" w:hAnsi="Helvetica"/>
    </w:rPr>
  </w:style>
  <w:style w:type="paragraph" w:styleId="1201">
    <w:name w:val="xl110"/>
    <w:basedOn w:val="1061"/>
    <w:next w:val="1201"/>
    <w:link w:val="1061"/>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02">
    <w:name w:val="xl77"/>
    <w:basedOn w:val="1061"/>
    <w:next w:val="1202"/>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name w:val="xl87"/>
    <w:basedOn w:val="1061"/>
    <w:next w:val="1203"/>
    <w:link w:val="1061"/>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04">
    <w:name w:val="font9"/>
    <w:basedOn w:val="1061"/>
    <w:next w:val="1204"/>
    <w:link w:val="1061"/>
    <w:qFormat/>
    <w:pPr>
      <w:jc w:val="left"/>
      <w:spacing w:before="100" w:beforeAutospacing="1" w:after="100" w:afterAutospacing="1"/>
      <w:widowControl/>
    </w:pPr>
    <w:rPr>
      <w:rFonts w:ascii="宋体" w:hAnsi="宋体" w:cs="宋体"/>
      <w:color w:val="000000"/>
      <w:szCs w:val="21"/>
    </w:rPr>
  </w:style>
  <w:style w:type="paragraph" w:styleId="1205">
    <w:name w:val="xl88"/>
    <w:basedOn w:val="1061"/>
    <w:next w:val="1205"/>
    <w:link w:val="1061"/>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06">
    <w:name w:val="List Paragraph"/>
    <w:basedOn w:val="1061"/>
    <w:next w:val="1206"/>
    <w:link w:val="1061"/>
    <w:uiPriority w:val="34"/>
    <w:qFormat/>
    <w:pPr>
      <w:ind w:firstLine="420"/>
    </w:pPr>
    <w:rPr>
      <w:szCs w:val="24"/>
    </w:rPr>
  </w:style>
  <w:style w:type="paragraph" w:styleId="1207">
    <w:name w:val="xl93"/>
    <w:basedOn w:val="1061"/>
    <w:next w:val="1207"/>
    <w:link w:val="1061"/>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08">
    <w:name w:val="Table Paragraph"/>
    <w:basedOn w:val="1061"/>
    <w:next w:val="1208"/>
    <w:link w:val="1061"/>
    <w:uiPriority w:val="1"/>
    <w:qFormat/>
    <w:pPr>
      <w:ind w:left="107"/>
      <w:spacing w:before="35"/>
    </w:pPr>
    <w:rPr>
      <w:rFonts w:ascii="Calibri" w:hAnsi="Calibri"/>
    </w:rPr>
  </w:style>
  <w:style w:type="paragraph" w:styleId="1209">
    <w:name w:val="xl65"/>
    <w:basedOn w:val="1061"/>
    <w:next w:val="1209"/>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10">
    <w:name w:val="xl99"/>
    <w:basedOn w:val="1061"/>
    <w:next w:val="1210"/>
    <w:link w:val="106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11">
    <w:name w:val="Char"/>
    <w:basedOn w:val="1061"/>
    <w:next w:val="1211"/>
    <w:link w:val="1061"/>
    <w:qFormat/>
    <w:pPr>
      <w:jc w:val="left"/>
      <w:spacing w:after="160" w:line="240" w:lineRule="exact"/>
      <w:widowControl/>
    </w:pPr>
    <w:rPr>
      <w:rFonts w:ascii="Verdana" w:hAnsi="Verdana" w:eastAsia="宋体" w:cs="Verdana"/>
      <w:sz w:val="18"/>
      <w:szCs w:val="18"/>
      <w:lang w:eastAsia="en-US"/>
    </w:rPr>
  </w:style>
  <w:style w:type="paragraph" w:styleId="1212">
    <w:name w:val="xl101"/>
    <w:basedOn w:val="1061"/>
    <w:next w:val="1212"/>
    <w:link w:val="10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3">
    <w:name w:val="正文1"/>
    <w:next w:val="1213"/>
    <w:link w:val="1061"/>
    <w:qFormat/>
    <w:pPr>
      <w:jc w:val="both"/>
    </w:pPr>
    <w:rPr>
      <w:rFonts w:ascii="Calibri" w:hAnsi="Calibri" w:cs="宋体"/>
      <w:sz w:val="21"/>
      <w:szCs w:val="21"/>
      <w:lang w:val="en-US" w:eastAsia="zh-CN" w:bidi="ar-SA"/>
    </w:rPr>
  </w:style>
  <w:style w:type="paragraph" w:styleId="1214">
    <w:name w:val="xl73"/>
    <w:basedOn w:val="1061"/>
    <w:next w:val="1214"/>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5">
    <w:name w:val="xl66"/>
    <w:basedOn w:val="1061"/>
    <w:next w:val="1215"/>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6">
    <w:name w:val="xl96"/>
    <w:basedOn w:val="1061"/>
    <w:next w:val="1216"/>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17">
    <w:name w:val="Char11"/>
    <w:basedOn w:val="1061"/>
    <w:next w:val="1217"/>
    <w:link w:val="1061"/>
    <w:qFormat/>
    <w:pPr>
      <w:jc w:val="left"/>
      <w:spacing w:after="160" w:line="240" w:lineRule="exact"/>
      <w:widowControl/>
    </w:pPr>
    <w:rPr>
      <w:rFonts w:ascii="Verdana" w:hAnsi="Verdana" w:eastAsia="宋体" w:cs="Verdana"/>
      <w:sz w:val="18"/>
      <w:szCs w:val="18"/>
      <w:lang w:eastAsia="en-US"/>
    </w:rPr>
  </w:style>
  <w:style w:type="paragraph" w:styleId="1218">
    <w:name w:val="xl100"/>
    <w:basedOn w:val="1061"/>
    <w:next w:val="1218"/>
    <w:link w:val="106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19">
    <w:name w:val="xl86"/>
    <w:basedOn w:val="1061"/>
    <w:next w:val="1219"/>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20">
    <w:name w:val="列出段落11"/>
    <w:basedOn w:val="1061"/>
    <w:next w:val="1220"/>
    <w:link w:val="1061"/>
    <w:uiPriority w:val="34"/>
    <w:qFormat/>
    <w:pPr>
      <w:ind w:firstLine="420"/>
      <w:spacing w:before="156" w:after="156" w:line="360" w:lineRule="auto"/>
    </w:pPr>
    <w:rPr>
      <w:rFonts w:ascii="Calibri" w:hAnsi="Calibri" w:cs="Calibri"/>
      <w:lang w:eastAsia="ar-SA"/>
    </w:rPr>
  </w:style>
  <w:style w:type="paragraph" w:styleId="1221">
    <w:name w:val="_Style 2"/>
    <w:basedOn w:val="1061"/>
    <w:next w:val="1221"/>
    <w:link w:val="1061"/>
    <w:qFormat/>
    <w:pPr>
      <w:ind w:firstLine="420"/>
    </w:pPr>
    <w:rPr>
      <w:rFonts w:ascii="Calibri" w:hAnsi="Calibri"/>
    </w:rPr>
  </w:style>
  <w:style w:type="paragraph" w:styleId="1222">
    <w:name w:val="xl107"/>
    <w:basedOn w:val="1061"/>
    <w:next w:val="1222"/>
    <w:link w:val="1061"/>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223">
    <w:name w:val="xl90"/>
    <w:basedOn w:val="1061"/>
    <w:next w:val="1223"/>
    <w:link w:val="10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4">
    <w:name w:val="font8"/>
    <w:basedOn w:val="1061"/>
    <w:next w:val="1224"/>
    <w:link w:val="1061"/>
    <w:qFormat/>
    <w:pPr>
      <w:jc w:val="left"/>
      <w:spacing w:before="100" w:beforeAutospacing="1" w:after="100" w:afterAutospacing="1"/>
      <w:widowControl/>
    </w:pPr>
    <w:rPr>
      <w:rFonts w:ascii="宋体" w:hAnsi="宋体" w:cs="宋体"/>
      <w:b/>
      <w:bCs/>
      <w:color w:val="000000"/>
      <w:szCs w:val="21"/>
    </w:rPr>
  </w:style>
  <w:style w:type="paragraph" w:styleId="1225">
    <w:name w:val="xl105"/>
    <w:basedOn w:val="1061"/>
    <w:next w:val="1225"/>
    <w:link w:val="1061"/>
    <w:qFormat/>
    <w:pPr>
      <w:jc w:val="left"/>
      <w:spacing w:before="100" w:beforeAutospacing="1" w:after="100" w:afterAutospacing="1"/>
      <w:widowControl/>
    </w:pPr>
    <w:rPr>
      <w:rFonts w:ascii="宋体" w:hAnsi="宋体" w:cs="宋体"/>
      <w:sz w:val="20"/>
      <w:szCs w:val="20"/>
    </w:rPr>
  </w:style>
  <w:style w:type="paragraph" w:styleId="1226">
    <w:name w:val="xl75"/>
    <w:basedOn w:val="1061"/>
    <w:next w:val="1226"/>
    <w:link w:val="10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27">
    <w:name w:val="xl79"/>
    <w:basedOn w:val="1061"/>
    <w:next w:val="1227"/>
    <w:link w:val="1061"/>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28">
    <w:name w:val="xl95"/>
    <w:basedOn w:val="1061"/>
    <w:next w:val="1228"/>
    <w:link w:val="1061"/>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29">
    <w:name w:val="xl84"/>
    <w:basedOn w:val="1061"/>
    <w:next w:val="1229"/>
    <w:link w:val="10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30">
    <w:name w:val="xl69"/>
    <w:basedOn w:val="1061"/>
    <w:next w:val="1230"/>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1">
    <w:name w:val="xl109"/>
    <w:basedOn w:val="1061"/>
    <w:next w:val="1231"/>
    <w:link w:val="1061"/>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32">
    <w:name w:val="xl106"/>
    <w:basedOn w:val="1061"/>
    <w:next w:val="1232"/>
    <w:link w:val="1061"/>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233">
    <w:name w:val="xl112"/>
    <w:basedOn w:val="1061"/>
    <w:next w:val="1233"/>
    <w:link w:val="1061"/>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34">
    <w:name w:val="reader-word-layer"/>
    <w:basedOn w:val="1061"/>
    <w:next w:val="1234"/>
    <w:link w:val="1061"/>
    <w:qFormat/>
    <w:pPr>
      <w:jc w:val="left"/>
      <w:spacing w:before="100" w:beforeAutospacing="1" w:after="100" w:afterAutospacing="1"/>
      <w:widowControl/>
    </w:pPr>
    <w:rPr>
      <w:rFonts w:ascii="宋体" w:hAnsi="宋体" w:cs="宋体"/>
      <w:sz w:val="24"/>
      <w:szCs w:val="24"/>
    </w:rPr>
  </w:style>
  <w:style w:type="table" w:styleId="1235">
    <w:name w:val="网格型1"/>
    <w:basedOn w:val="1068"/>
    <w:next w:val="1235"/>
    <w:link w:val="1061"/>
    <w:uiPriority w:val="59"/>
    <w:qFormat/>
    <w:tblPr/>
  </w:style>
  <w:style w:type="character" w:styleId="1236">
    <w:name w:val="列表段落 字符"/>
    <w:next w:val="1236"/>
    <w:link w:val="1237"/>
    <w:uiPriority w:val="34"/>
    <w:qFormat/>
    <w:rPr>
      <w:rFonts w:ascii="Calibri" w:hAnsi="Calibri"/>
      <w:sz w:val="21"/>
      <w:szCs w:val="22"/>
    </w:rPr>
  </w:style>
  <w:style w:type="paragraph" w:styleId="1237">
    <w:name w:val="列表段落"/>
    <w:basedOn w:val="1061"/>
    <w:next w:val="1237"/>
    <w:link w:val="1236"/>
    <w:uiPriority w:val="34"/>
    <w:qFormat/>
    <w:pPr>
      <w:ind w:firstLine="420"/>
    </w:pPr>
    <w:rPr>
      <w:rFonts w:ascii="Calibri" w:hAnsi="Calibri" w:eastAsia="宋体"/>
    </w:rPr>
  </w:style>
  <w:style w:type="paragraph" w:styleId="1238">
    <w:name w:val="样式 仿宋_GB2312 小四 行距: 1.5 倍行距1"/>
    <w:basedOn w:val="1061"/>
    <w:next w:val="1238"/>
    <w:link w:val="1061"/>
    <w:qFormat/>
    <w:pPr>
      <w:spacing w:line="360" w:lineRule="auto"/>
      <w:tabs>
        <w:tab w:val="left" w:pos="525" w:leader="none"/>
      </w:tabs>
    </w:pPr>
    <w:rPr>
      <w:rFonts w:ascii="仿宋_GB2312" w:hAnsi="仿宋_GB2312" w:eastAsia="仿宋_GB2312" w:cs="宋体"/>
      <w:sz w:val="24"/>
    </w:rPr>
  </w:style>
  <w:style w:type="paragraph" w:styleId="1239">
    <w:name w:val="Table Text"/>
    <w:basedOn w:val="1061"/>
    <w:next w:val="1239"/>
    <w:link w:val="1061"/>
    <w:semiHidden/>
    <w:qFormat/>
    <w:rPr>
      <w:sz w:val="20"/>
      <w:szCs w:val="20"/>
      <w:lang w:val="en-US" w:eastAsia="en-US" w:bidi="ar-SA"/>
    </w:rPr>
  </w:style>
  <w:style w:type="paragraph" w:styleId="1240">
    <w:name w:val="paragraph"/>
    <w:basedOn w:val="1061"/>
    <w:next w:val="1240"/>
    <w:link w:val="1061"/>
    <w:semiHidden/>
    <w:qFormat/>
    <w:pPr>
      <w:spacing w:before="100" w:beforeAutospacing="1" w:after="100" w:afterAutospacing="1"/>
      <w:widowControl/>
    </w:pPr>
    <w:rPr>
      <w:rFonts w:ascii="等线" w:eastAsia="等线" w:cs="Times New Roman"/>
      <w:sz w:val="24"/>
      <w:szCs w:val="24"/>
    </w:rPr>
  </w:style>
  <w:style w:type="paragraph" w:styleId="1241">
    <w:name w:val="纯文本1"/>
    <w:basedOn w:val="1061"/>
    <w:next w:val="1241"/>
    <w:link w:val="1061"/>
    <w:qFormat/>
    <w:rPr>
      <w:rFonts w:ascii="宋体" w:hAnsi="Courier New" w:cs="Courier New"/>
    </w:rPr>
  </w:style>
  <w:style w:type="paragraph" w:styleId="1242">
    <w:name w:val="标题 31"/>
    <w:basedOn w:val="1061"/>
    <w:next w:val="1243"/>
    <w:link w:val="1061"/>
    <w:qFormat/>
    <w:pPr>
      <w:jc w:val="left"/>
      <w:keepLines/>
      <w:keepNext/>
      <w:spacing w:line="440" w:lineRule="exact"/>
      <w:outlineLvl w:val="2"/>
    </w:pPr>
    <w:rPr>
      <w:b/>
      <w:bCs/>
      <w:szCs w:val="32"/>
    </w:rPr>
  </w:style>
  <w:style w:type="paragraph" w:styleId="1243">
    <w:name w:val="正文缩进1"/>
    <w:basedOn w:val="1061"/>
    <w:next w:val="1243"/>
    <w:link w:val="1061"/>
    <w:qFormat/>
    <w:pPr>
      <w:ind w:firstLine="420"/>
      <w:jc w:val="left"/>
      <w:spacing w:line="360" w:lineRule="atLeast"/>
    </w:pPr>
    <w:rPr>
      <w:rFonts w:eastAsia="宋体"/>
      <w:szCs w:val="21"/>
    </w:rPr>
  </w:style>
  <w:style w:type="paragraph" w:styleId="1244">
    <w:name w:val="标题 21"/>
    <w:basedOn w:val="1061"/>
    <w:next w:val="1061"/>
    <w:link w:val="1061"/>
    <w:qFormat/>
    <w:pPr>
      <w:jc w:val="center"/>
      <w:keepLines/>
      <w:keepNext/>
      <w:spacing w:before="260" w:after="260"/>
      <w:outlineLvl w:val="1"/>
    </w:pPr>
    <w:rPr>
      <w:rFonts w:ascii="Cambria" w:hAnsi="Cambria"/>
      <w:b/>
      <w:bCs/>
      <w:sz w:val="28"/>
      <w:szCs w:val="32"/>
    </w:rPr>
  </w:style>
  <w:style w:type="paragraph" w:styleId="1245">
    <w:name w:val="正文13"/>
    <w:next w:val="1246"/>
    <w:link w:val="1061"/>
    <w:qFormat/>
    <w:pPr>
      <w:jc w:val="both"/>
      <w:widowControl w:val="off"/>
    </w:pPr>
    <w:rPr>
      <w:sz w:val="21"/>
      <w:szCs w:val="24"/>
      <w:lang w:val="en-US" w:eastAsia="zh-CN" w:bidi="ar-SA"/>
    </w:rPr>
  </w:style>
  <w:style w:type="paragraph" w:styleId="1246">
    <w:name w:val="索引 41"/>
    <w:next w:val="1245"/>
    <w:link w:val="1061"/>
    <w:qFormat/>
    <w:pPr>
      <w:ind w:left="600" w:firstLine="200"/>
      <w:jc w:val="both"/>
      <w:spacing w:line="274" w:lineRule="auto"/>
      <w:widowControl w:val="off"/>
    </w:pPr>
    <w:rPr>
      <w:rFonts w:ascii="Calibri" w:hAnsi="Calibri" w:eastAsia="仿宋_GB2312"/>
      <w:sz w:val="24"/>
      <w:szCs w:val="24"/>
      <w:lang w:val="en-US" w:eastAsia="zh-CN" w:bidi="ar-SA"/>
    </w:rPr>
  </w:style>
  <w:style w:type="paragraph" w:styleId="1247">
    <w:name w:val="（RZM政采）正文-首行缩进2"/>
    <w:basedOn w:val="1061"/>
    <w:next w:val="1247"/>
    <w:link w:val="1061"/>
    <w:qFormat/>
    <w:pPr>
      <w:ind w:firstLine="200"/>
      <w:spacing w:line="360" w:lineRule="auto"/>
    </w:pPr>
    <w:rPr>
      <w:rFonts w:ascii="宋体" w:hAnsi="宋体"/>
      <w:szCs w:val="21"/>
      <w:lang w:val="zh-CN"/>
    </w:rPr>
  </w:style>
  <w:style w:type="paragraph" w:styleId="1248">
    <w:name w:val="RZM投标图片和表格"/>
    <w:basedOn w:val="1061"/>
    <w:next w:val="1248"/>
    <w:link w:val="1061"/>
    <w:qFormat/>
  </w:style>
  <w:style w:type="paragraph" w:styleId="1249">
    <w:name w:val="修订"/>
    <w:next w:val="1249"/>
    <w:link w:val="1061"/>
    <w:uiPriority w:val="99"/>
    <w:unhideWhenUsed/>
    <w:rPr>
      <w:rFonts w:eastAsia="微软雅黑"/>
      <w:sz w:val="21"/>
      <w:szCs w:val="22"/>
      <w:lang w:val="en-US" w:eastAsia="zh-CN" w:bidi="ar-SA"/>
    </w:rPr>
  </w:style>
  <w:style w:type="character" w:styleId="1250" w:default="1">
    <w:name w:val="Default Paragraph Font"/>
    <w:uiPriority w:val="1"/>
    <w:semiHidden/>
    <w:unhideWhenUsed/>
  </w:style>
  <w:style w:type="numbering" w:styleId="1251" w:default="1">
    <w:name w:val="No List"/>
    <w:uiPriority w:val="99"/>
    <w:semiHidden/>
    <w:unhideWhenUsed/>
  </w:style>
  <w:style w:type="table" w:styleId="12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8</cp:revision>
  <dcterms:created xsi:type="dcterms:W3CDTF">2026-05-26T07:24:00Z</dcterms:created>
  <dcterms:modified xsi:type="dcterms:W3CDTF">2026-06-11T11:21:48Z</dcterms:modified>
</cp:coreProperties>
</file>