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9"/>
        <w:ind w:firstLine="0"/>
        <w:spacing w:line="360" w:lineRule="auto"/>
        <w:rPr>
          <w:rFonts w:hint="eastAsia" w:eastAsia="黑体"/>
          <w:b/>
          <w:bCs/>
          <w:sz w:val="84"/>
          <w:shd w:val="clear" w:color="ffffff" w:fill="d9d9d9"/>
        </w:rPr>
      </w:pPr>
      <w:r>
        <w:rPr>
          <w:rFonts w:hint="eastAsia" w:eastAsia="黑体"/>
          <w:b/>
          <w:bCs/>
          <w:sz w:val="84"/>
          <w:shd w:val="clear" w:color="ffffff" w:fill="d9d9d9"/>
        </w:rPr>
      </w:r>
      <w:r/>
    </w:p>
    <w:p>
      <w:pPr>
        <w:pStyle w:val="939"/>
        <w:ind w:firstLine="0"/>
        <w:jc w:val="center"/>
        <w:spacing w:line="360" w:lineRule="auto"/>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939"/>
        <w:ind w:firstLine="0"/>
        <w:jc w:val="center"/>
        <w:spacing w:line="360" w:lineRule="auto"/>
        <w:rPr>
          <w:rFonts w:ascii="黑体" w:hAnsi="华文中宋" w:eastAsia="黑体"/>
          <w:bCs/>
          <w:spacing w:val="20"/>
          <w:sz w:val="52"/>
          <w:szCs w:val="52"/>
        </w:rPr>
      </w:pPr>
      <w:r>
        <w:rPr>
          <w:rFonts w:ascii="黑体" w:hAnsi="华文中宋" w:eastAsia="黑体"/>
          <w:bCs/>
          <w:spacing w:val="20"/>
          <w:sz w:val="52"/>
          <w:szCs w:val="52"/>
        </w:rPr>
      </w:r>
      <w:r/>
    </w:p>
    <w:p>
      <w:pPr>
        <w:pStyle w:val="939"/>
        <w:ind w:firstLine="0"/>
        <w:jc w:val="center"/>
        <w:spacing w:line="360" w:lineRule="auto"/>
        <w:rPr>
          <w:rFonts w:hint="eastAsia" w:ascii="黑体" w:hAnsi="华文中宋" w:eastAsia="黑体"/>
          <w:bCs/>
          <w:spacing w:val="20"/>
          <w:sz w:val="52"/>
          <w:szCs w:val="52"/>
          <w:shd w:val="clear" w:color="ffffff" w:fill="d9d9d9"/>
          <w:lang w:eastAsia="zh-CN"/>
        </w:rPr>
      </w:pPr>
      <w:r>
        <w:rPr>
          <w:rFonts w:hint="eastAsia" w:ascii="黑体" w:hAnsi="华文中宋" w:eastAsia="黑体"/>
          <w:bCs/>
          <w:spacing w:val="20"/>
          <w:sz w:val="52"/>
          <w:szCs w:val="52"/>
          <w:shd w:val="clear" w:color="ffffff" w:fill="d9d9d9"/>
          <w:lang w:eastAsia="zh-CN"/>
        </w:rPr>
        <w:t xml:space="preserve">（</w:t>
      </w:r>
      <w:r>
        <w:rPr>
          <w:rFonts w:hint="eastAsia" w:ascii="黑体" w:hAnsi="华文中宋" w:eastAsia="黑体"/>
          <w:bCs/>
          <w:spacing w:val="20"/>
          <w:sz w:val="52"/>
          <w:szCs w:val="52"/>
          <w:shd w:val="clear" w:color="ffffff" w:fill="d9d9d9"/>
          <w:lang w:val="en-US" w:eastAsia="zh-CN"/>
        </w:rPr>
        <w:t xml:space="preserve">暗标</w:t>
      </w:r>
      <w:r>
        <w:rPr>
          <w:rFonts w:hint="eastAsia" w:ascii="黑体" w:hAnsi="华文中宋" w:eastAsia="黑体"/>
          <w:bCs/>
          <w:spacing w:val="20"/>
          <w:sz w:val="52"/>
          <w:szCs w:val="52"/>
          <w:shd w:val="clear" w:color="ffffff" w:fill="d9d9d9"/>
          <w:lang w:eastAsia="zh-CN"/>
        </w:rPr>
        <w:t xml:space="preserve">）</w:t>
      </w:r>
      <w:r/>
    </w:p>
    <w:p>
      <w:pPr>
        <w:pStyle w:val="939"/>
        <w:ind w:firstLine="0"/>
        <w:jc w:val="center"/>
        <w:spacing w:line="360" w:lineRule="auto"/>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39"/>
        <w:ind w:firstLine="0"/>
        <w:jc w:val="center"/>
        <w:spacing w:line="360" w:lineRule="auto"/>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jc w:val="left"/>
        <w:spacing w:line="360" w:lineRule="auto"/>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项目编号：JSZC-320211-JZCG-G2026-0012</w:t>
      </w:r>
      <w:r/>
    </w:p>
    <w:p>
      <w:pPr>
        <w:jc w:val="left"/>
        <w:spacing w:line="360" w:lineRule="auto"/>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项目名称：省锡中滨湖分校实验室装备采购项目</w:t>
      </w:r>
      <w:r/>
    </w:p>
    <w:p>
      <w:pPr>
        <w:jc w:val="left"/>
        <w:spacing w:line="360" w:lineRule="auto"/>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采 购 人：无锡市滨湖区教育局</w:t>
      </w:r>
      <w:r/>
    </w:p>
    <w:p>
      <w:pPr>
        <w:jc w:val="center"/>
        <w:spacing w:line="360" w:lineRule="auto"/>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939"/>
        <w:ind w:firstLine="0"/>
        <w:jc w:val="center"/>
        <w:spacing w:before="0" w:after="0" w:line="360" w:lineRule="auto"/>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39"/>
        <w:ind w:firstLine="0"/>
        <w:jc w:val="center"/>
        <w:spacing w:before="0" w:after="0" w:line="360" w:lineRule="auto"/>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39"/>
        <w:ind w:firstLine="0"/>
        <w:jc w:val="center"/>
        <w:spacing w:before="0" w:after="0" w:line="360" w:lineRule="auto"/>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39"/>
        <w:ind w:firstLine="0"/>
        <w:jc w:val="center"/>
        <w:spacing w:before="0" w:after="0" w:line="360" w:lineRule="auto"/>
        <w:rPr>
          <w:rFonts w:hint="eastAsia" w:ascii="宋体" w:hAnsi="宋体" w:eastAsia="黑体"/>
          <w:color w:val="000000"/>
          <w:sz w:val="32"/>
          <w:szCs w:val="32"/>
          <w:highlight w:val="none"/>
          <w:shd w:val="clear" w:color="ffffff" w:fill="d9d9d9"/>
          <w:lang w:eastAsia="zh-CN"/>
        </w:rPr>
      </w:pPr>
      <w:r>
        <w:rPr>
          <w:rFonts w:hint="eastAsia" w:ascii="黑体" w:hAnsi="华文中宋" w:eastAsia="黑体"/>
          <w:bCs/>
          <w:color w:val="000000"/>
          <w:sz w:val="32"/>
          <w:szCs w:val="32"/>
          <w:highlight w:val="none"/>
        </w:rPr>
        <w:t xml:space="preserve">采购代理机构：</w:t>
      </w:r>
      <w:r>
        <w:rPr>
          <w:rFonts w:hint="eastAsia" w:ascii="黑体" w:hAnsi="华文中宋" w:eastAsia="黑体"/>
          <w:bCs/>
          <w:color w:val="000000"/>
          <w:sz w:val="32"/>
          <w:szCs w:val="32"/>
          <w:highlight w:val="none"/>
          <w:lang w:eastAsia="zh-CN"/>
        </w:rPr>
        <w:t xml:space="preserve">无锡市滨湖区公共资源交易中心</w:t>
      </w:r>
      <w:r/>
    </w:p>
    <w:p>
      <w:pPr>
        <w:pStyle w:val="939"/>
        <w:ind w:firstLine="0"/>
        <w:jc w:val="center"/>
        <w:spacing w:line="360" w:lineRule="auto"/>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二○二</w:t>
      </w:r>
      <w:r>
        <w:rPr>
          <w:rFonts w:hint="eastAsia" w:ascii="黑体" w:hAnsi="华文中宋" w:eastAsia="黑体"/>
          <w:bCs/>
          <w:color w:val="000000"/>
          <w:sz w:val="32"/>
          <w:szCs w:val="32"/>
          <w:highlight w:val="none"/>
          <w:lang w:val="en-US" w:eastAsia="zh-CN"/>
        </w:rPr>
        <w:t xml:space="preserve">六</w:t>
      </w:r>
      <w:r>
        <w:rPr>
          <w:rFonts w:hint="eastAsia" w:ascii="黑体" w:hAnsi="华文中宋" w:eastAsia="黑体"/>
          <w:bCs/>
          <w:color w:val="000000"/>
          <w:sz w:val="32"/>
          <w:szCs w:val="32"/>
          <w:highlight w:val="none"/>
        </w:rPr>
        <w:t xml:space="preserve">年</w:t>
      </w:r>
      <w:r>
        <w:rPr>
          <w:rFonts w:hint="eastAsia" w:ascii="黑体" w:hAnsi="华文中宋" w:eastAsia="黑体"/>
          <w:bCs/>
          <w:color w:val="000000"/>
          <w:sz w:val="32"/>
          <w:szCs w:val="32"/>
          <w:highlight w:val="none"/>
          <w:lang w:eastAsia="zh-CN"/>
        </w:rPr>
        <w:t xml:space="preserve">七</w:t>
      </w:r>
      <w:r>
        <w:rPr>
          <w:rFonts w:hint="eastAsia" w:ascii="黑体" w:hAnsi="华文中宋" w:eastAsia="黑体"/>
          <w:bCs/>
          <w:color w:val="000000"/>
          <w:sz w:val="32"/>
          <w:szCs w:val="32"/>
          <w:highlight w:val="none"/>
        </w:rPr>
        <w:t xml:space="preserve">月</w:t>
      </w:r>
      <w:r/>
    </w:p>
    <w:p>
      <w:pPr>
        <w:pStyle w:val="939"/>
        <w:ind w:firstLine="0"/>
        <w:jc w:val="center"/>
        <w:spacing w:line="360" w:lineRule="auto"/>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479757206"/>
      <w:r/>
      <w:bookmarkStart w:id="2" w:name="_Toc16938516"/>
      <w:r/>
      <w:bookmarkStart w:id="3" w:name="_Toc20823272"/>
      <w:r/>
      <w:bookmarkStart w:id="4" w:name="_Toc523127445"/>
      <w:r/>
      <w:bookmarkStart w:id="5" w:name="_Toc513029200"/>
      <w:r>
        <w:rPr>
          <w:rFonts w:hint="eastAsia" w:ascii="黑体" w:hAnsi="黑体" w:eastAsia="黑体"/>
          <w:sz w:val="36"/>
          <w:szCs w:val="36"/>
        </w:rPr>
        <w:t xml:space="preserve">总  目  录</w:t>
      </w:r>
      <w:r/>
    </w:p>
    <w:p>
      <w:pPr>
        <w:jc w:val="center"/>
        <w:spacing w:line="360" w:lineRule="auto"/>
        <w:rPr>
          <w:rFonts w:hint="eastAsia" w:ascii="黑体" w:hAnsi="Arial" w:eastAsia="黑体"/>
          <w:sz w:val="44"/>
        </w:rPr>
        <w:outlineLvl w:val="0"/>
      </w:pPr>
      <w:r>
        <w:rPr>
          <w:rFonts w:hint="eastAsia" w:ascii="黑体" w:hAnsi="Arial" w:eastAsia="黑体"/>
          <w:sz w:val="44"/>
        </w:rPr>
      </w:r>
      <w:r/>
    </w:p>
    <w:p>
      <w:pPr>
        <w:numPr>
          <w:ilvl w:val="0"/>
          <w:numId w:val="4"/>
        </w:numPr>
        <w:spacing w:line="360" w:lineRule="auto"/>
        <w:rPr>
          <w:rFonts w:hint="eastAsia" w:ascii="宋体" w:hAnsi="宋体"/>
          <w:sz w:val="30"/>
          <w:szCs w:val="30"/>
        </w:rPr>
        <w:outlineLvl w:val="0"/>
      </w:pPr>
      <w:r>
        <w:rPr>
          <w:rFonts w:hint="eastAsia" w:ascii="宋体" w:hAnsi="宋体"/>
          <w:sz w:val="30"/>
          <w:szCs w:val="30"/>
        </w:rPr>
        <w:t xml:space="preserve">投标邀请</w:t>
      </w:r>
      <w:r/>
    </w:p>
    <w:p>
      <w:pPr>
        <w:numPr>
          <w:ilvl w:val="0"/>
          <w:numId w:val="4"/>
        </w:numPr>
        <w:spacing w:line="360" w:lineRule="auto"/>
        <w:rPr>
          <w:rFonts w:hint="eastAsia" w:ascii="宋体" w:hAnsi="宋体"/>
          <w:color w:val="000000"/>
          <w:sz w:val="30"/>
          <w:szCs w:val="30"/>
        </w:rPr>
        <w:outlineLvl w:val="0"/>
      </w:pPr>
      <w:r>
        <w:rPr>
          <w:rFonts w:hint="eastAsia" w:ascii="宋体" w:hAnsi="宋体"/>
          <w:color w:val="000000"/>
          <w:sz w:val="30"/>
          <w:szCs w:val="30"/>
        </w:rPr>
        <w:t xml:space="preserve">投标人须知</w:t>
      </w:r>
      <w:r/>
    </w:p>
    <w:p>
      <w:pPr>
        <w:numPr>
          <w:ilvl w:val="0"/>
          <w:numId w:val="4"/>
        </w:numPr>
        <w:spacing w:line="360" w:lineRule="auto"/>
        <w:rPr>
          <w:rFonts w:hint="eastAsia" w:ascii="宋体" w:hAnsi="宋体"/>
          <w:color w:val="000000"/>
          <w:sz w:val="30"/>
          <w:szCs w:val="30"/>
        </w:rPr>
        <w:outlineLvl w:val="0"/>
      </w:pPr>
      <w:r>
        <w:rPr>
          <w:rFonts w:hint="eastAsia" w:ascii="宋体" w:hAnsi="宋体"/>
          <w:color w:val="000000"/>
          <w:sz w:val="30"/>
          <w:szCs w:val="30"/>
        </w:rPr>
        <w:t xml:space="preserve">合同文本</w:t>
      </w:r>
      <w:r/>
    </w:p>
    <w:p>
      <w:pPr>
        <w:numPr>
          <w:ilvl w:val="0"/>
          <w:numId w:val="4"/>
        </w:numPr>
        <w:spacing w:line="360" w:lineRule="auto"/>
        <w:rPr>
          <w:rFonts w:hint="eastAsia" w:ascii="宋体" w:hAnsi="宋体"/>
          <w:color w:val="000000"/>
          <w:sz w:val="30"/>
          <w:szCs w:val="30"/>
        </w:rPr>
        <w:outlineLvl w:val="0"/>
      </w:pPr>
      <w:r>
        <w:rPr>
          <w:rFonts w:hint="eastAsia" w:ascii="宋体" w:hAnsi="宋体"/>
          <w:color w:val="000000"/>
          <w:sz w:val="30"/>
          <w:szCs w:val="30"/>
        </w:rPr>
        <w:t xml:space="preserve">采购需求</w:t>
      </w:r>
      <w:r/>
    </w:p>
    <w:p>
      <w:pPr>
        <w:numPr>
          <w:ilvl w:val="0"/>
          <w:numId w:val="4"/>
        </w:numPr>
        <w:spacing w:line="360" w:lineRule="auto"/>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p>
    <w:p>
      <w:pPr>
        <w:numPr>
          <w:ilvl w:val="0"/>
          <w:numId w:val="4"/>
        </w:numPr>
        <w:spacing w:line="360" w:lineRule="auto"/>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p>
    <w:p>
      <w:pPr>
        <w:jc w:val="center"/>
        <w:spacing w:line="360" w:lineRule="auto"/>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bookmarkEnd w:id="0"/>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lang w:val="en-US" w:eastAsia="zh-CN"/>
        </w:rPr>
        <w:t xml:space="preserve">无锡市滨湖区教育局</w:t>
      </w:r>
      <w:r>
        <w:rPr>
          <w:rFonts w:hint="eastAsia" w:ascii="宋体" w:hAnsi="宋体"/>
          <w:color w:val="000000"/>
          <w:sz w:val="24"/>
          <w:szCs w:val="24"/>
        </w:rPr>
        <w:t xml:space="preserve">的委托，</w:t>
      </w:r>
      <w:r>
        <w:rPr>
          <w:rFonts w:hint="eastAsia" w:ascii="宋体" w:hAnsi="宋体"/>
          <w:color w:val="000000"/>
          <w:sz w:val="24"/>
          <w:szCs w:val="24"/>
          <w:lang w:eastAsia="zh-CN"/>
        </w:rPr>
        <w:t xml:space="preserve">无锡市滨湖区公共资源交易中心</w:t>
      </w:r>
      <w:r>
        <w:rPr>
          <w:rFonts w:hint="eastAsia" w:ascii="宋体" w:hAnsi="宋体"/>
          <w:color w:val="000000"/>
          <w:sz w:val="24"/>
          <w:szCs w:val="24"/>
        </w:rPr>
        <w:t xml:space="preserve">就省锡中滨湖分校实验室装备采购项目进行公开招标采购，欢迎符合条件的供应商投标。</w:t>
      </w:r>
      <w:r/>
    </w:p>
    <w:p>
      <w:pPr>
        <w:ind w:firstLine="480"/>
        <w:spacing w:line="360" w:lineRule="auto"/>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360" w:lineRule="auto"/>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省锡中滨湖分校实验室装备</w:t>
      </w:r>
      <w:r>
        <w:rPr>
          <w:rFonts w:hint="eastAsia" w:ascii="宋体" w:hAnsi="宋体"/>
          <w:color w:val="000000"/>
          <w:sz w:val="24"/>
          <w:szCs w:val="24"/>
          <w:lang w:eastAsia="zh-CN"/>
        </w:rPr>
        <w:t xml:space="preserve">采购项目</w:t>
      </w:r>
      <w:r>
        <w:rPr>
          <w:rFonts w:hint="eastAsia" w:ascii="宋体" w:hAnsi="宋体"/>
          <w:color w:val="000000"/>
          <w:sz w:val="24"/>
          <w:szCs w:val="24"/>
        </w:rPr>
        <w:t xml:space="preserve">的潜在投标人应在“江苏政府采购网”自行浏览</w:t>
      </w:r>
      <w:r>
        <w:rPr>
          <w:rFonts w:hint="eastAsia" w:ascii="宋体" w:hAnsi="宋体"/>
          <w:sz w:val="24"/>
          <w:szCs w:val="24"/>
        </w:rPr>
        <w:t xml:space="preserve">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sz w:val="24"/>
          <w:szCs w:val="24"/>
        </w:rPr>
        <w:t xml:space="preserve">下载的方式依法获取招标文件</w:t>
      </w:r>
      <w:r>
        <w:rPr>
          <w:rFonts w:hint="eastAsia" w:ascii="宋体" w:hAnsi="宋体"/>
          <w:color w:val="000000" w:themeColor="text1"/>
          <w:sz w:val="24"/>
          <w:szCs w:val="24"/>
          <w:highlight w:val="none"/>
        </w:rPr>
        <w:t xml:space="preserve">，并于</w:t>
      </w:r>
      <w:r>
        <w:rPr>
          <w:rFonts w:hint="eastAsia" w:ascii="宋体" w:hAnsi="宋体"/>
          <w:b/>
          <w:bCs/>
          <w:color w:val="0000ff"/>
          <w:sz w:val="24"/>
          <w:szCs w:val="24"/>
          <w:highlight w:val="none"/>
        </w:rPr>
        <w:t xml:space="preserve">2026年</w:t>
      </w:r>
      <w:r>
        <w:rPr>
          <w:rFonts w:hint="eastAsia" w:ascii="宋体" w:hAnsi="宋体"/>
          <w:b/>
          <w:bCs/>
          <w:color w:val="0000ff"/>
          <w:sz w:val="24"/>
          <w:szCs w:val="24"/>
          <w:highlight w:val="none"/>
          <w:lang w:val="en-US" w:eastAsia="zh-CN"/>
        </w:rPr>
        <w:t xml:space="preserve">08</w:t>
      </w:r>
      <w:r>
        <w:rPr>
          <w:rFonts w:hint="eastAsia" w:ascii="宋体" w:hAnsi="宋体"/>
          <w:b/>
          <w:bCs/>
          <w:color w:val="0000ff"/>
          <w:sz w:val="24"/>
          <w:szCs w:val="24"/>
          <w:highlight w:val="none"/>
        </w:rPr>
        <w:t xml:space="preserve">月</w:t>
      </w:r>
      <w:r>
        <w:rPr>
          <w:rFonts w:hint="eastAsia" w:ascii="宋体" w:hAnsi="宋体"/>
          <w:b/>
          <w:bCs/>
          <w:color w:val="0000ff"/>
          <w:sz w:val="24"/>
          <w:szCs w:val="24"/>
          <w:highlight w:val="none"/>
          <w:lang w:val="en-US" w:eastAsia="zh-CN"/>
        </w:rPr>
        <w:t xml:space="preserve">04</w:t>
      </w:r>
      <w:r>
        <w:rPr>
          <w:rFonts w:hint="eastAsia" w:ascii="宋体" w:hAnsi="宋体"/>
          <w:b/>
          <w:bCs/>
          <w:color w:val="0000ff"/>
          <w:sz w:val="24"/>
          <w:szCs w:val="24"/>
          <w:highlight w:val="none"/>
        </w:rPr>
        <w:t xml:space="preserve">日</w:t>
      </w:r>
      <w:r>
        <w:rPr>
          <w:rFonts w:hint="eastAsia" w:ascii="宋体" w:hAnsi="宋体"/>
          <w:b/>
          <w:bCs/>
          <w:color w:val="000000" w:themeColor="text1"/>
          <w:sz w:val="24"/>
          <w:szCs w:val="24"/>
          <w:highlight w:val="none"/>
        </w:rPr>
        <w:t xml:space="preserve">09点30分</w:t>
      </w:r>
      <w:r>
        <w:rPr>
          <w:rFonts w:hint="eastAsia" w:ascii="宋体" w:hAnsi="宋体"/>
          <w:bCs/>
          <w:color w:val="000000" w:themeColor="text1"/>
          <w:sz w:val="24"/>
          <w:szCs w:val="24"/>
          <w:highlight w:val="none"/>
        </w:rPr>
        <w:t xml:space="preserve">（北</w:t>
      </w:r>
      <w:r>
        <w:rPr>
          <w:rFonts w:hint="eastAsia" w:ascii="宋体" w:hAnsi="宋体"/>
          <w:bCs/>
          <w:sz w:val="24"/>
          <w:szCs w:val="24"/>
        </w:rPr>
        <w:t xml:space="preserve">京时间）前递交投标</w:t>
      </w:r>
      <w:r>
        <w:rPr>
          <w:rFonts w:ascii="宋体" w:hAnsi="宋体"/>
          <w:bCs/>
          <w:sz w:val="24"/>
          <w:szCs w:val="24"/>
        </w:rPr>
        <w:t xml:space="preserve">文件</w:t>
      </w:r>
      <w:r>
        <w:rPr>
          <w:rFonts w:hint="eastAsia" w:ascii="宋体" w:hAnsi="宋体"/>
          <w:sz w:val="24"/>
          <w:szCs w:val="24"/>
        </w:rPr>
        <w:t xml:space="preserve">。</w:t>
      </w:r>
      <w:r/>
    </w:p>
    <w:p>
      <w:pPr>
        <w:pStyle w:val="854"/>
        <w:ind w:firstLine="452"/>
        <w:keepLines w:val="0"/>
        <w:keepNext w:val="0"/>
        <w:spacing w:before="0" w:after="0" w:line="360" w:lineRule="auto"/>
        <w:rPr>
          <w:sz w:val="30"/>
          <w:szCs w:val="30"/>
        </w:rPr>
      </w:pPr>
      <w:r/>
      <w:bookmarkStart w:id="6" w:name="_Toc35393790"/>
      <w:r/>
      <w:bookmarkStart w:id="7" w:name="_Toc38985263"/>
      <w:r/>
      <w:bookmarkStart w:id="8" w:name="_Toc28359002"/>
      <w:r/>
      <w:bookmarkStart w:id="9" w:name="_Toc35393621"/>
      <w:r/>
      <w:bookmarkStart w:id="10" w:name="_Toc28359079"/>
      <w:r/>
      <w:bookmarkStart w:id="11" w:name="_Hlk24379207"/>
      <w:r>
        <w:rPr>
          <w:rFonts w:hint="eastAsia"/>
          <w:sz w:val="30"/>
          <w:szCs w:val="30"/>
        </w:rPr>
        <w:t xml:space="preserve">一、项目基本情况</w:t>
      </w:r>
      <w:bookmarkEnd w:id="6"/>
      <w:r/>
      <w:bookmarkEnd w:id="7"/>
      <w:r/>
      <w:bookmarkEnd w:id="8"/>
      <w:r/>
      <w:bookmarkEnd w:id="9"/>
      <w:r/>
      <w:bookmarkEnd w:id="10"/>
      <w:r/>
      <w:r/>
    </w:p>
    <w:p>
      <w:pPr>
        <w:ind w:firstLine="480"/>
        <w:spacing w:line="360" w:lineRule="auto"/>
        <w:rPr>
          <w:rFonts w:hint="eastAsia" w:ascii="宋体" w:hAnsi="宋体"/>
          <w:color w:val="000000"/>
          <w:sz w:val="24"/>
          <w:szCs w:val="24"/>
          <w:lang w:eastAsia="zh-CN"/>
        </w:rPr>
      </w:pPr>
      <w:r>
        <w:rPr>
          <w:rFonts w:hint="eastAsia" w:ascii="宋体" w:hAnsi="宋体"/>
          <w:color w:val="000000"/>
          <w:sz w:val="24"/>
          <w:szCs w:val="24"/>
        </w:rPr>
        <w:t xml:space="preserve">1.项目编号：JSZC-320211-JZCG-G2026-0012</w:t>
      </w:r>
      <w:r/>
    </w:p>
    <w:p>
      <w:pPr>
        <w:ind w:firstLine="480"/>
        <w:spacing w:line="360" w:lineRule="auto"/>
        <w:rPr>
          <w:rFonts w:hint="eastAsia" w:ascii="宋体" w:hAnsi="宋体"/>
          <w:color w:val="000000"/>
          <w:sz w:val="24"/>
          <w:szCs w:val="24"/>
          <w:lang w:eastAsia="zh-CN"/>
        </w:rPr>
      </w:pPr>
      <w:r>
        <w:rPr>
          <w:rFonts w:hint="eastAsia" w:ascii="宋体" w:hAnsi="宋体"/>
          <w:color w:val="000000"/>
          <w:sz w:val="24"/>
          <w:szCs w:val="24"/>
        </w:rPr>
        <w:t xml:space="preserve">2.项目名称：省锡中滨湖分校实验室装备采购项目</w:t>
      </w:r>
      <w:bookmarkEnd w:id="11"/>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3.项目预算金额：</w:t>
      </w:r>
      <w:r>
        <w:rPr>
          <w:rFonts w:hint="eastAsia" w:ascii="宋体" w:hAnsi="宋体"/>
          <w:color w:val="000000"/>
          <w:sz w:val="24"/>
          <w:szCs w:val="24"/>
          <w:lang w:val="en-US" w:eastAsia="zh-CN"/>
        </w:rPr>
        <w:t xml:space="preserve">805</w:t>
      </w:r>
      <w:r>
        <w:rPr>
          <w:rFonts w:hint="eastAsia" w:ascii="宋体" w:hAnsi="宋体"/>
          <w:color w:val="000000"/>
          <w:sz w:val="24"/>
          <w:szCs w:val="24"/>
        </w:rPr>
        <w:t xml:space="preserve">万元</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4.项目最高限价：740.051</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万元</w:t>
      </w:r>
      <w:r/>
    </w:p>
    <w:p>
      <w:pPr>
        <w:ind w:firstLine="480"/>
        <w:spacing w:line="360" w:lineRule="auto"/>
        <w:rPr>
          <w:rFonts w:hint="eastAsia" w:ascii="宋体" w:hAnsi="宋体"/>
          <w:sz w:val="24"/>
          <w:szCs w:val="24"/>
        </w:rPr>
      </w:pPr>
      <w:r>
        <w:rPr>
          <w:rFonts w:hint="eastAsia" w:ascii="宋体" w:hAnsi="宋体"/>
          <w:sz w:val="24"/>
          <w:szCs w:val="24"/>
        </w:rPr>
        <w:t xml:space="preserve">5.采购方式：公开招标</w:t>
      </w:r>
      <w:r/>
    </w:p>
    <w:p>
      <w:pPr>
        <w:ind w:firstLine="480"/>
        <w:spacing w:line="360" w:lineRule="auto"/>
        <w:rPr>
          <w:rFonts w:hint="eastAsia" w:ascii="宋体" w:hAnsi="宋体"/>
          <w:sz w:val="24"/>
          <w:szCs w:val="24"/>
        </w:rPr>
      </w:pPr>
      <w:r>
        <w:rPr>
          <w:rFonts w:hint="eastAsia" w:ascii="宋体" w:hAnsi="宋体"/>
          <w:sz w:val="24"/>
          <w:szCs w:val="24"/>
        </w:rPr>
        <w:t xml:space="preserve">6.采购需求：</w:t>
      </w:r>
      <w:r>
        <w:rPr>
          <w:rFonts w:hint="eastAsia" w:ascii="宋体" w:hAnsi="宋体" w:cs="宋体"/>
          <w:sz w:val="24"/>
          <w:szCs w:val="24"/>
        </w:rPr>
        <w:t xml:space="preserve">详见招标文件第四章《采购需求》</w:t>
      </w:r>
      <w:r/>
    </w:p>
    <w:p>
      <w:pPr>
        <w:ind w:firstLine="480"/>
        <w:spacing w:line="360" w:lineRule="auto"/>
        <w:rPr>
          <w:rFonts w:hint="eastAsia" w:ascii="宋体" w:hAnsi="宋体" w:cs="宋体"/>
          <w:sz w:val="24"/>
          <w:szCs w:val="24"/>
        </w:rPr>
      </w:pPr>
      <w:r>
        <w:rPr>
          <w:rFonts w:hint="eastAsia" w:ascii="宋体" w:hAnsi="宋体"/>
          <w:sz w:val="24"/>
          <w:szCs w:val="24"/>
        </w:rPr>
        <w:t xml:space="preserve">7.合同履行期限：</w:t>
      </w:r>
      <w:r>
        <w:rPr>
          <w:rFonts w:hint="eastAsia" w:ascii="宋体" w:hAnsi="宋体" w:cs="宋体"/>
          <w:sz w:val="24"/>
          <w:szCs w:val="24"/>
        </w:rPr>
        <w:t xml:space="preserve">详见招标文件第四章《采购需求》</w:t>
      </w:r>
      <w:r/>
    </w:p>
    <w:p>
      <w:pPr>
        <w:ind w:firstLine="480"/>
        <w:spacing w:line="360" w:lineRule="auto"/>
        <w:rPr>
          <w:rFonts w:hint="eastAsia" w:cs="宋体" w:asciiTheme="minorEastAsia" w:hAnsiTheme="minorEastAsia"/>
          <w:b/>
          <w:color w:val="000000" w:themeColor="text1"/>
          <w:sz w:val="24"/>
          <w:szCs w:val="24"/>
          <w:lang w:val="en-US" w:eastAsia="zh-CN"/>
        </w:rPr>
      </w:pPr>
      <w:r/>
      <w:bookmarkStart w:id="12" w:name="_Toc28359080"/>
      <w:r/>
      <w:bookmarkStart w:id="13" w:name="_Toc35393791"/>
      <w:r/>
      <w:bookmarkStart w:id="14" w:name="_Toc28359003"/>
      <w:r/>
      <w:bookmarkStart w:id="15" w:name="_Toc38985264"/>
      <w:r/>
      <w:bookmarkStart w:id="16" w:name="_Toc35393622"/>
      <w:r>
        <w:rPr>
          <w:rFonts w:hint="eastAsia" w:ascii="宋体" w:hAnsi="宋体" w:cs="宋体"/>
          <w:color w:val="000000" w:themeColor="text1"/>
          <w:sz w:val="24"/>
          <w:szCs w:val="24"/>
          <w:highlight w:val="none"/>
        </w:rPr>
        <w:t xml:space="preserve">8.</w:t>
      </w:r>
      <w:r>
        <w:rPr>
          <w:rFonts w:hint="eastAsia" w:cs="宋体" w:asciiTheme="minorEastAsia" w:hAnsiTheme="minorEastAsia"/>
          <w:color w:val="000000" w:themeColor="text1"/>
          <w:sz w:val="24"/>
          <w:szCs w:val="24"/>
        </w:rPr>
        <w:t xml:space="preserve">本项目是否专门面向中小微企业：</w:t>
      </w:r>
      <w:r>
        <w:rPr>
          <w:rFonts w:hint="eastAsia" w:cs="宋体" w:asciiTheme="minorEastAsia" w:hAnsiTheme="minorEastAsia"/>
          <w:b/>
          <w:color w:val="000000" w:themeColor="text1"/>
          <w:sz w:val="24"/>
          <w:szCs w:val="24"/>
          <w:lang w:val="en-US" w:eastAsia="zh-CN"/>
        </w:rPr>
        <w:t xml:space="preserve">是</w:t>
      </w:r>
      <w:r/>
    </w:p>
    <w:p>
      <w:pPr>
        <w:ind w:firstLine="480"/>
        <w:spacing w:line="360" w:lineRule="auto"/>
        <w:rPr>
          <w:rFonts w:hint="eastAsia" w:cs="宋体" w:asciiTheme="minorEastAsia" w:hAnsiTheme="minorEastAsia"/>
          <w:sz w:val="24"/>
        </w:rPr>
      </w:pPr>
      <w:r>
        <w:rPr>
          <w:rFonts w:hint="eastAsia" w:ascii="宋体" w:hAnsi="宋体" w:cs="宋体"/>
          <w:color w:val="000000" w:themeColor="text1"/>
          <w:sz w:val="24"/>
          <w:szCs w:val="24"/>
          <w:highlight w:val="none"/>
          <w:lang w:val="en-US" w:eastAsia="zh-CN"/>
        </w:rPr>
        <w:t xml:space="preserve">9.</w:t>
      </w:r>
      <w:r>
        <w:rPr>
          <w:rFonts w:hint="eastAsia" w:cs="宋体" w:asciiTheme="minorEastAsia" w:hAnsiTheme="minorEastAsia"/>
          <w:color w:val="000000" w:themeColor="text1"/>
          <w:sz w:val="24"/>
          <w:szCs w:val="24"/>
        </w:rPr>
        <w:t xml:space="preserve">本项目的所属行业：</w:t>
      </w:r>
      <w:r>
        <w:rPr>
          <w:rFonts w:hint="eastAsia" w:ascii="Arial" w:hAnsi="Arial" w:cs="宋体"/>
          <w:color w:val="000000"/>
          <w:sz w:val="24"/>
          <w:szCs w:val="24"/>
        </w:rPr>
        <w:t xml:space="preserve">工业</w:t>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10.</w:t>
      </w:r>
      <w:r>
        <w:rPr>
          <w:rFonts w:hint="eastAsia" w:ascii="宋体" w:hAnsi="宋体" w:cs="宋体"/>
          <w:color w:val="000000" w:themeColor="text1"/>
          <w:sz w:val="24"/>
          <w:szCs w:val="24"/>
          <w:highlight w:val="none"/>
        </w:rPr>
        <w:t xml:space="preserve">本项目不接受联合体投标。</w:t>
      </w:r>
      <w:r/>
    </w:p>
    <w:p>
      <w:pPr>
        <w:pStyle w:val="854"/>
        <w:ind w:firstLine="452"/>
        <w:keepLines w:val="0"/>
        <w:keepNext w:val="0"/>
        <w:spacing w:before="0" w:after="0" w:line="360" w:lineRule="auto"/>
        <w:rPr>
          <w:sz w:val="30"/>
          <w:szCs w:val="30"/>
        </w:rPr>
      </w:pPr>
      <w:r>
        <w:rPr>
          <w:rFonts w:hint="eastAsia"/>
          <w:sz w:val="30"/>
          <w:szCs w:val="30"/>
        </w:rPr>
        <w:t xml:space="preserve">二、申请人的资格要求</w:t>
      </w:r>
      <w:bookmarkEnd w:id="12"/>
      <w:r/>
      <w:bookmarkEnd w:id="13"/>
      <w:r/>
      <w:bookmarkEnd w:id="14"/>
      <w:r/>
      <w:bookmarkEnd w:id="15"/>
      <w:r/>
      <w:bookmarkEnd w:id="16"/>
      <w:r/>
      <w:r/>
    </w:p>
    <w:p>
      <w:pPr>
        <w:ind w:firstLine="480"/>
        <w:spacing w:line="360" w:lineRule="auto"/>
        <w:rPr>
          <w:rFonts w:ascii="宋体" w:hAnsi="宋体"/>
          <w:sz w:val="24"/>
          <w:szCs w:val="24"/>
        </w:rPr>
      </w:pPr>
      <w:r/>
      <w:bookmarkStart w:id="17" w:name="_Toc28359004"/>
      <w:r/>
      <w:bookmarkStart w:id="18" w:name="_Toc38985265"/>
      <w:r/>
      <w:bookmarkStart w:id="19" w:name="_Toc35393623"/>
      <w:r/>
      <w:bookmarkStart w:id="20" w:name="_Toc28359081"/>
      <w:r/>
      <w:bookmarkStart w:id="21" w:name="_Toc35393792"/>
      <w:r>
        <w:rPr>
          <w:rFonts w:hint="eastAsia" w:ascii="宋体" w:hAnsi="宋体"/>
          <w:sz w:val="24"/>
          <w:szCs w:val="24"/>
        </w:rPr>
        <w:t xml:space="preserve">1.满足《中华人民共和国政府采购法》第二十二条规定；</w:t>
      </w:r>
      <w:r/>
    </w:p>
    <w:p>
      <w:pPr>
        <w:ind w:firstLine="480"/>
        <w:spacing w:line="360" w:lineRule="auto"/>
        <w:rPr>
          <w:rFonts w:hint="eastAsia" w:ascii="宋体" w:hAnsi="宋体"/>
          <w:sz w:val="24"/>
          <w:szCs w:val="24"/>
        </w:rPr>
      </w:pPr>
      <w:r>
        <w:rPr>
          <w:rFonts w:hint="eastAsia" w:ascii="宋体" w:hAnsi="宋体"/>
          <w:sz w:val="24"/>
          <w:szCs w:val="24"/>
        </w:rPr>
        <w:t xml:space="preserve">2.落实政府采购政策需满足的资格要求：</w:t>
      </w:r>
      <w:r/>
    </w:p>
    <w:p>
      <w:pPr>
        <w:ind w:firstLine="480"/>
        <w:spacing w:line="360" w:lineRule="auto"/>
        <w:rPr>
          <w:rFonts w:hint="eastAsia" w:ascii="宋体" w:hAnsi="宋体"/>
          <w:color w:val="000000"/>
          <w:sz w:val="24"/>
          <w:szCs w:val="24"/>
        </w:rPr>
      </w:pPr>
      <w:r>
        <w:rPr>
          <w:rFonts w:hint="eastAsia" w:ascii="宋体" w:hAnsi="宋体"/>
          <w:sz w:val="24"/>
          <w:szCs w:val="24"/>
        </w:rPr>
        <w:t xml:space="preserve">2.1中小企业政策</w:t>
      </w:r>
      <w:r>
        <w:rPr>
          <w:rFonts w:hint="eastAsia" w:ascii="宋体" w:hAnsi="宋体"/>
          <w:color w:val="000000"/>
          <w:sz w:val="24"/>
          <w:szCs w:val="24"/>
        </w:rPr>
        <w:t xml:space="preserve">：本项目专门面向中小企业，资格证明文件中必须提交《中小企业声明函》或《监狱企业证明文件》或《残疾人福利性单位声明函》；</w:t>
      </w:r>
      <w:r/>
    </w:p>
    <w:p>
      <w:pPr>
        <w:ind w:firstLine="480"/>
        <w:spacing w:line="360" w:lineRule="auto"/>
        <w:rPr>
          <w:rFonts w:hint="eastAsia" w:ascii="宋体" w:hAnsi="宋体"/>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360" w:lineRule="auto"/>
        <w:rPr>
          <w:rFonts w:hint="eastAsia" w:ascii="宋体" w:hAnsi="宋体" w:eastAsia="宋体"/>
          <w:color w:val="000000"/>
          <w:sz w:val="24"/>
          <w:szCs w:val="24"/>
          <w:highlight w:val="none"/>
          <w:lang w:val="en-US" w:eastAsia="zh-CN"/>
        </w:rPr>
      </w:pPr>
      <w:r>
        <w:rPr>
          <w:rFonts w:hint="eastAsia" w:ascii="宋体" w:hAnsi="宋体"/>
          <w:sz w:val="24"/>
          <w:szCs w:val="24"/>
        </w:rPr>
        <w:t xml:space="preserve">3.本项目的</w:t>
      </w:r>
      <w:r>
        <w:rPr>
          <w:rFonts w:hint="eastAsia" w:ascii="宋体" w:hAnsi="宋体"/>
          <w:color w:val="000000"/>
          <w:sz w:val="24"/>
          <w:szCs w:val="24"/>
        </w:rPr>
        <w:t xml:space="preserve">特定资格要求：</w:t>
      </w:r>
      <w:r>
        <w:rPr>
          <w:rFonts w:hint="eastAsia" w:ascii="宋体" w:hAnsi="宋体"/>
          <w:color w:val="000000"/>
          <w:sz w:val="24"/>
          <w:szCs w:val="24"/>
          <w:lang w:val="en-US" w:eastAsia="zh-CN"/>
        </w:rPr>
        <w:t xml:space="preserve">无</w:t>
      </w:r>
      <w:r/>
    </w:p>
    <w:p>
      <w:pPr>
        <w:pStyle w:val="854"/>
        <w:ind w:firstLine="452"/>
        <w:keepLines w:val="0"/>
        <w:keepNext w:val="0"/>
        <w:spacing w:before="0" w:after="0" w:line="360" w:lineRule="auto"/>
        <w:rPr>
          <w:sz w:val="30"/>
          <w:szCs w:val="30"/>
        </w:rPr>
      </w:pPr>
      <w:r>
        <w:rPr>
          <w:rFonts w:hint="eastAsia"/>
          <w:sz w:val="30"/>
          <w:szCs w:val="30"/>
        </w:rPr>
        <w:t xml:space="preserve">三、获取招标文件</w:t>
      </w:r>
      <w:bookmarkEnd w:id="17"/>
      <w:r/>
      <w:bookmarkEnd w:id="18"/>
      <w:r/>
      <w:bookmarkEnd w:id="19"/>
      <w:r/>
      <w:bookmarkEnd w:id="20"/>
      <w:r/>
      <w:bookmarkEnd w:id="21"/>
      <w:r/>
      <w:r/>
    </w:p>
    <w:p>
      <w:pPr>
        <w:ind w:firstLine="540"/>
        <w:spacing w:line="360" w:lineRule="auto"/>
        <w:rPr>
          <w:rFonts w:hint="eastAsia" w:ascii="宋体" w:hAnsi="宋体"/>
          <w:sz w:val="24"/>
          <w:szCs w:val="24"/>
        </w:rPr>
      </w:pPr>
      <w:r/>
      <w:bookmarkStart w:id="22" w:name="_Toc28359005"/>
      <w:r/>
      <w:bookmarkStart w:id="23" w:name="_Toc28359082"/>
      <w:r/>
      <w:bookmarkStart w:id="24" w:name="_Toc35393793"/>
      <w:r/>
      <w:bookmarkStart w:id="25" w:name="_Toc38985266"/>
      <w:r/>
      <w:bookmarkStart w:id="26" w:name="_Toc35393624"/>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p>
    <w:p>
      <w:pPr>
        <w:ind w:firstLine="540"/>
        <w:spacing w:line="360" w:lineRule="auto"/>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p>
    <w:p>
      <w:pPr>
        <w:ind w:firstLine="540"/>
        <w:spacing w:line="360" w:lineRule="auto"/>
        <w:rPr>
          <w:rStyle w:val="928"/>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“江苏省政府采购（苏采云）平台”（http://jszfcg.jscz.gov.cn/jszc/login）</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p>
    <w:p>
      <w:pPr>
        <w:ind w:firstLine="540"/>
        <w:spacing w:line="360" w:lineRule="auto"/>
        <w:rPr>
          <w:rFonts w:ascii="宋体" w:hAnsi="宋体"/>
          <w:bCs/>
          <w:sz w:val="24"/>
          <w:szCs w:val="24"/>
        </w:rPr>
      </w:pPr>
      <w:r>
        <w:rPr>
          <w:rFonts w:hint="eastAsia" w:ascii="宋体" w:hAnsi="宋体"/>
          <w:bCs/>
          <w:sz w:val="24"/>
          <w:szCs w:val="24"/>
        </w:rPr>
        <w:t xml:space="preserve">4.售价：本项目招标文件免费。</w:t>
      </w:r>
      <w:r/>
    </w:p>
    <w:p>
      <w:pPr>
        <w:pStyle w:val="854"/>
        <w:ind w:firstLine="452"/>
        <w:keepLines w:val="0"/>
        <w:keepNext w:val="0"/>
        <w:spacing w:before="0" w:after="0" w:line="360" w:lineRule="auto"/>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
    </w:p>
    <w:p>
      <w:pPr>
        <w:ind w:firstLine="480"/>
        <w:spacing w:line="360" w:lineRule="auto"/>
        <w:rPr>
          <w:rFonts w:hint="eastAsia" w:ascii="宋体" w:hAnsi="宋体"/>
          <w:bCs/>
          <w:sz w:val="24"/>
          <w:szCs w:val="24"/>
        </w:rPr>
      </w:pPr>
      <w:r>
        <w:rPr>
          <w:rFonts w:hint="eastAsia" w:ascii="宋体" w:hAnsi="宋体"/>
          <w:bCs/>
          <w:color w:val="000000" w:themeColor="text1"/>
          <w:sz w:val="24"/>
          <w:szCs w:val="24"/>
          <w:highlight w:val="none"/>
        </w:rPr>
        <w:t xml:space="preserve">1.时间：</w:t>
      </w:r>
      <w:r>
        <w:rPr>
          <w:rFonts w:hint="eastAsia" w:ascii="宋体" w:hAnsi="宋体"/>
          <w:b/>
          <w:bCs w:val="0"/>
          <w:color w:val="0000ff"/>
          <w:sz w:val="24"/>
          <w:szCs w:val="24"/>
          <w:highlight w:val="none"/>
        </w:rPr>
        <w:t xml:space="preserve">2026年</w:t>
      </w:r>
      <w:r>
        <w:rPr>
          <w:rFonts w:hint="eastAsia" w:ascii="宋体" w:hAnsi="宋体"/>
          <w:b/>
          <w:bCs w:val="0"/>
          <w:color w:val="0000ff"/>
          <w:sz w:val="24"/>
          <w:szCs w:val="24"/>
          <w:highlight w:val="none"/>
          <w:lang w:val="en-US" w:eastAsia="zh-CN"/>
        </w:rPr>
        <w:t xml:space="preserve">08</w:t>
      </w:r>
      <w:r>
        <w:rPr>
          <w:rFonts w:hint="eastAsia" w:ascii="宋体" w:hAnsi="宋体"/>
          <w:b/>
          <w:bCs w:val="0"/>
          <w:color w:val="0000ff"/>
          <w:sz w:val="24"/>
          <w:szCs w:val="24"/>
          <w:highlight w:val="none"/>
        </w:rPr>
        <w:t xml:space="preserve">月</w:t>
      </w:r>
      <w:r>
        <w:rPr>
          <w:rFonts w:hint="eastAsia" w:ascii="宋体" w:hAnsi="宋体"/>
          <w:b/>
          <w:bCs w:val="0"/>
          <w:color w:val="0000ff"/>
          <w:sz w:val="24"/>
          <w:szCs w:val="24"/>
          <w:highlight w:val="none"/>
          <w:lang w:val="en-US" w:eastAsia="zh-CN"/>
        </w:rPr>
        <w:t xml:space="preserve">04</w:t>
      </w:r>
      <w:r>
        <w:rPr>
          <w:rFonts w:hint="eastAsia" w:ascii="宋体" w:hAnsi="宋体"/>
          <w:b/>
          <w:bCs w:val="0"/>
          <w:color w:val="0000ff"/>
          <w:sz w:val="24"/>
          <w:szCs w:val="24"/>
          <w:highlight w:val="none"/>
        </w:rPr>
        <w:t xml:space="preserve">日</w:t>
      </w:r>
      <w:r>
        <w:rPr>
          <w:rFonts w:hint="eastAsia" w:ascii="宋体" w:hAnsi="宋体"/>
          <w:b/>
          <w:bCs w:val="0"/>
          <w:color w:val="auto"/>
          <w:sz w:val="24"/>
          <w:szCs w:val="24"/>
          <w:highlight w:val="none"/>
        </w:rPr>
        <w:t xml:space="preserve">09点30分</w:t>
      </w:r>
      <w:r>
        <w:rPr>
          <w:rFonts w:hint="eastAsia" w:ascii="宋体" w:hAnsi="宋体"/>
          <w:bCs/>
          <w:color w:val="000000" w:themeColor="text1"/>
          <w:sz w:val="24"/>
          <w:szCs w:val="24"/>
          <w:highlight w:val="none"/>
        </w:rPr>
        <w:t xml:space="preserve">（北</w:t>
      </w:r>
      <w:r>
        <w:rPr>
          <w:rFonts w:hint="eastAsia" w:ascii="宋体" w:hAnsi="宋体"/>
          <w:bCs/>
          <w:sz w:val="24"/>
          <w:szCs w:val="24"/>
        </w:rPr>
        <w:t xml:space="preserve">京时间）</w:t>
      </w:r>
      <w:r/>
    </w:p>
    <w:p>
      <w:pPr>
        <w:ind w:firstLine="480"/>
        <w:spacing w:line="360" w:lineRule="auto"/>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p>
    <w:p>
      <w:pPr>
        <w:pStyle w:val="854"/>
        <w:ind w:firstLine="452"/>
        <w:keepLines w:val="0"/>
        <w:keepNext w:val="0"/>
        <w:spacing w:before="0" w:after="0" w:line="360" w:lineRule="auto"/>
        <w:rPr>
          <w:sz w:val="30"/>
          <w:szCs w:val="30"/>
        </w:rPr>
      </w:pPr>
      <w:r/>
      <w:bookmarkStart w:id="27" w:name="_Toc38985267"/>
      <w:r/>
      <w:bookmarkStart w:id="28" w:name="_Toc28359084"/>
      <w:r/>
      <w:bookmarkStart w:id="29" w:name="_Toc35393625"/>
      <w:r/>
      <w:bookmarkStart w:id="30" w:name="_Toc28359007"/>
      <w:r/>
      <w:bookmarkStart w:id="31" w:name="_Toc35393794"/>
      <w:r>
        <w:rPr>
          <w:rFonts w:hint="eastAsia"/>
          <w:sz w:val="30"/>
          <w:szCs w:val="30"/>
        </w:rPr>
        <w:t xml:space="preserve">五、公告期限</w:t>
      </w:r>
      <w:bookmarkEnd w:id="27"/>
      <w:r/>
      <w:bookmarkEnd w:id="28"/>
      <w:r/>
      <w:bookmarkEnd w:id="29"/>
      <w:r/>
      <w:bookmarkEnd w:id="30"/>
      <w:r/>
      <w:bookmarkEnd w:id="31"/>
      <w:r/>
      <w:r/>
    </w:p>
    <w:p>
      <w:pPr>
        <w:ind w:firstLine="480"/>
        <w:spacing w:line="360" w:lineRule="auto"/>
        <w:rPr>
          <w:rFonts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（招标公告及招标文件公告期限）自本公告发布之日起5个工作日。</w:t>
      </w:r>
      <w:r/>
    </w:p>
    <w:p>
      <w:pPr>
        <w:pStyle w:val="854"/>
        <w:ind w:firstLine="452"/>
        <w:keepLines w:val="0"/>
        <w:keepNext w:val="0"/>
        <w:spacing w:before="0" w:after="0" w:line="360" w:lineRule="auto"/>
        <w:rPr>
          <w:sz w:val="30"/>
          <w:szCs w:val="30"/>
        </w:rPr>
      </w:pPr>
      <w:r>
        <w:rPr>
          <w:rFonts w:hint="eastAsia"/>
          <w:sz w:val="30"/>
          <w:szCs w:val="30"/>
        </w:rPr>
        <w:t xml:space="preserve">六、其他补充事宜</w:t>
      </w:r>
      <w:bookmarkEnd w:id="32"/>
      <w:r/>
      <w:bookmarkEnd w:id="33"/>
      <w:r/>
      <w:bookmarkEnd w:id="34"/>
      <w:r/>
      <w:r/>
    </w:p>
    <w:p>
      <w:pPr>
        <w:ind w:firstLine="480"/>
        <w:spacing w:line="360" w:lineRule="auto"/>
        <w:rPr>
          <w:rFonts w:ascii="宋体" w:hAnsi="宋体" w:cs="宋体"/>
          <w:sz w:val="24"/>
          <w:szCs w:val="24"/>
        </w:rPr>
      </w:pPr>
      <w:r>
        <w:rPr>
          <w:rFonts w:hint="eastAsia" w:ascii="宋体" w:hAnsi="宋体" w:cs="宋体"/>
          <w:sz w:val="24"/>
          <w:szCs w:val="24"/>
        </w:rPr>
        <w:t xml:space="preserve">无</w:t>
      </w:r>
      <w:r/>
    </w:p>
    <w:p>
      <w:pPr>
        <w:pStyle w:val="854"/>
        <w:ind w:firstLine="452"/>
        <w:keepLines w:val="0"/>
        <w:keepNext w:val="0"/>
        <w:spacing w:before="0" w:after="0" w:line="360" w:lineRule="auto"/>
        <w:rPr>
          <w:sz w:val="30"/>
          <w:szCs w:val="30"/>
        </w:rPr>
      </w:pPr>
      <w:r/>
      <w:bookmarkStart w:id="35" w:name="_Toc28359008"/>
      <w:r/>
      <w:bookmarkStart w:id="36" w:name="_Toc38985269"/>
      <w:r/>
      <w:bookmarkStart w:id="37" w:name="_Toc35393796"/>
      <w:r/>
      <w:bookmarkStart w:id="38" w:name="_Toc35393627"/>
      <w:r/>
      <w:bookmarkStart w:id="39" w:name="_Toc28359085"/>
      <w:r>
        <w:rPr>
          <w:rFonts w:hint="eastAsia"/>
          <w:sz w:val="30"/>
          <w:szCs w:val="30"/>
        </w:rPr>
        <w:t xml:space="preserve">七、本项目联系方式</w:t>
      </w:r>
      <w:bookmarkEnd w:id="35"/>
      <w:r/>
      <w:bookmarkEnd w:id="36"/>
      <w:r/>
      <w:bookmarkEnd w:id="37"/>
      <w:r/>
      <w:bookmarkEnd w:id="38"/>
      <w:r/>
      <w:bookmarkEnd w:id="39"/>
      <w:r/>
      <w:r/>
    </w:p>
    <w:p>
      <w:pPr>
        <w:ind w:firstLine="480"/>
        <w:spacing w:line="360"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1.集中采购机构：</w:t>
      </w:r>
      <w:r/>
    </w:p>
    <w:p>
      <w:pPr>
        <w:ind w:firstLine="480"/>
        <w:spacing w:line="360"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名称：无锡市滨湖区公共资源交易中心</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项目联系人：</w:t>
      </w:r>
      <w:r>
        <w:rPr>
          <w:rFonts w:hint="eastAsia" w:cs="宋体" w:asciiTheme="minorEastAsia" w:hAnsiTheme="minorEastAsia"/>
          <w:color w:val="000000" w:themeColor="text1"/>
          <w:sz w:val="24"/>
          <w:szCs w:val="24"/>
          <w:lang w:eastAsia="zh-CN"/>
        </w:rPr>
        <w:t xml:space="preserve">曹宝柱</w:t>
      </w:r>
      <w:r>
        <w:rPr>
          <w:rFonts w:hint="eastAsia" w:cs="宋体" w:asciiTheme="minorEastAsia" w:hAnsiTheme="minorEastAsia"/>
          <w:color w:val="000000" w:themeColor="text1"/>
          <w:sz w:val="24"/>
          <w:szCs w:val="24"/>
          <w:lang w:val="en-US" w:eastAsia="zh-CN"/>
        </w:rPr>
        <w:t xml:space="preserve"> </w:t>
      </w:r>
      <w:r>
        <w:rPr>
          <w:rFonts w:hint="eastAsia" w:cs="宋体" w:asciiTheme="minorEastAsia" w:hAnsiTheme="minorEastAsia"/>
          <w:color w:val="000000" w:themeColor="text1"/>
          <w:sz w:val="24"/>
          <w:szCs w:val="24"/>
        </w:rPr>
        <w:t xml:space="preserve">徐鹏飞 </w:t>
      </w:r>
      <w:r/>
    </w:p>
    <w:p>
      <w:pPr>
        <w:ind w:firstLine="480"/>
        <w:jc w:val="left"/>
        <w:spacing w:line="360" w:lineRule="auto"/>
        <w:shd w:val="clear" w:color="auto" w:fill="ffffff"/>
        <w:widowControl/>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电话：0510-811735</w:t>
      </w:r>
      <w:r>
        <w:rPr>
          <w:rFonts w:hint="eastAsia" w:cs="宋体" w:asciiTheme="minorEastAsia" w:hAnsiTheme="minorEastAsia"/>
          <w:color w:val="000000" w:themeColor="text1"/>
          <w:sz w:val="24"/>
          <w:szCs w:val="24"/>
          <w:lang w:val="en-US" w:eastAsia="zh-CN"/>
        </w:rPr>
        <w:t xml:space="preserve">50</w:t>
      </w:r>
      <w:r>
        <w:rPr>
          <w:rFonts w:hint="eastAsia" w:cs="宋体" w:asciiTheme="minorEastAsia" w:hAnsiTheme="minorEastAsia"/>
          <w:color w:val="000000" w:themeColor="text1"/>
          <w:sz w:val="24"/>
          <w:szCs w:val="24"/>
        </w:rPr>
        <w:t xml:space="preserve">             </w:t>
      </w:r>
      <w:r/>
    </w:p>
    <w:p>
      <w:pPr>
        <w:ind w:firstLine="480"/>
        <w:jc w:val="left"/>
        <w:spacing w:line="360" w:lineRule="auto"/>
        <w:shd w:val="clear" w:color="auto" w:fill="ffffff"/>
        <w:widowControl/>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地址： 无锡市滨湖区隐秀路152号   </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2.采购人：</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名称：</w:t>
      </w:r>
      <w:r>
        <w:rPr>
          <w:rFonts w:hint="eastAsia" w:ascii="Arial" w:hAnsi="Arial" w:cs="宋体"/>
          <w:color w:val="000000"/>
          <w:sz w:val="24"/>
          <w:szCs w:val="24"/>
        </w:rPr>
        <w:t xml:space="preserve">无锡市滨湖区教育局</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联系人：</w:t>
      </w:r>
      <w:r>
        <w:rPr>
          <w:rFonts w:hint="eastAsia" w:ascii="Arial" w:hAnsi="Arial" w:cs="宋体"/>
          <w:color w:val="000000"/>
          <w:sz w:val="24"/>
          <w:szCs w:val="24"/>
        </w:rPr>
        <w:t xml:space="preserve">许诺</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联系电话：051081178601</w:t>
      </w:r>
      <w:r/>
    </w:p>
    <w:p>
      <w:pPr>
        <w:ind w:firstLine="480"/>
        <w:jc w:val="left"/>
        <w:spacing w:line="360" w:lineRule="auto"/>
        <w:shd w:val="clear" w:color="auto" w:fill="ffffff"/>
        <w:widowControl/>
        <w:rPr>
          <w:rFonts w:cs="宋体" w:asciiTheme="minorEastAsia" w:hAnsiTheme="minorEastAsia"/>
          <w:sz w:val="24"/>
          <w:szCs w:val="24"/>
        </w:rPr>
      </w:pPr>
      <w:r>
        <w:rPr>
          <w:rFonts w:hint="eastAsia" w:cs="宋体" w:asciiTheme="minorEastAsia" w:hAnsiTheme="minorEastAsia"/>
          <w:color w:val="000000" w:themeColor="text1"/>
          <w:sz w:val="24"/>
          <w:szCs w:val="24"/>
        </w:rPr>
        <w:t xml:space="preserve">联系地址：滨湖区金城西路500号</w:t>
      </w:r>
      <w:r/>
    </w:p>
    <w:p>
      <w:pPr>
        <w:pStyle w:val="854"/>
        <w:ind w:firstLine="452"/>
        <w:keepLines w:val="0"/>
        <w:keepNext w:val="0"/>
        <w:spacing w:before="0" w:after="0" w:line="360" w:lineRule="auto"/>
        <w:rPr>
          <w:color w:val="000000"/>
          <w:sz w:val="30"/>
          <w:szCs w:val="30"/>
        </w:rPr>
      </w:pPr>
      <w:r>
        <w:rPr>
          <w:rFonts w:hint="eastAsia"/>
          <w:color w:val="000000"/>
          <w:sz w:val="30"/>
          <w:szCs w:val="30"/>
        </w:rPr>
        <w:t xml:space="preserve">八、其他</w:t>
      </w:r>
      <w:r/>
    </w:p>
    <w:p>
      <w:pPr>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p>
    <w:p>
      <w:pPr>
        <w:ind w:firstLine="480"/>
        <w:spacing w:line="360" w:lineRule="auto"/>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ind w:firstLine="480"/>
        <w:spacing w:line="360" w:lineRule="auto"/>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中填写资质信息并提交。也可以直接通过http://jszfcg.jsczt.cn/进入界面。</w:t>
      </w:r>
      <w:r/>
    </w:p>
    <w:p>
      <w:pPr>
        <w:ind w:firstLine="480"/>
        <w:spacing w:line="360" w:lineRule="auto"/>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sz w:val="24"/>
          <w:szCs w:val="24"/>
        </w:rPr>
        <w:t xml:space="preserve">12</w:t>
      </w:r>
      <w:r>
        <w:rPr>
          <w:rFonts w:hint="eastAsia" w:ascii="宋体" w:hAnsi="宋体"/>
          <w:sz w:val="24"/>
          <w:szCs w:val="24"/>
        </w:rPr>
        <w:t xml:space="preserve">号楼一楼</w:t>
      </w:r>
      <w:r>
        <w:rPr>
          <w:rFonts w:ascii="宋体" w:hAnsi="宋体"/>
          <w:color w:val="000000"/>
          <w:sz w:val="24"/>
          <w:szCs w:val="24"/>
        </w:rPr>
        <w:t xml:space="preserve">），办理指南链接：http://jsxcmm.com/help/help.html。</w:t>
      </w:r>
      <w:r/>
    </w:p>
    <w:p>
      <w:pPr>
        <w:ind w:firstLine="480"/>
        <w:spacing w:line="360" w:lineRule="auto"/>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ind w:firstLine="480"/>
        <w:spacing w:line="360" w:lineRule="auto"/>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p>
    <w:p>
      <w:pPr>
        <w:ind w:firstLine="480"/>
        <w:spacing w:line="360" w:lineRule="auto"/>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ind w:firstLine="480"/>
        <w:spacing w:line="360" w:lineRule="auto"/>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p>
    <w:p>
      <w:pPr>
        <w:ind w:firstLine="480"/>
        <w:spacing w:line="360" w:lineRule="auto"/>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ind w:firstLine="480"/>
        <w:spacing w:line="360" w:lineRule="auto"/>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p>
    <w:p>
      <w:pPr>
        <w:ind w:firstLine="480"/>
        <w:spacing w:line="360" w:lineRule="auto"/>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p>
    <w:p>
      <w:pPr>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p>
    <w:p>
      <w:pPr>
        <w:ind w:firstLine="480"/>
        <w:spacing w:line="360" w:lineRule="auto"/>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ind w:firstLine="480"/>
        <w:spacing w:line="360" w:lineRule="auto"/>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无锡市滨湖区公共资源交易中心</w:t>
      </w:r>
      <w:r>
        <w:rPr>
          <w:rFonts w:hint="eastAsia" w:ascii="宋体" w:hAnsi="宋体"/>
          <w:bCs/>
          <w:sz w:val="24"/>
          <w:szCs w:val="24"/>
        </w:rPr>
        <w:t xml:space="preserve">在“江苏政府采购网”发布的更正公告。</w:t>
      </w:r>
      <w:r/>
    </w:p>
    <w:p>
      <w:pPr>
        <w:ind w:firstLine="480"/>
        <w:spacing w:line="360" w:lineRule="auto"/>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p>
    <w:p>
      <w:pPr>
        <w:ind w:firstLine="480"/>
        <w:spacing w:line="360" w:lineRule="auto"/>
        <w:tabs>
          <w:tab w:val="left" w:pos="900" w:leader="none"/>
        </w:tabs>
        <w:rPr>
          <w:rFonts w:hint="eastAsia" w:ascii="宋体" w:hAnsi="宋体"/>
          <w:bCs/>
          <w:color w:val="000000" w:themeColor="text1"/>
          <w:sz w:val="24"/>
          <w:szCs w:val="24"/>
          <w:highlight w:val="none"/>
          <w:shd w:val="clear" w:color="ffffff" w:fill="d9d9d9"/>
        </w:rPr>
      </w:pPr>
      <w:r>
        <w:rPr>
          <w:rFonts w:hint="eastAsia" w:ascii="宋体" w:hAnsi="宋体"/>
          <w:bCs/>
          <w:sz w:val="24"/>
          <w:szCs w:val="24"/>
        </w:rPr>
        <w:t xml:space="preserve">（五）</w:t>
      </w:r>
      <w:r>
        <w:rPr>
          <w:rFonts w:hint="eastAsia" w:ascii="宋体" w:hAnsi="宋体"/>
          <w:bCs/>
          <w:color w:val="000000" w:themeColor="text1"/>
          <w:sz w:val="24"/>
          <w:szCs w:val="24"/>
          <w:highlight w:val="none"/>
        </w:rPr>
        <w:t xml:space="preserve">各政府采购当事人可通过江苏政府采购网、中国政府采购网等媒体，关注无锡市政府采购公示公告信息。</w:t>
      </w:r>
      <w:r/>
    </w:p>
    <w:p>
      <w:pPr>
        <w:ind w:firstLine="480"/>
        <w:spacing w:line="360" w:lineRule="auto"/>
        <w:tabs>
          <w:tab w:val="left" w:pos="900" w:leader="none"/>
        </w:tabs>
        <w:rPr>
          <w:rFonts w:hint="eastAsia" w:ascii="宋体" w:hAnsi="宋体"/>
          <w:bCs/>
          <w:sz w:val="24"/>
          <w:szCs w:val="24"/>
          <w:shd w:val="clear" w:color="ffffff" w:fill="d9d9d9"/>
        </w:rPr>
      </w:pPr>
      <w:r>
        <w:rPr>
          <w:rFonts w:hint="eastAsia" w:ascii="宋体" w:hAnsi="宋体"/>
          <w:bCs/>
          <w:sz w:val="24"/>
          <w:szCs w:val="24"/>
          <w:shd w:val="clear" w:color="ffffff" w:fill="d9d9d9"/>
        </w:rPr>
      </w:r>
      <w:r/>
    </w:p>
    <w:p>
      <w:pPr>
        <w:jc w:val="center"/>
        <w:spacing w:line="360" w:lineRule="auto"/>
        <w:tabs>
          <w:tab w:val="left" w:pos="1440" w:leader="none"/>
        </w:tabs>
        <w:rPr>
          <w:rFonts w:hint="eastAsia" w:ascii="黑体" w:hAnsi="黑体" w:eastAsia="黑体"/>
          <w:color w:val="000000" w:themeColor="text1"/>
          <w:sz w:val="36"/>
          <w:szCs w:val="36"/>
          <w:highlight w:val="none"/>
        </w:rPr>
        <w:outlineLvl w:val="0"/>
      </w:pPr>
      <w:r>
        <w:rPr>
          <w:rFonts w:ascii="宋体" w:hAnsi="宋体"/>
          <w:bCs/>
          <w:sz w:val="24"/>
          <w:szCs w:val="24"/>
          <w:shd w:val="clear" w:color="ffffff" w:fill="d9d9d9"/>
        </w:rPr>
        <w:br w:type="page" w:clear="all"/>
      </w:r>
      <w:bookmarkEnd w:id="1"/>
      <w:r/>
      <w:bookmarkEnd w:id="2"/>
      <w:r/>
      <w:bookmarkEnd w:id="3"/>
      <w:r/>
      <w:bookmarkEnd w:id="4"/>
      <w:r/>
      <w:bookmarkEnd w:id="5"/>
      <w:r/>
      <w:bookmarkStart w:id="40" w:name="_Toc120614211"/>
      <w:r>
        <w:rPr>
          <w:rFonts w:hint="eastAsia" w:ascii="黑体" w:hAnsi="黑体" w:eastAsia="黑体"/>
          <w:color w:val="000000" w:themeColor="text1"/>
          <w:sz w:val="36"/>
          <w:szCs w:val="36"/>
          <w:highlight w:val="none"/>
        </w:rPr>
        <w:t xml:space="preserve">第二章  </w:t>
      </w:r>
      <w:bookmarkEnd w:id="40"/>
      <w:r/>
      <w:bookmarkStart w:id="41" w:name="_Toc513029202"/>
      <w:r/>
      <w:bookmarkStart w:id="42" w:name="_Toc20823274"/>
      <w:r/>
      <w:bookmarkStart w:id="43" w:name="_Toc120614213"/>
      <w:r/>
      <w:bookmarkStart w:id="44" w:name="_Toc16938518"/>
      <w:r>
        <w:rPr>
          <w:rFonts w:hint="eastAsia" w:ascii="黑体" w:hAnsi="黑体" w:eastAsia="黑体"/>
          <w:color w:val="000000" w:themeColor="text1"/>
          <w:sz w:val="36"/>
          <w:szCs w:val="36"/>
          <w:highlight w:val="none"/>
        </w:rPr>
        <w:t xml:space="preserve">投标人须知</w:t>
      </w:r>
      <w:bookmarkEnd w:id="41"/>
      <w:r/>
      <w:bookmarkEnd w:id="42"/>
      <w:r/>
      <w:bookmarkEnd w:id="43"/>
      <w:r/>
      <w:bookmarkEnd w:id="44"/>
      <w:r/>
      <w:r/>
    </w:p>
    <w:p>
      <w:pPr>
        <w:pStyle w:val="854"/>
        <w:ind w:firstLine="452"/>
        <w:keepLines w:val="0"/>
        <w:keepNext w:val="0"/>
        <w:spacing w:before="0" w:after="0" w:line="360" w:lineRule="auto"/>
        <w:rPr>
          <w:rFonts w:hint="eastAsia"/>
          <w:color w:val="000000" w:themeColor="text1"/>
          <w:sz w:val="30"/>
          <w:szCs w:val="30"/>
          <w:highlight w:val="none"/>
        </w:rPr>
      </w:pPr>
      <w:r/>
      <w:bookmarkStart w:id="45" w:name="_Toc20823275"/>
      <w:r/>
      <w:bookmarkStart w:id="46" w:name="_Toc120614214"/>
      <w:r/>
      <w:bookmarkStart w:id="47" w:name="_Toc16938519"/>
      <w:r/>
      <w:bookmarkStart w:id="48" w:name="_Toc513029203"/>
      <w:r>
        <w:rPr>
          <w:rFonts w:hint="eastAsia"/>
          <w:color w:val="000000" w:themeColor="text1"/>
          <w:sz w:val="30"/>
          <w:szCs w:val="30"/>
          <w:highlight w:val="none"/>
        </w:rPr>
        <w:t xml:space="preserve">一、总则</w:t>
      </w:r>
      <w:bookmarkEnd w:id="45"/>
      <w:r/>
      <w:bookmarkEnd w:id="46"/>
      <w:r/>
      <w:bookmarkEnd w:id="47"/>
      <w:r/>
      <w:bookmarkEnd w:id="48"/>
      <w:r/>
      <w:r/>
    </w:p>
    <w:p>
      <w:pPr>
        <w:pStyle w:val="855"/>
        <w:ind w:firstLine="422"/>
        <w:keepLines w:val="0"/>
        <w:keepNext w:val="0"/>
        <w:spacing w:before="0" w:after="0" w:line="360" w:lineRule="auto"/>
        <w:rPr>
          <w:rFonts w:hint="eastAsia" w:ascii="宋体" w:hAnsi="宋体" w:eastAsia="宋体"/>
          <w:bCs w:val="0"/>
          <w:color w:val="000000" w:themeColor="text1"/>
          <w:highlight w:val="none"/>
        </w:rPr>
      </w:pPr>
      <w:r/>
      <w:bookmarkStart w:id="49" w:name="_Hlt16619475"/>
      <w:r/>
      <w:bookmarkEnd w:id="49"/>
      <w:r/>
      <w:bookmarkStart w:id="50" w:name="_Toc513029204"/>
      <w:r/>
      <w:bookmarkStart w:id="51" w:name="_Toc20823276"/>
      <w:r/>
      <w:bookmarkStart w:id="52" w:name="_Toc16938520"/>
      <w:r>
        <w:rPr>
          <w:rFonts w:hint="eastAsia" w:ascii="宋体" w:hAnsi="宋体" w:eastAsia="宋体"/>
          <w:bCs w:val="0"/>
          <w:color w:val="000000" w:themeColor="text1"/>
          <w:highlight w:val="none"/>
        </w:rPr>
        <w:t xml:space="preserve">1.招标方式</w:t>
      </w:r>
      <w:bookmarkEnd w:id="50"/>
      <w:r/>
      <w:bookmarkEnd w:id="51"/>
      <w:r/>
      <w:bookmarkEnd w:id="52"/>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1.1本次招标采取公开招标方式，本招标文件仅适用于招标公告中所述项目。</w:t>
      </w:r>
      <w:r/>
    </w:p>
    <w:p>
      <w:pPr>
        <w:pStyle w:val="855"/>
        <w:ind w:firstLine="422"/>
        <w:keepLines w:val="0"/>
        <w:keepNext w:val="0"/>
        <w:spacing w:before="0" w:after="0" w:line="360" w:lineRule="auto"/>
        <w:rPr>
          <w:rFonts w:hint="eastAsia" w:ascii="宋体" w:hAnsi="宋体" w:eastAsia="宋体"/>
          <w:bCs w:val="0"/>
          <w:color w:val="000000" w:themeColor="text1"/>
          <w:highlight w:val="none"/>
        </w:rPr>
      </w:pPr>
      <w:r/>
      <w:bookmarkStart w:id="53" w:name="_Toc20823277"/>
      <w:r/>
      <w:bookmarkStart w:id="54" w:name="_Toc513029205"/>
      <w:r/>
      <w:bookmarkStart w:id="55" w:name="_Toc16938521"/>
      <w:r>
        <w:rPr>
          <w:rFonts w:hint="eastAsia" w:ascii="宋体" w:hAnsi="宋体" w:eastAsia="宋体"/>
          <w:bCs w:val="0"/>
          <w:color w:val="000000" w:themeColor="text1"/>
          <w:highlight w:val="none"/>
        </w:rPr>
        <w:t xml:space="preserve">2.</w:t>
      </w:r>
      <w:bookmarkEnd w:id="53"/>
      <w:r/>
      <w:bookmarkEnd w:id="54"/>
      <w:r/>
      <w:bookmarkEnd w:id="55"/>
      <w:r>
        <w:rPr>
          <w:rFonts w:hint="eastAsia" w:ascii="宋体" w:hAnsi="宋体" w:eastAsia="宋体"/>
          <w:bCs w:val="0"/>
          <w:color w:val="000000" w:themeColor="text1"/>
          <w:highlight w:val="none"/>
        </w:rPr>
        <w:t xml:space="preserve">采购人、采购代理机构、投标人、联合体</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55"/>
        <w:ind w:firstLine="422"/>
        <w:keepLines w:val="0"/>
        <w:keepNext w:val="0"/>
        <w:spacing w:before="0" w:after="0" w:line="360" w:lineRule="auto"/>
        <w:rPr>
          <w:rFonts w:hint="eastAsia" w:ascii="宋体" w:hAnsi="宋体" w:eastAsia="宋体"/>
          <w:bCs w:val="0"/>
          <w:color w:val="000000" w:themeColor="text1"/>
          <w:highlight w:val="none"/>
        </w:rPr>
      </w:pPr>
      <w:r/>
      <w:bookmarkStart w:id="56" w:name="_Toc20823278"/>
      <w:r/>
      <w:bookmarkStart w:id="57" w:name="_Toc513029206"/>
      <w:r/>
      <w:bookmarkStart w:id="58" w:name="_Toc16938522"/>
      <w:r>
        <w:rPr>
          <w:rFonts w:hint="eastAsia" w:ascii="宋体" w:hAnsi="宋体" w:eastAsia="宋体"/>
          <w:bCs w:val="0"/>
          <w:color w:val="000000" w:themeColor="text1"/>
          <w:highlight w:val="none"/>
        </w:rPr>
        <w:t xml:space="preserve">3.适用法律</w:t>
      </w:r>
      <w:bookmarkEnd w:id="56"/>
      <w:r/>
      <w:bookmarkEnd w:id="57"/>
      <w:r/>
      <w:bookmarkEnd w:id="58"/>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3.1本次招标及由此产生的合同受中华人民共和国法律的制约和保护。</w:t>
      </w:r>
      <w:r/>
    </w:p>
    <w:p>
      <w:pPr>
        <w:pStyle w:val="855"/>
        <w:ind w:firstLine="422"/>
        <w:keepLines w:val="0"/>
        <w:keepNext w:val="0"/>
        <w:spacing w:before="0" w:after="0" w:line="360" w:lineRule="auto"/>
        <w:rPr>
          <w:rFonts w:hint="eastAsia" w:ascii="宋体" w:hAnsi="宋体" w:eastAsia="宋体"/>
          <w:bCs w:val="0"/>
          <w:color w:val="000000" w:themeColor="text1"/>
          <w:highlight w:val="none"/>
        </w:rPr>
      </w:pPr>
      <w:r/>
      <w:bookmarkStart w:id="59" w:name="_Toc20823279"/>
      <w:r/>
      <w:bookmarkStart w:id="60" w:name="_Toc513029207"/>
      <w:r/>
      <w:bookmarkStart w:id="61" w:name="_Toc16938523"/>
      <w:r/>
      <w:bookmarkStart w:id="62" w:name="_Toc462564067"/>
      <w:r>
        <w:rPr>
          <w:rFonts w:hint="eastAsia" w:ascii="宋体" w:hAnsi="宋体" w:eastAsia="宋体"/>
          <w:bCs w:val="0"/>
          <w:color w:val="000000" w:themeColor="text1"/>
          <w:highlight w:val="none"/>
        </w:rPr>
        <w:t xml:space="preserve">4.投标费用</w:t>
      </w:r>
      <w:bookmarkEnd w:id="59"/>
      <w:r/>
      <w:bookmarkEnd w:id="60"/>
      <w:r/>
      <w:bookmarkEnd w:id="61"/>
      <w:r/>
      <w:bookmarkEnd w:id="62"/>
      <w:r/>
      <w:r/>
    </w:p>
    <w:p>
      <w:pPr>
        <w:ind w:firstLine="480"/>
        <w:spacing w:line="360" w:lineRule="auto"/>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4.1</w:t>
      </w:r>
      <w:r>
        <w:rPr>
          <w:rFonts w:hint="eastAsia" w:ascii="宋体" w:hAnsi="宋体"/>
          <w:color w:val="000000" w:themeColor="text1"/>
          <w:sz w:val="24"/>
          <w:highlight w:val="none"/>
        </w:rPr>
        <w:t xml:space="preserve">投标人应自行承担所有与参加投标有关的费用，无论投标过程中的做法和结果如何，</w:t>
      </w:r>
      <w:r>
        <w:rPr>
          <w:rFonts w:hint="eastAsia" w:ascii="宋体" w:hAnsi="宋体"/>
          <w:color w:val="000000" w:themeColor="text1"/>
          <w:sz w:val="24"/>
          <w:highlight w:val="none"/>
          <w:lang w:eastAsia="zh-CN"/>
        </w:rPr>
        <w:t xml:space="preserve">无锡市滨湖区公共资源交易中心</w:t>
      </w:r>
      <w:r>
        <w:rPr>
          <w:rFonts w:hint="eastAsia" w:ascii="宋体" w:hAnsi="宋体"/>
          <w:color w:val="000000" w:themeColor="text1"/>
          <w:sz w:val="24"/>
          <w:highlight w:val="none"/>
        </w:rPr>
        <w:t xml:space="preserve">（以下简称交易中心）在任何情况下均无义务和责任承担这些费用。</w:t>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4.2本次招标标书工本费、中标服务费、招标文件均免费。</w:t>
      </w:r>
      <w:r/>
    </w:p>
    <w:p>
      <w:pPr>
        <w:pStyle w:val="855"/>
        <w:ind w:firstLine="422"/>
        <w:keepLines w:val="0"/>
        <w:keepNext w:val="0"/>
        <w:spacing w:before="0" w:after="0" w:line="360" w:lineRule="auto"/>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5.招标文件的约束力</w:t>
      </w:r>
      <w:r/>
    </w:p>
    <w:p>
      <w:pPr>
        <w:ind w:firstLine="480"/>
        <w:spacing w:line="360" w:lineRule="auto"/>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5.1</w:t>
      </w:r>
      <w:r>
        <w:rPr>
          <w:rFonts w:hint="eastAsia" w:ascii="宋体" w:hAnsi="宋体"/>
          <w:color w:val="000000" w:themeColor="text1"/>
          <w:sz w:val="24"/>
          <w:szCs w:val="24"/>
          <w:highlight w:val="none"/>
        </w:rPr>
        <w:t xml:space="preserve">投标人一旦参加本项目采购活动，即被认为接受了本招标文件的规定和约束。</w:t>
      </w:r>
      <w:r/>
    </w:p>
    <w:p>
      <w:pPr>
        <w:pStyle w:val="854"/>
        <w:ind w:firstLine="452"/>
        <w:keepLines w:val="0"/>
        <w:keepNext w:val="0"/>
        <w:spacing w:before="0" w:after="0" w:line="360" w:lineRule="auto"/>
        <w:rPr>
          <w:rFonts w:hint="eastAsia"/>
          <w:color w:val="000000" w:themeColor="text1"/>
          <w:sz w:val="30"/>
          <w:szCs w:val="30"/>
          <w:highlight w:val="none"/>
        </w:rPr>
      </w:pPr>
      <w:r/>
      <w:bookmarkStart w:id="63" w:name="_Toc16938525"/>
      <w:r/>
      <w:bookmarkStart w:id="64" w:name="_Toc120614215"/>
      <w:r/>
      <w:bookmarkStart w:id="65" w:name="_Toc513029209"/>
      <w:r/>
      <w:bookmarkStart w:id="66" w:name="_Toc20823281"/>
      <w:r>
        <w:rPr>
          <w:rFonts w:hint="eastAsia"/>
          <w:color w:val="000000" w:themeColor="text1"/>
          <w:sz w:val="30"/>
          <w:szCs w:val="30"/>
          <w:highlight w:val="none"/>
        </w:rPr>
        <w:t xml:space="preserve">二、招标文件</w:t>
      </w:r>
      <w:bookmarkEnd w:id="63"/>
      <w:r/>
      <w:bookmarkEnd w:id="64"/>
      <w:r/>
      <w:bookmarkEnd w:id="65"/>
      <w:r/>
      <w:bookmarkEnd w:id="66"/>
      <w:r/>
      <w:r/>
    </w:p>
    <w:p>
      <w:pPr>
        <w:pStyle w:val="855"/>
        <w:ind w:firstLine="422"/>
        <w:keepLines w:val="0"/>
        <w:keepNext w:val="0"/>
        <w:spacing w:before="0" w:after="0" w:line="360" w:lineRule="auto"/>
        <w:rPr>
          <w:rFonts w:hint="eastAsia" w:ascii="宋体" w:hAnsi="宋体" w:eastAsia="宋体"/>
          <w:bCs w:val="0"/>
          <w:color w:val="000000" w:themeColor="text1"/>
          <w:highlight w:val="none"/>
        </w:rPr>
      </w:pPr>
      <w:r/>
      <w:bookmarkStart w:id="67" w:name="_Toc20823282"/>
      <w:r/>
      <w:bookmarkStart w:id="68" w:name="_Toc16938526"/>
      <w:r/>
      <w:bookmarkStart w:id="69" w:name="_Toc513029210"/>
      <w:r>
        <w:rPr>
          <w:rFonts w:hint="eastAsia" w:ascii="宋体" w:hAnsi="宋体" w:eastAsia="宋体"/>
          <w:bCs w:val="0"/>
          <w:color w:val="000000" w:themeColor="text1"/>
          <w:highlight w:val="none"/>
        </w:rPr>
        <w:t xml:space="preserve">6.招标文件构成</w:t>
      </w:r>
      <w:bookmarkEnd w:id="67"/>
      <w:r/>
      <w:bookmarkEnd w:id="68"/>
      <w:r/>
      <w:bookmarkEnd w:id="69"/>
      <w:r/>
      <w:r/>
    </w:p>
    <w:p>
      <w:pPr>
        <w:ind w:firstLine="480"/>
        <w:spacing w:line="360" w:lineRule="auto"/>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6.1</w:t>
      </w:r>
      <w:r>
        <w:rPr>
          <w:rFonts w:hint="eastAsia" w:ascii="宋体" w:hAnsi="宋体"/>
          <w:color w:val="000000" w:themeColor="text1"/>
          <w:sz w:val="24"/>
          <w:highlight w:val="none"/>
        </w:rPr>
        <w:t xml:space="preserve">招标文件由以下部分组成：</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（1）投标</w:t>
      </w:r>
      <w:r>
        <w:rPr>
          <w:rFonts w:ascii="宋体" w:hAnsi="宋体"/>
          <w:color w:val="000000" w:themeColor="text1"/>
          <w:sz w:val="24"/>
          <w:szCs w:val="24"/>
          <w:highlight w:val="none"/>
        </w:rPr>
        <w:t xml:space="preserve">邀请</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（2）投标人须知</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（3）合同文本</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（4）采购需求</w:t>
      </w:r>
      <w:r/>
    </w:p>
    <w:p>
      <w:pPr>
        <w:ind w:firstLine="480"/>
        <w:spacing w:line="360" w:lineRule="auto"/>
        <w:rPr>
          <w:rFonts w:hint="eastAsia"/>
          <w:color w:val="000000" w:themeColor="text1"/>
          <w:sz w:val="24"/>
          <w:szCs w:val="24"/>
          <w:highlight w:val="none"/>
        </w:rPr>
      </w:pPr>
      <w:r>
        <w:rPr>
          <w:rFonts w:hint="eastAsia" w:ascii="宋体" w:hAnsi="宋体"/>
          <w:color w:val="000000" w:themeColor="text1"/>
          <w:sz w:val="24"/>
          <w:szCs w:val="24"/>
          <w:highlight w:val="none"/>
        </w:rPr>
        <w:t xml:space="preserve">（5）</w:t>
      </w:r>
      <w:r>
        <w:rPr>
          <w:rFonts w:hint="eastAsia" w:hAnsi="宋体"/>
          <w:color w:val="000000" w:themeColor="text1"/>
          <w:sz w:val="24"/>
          <w:szCs w:val="24"/>
          <w:highlight w:val="none"/>
        </w:rPr>
        <w:t xml:space="preserve">评标方法与评标标准</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（6）投标文件内容与格式</w:t>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请仔细检查招标文件是否齐全，如有缺漏请立即与交易中心联系解决。</w:t>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5"/>
        <w:ind w:firstLine="422"/>
        <w:keepLines w:val="0"/>
        <w:keepNext w:val="0"/>
        <w:spacing w:before="0" w:after="0" w:line="360" w:lineRule="auto"/>
        <w:rPr>
          <w:rFonts w:hint="eastAsia" w:ascii="宋体" w:hAnsi="宋体" w:eastAsia="宋体"/>
          <w:bCs w:val="0"/>
          <w:color w:val="000000" w:themeColor="text1"/>
          <w:highlight w:val="none"/>
        </w:rPr>
      </w:pPr>
      <w:r/>
      <w:bookmarkStart w:id="70" w:name="_Toc513029211"/>
      <w:r/>
      <w:bookmarkStart w:id="71" w:name="_Toc20823283"/>
      <w:r/>
      <w:bookmarkStart w:id="72" w:name="_Toc16938527"/>
      <w:r/>
      <w:bookmarkStart w:id="73" w:name="_Toc462564070"/>
      <w:r>
        <w:rPr>
          <w:rFonts w:hint="eastAsia" w:ascii="宋体" w:hAnsi="宋体" w:eastAsia="宋体"/>
          <w:bCs w:val="0"/>
          <w:color w:val="000000" w:themeColor="text1"/>
          <w:highlight w:val="none"/>
        </w:rPr>
        <w:t xml:space="preserve">7.招标文件的澄清</w:t>
      </w:r>
      <w:bookmarkEnd w:id="70"/>
      <w:r/>
      <w:bookmarkEnd w:id="71"/>
      <w:r/>
      <w:bookmarkEnd w:id="72"/>
      <w:r/>
      <w:bookmarkEnd w:id="73"/>
      <w:r/>
      <w:r/>
    </w:p>
    <w:p>
      <w:pPr>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855"/>
        <w:ind w:firstLine="422"/>
        <w:keepLines w:val="0"/>
        <w:keepNext w:val="0"/>
        <w:spacing w:before="0" w:after="0" w:line="360" w:lineRule="auto"/>
        <w:rPr>
          <w:rFonts w:hint="eastAsia" w:ascii="宋体" w:hAnsi="宋体" w:eastAsia="宋体"/>
          <w:bCs w:val="0"/>
          <w:color w:val="000000" w:themeColor="text1"/>
          <w:highlight w:val="none"/>
        </w:rPr>
      </w:pPr>
      <w:r/>
      <w:bookmarkStart w:id="74" w:name="_Toc462564071"/>
      <w:r/>
      <w:bookmarkStart w:id="75" w:name="_Toc16938528"/>
      <w:r/>
      <w:bookmarkStart w:id="76" w:name="_Toc20823284"/>
      <w:r/>
      <w:bookmarkStart w:id="77" w:name="_Toc513029212"/>
      <w:r>
        <w:rPr>
          <w:rFonts w:hint="eastAsia" w:ascii="宋体" w:hAnsi="宋体" w:eastAsia="宋体"/>
          <w:bCs w:val="0"/>
          <w:color w:val="000000" w:themeColor="text1"/>
          <w:highlight w:val="none"/>
        </w:rPr>
        <w:t xml:space="preserve">8.招标文件的修改</w:t>
      </w:r>
      <w:bookmarkEnd w:id="74"/>
      <w:r/>
      <w:bookmarkEnd w:id="75"/>
      <w:r/>
      <w:bookmarkEnd w:id="76"/>
      <w:r/>
      <w:bookmarkEnd w:id="77"/>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8.1交易中心可在投标截止时间十五日前对招标文件进行必要的澄清或者修改，不足十五日的，将顺延提交投标文件的截止时间和开标日期。</w:t>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8.2</w:t>
      </w:r>
      <w:r>
        <w:rPr>
          <w:rFonts w:hint="eastAsia" w:ascii="宋体" w:hAnsi="宋体"/>
          <w:bCs/>
          <w:color w:val="000000" w:themeColor="text1"/>
          <w:sz w:val="24"/>
          <w:szCs w:val="24"/>
          <w:highlight w:val="none"/>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color w:val="000000" w:themeColor="text1"/>
          <w:sz w:val="24"/>
          <w:szCs w:val="24"/>
          <w:highlight w:val="none"/>
        </w:rPr>
        <w:t xml:space="preserve">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或</w:t>
      </w:r>
      <w:r>
        <w:rPr>
          <w:rFonts w:hint="eastAsia" w:ascii="宋体" w:hAnsi="宋体"/>
          <w:bCs/>
          <w:color w:val="000000" w:themeColor="text1"/>
          <w:sz w:val="24"/>
          <w:szCs w:val="24"/>
          <w:highlight w:val="none"/>
        </w:rPr>
        <w:t xml:space="preserve">关注原招标公告媒体上发布的更正公告</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因投标人未尽注意义务，未及时更新上传投标文件</w:t>
      </w:r>
      <w:r>
        <w:rPr>
          <w:rFonts w:hint="eastAsia" w:ascii="宋体" w:hAnsi="宋体"/>
          <w:color w:val="000000" w:themeColor="text1"/>
          <w:sz w:val="24"/>
          <w:szCs w:val="24"/>
          <w:highlight w:val="none"/>
        </w:rPr>
        <w:t xml:space="preserve">或未</w:t>
      </w:r>
      <w:r>
        <w:rPr>
          <w:rFonts w:hint="eastAsia" w:ascii="宋体" w:hAnsi="宋体"/>
          <w:bCs/>
          <w:color w:val="000000" w:themeColor="text1"/>
          <w:sz w:val="24"/>
          <w:szCs w:val="24"/>
          <w:highlight w:val="none"/>
        </w:rPr>
        <w:t xml:space="preserve">全面地关注更正公告导致其提交的投标材料不符合本项目相关招标要求，而造成的损失及风险（包括但不限于未中标）由投标人自行承担。</w:t>
      </w:r>
      <w:r/>
    </w:p>
    <w:p>
      <w:pPr>
        <w:pStyle w:val="854"/>
        <w:ind w:firstLine="452"/>
        <w:keepLines w:val="0"/>
        <w:keepNext w:val="0"/>
        <w:spacing w:before="0" w:after="0" w:line="360" w:lineRule="auto"/>
        <w:rPr>
          <w:rFonts w:hint="eastAsia"/>
          <w:color w:val="000000" w:themeColor="text1"/>
          <w:sz w:val="30"/>
          <w:szCs w:val="30"/>
          <w:highlight w:val="none"/>
        </w:rPr>
      </w:pPr>
      <w:r/>
      <w:bookmarkStart w:id="78" w:name="_Toc513029213"/>
      <w:r/>
      <w:bookmarkStart w:id="79" w:name="_Toc16938529"/>
      <w:r/>
      <w:bookmarkStart w:id="80" w:name="_Toc120614216"/>
      <w:r/>
      <w:bookmarkStart w:id="81" w:name="_Toc462564072"/>
      <w:r/>
      <w:bookmarkStart w:id="82" w:name="_Toc20823285"/>
      <w:r>
        <w:rPr>
          <w:rFonts w:hint="eastAsia"/>
          <w:color w:val="000000" w:themeColor="text1"/>
          <w:sz w:val="30"/>
          <w:szCs w:val="30"/>
          <w:highlight w:val="none"/>
        </w:rPr>
        <w:t xml:space="preserve">三、投标文件的编制</w:t>
      </w:r>
      <w:bookmarkEnd w:id="78"/>
      <w:r/>
      <w:bookmarkEnd w:id="79"/>
      <w:r/>
      <w:bookmarkEnd w:id="80"/>
      <w:r/>
      <w:bookmarkEnd w:id="81"/>
      <w:r/>
      <w:bookmarkEnd w:id="82"/>
      <w:r/>
      <w:r/>
    </w:p>
    <w:p>
      <w:pPr>
        <w:pStyle w:val="855"/>
        <w:ind w:firstLine="422"/>
        <w:keepLines w:val="0"/>
        <w:keepNext w:val="0"/>
        <w:spacing w:before="0" w:after="0" w:line="360" w:lineRule="auto"/>
        <w:rPr>
          <w:rFonts w:hint="eastAsia" w:ascii="宋体" w:hAnsi="宋体" w:eastAsia="宋体"/>
          <w:bCs w:val="0"/>
          <w:color w:val="000000" w:themeColor="text1"/>
          <w:highlight w:val="none"/>
        </w:rPr>
      </w:pPr>
      <w:r/>
      <w:bookmarkStart w:id="83" w:name="_Toc513029214"/>
      <w:r/>
      <w:bookmarkStart w:id="84" w:name="_Toc462564073"/>
      <w:r/>
      <w:bookmarkStart w:id="85" w:name="_Toc20823286"/>
      <w:r/>
      <w:bookmarkStart w:id="86" w:name="_Toc16938530"/>
      <w:r>
        <w:rPr>
          <w:rFonts w:hint="eastAsia" w:ascii="宋体" w:hAnsi="宋体" w:eastAsia="宋体"/>
          <w:bCs w:val="0"/>
          <w:color w:val="000000" w:themeColor="text1"/>
          <w:highlight w:val="none"/>
        </w:rPr>
        <w:t xml:space="preserve">9.投标文件的语言及度量衡单位</w:t>
      </w:r>
      <w:bookmarkEnd w:id="83"/>
      <w:r/>
      <w:bookmarkEnd w:id="84"/>
      <w:r/>
      <w:bookmarkEnd w:id="85"/>
      <w:r/>
      <w:bookmarkEnd w:id="86"/>
      <w:r/>
      <w:r/>
    </w:p>
    <w:p>
      <w:pPr>
        <w:ind w:firstLine="480"/>
        <w:spacing w:line="360" w:lineRule="auto"/>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9.1</w:t>
      </w:r>
      <w:r>
        <w:rPr>
          <w:rFonts w:hint="eastAsia" w:ascii="宋体" w:hAnsi="宋体"/>
          <w:color w:val="000000" w:themeColor="text1"/>
          <w:sz w:val="24"/>
          <w:highlight w:val="none"/>
        </w:rPr>
        <w:t xml:space="preserve">投标人提交的投标文件以及投标人与交易中心就有关投标的所有来往通知、函件和文件均应使用</w:t>
      </w:r>
      <w:r>
        <w:rPr>
          <w:rFonts w:hint="eastAsia" w:ascii="宋体" w:hAnsi="宋体"/>
          <w:bCs/>
          <w:color w:val="000000" w:themeColor="text1"/>
          <w:sz w:val="24"/>
          <w:highlight w:val="none"/>
        </w:rPr>
        <w:t xml:space="preserve">简体中文</w:t>
      </w:r>
      <w:r>
        <w:rPr>
          <w:rFonts w:hint="eastAsia" w:ascii="宋体" w:hAnsi="宋体"/>
          <w:bCs/>
          <w:color w:val="000000" w:themeColor="text1"/>
          <w:sz w:val="24"/>
          <w:szCs w:val="24"/>
          <w:highlight w:val="none"/>
        </w:rPr>
        <w:t xml:space="preserve">（规格、型号辅助符号例外）</w:t>
      </w:r>
      <w:r>
        <w:rPr>
          <w:rFonts w:hint="eastAsia" w:ascii="宋体" w:hAnsi="宋体"/>
          <w:color w:val="000000" w:themeColor="text1"/>
          <w:sz w:val="24"/>
          <w:highlight w:val="none"/>
        </w:rPr>
        <w:t xml:space="preserve">。</w:t>
      </w:r>
      <w:r/>
    </w:p>
    <w:p>
      <w:pPr>
        <w:ind w:firstLine="480"/>
        <w:spacing w:line="360" w:lineRule="auto"/>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9.2</w:t>
      </w:r>
      <w:r>
        <w:rPr>
          <w:rFonts w:hint="eastAsia" w:ascii="宋体" w:hAnsi="宋体"/>
          <w:color w:val="000000" w:themeColor="text1"/>
          <w:sz w:val="24"/>
          <w:highlight w:val="none"/>
        </w:rPr>
        <w:t xml:space="preserve">除技术性能另有规定外，投标文件所使用的度量衡单位，均须采用国家法定计量单位。</w:t>
      </w:r>
      <w:r/>
    </w:p>
    <w:p>
      <w:pPr>
        <w:pStyle w:val="855"/>
        <w:ind w:firstLine="422"/>
        <w:keepLines w:val="0"/>
        <w:keepNext w:val="0"/>
        <w:spacing w:before="0" w:after="0" w:line="360" w:lineRule="auto"/>
        <w:rPr>
          <w:rFonts w:hint="eastAsia" w:ascii="宋体" w:hAnsi="宋体" w:eastAsia="宋体"/>
          <w:bCs w:val="0"/>
          <w:color w:val="000000" w:themeColor="text1"/>
          <w:highlight w:val="none"/>
        </w:rPr>
      </w:pPr>
      <w:r/>
      <w:bookmarkStart w:id="87" w:name="_Toc16938531"/>
      <w:r/>
      <w:bookmarkStart w:id="88" w:name="_Toc20823287"/>
      <w:r/>
      <w:bookmarkStart w:id="89" w:name="_Toc462564074"/>
      <w:r/>
      <w:bookmarkStart w:id="90" w:name="_Toc513029215"/>
      <w:r>
        <w:rPr>
          <w:rFonts w:hint="eastAsia" w:ascii="宋体" w:hAnsi="宋体" w:eastAsia="宋体"/>
          <w:bCs w:val="0"/>
          <w:color w:val="000000" w:themeColor="text1"/>
          <w:highlight w:val="none"/>
        </w:rPr>
        <w:t xml:space="preserve">10.投标文件构成</w:t>
      </w:r>
      <w:bookmarkEnd w:id="87"/>
      <w:r/>
      <w:bookmarkEnd w:id="88"/>
      <w:r/>
      <w:bookmarkEnd w:id="89"/>
      <w:r/>
      <w:bookmarkEnd w:id="90"/>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10.2投标人所须提供的相关证明文件和要求以及投标文件的部分格式要求，详见第六章《投标文件内容与格式》。</w:t>
      </w:r>
      <w:r/>
    </w:p>
    <w:p>
      <w:pPr>
        <w:ind w:firstLine="480"/>
        <w:spacing w:line="360" w:lineRule="auto"/>
        <w:rPr>
          <w:rFonts w:hint="eastAsia" w:ascii="宋体" w:hAnsi="宋体"/>
          <w:sz w:val="24"/>
          <w:highlight w:val="none"/>
        </w:rPr>
      </w:pPr>
      <w:r>
        <w:rPr>
          <w:rFonts w:hint="eastAsia" w:ascii="宋体" w:hAnsi="宋体"/>
          <w:color w:val="000000" w:themeColor="text1"/>
          <w:sz w:val="24"/>
          <w:highlight w:val="none"/>
        </w:rPr>
        <w:t xml:space="preserve">10.3如标书制作工具中格式和内容与招标文件不一致的，请以招标文件为准。</w:t>
      </w:r>
      <w:r/>
    </w:p>
    <w:p>
      <w:pPr>
        <w:ind w:firstLine="482"/>
        <w:spacing w:line="360" w:lineRule="auto"/>
        <w:rPr>
          <w:rFonts w:ascii="宋体" w:hAnsi="宋体"/>
          <w:b/>
          <w:sz w:val="24"/>
          <w:highlight w:val="none"/>
          <w:u w:val="single"/>
        </w:rPr>
      </w:pPr>
      <w:r>
        <w:rPr>
          <w:rFonts w:hint="eastAsia" w:ascii="宋体" w:hAnsi="宋体"/>
          <w:b/>
          <w:sz w:val="24"/>
          <w:highlight w:val="none"/>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360" w:lineRule="auto"/>
        <w:rPr>
          <w:rFonts w:ascii="宋体" w:hAnsi="宋体"/>
          <w:b/>
          <w:sz w:val="24"/>
          <w:highlight w:val="none"/>
          <w:u w:val="single"/>
        </w:rPr>
      </w:pPr>
      <w:r>
        <w:rPr>
          <w:rFonts w:hint="eastAsia" w:ascii="宋体" w:hAnsi="宋体"/>
          <w:b/>
          <w:sz w:val="24"/>
          <w:highlight w:val="none"/>
        </w:rPr>
        <w:t xml:space="preserve">不得有体现投标人身份的内容是指：</w:t>
      </w:r>
      <w:r/>
    </w:p>
    <w:p>
      <w:pPr>
        <w:ind w:firstLine="482"/>
        <w:spacing w:line="360" w:lineRule="auto"/>
        <w:rPr>
          <w:rFonts w:ascii="宋体" w:hAnsi="宋体"/>
          <w:b/>
          <w:sz w:val="24"/>
          <w:highlight w:val="none"/>
        </w:rPr>
      </w:pPr>
      <w:r>
        <w:rPr>
          <w:rFonts w:hint="eastAsia" w:ascii="宋体" w:hAnsi="宋体"/>
          <w:b/>
          <w:sz w:val="24"/>
          <w:highlight w:val="none"/>
        </w:rPr>
        <w:t xml:space="preserve">10.4.1技术部分不得出现能够体现投标人身份、名称的相关描述、材料、文件等内容；</w:t>
      </w:r>
      <w:r/>
    </w:p>
    <w:p>
      <w:pPr>
        <w:ind w:firstLine="482"/>
        <w:spacing w:line="360" w:lineRule="auto"/>
        <w:rPr>
          <w:rFonts w:ascii="宋体" w:hAnsi="宋体"/>
          <w:b/>
          <w:sz w:val="24"/>
          <w:highlight w:val="none"/>
        </w:rPr>
      </w:pPr>
      <w:r>
        <w:rPr>
          <w:rFonts w:hint="eastAsia" w:ascii="宋体" w:hAnsi="宋体"/>
          <w:b/>
          <w:sz w:val="24"/>
          <w:highlight w:val="none"/>
        </w:rPr>
        <w:t xml:space="preserve">10.4.2技术部分不得更改，不得在其中涂改、标注或做任何可以辨认投标人及所属人员身份的名称、印章、商标等标记；</w:t>
      </w:r>
      <w:r/>
    </w:p>
    <w:p>
      <w:pPr>
        <w:ind w:firstLine="482"/>
        <w:spacing w:line="360" w:lineRule="auto"/>
        <w:rPr>
          <w:rFonts w:ascii="宋体" w:hAnsi="宋体"/>
          <w:b/>
          <w:sz w:val="24"/>
          <w:highlight w:val="none"/>
        </w:rPr>
      </w:pPr>
      <w:r>
        <w:rPr>
          <w:rFonts w:hint="eastAsia" w:ascii="宋体" w:hAnsi="宋体"/>
          <w:b/>
          <w:sz w:val="24"/>
          <w:highlight w:val="none"/>
        </w:rPr>
        <w:t xml:space="preserve">10.4.3技术部分应当版面整洁、字迹清楚、不许批注或进行底纹、阴影、水印等特殊设置，不得采用任何不符合常规、有别于其他投标人的特殊做法；</w:t>
      </w:r>
      <w:r/>
    </w:p>
    <w:p>
      <w:pPr>
        <w:ind w:firstLine="482"/>
        <w:spacing w:line="360" w:lineRule="auto"/>
        <w:rPr>
          <w:rFonts w:ascii="宋体" w:hAnsi="宋体"/>
          <w:b/>
          <w:sz w:val="24"/>
          <w:highlight w:val="none"/>
        </w:rPr>
      </w:pPr>
      <w:r>
        <w:rPr>
          <w:rFonts w:hint="eastAsia" w:ascii="宋体" w:hAnsi="宋体"/>
          <w:b/>
          <w:sz w:val="24"/>
          <w:highlight w:val="none"/>
        </w:rPr>
        <w:t xml:space="preserve">10.4.4不得有其他体现投标人身份的内容。</w:t>
      </w:r>
      <w:r/>
    </w:p>
    <w:p>
      <w:pPr>
        <w:ind w:firstLine="361"/>
        <w:spacing w:line="360" w:lineRule="auto"/>
        <w:rPr>
          <w:rFonts w:ascii="宋体" w:hAnsi="宋体"/>
          <w:b/>
          <w:sz w:val="24"/>
          <w:highlight w:val="none"/>
        </w:rPr>
      </w:pPr>
      <w:r>
        <w:rPr>
          <w:rFonts w:hint="eastAsia" w:ascii="宋体" w:hAnsi="宋体" w:cs="宋体"/>
          <w:b/>
          <w:sz w:val="24"/>
          <w:szCs w:val="24"/>
          <w:highlight w:val="none"/>
        </w:rPr>
        <w:t xml:space="preserve">10.5排版要求：使用PDF文件形式，A4纸大小，字体为黑色、小四号宋体，不得出现手写，不得设置页眉，页脚只准出现页码，采用小5号阿拉伯数字格式，设在页脚对中位置，页码应当连续，不得有空白页；如有表格，表格中字体用宋体字，字号不作限制。如有图片要为彩色，图片不得出现能显示企业特征或其他提示性的标记或标识。</w:t>
      </w:r>
      <w:r/>
    </w:p>
    <w:p>
      <w:pPr>
        <w:pStyle w:val="855"/>
        <w:ind w:firstLine="422"/>
        <w:keepLines w:val="0"/>
        <w:keepNext w:val="0"/>
        <w:spacing w:before="0" w:after="0" w:line="360" w:lineRule="auto"/>
        <w:rPr>
          <w:rFonts w:hint="eastAsia" w:ascii="宋体" w:hAnsi="宋体" w:eastAsia="宋体"/>
          <w:bCs w:val="0"/>
          <w:color w:val="000000" w:themeColor="text1"/>
          <w:highlight w:val="none"/>
        </w:rPr>
      </w:pPr>
      <w:r/>
      <w:bookmarkStart w:id="91" w:name="_Hlt26670360"/>
      <w:r/>
      <w:bookmarkEnd w:id="91"/>
      <w:r/>
      <w:bookmarkStart w:id="92" w:name="_Hlt26954838"/>
      <w:r/>
      <w:bookmarkEnd w:id="92"/>
      <w:r/>
      <w:bookmarkStart w:id="93" w:name="_Hlt26668975"/>
      <w:r/>
      <w:bookmarkEnd w:id="93"/>
      <w:r/>
      <w:bookmarkStart w:id="94" w:name="_Toc513029219"/>
      <w:r/>
      <w:bookmarkStart w:id="95" w:name="_Toc14577357"/>
      <w:r/>
      <w:bookmarkStart w:id="96" w:name="_Toc49090509"/>
      <w:r/>
      <w:bookmarkStart w:id="97" w:name="_Toc49090507"/>
      <w:r/>
      <w:bookmarkStart w:id="98" w:name="_Toc513029216"/>
      <w:r/>
      <w:bookmarkStart w:id="99" w:name="_Toc14577354"/>
      <w:r/>
      <w:bookmarkStart w:id="100" w:name="_Toc20823314"/>
      <w:r/>
      <w:bookmarkStart w:id="101" w:name="_Toc120614221"/>
      <w:r/>
      <w:bookmarkStart w:id="102" w:name="_Toc479757207"/>
      <w:r/>
      <w:bookmarkStart w:id="103" w:name="_Toc513029242"/>
      <w:r/>
      <w:bookmarkStart w:id="104" w:name="_Toc16938558"/>
      <w:r>
        <w:rPr>
          <w:rFonts w:hint="eastAsia" w:ascii="宋体" w:hAnsi="宋体" w:eastAsia="宋体"/>
          <w:bCs w:val="0"/>
          <w:color w:val="000000" w:themeColor="text1"/>
          <w:highlight w:val="none"/>
        </w:rPr>
        <w:t xml:space="preserve">11.证明投标人及投标标的符合招标文件规定的文件</w:t>
      </w:r>
      <w:bookmarkEnd w:id="94"/>
      <w:r/>
      <w:bookmarkEnd w:id="95"/>
      <w:r/>
      <w:bookmarkEnd w:id="96"/>
      <w:r/>
      <w:bookmarkEnd w:id="97"/>
      <w:bookmarkEnd w:id="98"/>
      <w:bookmarkEnd w:id="99"/>
      <w:r/>
    </w:p>
    <w:p>
      <w:pPr>
        <w:ind w:firstLine="480"/>
        <w:spacing w:line="360" w:lineRule="auto"/>
        <w:rPr>
          <w:rFonts w:hint="eastAsia" w:ascii="宋体" w:hAnsi="宋体"/>
          <w:bCs/>
          <w:color w:val="000000" w:themeColor="text1"/>
          <w:sz w:val="24"/>
          <w:highlight w:val="none"/>
        </w:rPr>
      </w:pPr>
      <w:r/>
      <w:bookmarkStart w:id="105" w:name="_Toc14577355"/>
      <w:r/>
      <w:bookmarkStart w:id="106" w:name="_Toc49090508"/>
      <w:r>
        <w:rPr>
          <w:rFonts w:hint="eastAsia" w:ascii="宋体" w:hAnsi="宋体"/>
          <w:bCs/>
          <w:color w:val="000000" w:themeColor="text1"/>
          <w:sz w:val="24"/>
          <w:highlight w:val="none"/>
        </w:rPr>
        <w:t xml:space="preserve">11.1投标人应按照法律法规、规章和规范性文件以及招标文件要求提交证明文件，证明其投标标的符合招标文件规定。</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11.2招标文件对证明文件无明确形式要求的，证明文件可以以文字资料、图纸和数据等形式提交。</w:t>
      </w:r>
      <w:r/>
    </w:p>
    <w:p>
      <w:pPr>
        <w:pStyle w:val="855"/>
        <w:ind w:firstLine="422"/>
        <w:keepLines w:val="0"/>
        <w:keepNext w:val="0"/>
        <w:spacing w:before="0" w:after="0" w:line="360" w:lineRule="auto"/>
        <w:rPr>
          <w:rFonts w:hint="eastAsia" w:ascii="宋体" w:hAnsi="宋体" w:eastAsia="宋体"/>
          <w:bCs w:val="0"/>
          <w:color w:val="000000" w:themeColor="text1"/>
          <w:highlight w:val="none"/>
        </w:rPr>
      </w:pPr>
      <w:r/>
      <w:bookmarkStart w:id="107" w:name="_Toc14577359"/>
      <w:r/>
      <w:bookmarkStart w:id="108" w:name="_Toc49090510"/>
      <w:r>
        <w:rPr>
          <w:rFonts w:hint="eastAsia" w:ascii="宋体" w:hAnsi="宋体" w:eastAsia="宋体"/>
          <w:bCs w:val="0"/>
          <w:color w:val="000000" w:themeColor="text1"/>
          <w:highlight w:val="none"/>
        </w:rPr>
        <w:t xml:space="preserve">12.投标函、承诺书和开标一览表</w:t>
      </w:r>
      <w:r/>
    </w:p>
    <w:p>
      <w:pPr>
        <w:ind w:firstLine="480"/>
        <w:spacing w:line="360" w:lineRule="auto"/>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12.1</w:t>
      </w:r>
      <w:r>
        <w:rPr>
          <w:rFonts w:hint="eastAsia" w:ascii="宋体" w:hAnsi="宋体"/>
          <w:color w:val="000000" w:themeColor="text1"/>
          <w:sz w:val="24"/>
          <w:highlight w:val="none"/>
        </w:rPr>
        <w:t xml:space="preserve">投标人应按照招标文件中提供的格式，完整、正确填写投标函、承诺书；投标人应按照“苏采云”系统中的给定格式模块为准，完整、正确填写开标一览表。</w:t>
      </w:r>
      <w:r/>
    </w:p>
    <w:p>
      <w:pPr>
        <w:ind w:firstLine="480"/>
        <w:spacing w:line="360" w:lineRule="auto"/>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12.2对于采用货币报价的项目，开标一览表中的投标总报价应与分项报价表的总额一致，如不一致，不作为无效投标处理，但评标时按开标一览表中价格为准。</w:t>
      </w:r>
      <w:bookmarkEnd w:id="107"/>
      <w:bookmarkEnd w:id="108"/>
      <w:r/>
    </w:p>
    <w:p>
      <w:pPr>
        <w:pStyle w:val="855"/>
        <w:ind w:firstLine="422"/>
        <w:keepLines w:val="0"/>
        <w:keepNext w:val="0"/>
        <w:spacing w:before="0" w:after="0" w:line="360" w:lineRule="auto"/>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13.</w:t>
      </w:r>
      <w:bookmarkEnd w:id="105"/>
      <w:r/>
      <w:bookmarkEnd w:id="106"/>
      <w:r>
        <w:rPr>
          <w:rFonts w:hint="eastAsia" w:ascii="宋体" w:hAnsi="宋体" w:eastAsia="宋体"/>
          <w:bCs w:val="0"/>
          <w:color w:val="000000" w:themeColor="text1"/>
          <w:highlight w:val="none"/>
        </w:rPr>
        <w:t xml:space="preserve">分项报价表</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13.1</w:t>
      </w:r>
      <w:r>
        <w:rPr>
          <w:rFonts w:hint="eastAsia" w:ascii="宋体" w:hAnsi="宋体"/>
          <w:color w:val="000000" w:themeColor="text1"/>
          <w:sz w:val="24"/>
          <w:highlight w:val="none"/>
        </w:rPr>
        <w:t xml:space="preserve">投</w:t>
      </w:r>
      <w:bookmarkStart w:id="109" w:name="_Hlt26954840"/>
      <w:r/>
      <w:bookmarkEnd w:id="109"/>
      <w:r>
        <w:rPr>
          <w:rFonts w:hint="eastAsia" w:ascii="宋体" w:hAnsi="宋体"/>
          <w:color w:val="000000" w:themeColor="text1"/>
          <w:sz w:val="24"/>
          <w:highlight w:val="none"/>
        </w:rPr>
        <w:t xml:space="preserve">标人应按照招标文件规定格式填报</w:t>
      </w:r>
      <w:bookmarkStart w:id="110" w:name="_Hlt26670399"/>
      <w:r/>
      <w:bookmarkEnd w:id="110"/>
      <w:r>
        <w:rPr>
          <w:rFonts w:hint="eastAsia" w:ascii="宋体" w:hAnsi="宋体"/>
          <w:color w:val="000000" w:themeColor="text1"/>
          <w:sz w:val="24"/>
          <w:highlight w:val="none"/>
        </w:rPr>
        <w:t xml:space="preserve">分项报价表。</w:t>
      </w:r>
      <w:r/>
    </w:p>
    <w:p>
      <w:pPr>
        <w:ind w:firstLine="480"/>
        <w:spacing w:line="360" w:lineRule="auto"/>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13.2</w:t>
      </w:r>
      <w:r>
        <w:rPr>
          <w:rFonts w:hint="eastAsia" w:ascii="宋体" w:hAnsi="宋体"/>
          <w:bCs/>
          <w:color w:val="000000" w:themeColor="text1"/>
          <w:sz w:val="24"/>
          <w:highlight w:val="none"/>
        </w:rPr>
        <w:t xml:space="preserve">投标货币。投标文件中的单价和总价无特殊规定的采用人民币报价，以“元”为单位标注。</w:t>
      </w:r>
      <w:r>
        <w:rPr>
          <w:rFonts w:hint="eastAsia" w:ascii="宋体" w:hAnsi="宋体"/>
          <w:color w:val="000000" w:themeColor="text1"/>
          <w:sz w:val="24"/>
          <w:highlight w:val="none"/>
        </w:rPr>
        <w:t xml:space="preserve">招标文件中另有规定的按规定执行。</w:t>
      </w:r>
      <w:r/>
    </w:p>
    <w:p>
      <w:pPr>
        <w:pStyle w:val="855"/>
        <w:ind w:firstLine="422"/>
        <w:keepLines w:val="0"/>
        <w:keepNext w:val="0"/>
        <w:spacing w:before="0" w:after="0" w:line="360" w:lineRule="auto"/>
        <w:rPr>
          <w:rFonts w:hint="eastAsia" w:ascii="宋体" w:hAnsi="宋体" w:eastAsia="宋体"/>
          <w:bCs w:val="0"/>
          <w:color w:val="000000" w:themeColor="text1"/>
          <w:highlight w:val="none"/>
        </w:rPr>
      </w:pPr>
      <w:r/>
      <w:bookmarkStart w:id="111" w:name="_Hlt26670486"/>
      <w:r/>
      <w:bookmarkEnd w:id="111"/>
      <w:r/>
      <w:bookmarkStart w:id="112" w:name="_Hlt26954844"/>
      <w:r/>
      <w:bookmarkEnd w:id="112"/>
      <w:r/>
      <w:bookmarkStart w:id="113" w:name="_Hlt26668983"/>
      <w:r/>
      <w:bookmarkEnd w:id="113"/>
      <w:r/>
      <w:bookmarkStart w:id="114" w:name="_Hlt26670403"/>
      <w:r/>
      <w:bookmarkEnd w:id="114"/>
      <w:r/>
      <w:bookmarkStart w:id="115" w:name="_Hlt26670425"/>
      <w:r/>
      <w:bookmarkEnd w:id="115"/>
      <w:r/>
      <w:bookmarkStart w:id="116" w:name="_Hlt26954731"/>
      <w:r/>
      <w:bookmarkEnd w:id="116"/>
      <w:r/>
      <w:bookmarkStart w:id="117" w:name="_Hlt26670482"/>
      <w:r/>
      <w:bookmarkEnd w:id="117"/>
      <w:r/>
      <w:bookmarkStart w:id="118" w:name="_Hlt26954842"/>
      <w:r/>
      <w:bookmarkEnd w:id="118"/>
      <w:r/>
      <w:bookmarkStart w:id="119" w:name="_Hlt26954846"/>
      <w:r/>
      <w:bookmarkEnd w:id="119"/>
      <w:r/>
      <w:bookmarkStart w:id="120" w:name="_Hlt26954848"/>
      <w:r/>
      <w:bookmarkEnd w:id="120"/>
      <w:r>
        <w:rPr>
          <w:rFonts w:hint="eastAsia" w:ascii="宋体" w:hAnsi="宋体" w:eastAsia="宋体"/>
          <w:bCs w:val="0"/>
          <w:color w:val="000000" w:themeColor="text1"/>
          <w:highlight w:val="none"/>
        </w:rPr>
        <w:t xml:space="preserve">14.投标偏离表</w:t>
      </w:r>
      <w:r/>
    </w:p>
    <w:p>
      <w:pPr>
        <w:ind w:firstLine="480"/>
        <w:spacing w:line="360" w:lineRule="auto"/>
        <w:tabs>
          <w:tab w:val="left" w:pos="1035" w:leader="none"/>
        </w:tabs>
        <w:rPr>
          <w:rFonts w:ascii="宋体" w:hAnsi="Arial" w:cs="宋体"/>
          <w:color w:val="000000" w:themeColor="text1"/>
          <w:sz w:val="24"/>
          <w:highlight w:val="none"/>
        </w:rPr>
      </w:pPr>
      <w:r>
        <w:rPr>
          <w:rFonts w:hint="eastAsia" w:ascii="宋体" w:hAnsi="Arial" w:cs="宋体"/>
          <w:color w:val="000000" w:themeColor="text1"/>
          <w:sz w:val="24"/>
          <w:highlight w:val="none"/>
        </w:rPr>
        <w:t xml:space="preserve">14</w:t>
      </w:r>
      <w:r>
        <w:rPr>
          <w:rFonts w:hint="eastAsia" w:ascii="宋体" w:hAnsi="Arial" w:cs="宋体"/>
          <w:color w:val="000000" w:themeColor="text1"/>
          <w:sz w:val="24"/>
          <w:highlight w:val="none"/>
          <w:lang w:val="zh-CN"/>
        </w:rPr>
        <w:t xml:space="preserve">.</w:t>
      </w:r>
      <w:r>
        <w:rPr>
          <w:rFonts w:hint="eastAsia" w:ascii="宋体" w:hAnsi="Arial" w:cs="宋体"/>
          <w:color w:val="000000" w:themeColor="text1"/>
          <w:sz w:val="24"/>
          <w:highlight w:val="none"/>
        </w:rPr>
        <w:t xml:space="preserve">1</w:t>
      </w:r>
      <w:r>
        <w:rPr>
          <w:rFonts w:hint="eastAsia" w:ascii="宋体" w:hAnsi="Arial" w:cs="宋体"/>
          <w:color w:val="000000" w:themeColor="text1"/>
          <w:sz w:val="24"/>
          <w:highlight w:val="none"/>
          <w:lang w:val="zh-CN"/>
        </w:rPr>
        <w:t xml:space="preserve">投标人可在投标文件中提供认为需要的其他技术文件或说明。</w:t>
      </w:r>
      <w:r/>
    </w:p>
    <w:p>
      <w:pPr>
        <w:pStyle w:val="855"/>
        <w:ind w:firstLine="422"/>
        <w:keepLines w:val="0"/>
        <w:keepNext w:val="0"/>
        <w:spacing w:before="0" w:after="0" w:line="360" w:lineRule="auto"/>
        <w:rPr>
          <w:rFonts w:hint="eastAsia" w:ascii="宋体" w:hAnsi="宋体" w:eastAsia="宋体"/>
          <w:bCs w:val="0"/>
          <w:color w:val="000000" w:themeColor="text1"/>
          <w:highlight w:val="none"/>
        </w:rPr>
      </w:pPr>
      <w:r/>
      <w:bookmarkStart w:id="121" w:name="_Hlt26954850"/>
      <w:r/>
      <w:bookmarkEnd w:id="121"/>
      <w:r/>
      <w:bookmarkStart w:id="122" w:name="_Hlt26954734"/>
      <w:r/>
      <w:bookmarkEnd w:id="122"/>
      <w:r/>
      <w:bookmarkStart w:id="123" w:name="_Hlt26670489"/>
      <w:r/>
      <w:bookmarkEnd w:id="123"/>
      <w:r/>
      <w:bookmarkStart w:id="124" w:name="_Toc14577360"/>
      <w:r/>
      <w:bookmarkStart w:id="125" w:name="_Toc49090511"/>
      <w:r>
        <w:rPr>
          <w:rFonts w:hint="eastAsia" w:ascii="宋体" w:hAnsi="宋体" w:eastAsia="宋体"/>
          <w:bCs w:val="0"/>
          <w:color w:val="000000" w:themeColor="text1"/>
          <w:highlight w:val="none"/>
        </w:rPr>
        <w:t xml:space="preserve">15.投标有效期</w:t>
      </w:r>
      <w:bookmarkEnd w:id="124"/>
      <w:r/>
      <w:bookmarkEnd w:id="125"/>
      <w:r/>
      <w:r/>
    </w:p>
    <w:p>
      <w:pPr>
        <w:ind w:firstLine="480"/>
        <w:spacing w:line="360" w:lineRule="auto"/>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15.1</w:t>
      </w:r>
      <w:r>
        <w:rPr>
          <w:rFonts w:hint="eastAsia" w:ascii="宋体" w:hAnsi="宋体"/>
          <w:bCs/>
          <w:color w:val="000000" w:themeColor="text1"/>
          <w:sz w:val="24"/>
          <w:highlight w:val="none"/>
        </w:rPr>
        <w:t xml:space="preserve">投标有效期为招标文件规定的开标之日后</w:t>
      </w:r>
      <w:r>
        <w:rPr>
          <w:rFonts w:hint="eastAsia" w:ascii="宋体" w:hAnsi="宋体"/>
          <w:color w:val="000000" w:themeColor="text1"/>
          <w:sz w:val="24"/>
          <w:highlight w:val="none"/>
        </w:rPr>
        <w:t xml:space="preserve">九十（90）天</w:t>
      </w:r>
      <w:r>
        <w:rPr>
          <w:rFonts w:hint="eastAsia" w:ascii="宋体" w:hAnsi="宋体"/>
          <w:bCs/>
          <w:color w:val="000000" w:themeColor="text1"/>
          <w:sz w:val="24"/>
          <w:highlight w:val="none"/>
        </w:rPr>
        <w:t xml:space="preserve">。投标有效期比规定短的将被视为未实质性响应招标</w:t>
      </w:r>
      <w:r>
        <w:rPr>
          <w:rFonts w:ascii="宋体" w:hAnsi="宋体"/>
          <w:bCs/>
          <w:color w:val="000000" w:themeColor="text1"/>
          <w:sz w:val="24"/>
          <w:highlight w:val="none"/>
        </w:rPr>
        <w:t xml:space="preserve">文件</w:t>
      </w:r>
      <w:r>
        <w:rPr>
          <w:rFonts w:hint="eastAsia" w:ascii="宋体" w:hAnsi="宋体"/>
          <w:bCs/>
          <w:color w:val="000000" w:themeColor="text1"/>
          <w:sz w:val="24"/>
          <w:highlight w:val="none"/>
        </w:rPr>
        <w:t xml:space="preserve">而予以拒绝。</w:t>
      </w:r>
      <w:r/>
    </w:p>
    <w:p>
      <w:pPr>
        <w:pStyle w:val="855"/>
        <w:ind w:firstLine="422"/>
        <w:keepLines w:val="0"/>
        <w:keepNext w:val="0"/>
        <w:spacing w:before="0" w:after="0" w:line="360" w:lineRule="auto"/>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16.投标有效期的延长</w:t>
      </w:r>
      <w:r/>
    </w:p>
    <w:p>
      <w:pPr>
        <w:ind w:firstLine="480"/>
        <w:spacing w:line="360" w:lineRule="auto"/>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16.1</w:t>
      </w:r>
      <w:r>
        <w:rPr>
          <w:rFonts w:hint="eastAsia" w:ascii="宋体" w:hAnsi="宋体"/>
          <w:bCs/>
          <w:color w:val="000000" w:themeColor="text1"/>
          <w:sz w:val="24"/>
          <w:highlight w:val="none"/>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themeColor="text1"/>
          <w:sz w:val="24"/>
          <w:szCs w:val="24"/>
          <w:highlight w:val="none"/>
        </w:rPr>
        <w:t xml:space="preserve">。</w:t>
      </w:r>
      <w:r>
        <w:rPr>
          <w:rFonts w:hint="eastAsia" w:ascii="宋体" w:hAnsi="宋体"/>
          <w:bCs/>
          <w:color w:val="000000" w:themeColor="text1"/>
          <w:sz w:val="24"/>
          <w:highlight w:val="none"/>
        </w:rPr>
        <w:t xml:space="preserve">同意延长投标有效期的投标人既不能要求也不允许修改其投标文件</w:t>
      </w:r>
      <w:r>
        <w:rPr>
          <w:rFonts w:hint="eastAsia" w:ascii="宋体" w:hAnsi="宋体"/>
          <w:color w:val="000000" w:themeColor="text1"/>
          <w:sz w:val="24"/>
          <w:szCs w:val="24"/>
          <w:highlight w:val="none"/>
        </w:rPr>
        <w:t xml:space="preserve">，同时受投标有效期约束的所有权利与义务均延长至新的有效期</w:t>
      </w:r>
      <w:r>
        <w:rPr>
          <w:rFonts w:hint="eastAsia" w:ascii="宋体" w:hAnsi="宋体"/>
          <w:bCs/>
          <w:color w:val="000000" w:themeColor="text1"/>
          <w:sz w:val="24"/>
          <w:highlight w:val="none"/>
        </w:rPr>
        <w:t xml:space="preserve">。</w:t>
      </w:r>
      <w:r/>
    </w:p>
    <w:p>
      <w:pPr>
        <w:pStyle w:val="854"/>
        <w:ind w:firstLine="452"/>
        <w:keepLines w:val="0"/>
        <w:keepNext w:val="0"/>
        <w:spacing w:before="0" w:after="0" w:line="360" w:lineRule="auto"/>
        <w:rPr>
          <w:rFonts w:hint="eastAsia"/>
          <w:color w:val="000000" w:themeColor="text1"/>
          <w:sz w:val="30"/>
          <w:szCs w:val="30"/>
          <w:highlight w:val="none"/>
        </w:rPr>
      </w:pPr>
      <w:r/>
      <w:bookmarkStart w:id="126" w:name="_Hlt26954852"/>
      <w:r/>
      <w:bookmarkEnd w:id="126"/>
      <w:r/>
      <w:bookmarkStart w:id="127" w:name="_Hlt26954739"/>
      <w:r/>
      <w:bookmarkEnd w:id="127"/>
      <w:r/>
      <w:bookmarkStart w:id="128" w:name="_Toc513029224"/>
      <w:r/>
      <w:bookmarkStart w:id="129" w:name="_Toc120614217"/>
      <w:r/>
      <w:bookmarkStart w:id="130" w:name="_Toc16938540"/>
      <w:r/>
      <w:bookmarkStart w:id="131" w:name="_Toc20823296"/>
      <w:r>
        <w:rPr>
          <w:rFonts w:hint="eastAsia"/>
          <w:color w:val="000000" w:themeColor="text1"/>
          <w:sz w:val="30"/>
          <w:szCs w:val="30"/>
          <w:highlight w:val="none"/>
        </w:rPr>
        <w:t xml:space="preserve">四、投标文件的递交</w:t>
      </w:r>
      <w:bookmarkEnd w:id="128"/>
      <w:r/>
      <w:bookmarkEnd w:id="129"/>
      <w:r/>
      <w:bookmarkEnd w:id="130"/>
      <w:r/>
      <w:bookmarkEnd w:id="131"/>
      <w:r/>
      <w:r/>
    </w:p>
    <w:p>
      <w:pPr>
        <w:pStyle w:val="855"/>
        <w:ind w:firstLine="422"/>
        <w:keepLines w:val="0"/>
        <w:keepNext w:val="0"/>
        <w:spacing w:before="0" w:after="0" w:line="360" w:lineRule="auto"/>
        <w:rPr>
          <w:rFonts w:hint="eastAsia" w:ascii="宋体" w:hAnsi="宋体" w:eastAsia="宋体"/>
          <w:bCs w:val="0"/>
          <w:color w:val="000000" w:themeColor="text1"/>
          <w:highlight w:val="none"/>
        </w:rPr>
      </w:pPr>
      <w:r/>
      <w:bookmarkStart w:id="132" w:name="_Toc513029225"/>
      <w:r/>
      <w:bookmarkStart w:id="133" w:name="_Toc16938541"/>
      <w:r/>
      <w:bookmarkStart w:id="134" w:name="_Toc462564084"/>
      <w:r/>
      <w:bookmarkStart w:id="135" w:name="_Toc20823297"/>
      <w:r>
        <w:rPr>
          <w:rFonts w:hint="eastAsia" w:ascii="宋体" w:hAnsi="宋体" w:eastAsia="宋体"/>
          <w:bCs w:val="0"/>
          <w:color w:val="000000" w:themeColor="text1"/>
          <w:highlight w:val="none"/>
        </w:rPr>
        <w:t xml:space="preserve">17.投标文件</w:t>
      </w:r>
      <w:bookmarkEnd w:id="132"/>
      <w:r/>
      <w:bookmarkEnd w:id="133"/>
      <w:r/>
      <w:bookmarkEnd w:id="134"/>
      <w:r/>
      <w:bookmarkEnd w:id="135"/>
      <w:r>
        <w:rPr>
          <w:rFonts w:hint="eastAsia" w:ascii="宋体" w:hAnsi="宋体" w:eastAsia="宋体"/>
          <w:bCs w:val="0"/>
          <w:color w:val="000000" w:themeColor="text1"/>
          <w:highlight w:val="none"/>
        </w:rPr>
        <w:t xml:space="preserve">的递交</w:t>
      </w:r>
      <w:r/>
    </w:p>
    <w:p>
      <w:pPr>
        <w:ind w:firstLine="480"/>
        <w:spacing w:line="360" w:lineRule="auto"/>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17.1</w:t>
      </w:r>
      <w:r>
        <w:rPr>
          <w:rFonts w:hint="eastAsia" w:ascii="宋体" w:hAnsi="宋体"/>
          <w:bCs/>
          <w:color w:val="000000" w:themeColor="text1"/>
          <w:sz w:val="24"/>
          <w:highlight w:val="none"/>
        </w:rPr>
        <w:t xml:space="preserve">电子投标文件的递交</w:t>
      </w:r>
      <w:r/>
    </w:p>
    <w:p>
      <w:pPr>
        <w:pStyle w:val="964"/>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投标人应当按照《操作手册》规定，在投标截止时间前</w:t>
      </w:r>
      <w:r>
        <w:rPr>
          <w:rFonts w:ascii="宋体" w:hAnsi="宋体"/>
          <w:bCs/>
          <w:color w:val="000000" w:themeColor="text1"/>
          <w:sz w:val="24"/>
          <w:highlight w:val="none"/>
        </w:rPr>
        <w:t xml:space="preserve">制作</w:t>
      </w:r>
      <w:r>
        <w:rPr>
          <w:rFonts w:hint="eastAsia" w:ascii="宋体" w:hAnsi="宋体"/>
          <w:bCs/>
          <w:color w:val="000000" w:themeColor="text1"/>
          <w:sz w:val="24"/>
          <w:highlight w:val="none"/>
        </w:rPr>
        <w:t xml:space="preserve">并上传电子投标文件。</w:t>
      </w:r>
      <w:bookmarkStart w:id="136" w:name="_Toc16938542"/>
      <w:r/>
      <w:bookmarkStart w:id="137" w:name="_Toc20823298"/>
      <w:r/>
      <w:bookmarkStart w:id="138" w:name="_Toc513029226"/>
      <w:r/>
      <w:r/>
    </w:p>
    <w:p>
      <w:pPr>
        <w:pStyle w:val="855"/>
        <w:ind w:firstLine="422"/>
        <w:keepLines w:val="0"/>
        <w:keepNext w:val="0"/>
        <w:spacing w:before="0" w:after="0" w:line="360" w:lineRule="auto"/>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18.投标截止</w:t>
      </w:r>
      <w:bookmarkEnd w:id="136"/>
      <w:r/>
      <w:bookmarkEnd w:id="137"/>
      <w:r/>
      <w:bookmarkEnd w:id="138"/>
      <w:r>
        <w:rPr>
          <w:rFonts w:hint="eastAsia" w:ascii="宋体" w:hAnsi="宋体" w:eastAsia="宋体"/>
          <w:bCs w:val="0"/>
          <w:color w:val="000000" w:themeColor="text1"/>
          <w:highlight w:val="none"/>
        </w:rPr>
        <w:t xml:space="preserve">时间</w:t>
      </w:r>
      <w:r/>
    </w:p>
    <w:p>
      <w:pPr>
        <w:ind w:firstLine="480"/>
        <w:spacing w:line="360" w:lineRule="auto"/>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18.1</w:t>
      </w:r>
      <w:r>
        <w:rPr>
          <w:rFonts w:hint="eastAsia" w:ascii="宋体" w:hAnsi="宋体"/>
          <w:bCs/>
          <w:color w:val="000000" w:themeColor="text1"/>
          <w:sz w:val="24"/>
          <w:highlight w:val="none"/>
        </w:rPr>
        <w:t xml:space="preserve">投标人上传电子投标文件的时间不得迟于招标公告中规定的投标截止时间。</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投标人应充分考虑网络环境、网络带宽等风险因素，如因投标人自身原因造成的电子投标文件上传不成功的视作投标人未按照招标文件要求上传电子投标文件，作无效投标处理。</w:t>
      </w:r>
      <w:r/>
    </w:p>
    <w:p>
      <w:pPr>
        <w:ind w:firstLine="480"/>
        <w:spacing w:line="360" w:lineRule="auto"/>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18.2</w:t>
      </w:r>
      <w:r>
        <w:rPr>
          <w:rFonts w:hint="eastAsia" w:ascii="宋体" w:hAnsi="宋体"/>
          <w:bCs/>
          <w:color w:val="000000" w:themeColor="text1"/>
          <w:sz w:val="24"/>
          <w:highlight w:val="none"/>
        </w:rPr>
        <w:t xml:space="preserve">交易中心可以按照规定，通过更正公告修改投标截止时间，投标人的所有权利和义务以及投标人受制的截止时间均应以延长后新的截止时间为准。</w:t>
      </w:r>
      <w:r/>
    </w:p>
    <w:p>
      <w:pPr>
        <w:pStyle w:val="855"/>
        <w:ind w:firstLine="422"/>
        <w:keepLines w:val="0"/>
        <w:keepNext w:val="0"/>
        <w:spacing w:before="0" w:after="0" w:line="360" w:lineRule="auto"/>
        <w:rPr>
          <w:rFonts w:hint="eastAsia" w:ascii="宋体" w:hAnsi="宋体" w:eastAsia="宋体"/>
          <w:bCs w:val="0"/>
          <w:color w:val="000000" w:themeColor="text1"/>
          <w:highlight w:val="none"/>
        </w:rPr>
      </w:pPr>
      <w:r/>
      <w:bookmarkStart w:id="139" w:name="_Toc16938543"/>
      <w:r/>
      <w:bookmarkStart w:id="140" w:name="_Toc20823299"/>
      <w:r/>
      <w:bookmarkStart w:id="141" w:name="_Toc513029227"/>
      <w:r>
        <w:rPr>
          <w:rFonts w:hint="eastAsia" w:ascii="宋体" w:hAnsi="宋体" w:eastAsia="宋体"/>
          <w:bCs w:val="0"/>
          <w:color w:val="000000" w:themeColor="text1"/>
          <w:highlight w:val="none"/>
        </w:rPr>
        <w:t xml:space="preserve">19.投标文件</w:t>
      </w:r>
      <w:bookmarkEnd w:id="139"/>
      <w:r/>
      <w:bookmarkEnd w:id="140"/>
      <w:r/>
      <w:bookmarkEnd w:id="141"/>
      <w:r>
        <w:rPr>
          <w:rFonts w:hint="eastAsia" w:ascii="宋体" w:hAnsi="宋体" w:eastAsia="宋体"/>
          <w:bCs w:val="0"/>
          <w:color w:val="000000" w:themeColor="text1"/>
          <w:highlight w:val="none"/>
        </w:rPr>
        <w:t xml:space="preserve">的拒收</w:t>
      </w:r>
      <w:r/>
    </w:p>
    <w:p>
      <w:pPr>
        <w:ind w:firstLine="480"/>
        <w:spacing w:line="360" w:lineRule="auto"/>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19.1</w:t>
      </w:r>
      <w:r>
        <w:rPr>
          <w:rFonts w:hint="eastAsia" w:ascii="宋体" w:hAnsi="宋体"/>
          <w:bCs/>
          <w:color w:val="000000" w:themeColor="text1"/>
          <w:sz w:val="24"/>
          <w:highlight w:val="none"/>
        </w:rPr>
        <w:t xml:space="preserve">交易中心拒绝接收在其规定的投标截止时间后上传的任何投标文件。</w:t>
      </w:r>
      <w:r/>
    </w:p>
    <w:p>
      <w:pPr>
        <w:pStyle w:val="855"/>
        <w:ind w:firstLine="422"/>
        <w:keepLines w:val="0"/>
        <w:keepNext w:val="0"/>
        <w:spacing w:before="0" w:after="0" w:line="360" w:lineRule="auto"/>
        <w:rPr>
          <w:rFonts w:hint="eastAsia" w:ascii="宋体" w:hAnsi="宋体" w:eastAsia="宋体"/>
          <w:bCs w:val="0"/>
          <w:color w:val="000000" w:themeColor="text1"/>
          <w:highlight w:val="none"/>
        </w:rPr>
      </w:pPr>
      <w:r/>
      <w:bookmarkStart w:id="142" w:name="_Toc513029228"/>
      <w:r/>
      <w:bookmarkStart w:id="143" w:name="_Toc16938544"/>
      <w:r/>
      <w:bookmarkStart w:id="144" w:name="_Toc20823300"/>
      <w:r>
        <w:rPr>
          <w:rFonts w:hint="eastAsia" w:ascii="宋体" w:hAnsi="宋体" w:eastAsia="宋体"/>
          <w:bCs w:val="0"/>
          <w:color w:val="000000" w:themeColor="text1"/>
          <w:highlight w:val="none"/>
        </w:rPr>
        <w:t xml:space="preserve">20.投标文件的撤回和修改</w:t>
      </w:r>
      <w:bookmarkEnd w:id="142"/>
      <w:r/>
      <w:bookmarkEnd w:id="143"/>
      <w:r/>
      <w:bookmarkEnd w:id="144"/>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20.1投标文件的撤回</w:t>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21.1.1电子投标文件的撤回</w:t>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投标人可在投标截止时间前，撤回其电子投标文件，具体操作方法见《操作手册》。</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21.1.</w:t>
      </w: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投标人撤回电子投标文件，则认为其不再参与本项目投标活动。</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20.2投标文件的修改</w:t>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20.2.1投标人可在投标截止时间前，对其电子投标文件进行修改，具体操作方法见《操作手册》。</w:t>
      </w:r>
      <w:r/>
    </w:p>
    <w:p>
      <w:pPr>
        <w:ind w:firstLine="480"/>
        <w:spacing w:line="360" w:lineRule="auto"/>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20.2.2</w:t>
      </w:r>
      <w:r>
        <w:rPr>
          <w:rFonts w:hint="eastAsia" w:ascii="宋体" w:hAnsi="宋体"/>
          <w:bCs/>
          <w:color w:val="000000" w:themeColor="text1"/>
          <w:sz w:val="24"/>
          <w:highlight w:val="none"/>
        </w:rPr>
        <w:t xml:space="preserve">在投标截止时间之后，投标人不得对其电子投标文件作任何修改。</w:t>
      </w:r>
      <w:r/>
    </w:p>
    <w:p>
      <w:pPr>
        <w:ind w:firstLine="480"/>
        <w:spacing w:line="360" w:lineRule="auto"/>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20.3</w:t>
      </w:r>
      <w:r>
        <w:rPr>
          <w:rFonts w:hint="eastAsia" w:ascii="宋体" w:hAnsi="宋体"/>
          <w:bCs/>
          <w:color w:val="000000" w:themeColor="text1"/>
          <w:sz w:val="24"/>
          <w:highlight w:val="none"/>
        </w:rPr>
        <w:t xml:space="preserve">在投标截止时间至招标文件中规定的投标有效期满之间的这段时间内，投标人不得撤回其投标。</w:t>
      </w:r>
      <w:r/>
    </w:p>
    <w:p>
      <w:pPr>
        <w:pStyle w:val="854"/>
        <w:ind w:firstLine="452"/>
        <w:keepLines w:val="0"/>
        <w:keepNext w:val="0"/>
        <w:spacing w:before="0" w:after="0" w:line="360" w:lineRule="auto"/>
        <w:rPr>
          <w:rFonts w:hint="eastAsia"/>
          <w:color w:val="000000" w:themeColor="text1"/>
          <w:sz w:val="30"/>
          <w:szCs w:val="30"/>
          <w:highlight w:val="none"/>
        </w:rPr>
      </w:pPr>
      <w:r/>
      <w:bookmarkStart w:id="145" w:name="_Toc513029229"/>
      <w:r/>
      <w:bookmarkStart w:id="146" w:name="_Toc120614218"/>
      <w:r/>
      <w:bookmarkStart w:id="147" w:name="_Toc20823301"/>
      <w:r/>
      <w:bookmarkStart w:id="148" w:name="_Toc16938545"/>
      <w:r>
        <w:rPr>
          <w:rFonts w:hint="eastAsia"/>
          <w:color w:val="000000" w:themeColor="text1"/>
          <w:sz w:val="30"/>
          <w:szCs w:val="30"/>
          <w:highlight w:val="none"/>
        </w:rPr>
        <w:t xml:space="preserve">五、开标与评标</w:t>
      </w:r>
      <w:bookmarkEnd w:id="145"/>
      <w:r/>
      <w:bookmarkEnd w:id="146"/>
      <w:r/>
      <w:bookmarkEnd w:id="147"/>
      <w:r/>
      <w:bookmarkEnd w:id="148"/>
      <w:r/>
      <w:r/>
    </w:p>
    <w:p>
      <w:pPr>
        <w:pStyle w:val="855"/>
        <w:ind w:firstLine="422"/>
        <w:keepLines w:val="0"/>
        <w:keepNext w:val="0"/>
        <w:spacing w:before="0" w:after="0" w:line="360" w:lineRule="auto"/>
        <w:rPr>
          <w:rFonts w:hint="eastAsia" w:ascii="宋体" w:hAnsi="宋体" w:eastAsia="宋体"/>
          <w:bCs w:val="0"/>
          <w:color w:val="000000" w:themeColor="text1"/>
          <w:highlight w:val="none"/>
        </w:rPr>
      </w:pPr>
      <w:r/>
      <w:bookmarkStart w:id="149" w:name="_Toc513029230"/>
      <w:r/>
      <w:bookmarkStart w:id="150" w:name="_Toc20823302"/>
      <w:r/>
      <w:bookmarkStart w:id="151" w:name="_Toc16938546"/>
      <w:r>
        <w:rPr>
          <w:rFonts w:hint="eastAsia" w:ascii="宋体" w:hAnsi="宋体" w:eastAsia="宋体"/>
          <w:bCs w:val="0"/>
          <w:color w:val="000000" w:themeColor="text1"/>
          <w:highlight w:val="none"/>
        </w:rPr>
        <w:t xml:space="preserve">21.开标</w:t>
      </w:r>
      <w:bookmarkEnd w:id="149"/>
      <w:r/>
      <w:bookmarkEnd w:id="150"/>
      <w:r/>
      <w:bookmarkEnd w:id="151"/>
      <w:r/>
      <w:r/>
    </w:p>
    <w:p>
      <w:pPr>
        <w:ind w:firstLine="480"/>
        <w:spacing w:line="360" w:lineRule="auto"/>
        <w:rPr>
          <w:rFonts w:hint="eastAsia"/>
          <w:color w:val="000000" w:themeColor="text1"/>
          <w:highlight w:val="none"/>
        </w:rPr>
      </w:pPr>
      <w:r>
        <w:rPr>
          <w:rFonts w:hint="eastAsia" w:ascii="宋体" w:hAnsi="宋体"/>
          <w:color w:val="000000" w:themeColor="text1"/>
          <w:sz w:val="24"/>
          <w:highlight w:val="none"/>
        </w:rPr>
        <w:t xml:space="preserve">21.1</w:t>
      </w:r>
      <w:r>
        <w:rPr>
          <w:rFonts w:hint="eastAsia" w:ascii="宋体" w:hAnsi="宋体"/>
          <w:bCs/>
          <w:color w:val="000000" w:themeColor="text1"/>
          <w:sz w:val="24"/>
          <w:highlight w:val="none"/>
        </w:rPr>
        <w:t xml:space="preserve">交易中心将在招标公告中规定的时间和地点组织公开开标</w:t>
      </w:r>
      <w:r>
        <w:rPr>
          <w:rFonts w:hint="eastAsia" w:ascii="宋体" w:hAnsi="宋体"/>
          <w:color w:val="000000" w:themeColor="text1"/>
          <w:sz w:val="24"/>
          <w:szCs w:val="24"/>
          <w:highlight w:val="none"/>
        </w:rPr>
        <w:t xml:space="preserve">。投标人应当按照《操作手册》规定，</w:t>
      </w:r>
      <w:r>
        <w:rPr>
          <w:rFonts w:ascii="宋体" w:hAnsi="宋体"/>
          <w:color w:val="000000" w:themeColor="text1"/>
          <w:sz w:val="24"/>
          <w:szCs w:val="24"/>
          <w:highlight w:val="none"/>
        </w:rPr>
        <w:t xml:space="preserve">参加开标活动</w:t>
      </w:r>
      <w:r>
        <w:rPr>
          <w:rFonts w:hint="eastAsia" w:ascii="宋体" w:hAnsi="宋体"/>
          <w:color w:val="000000" w:themeColor="text1"/>
          <w:sz w:val="24"/>
          <w:szCs w:val="24"/>
          <w:highlight w:val="none"/>
        </w:rPr>
        <w:t xml:space="preserve">和在</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规定的时间内对投标文件进行解密。</w:t>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21.2开标仪式由交易中心组织。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将自动对</w:t>
      </w:r>
      <w:r>
        <w:rPr>
          <w:rFonts w:ascii="宋体" w:hAnsi="宋体"/>
          <w:color w:val="000000" w:themeColor="text1"/>
          <w:sz w:val="24"/>
          <w:highlight w:val="none"/>
        </w:rPr>
        <w:t xml:space="preserve">项目进行开标，并</w:t>
      </w:r>
      <w:r>
        <w:rPr>
          <w:rFonts w:hint="eastAsia" w:ascii="宋体" w:hAnsi="宋体"/>
          <w:color w:val="000000" w:themeColor="text1"/>
          <w:sz w:val="24"/>
          <w:highlight w:val="none"/>
        </w:rPr>
        <w:t xml:space="preserve">宣布各</w:t>
      </w:r>
      <w:r>
        <w:rPr>
          <w:rFonts w:ascii="宋体" w:hAnsi="宋体"/>
          <w:color w:val="000000" w:themeColor="text1"/>
          <w:sz w:val="24"/>
          <w:highlight w:val="none"/>
        </w:rPr>
        <w:t xml:space="preserve">投标人</w:t>
      </w:r>
      <w:r>
        <w:rPr>
          <w:rFonts w:hint="eastAsia" w:ascii="宋体" w:hAnsi="宋体"/>
          <w:color w:val="000000" w:themeColor="text1"/>
          <w:sz w:val="24"/>
          <w:highlight w:val="none"/>
        </w:rPr>
        <w:t xml:space="preserve">名称和投标价格。</w:t>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21.3投标人在开标过程中涉及的投标文件解密、开标结果确认等工作，应按照《操作手册》规定执行。</w:t>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21.4投标人如果对开标过程和开标记录有疑义，应当根据《操作手册》规定提出，如</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中《开标记录表》宣布后5分钟内未提出的，视同认可开标结果。</w:t>
      </w:r>
      <w:r/>
    </w:p>
    <w:p>
      <w:pPr>
        <w:pStyle w:val="855"/>
        <w:ind w:firstLine="422"/>
        <w:keepLines w:val="0"/>
        <w:keepNext w:val="0"/>
        <w:spacing w:before="0" w:after="0" w:line="360" w:lineRule="auto"/>
        <w:rPr>
          <w:rFonts w:hint="eastAsia" w:ascii="宋体" w:hAnsi="宋体" w:eastAsia="宋体"/>
          <w:bCs w:val="0"/>
          <w:color w:val="000000" w:themeColor="text1"/>
          <w:highlight w:val="none"/>
        </w:rPr>
      </w:pPr>
      <w:r/>
      <w:bookmarkStart w:id="152" w:name="_Toc513029231"/>
      <w:r/>
      <w:bookmarkStart w:id="153" w:name="_Toc20823303"/>
      <w:r/>
      <w:bookmarkStart w:id="154" w:name="_Toc16938547"/>
      <w:r>
        <w:rPr>
          <w:rFonts w:hint="eastAsia" w:ascii="宋体" w:hAnsi="宋体" w:eastAsia="宋体"/>
          <w:bCs w:val="0"/>
          <w:color w:val="000000" w:themeColor="text1"/>
          <w:highlight w:val="none"/>
        </w:rPr>
        <w:t xml:space="preserve">22.评标委员会</w:t>
      </w:r>
      <w:r/>
    </w:p>
    <w:p>
      <w:pPr>
        <w:ind w:firstLine="480"/>
        <w:spacing w:line="360" w:lineRule="auto"/>
        <w:rPr>
          <w:rFonts w:hint="eastAsia" w:ascii="宋体" w:hAnsi="宋体"/>
          <w:b/>
          <w:color w:val="000000" w:themeColor="text1"/>
          <w:sz w:val="24"/>
          <w:szCs w:val="24"/>
          <w:highlight w:val="none"/>
        </w:rPr>
      </w:pPr>
      <w:r>
        <w:rPr>
          <w:rFonts w:hint="eastAsia" w:ascii="宋体" w:hAnsi="宋体"/>
          <w:color w:val="000000" w:themeColor="text1"/>
          <w:sz w:val="24"/>
          <w:szCs w:val="24"/>
          <w:highlight w:val="none"/>
        </w:rPr>
        <w:t xml:space="preserve">22.1开标后，交易中心将立即组织评标委员会（以下简称评委会）进行评标。</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22.2评委会依法组建，且人员构成符合政府采购有关规定。</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22.3评委会独立工作，负责对招标</w:t>
      </w:r>
      <w:r>
        <w:rPr>
          <w:rFonts w:hint="eastAsia" w:ascii="宋体" w:hAnsi="宋体"/>
          <w:color w:val="000000" w:themeColor="text1"/>
          <w:sz w:val="24"/>
          <w:highlight w:val="none"/>
        </w:rPr>
        <w:t xml:space="preserve">文件进行审核，确认其不存在歧视性、排他性等不合理条款后，开始</w:t>
      </w:r>
      <w:r>
        <w:rPr>
          <w:rFonts w:hint="eastAsia" w:ascii="宋体" w:hAnsi="宋体"/>
          <w:color w:val="000000" w:themeColor="text1"/>
          <w:sz w:val="24"/>
          <w:szCs w:val="24"/>
          <w:highlight w:val="none"/>
        </w:rPr>
        <w:t xml:space="preserve">负责评审所有投标文件并确定中标候选人。</w:t>
      </w:r>
      <w:r/>
    </w:p>
    <w:p>
      <w:pPr>
        <w:pStyle w:val="855"/>
        <w:ind w:firstLine="422"/>
        <w:keepLines w:val="0"/>
        <w:keepNext w:val="0"/>
        <w:spacing w:before="0" w:after="0" w:line="360" w:lineRule="auto"/>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23.评标过程的保密与公正</w:t>
      </w:r>
      <w:bookmarkEnd w:id="152"/>
      <w:bookmarkEnd w:id="153"/>
      <w:bookmarkEnd w:id="154"/>
      <w:r/>
    </w:p>
    <w:p>
      <w:pPr>
        <w:ind w:firstLine="480"/>
        <w:spacing w:line="360" w:lineRule="auto"/>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23.1</w:t>
      </w:r>
      <w:r>
        <w:rPr>
          <w:rFonts w:hint="eastAsia" w:ascii="宋体" w:hAnsi="宋体"/>
          <w:bCs/>
          <w:color w:val="000000" w:themeColor="text1"/>
          <w:sz w:val="24"/>
          <w:highlight w:val="none"/>
        </w:rPr>
        <w:t xml:space="preserve">凡是与审查、澄清、评价和比较投标的有关资料以及授标建议等，采购人、评委、交易中心均不得向投标人或与评标无关的其他人员透露。</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highlight w:val="none"/>
        </w:rPr>
        <w:t xml:space="preserve">23.2</w:t>
      </w:r>
      <w:r>
        <w:rPr>
          <w:rFonts w:hint="eastAsia" w:ascii="宋体" w:hAnsi="宋体"/>
          <w:color w:val="000000" w:themeColor="text1"/>
          <w:sz w:val="24"/>
          <w:szCs w:val="24"/>
          <w:highlight w:val="none"/>
        </w:rPr>
        <w:t xml:space="preserve">在评标过程中，投标人不得以任何行为影响评标过程，否则其投标文件将被作为无效投标文件。</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w:t>
      </w:r>
      <w:r>
        <w:rPr>
          <w:rFonts w:ascii="宋体" w:hAnsi="宋体"/>
          <w:color w:val="000000" w:themeColor="text1"/>
          <w:sz w:val="24"/>
          <w:szCs w:val="24"/>
          <w:highlight w:val="none"/>
        </w:rPr>
        <w:t xml:space="preserve">3</w:t>
      </w:r>
      <w:r>
        <w:rPr>
          <w:rFonts w:hint="eastAsia" w:ascii="宋体" w:hAnsi="宋体"/>
          <w:color w:val="000000" w:themeColor="text1"/>
          <w:sz w:val="24"/>
          <w:szCs w:val="24"/>
          <w:highlight w:val="none"/>
        </w:rPr>
        <w:t xml:space="preserve">交易中心和评标委员会不向未中标的投标人解释未中标原因，也不公布评标过程中的相关细节。</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23.4采用综合评分法的项目，未中标的投标人可于中标结果公告发布后通过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查看自己的评审得分及排序情况。</w:t>
      </w:r>
      <w:r/>
    </w:p>
    <w:p>
      <w:pPr>
        <w:pStyle w:val="855"/>
        <w:ind w:firstLine="422"/>
        <w:keepLines w:val="0"/>
        <w:keepNext w:val="0"/>
        <w:spacing w:before="0" w:after="0" w:line="360" w:lineRule="auto"/>
        <w:rPr>
          <w:rFonts w:hint="eastAsia" w:ascii="宋体" w:hAnsi="宋体" w:eastAsia="宋体"/>
          <w:bCs w:val="0"/>
          <w:color w:val="000000" w:themeColor="text1"/>
          <w:highlight w:val="none"/>
        </w:rPr>
      </w:pPr>
      <w:r/>
      <w:bookmarkStart w:id="155" w:name="_Toc16938548"/>
      <w:r/>
      <w:bookmarkStart w:id="156" w:name="_Toc513029232"/>
      <w:r/>
      <w:bookmarkStart w:id="157" w:name="_Toc20823304"/>
      <w:r>
        <w:rPr>
          <w:rFonts w:hint="eastAsia" w:ascii="宋体" w:hAnsi="宋体" w:eastAsia="宋体"/>
          <w:bCs w:val="0"/>
          <w:color w:val="000000" w:themeColor="text1"/>
          <w:highlight w:val="none"/>
        </w:rPr>
        <w:t xml:space="preserve">24.投标文件的澄清</w:t>
      </w:r>
      <w:bookmarkEnd w:id="155"/>
      <w:r/>
      <w:bookmarkEnd w:id="156"/>
      <w:r/>
      <w:bookmarkEnd w:id="157"/>
      <w:r/>
      <w:r/>
    </w:p>
    <w:p>
      <w:pPr>
        <w:ind w:firstLine="480"/>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投标人的澄清、说明或者补正不得超出投标文件的范围或者改变投标文件的实质性内容。</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24.2需要供应商进行澄清、说明和补正的，评委会将通过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向供应商发出“澄清要求函”，接到“澄清要求函”的投标人应当按照要求在</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中提交“澄清响应函”并加盖CA电子公章。澄清、说明和补正的内容作为投标文件的补充部分，具体操作方式见《操作手册》。</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24.3接到评委会澄清、说明和补正要求的投标人如未按规定及时做出澄清、说明和补正，其风险由投标人自行承担。</w:t>
      </w:r>
      <w:r/>
    </w:p>
    <w:p>
      <w:pPr>
        <w:pStyle w:val="682"/>
        <w:ind w:firstLine="482"/>
        <w:spacing w:line="360" w:lineRule="auto"/>
        <w:rPr>
          <w:rFonts w:hint="eastAsia" w:ascii="宋体" w:hAnsi="宋体"/>
          <w:b/>
          <w:bCs/>
          <w:color w:val="000000" w:themeColor="text1"/>
          <w:sz w:val="24"/>
          <w:szCs w:val="24"/>
          <w:highlight w:val="none"/>
        </w:rPr>
      </w:pPr>
      <w:r>
        <w:rPr>
          <w:rFonts w:hint="eastAsia" w:ascii="宋体" w:hAnsi="宋体" w:eastAsia="宋体"/>
          <w:b/>
          <w:bCs/>
          <w:sz w:val="24"/>
          <w:szCs w:val="24"/>
          <w:highlight w:val="none"/>
          <w:lang w:eastAsia="zh-CN"/>
        </w:rPr>
        <w:t xml:space="preserve">24.4请投标人实时关注评标过程，一旦发现有询标函，请按时回复，因此项目设置暗标，询标时无法通过系统以外途径通知投标单位，请投标人密切关注评标过程，因投标人未尽注意义务，而造成的损失及风险（包括但不限于未中标）由投标人自行承担。</w:t>
      </w:r>
      <w:r/>
    </w:p>
    <w:p>
      <w:pPr>
        <w:pStyle w:val="855"/>
        <w:ind w:firstLine="422"/>
        <w:keepLines w:val="0"/>
        <w:keepNext w:val="0"/>
        <w:spacing w:before="0" w:after="0" w:line="360" w:lineRule="auto"/>
        <w:rPr>
          <w:rFonts w:hint="eastAsia" w:ascii="宋体" w:hAnsi="宋体" w:eastAsia="宋体"/>
          <w:bCs w:val="0"/>
          <w:color w:val="000000" w:themeColor="text1"/>
          <w:highlight w:val="none"/>
        </w:rPr>
      </w:pPr>
      <w:r/>
      <w:bookmarkStart w:id="158" w:name="_Toc16938549"/>
      <w:r/>
      <w:bookmarkStart w:id="159" w:name="_Toc513029233"/>
      <w:r/>
      <w:bookmarkStart w:id="160" w:name="_Toc20823305"/>
      <w:r>
        <w:rPr>
          <w:rFonts w:hint="eastAsia" w:ascii="宋体" w:hAnsi="宋体" w:eastAsia="宋体"/>
          <w:bCs w:val="0"/>
          <w:color w:val="000000" w:themeColor="text1"/>
          <w:highlight w:val="none"/>
        </w:rPr>
        <w:t xml:space="preserve">25.对投标文件的初审</w:t>
      </w:r>
      <w:bookmarkEnd w:id="158"/>
      <w:r/>
      <w:bookmarkEnd w:id="159"/>
      <w:r/>
      <w:bookmarkEnd w:id="160"/>
      <w:r/>
      <w:r/>
    </w:p>
    <w:p>
      <w:pPr>
        <w:ind w:firstLine="480"/>
        <w:spacing w:line="360" w:lineRule="auto"/>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25.1</w:t>
      </w:r>
      <w:r>
        <w:rPr>
          <w:rFonts w:hint="eastAsia" w:ascii="宋体" w:hAnsi="宋体"/>
          <w:bCs/>
          <w:color w:val="000000" w:themeColor="text1"/>
          <w:sz w:val="24"/>
          <w:highlight w:val="none"/>
        </w:rPr>
        <w:t xml:space="preserve">投标文件初审分为资格审查和符合性审查。</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25.1.1资格审查：依据法律法规和招标文件的规定，由采购人对投标文件中的资格证明文件进行审查。</w:t>
      </w:r>
      <w:r/>
    </w:p>
    <w:p>
      <w:pPr>
        <w:ind w:firstLine="48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采购人在进行资格审查的同时，将</w:t>
      </w:r>
      <w:r>
        <w:rPr>
          <w:rFonts w:hint="eastAsia" w:ascii="宋体" w:hAnsi="宋体" w:cs="宋体"/>
          <w:bCs/>
          <w:color w:val="000000" w:themeColor="text1"/>
          <w:sz w:val="24"/>
          <w:szCs w:val="24"/>
          <w:highlight w:val="none"/>
        </w:rPr>
        <w:t xml:space="preserve">通过“信用中国”网站（</w:t>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HYPERLINK "http://www.creditchina.gov.cn"</w:instrText>
      </w:r>
      <w:r>
        <w:rPr>
          <w:rFonts w:hint="eastAsia" w:ascii="宋体" w:hAnsi="宋体" w:cs="宋体"/>
          <w:color w:val="000000" w:themeColor="text1"/>
          <w:highlight w:val="none"/>
        </w:rPr>
        <w:fldChar w:fldCharType="separate"/>
      </w:r>
      <w:r>
        <w:rPr>
          <w:rFonts w:hint="eastAsia" w:ascii="宋体" w:hAnsi="宋体" w:cs="宋体"/>
          <w:bCs/>
          <w:color w:val="000000" w:themeColor="text1"/>
          <w:sz w:val="24"/>
          <w:szCs w:val="24"/>
          <w:highlight w:val="none"/>
        </w:rPr>
        <w:t xml:space="preserve">www.creditchina.gov.cn</w:t>
      </w:r>
      <w:r>
        <w:rPr>
          <w:rFonts w:hint="eastAsia" w:ascii="宋体" w:hAnsi="宋体" w:cs="宋体"/>
          <w:color w:val="000000" w:themeColor="text1"/>
          <w:highlight w:val="none"/>
        </w:rPr>
        <w:fldChar w:fldCharType="end"/>
      </w:r>
      <w:r>
        <w:rPr>
          <w:rFonts w:hint="eastAsia" w:ascii="宋体" w:hAnsi="宋体" w:cs="宋体"/>
          <w:bCs/>
          <w:color w:val="000000" w:themeColor="text1"/>
          <w:sz w:val="24"/>
          <w:szCs w:val="24"/>
          <w:highlight w:val="none"/>
        </w:rPr>
        <w:t xml:space="preserve">）、</w:t>
      </w:r>
      <w:r>
        <w:rPr>
          <w:rFonts w:hint="eastAsia" w:ascii="宋体" w:hAnsi="宋体" w:cs="宋体"/>
          <w:color w:val="000000" w:themeColor="text1"/>
          <w:sz w:val="24"/>
          <w:szCs w:val="24"/>
          <w:highlight w:val="none"/>
        </w:rPr>
        <w:t xml:space="preserve">中国政府采购网（www.ccgp.gov.cn）</w:t>
      </w:r>
      <w:r>
        <w:rPr>
          <w:rFonts w:hint="eastAsia" w:ascii="宋体" w:hAnsi="宋体" w:cs="宋体"/>
          <w:bCs/>
          <w:color w:val="000000" w:themeColor="text1"/>
          <w:sz w:val="24"/>
          <w:szCs w:val="24"/>
          <w:highlight w:val="none"/>
        </w:rPr>
        <w:t xml:space="preserve">查询投标供应商在投标截止时间之前，是否被列入</w:t>
      </w:r>
      <w:r>
        <w:rPr>
          <w:rFonts w:hint="eastAsia" w:ascii="宋体" w:hAnsi="宋体" w:cs="宋体"/>
          <w:color w:val="000000" w:themeColor="text1"/>
          <w:sz w:val="24"/>
          <w:szCs w:val="24"/>
          <w:highlight w:val="none"/>
        </w:rPr>
        <w:t xml:space="preserve">失信被执行人、重大税收违法案件当事人名单、政府采购严重违法失信行为记录名单，</w:t>
      </w:r>
      <w:r>
        <w:rPr>
          <w:rFonts w:hint="eastAsia" w:ascii="宋体" w:hAnsi="宋体" w:cs="宋体"/>
          <w:bCs/>
          <w:color w:val="000000" w:themeColor="text1"/>
          <w:sz w:val="24"/>
          <w:highlight w:val="none"/>
        </w:rPr>
        <w:t xml:space="preserve">以确定投标供应商是否具备投标资格。</w:t>
      </w:r>
      <w:r>
        <w:rPr>
          <w:rFonts w:hint="eastAsia" w:ascii="宋体" w:hAnsi="宋体" w:cs="宋体"/>
          <w:color w:val="000000" w:themeColor="text1"/>
          <w:sz w:val="24"/>
          <w:szCs w:val="24"/>
          <w:highlight w:val="none"/>
        </w:rPr>
        <w:t xml:space="preserve">查询结果留存并归档。</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w:t>
      </w:r>
      <w:r>
        <w:rPr>
          <w:rFonts w:ascii="宋体" w:hAnsi="宋体"/>
          <w:bCs/>
          <w:color w:val="000000" w:themeColor="text1"/>
          <w:sz w:val="24"/>
          <w:highlight w:val="none"/>
        </w:rPr>
        <w:t xml:space="preserve">1.</w:t>
      </w:r>
      <w:r>
        <w:rPr>
          <w:rFonts w:hint="eastAsia" w:ascii="宋体" w:hAnsi="宋体"/>
          <w:bCs/>
          <w:color w:val="000000" w:themeColor="text1"/>
          <w:sz w:val="24"/>
          <w:highlight w:val="none"/>
        </w:rPr>
        <w:t xml:space="preserve">3未通过资格审查或符合性审查的投标人，将在</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中告知未通过资格审查或符合性审查的原因，</w:t>
      </w:r>
      <w:r>
        <w:rPr>
          <w:rFonts w:ascii="宋体" w:hAnsi="宋体"/>
          <w:bCs/>
          <w:color w:val="000000" w:themeColor="text1"/>
          <w:sz w:val="24"/>
          <w:highlight w:val="none"/>
        </w:rPr>
        <w:t xml:space="preserve">评标结束后，将不再告知未通过资格审查和</w:t>
      </w:r>
      <w:r>
        <w:rPr>
          <w:rFonts w:hint="eastAsia" w:ascii="宋体" w:hAnsi="宋体"/>
          <w:bCs/>
          <w:color w:val="000000" w:themeColor="text1"/>
          <w:sz w:val="24"/>
          <w:highlight w:val="none"/>
        </w:rPr>
        <w:t xml:space="preserve">符合性</w:t>
      </w:r>
      <w:r>
        <w:rPr>
          <w:rFonts w:ascii="宋体" w:hAnsi="宋体"/>
          <w:bCs/>
          <w:color w:val="000000" w:themeColor="text1"/>
          <w:sz w:val="24"/>
          <w:highlight w:val="none"/>
        </w:rPr>
        <w:t xml:space="preserve">审查的原因。</w:t>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360" w:lineRule="auto"/>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25.</w:t>
      </w:r>
      <w:r>
        <w:rPr>
          <w:rFonts w:ascii="宋体" w:hAnsi="宋体"/>
          <w:color w:val="000000" w:themeColor="text1"/>
          <w:sz w:val="24"/>
          <w:highlight w:val="none"/>
        </w:rPr>
        <w:t xml:space="preserve">4</w:t>
      </w:r>
      <w:r>
        <w:rPr>
          <w:rFonts w:hint="eastAsia" w:ascii="宋体" w:hAnsi="宋体"/>
          <w:bCs/>
          <w:color w:val="000000" w:themeColor="text1"/>
          <w:sz w:val="24"/>
          <w:highlight w:val="none"/>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（1）投标文件中开标一览表内容与投标文件中相应内容不一致的，以开标一览表为准。</w:t>
      </w:r>
      <w:r/>
    </w:p>
    <w:p>
      <w:pPr>
        <w:ind w:firstLine="480"/>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（2）大写金额和小写金额不一致的，以大写金额为准。</w:t>
      </w:r>
      <w:r/>
    </w:p>
    <w:p>
      <w:pPr>
        <w:ind w:firstLine="480"/>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（3）单价金额小数点或者百分比有明显错位的，以开标一览表的总价为准，并修改单价。</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（4）总价金额与按单价汇总金额不一致的，以单价金额计算结果为准。</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同时出现两种以上错误的，按照前款规定的顺序修正。</w:t>
      </w:r>
      <w:r/>
    </w:p>
    <w:p>
      <w:pPr>
        <w:ind w:firstLine="480"/>
        <w:spacing w:line="360" w:lineRule="auto"/>
        <w:rPr>
          <w:rFonts w:ascii="宋体" w:hAnsi="宋体"/>
          <w:bCs/>
          <w:color w:val="000000" w:themeColor="text1"/>
          <w:sz w:val="24"/>
          <w:highlight w:val="none"/>
        </w:rPr>
      </w:pPr>
      <w:r>
        <w:rPr>
          <w:rFonts w:hint="eastAsia" w:ascii="宋体" w:hAnsi="宋体"/>
          <w:color w:val="000000" w:themeColor="text1"/>
          <w:sz w:val="24"/>
          <w:highlight w:val="none"/>
        </w:rPr>
        <w:t xml:space="preserve">25.</w:t>
      </w:r>
      <w:r>
        <w:rPr>
          <w:rFonts w:ascii="宋体" w:hAnsi="宋体"/>
          <w:color w:val="000000" w:themeColor="text1"/>
          <w:sz w:val="24"/>
          <w:highlight w:val="none"/>
        </w:rPr>
        <w:t xml:space="preserve">5</w:t>
      </w:r>
      <w:r>
        <w:rPr>
          <w:rFonts w:hint="eastAsia" w:ascii="宋体" w:hAnsi="宋体"/>
          <w:bCs/>
          <w:color w:val="000000" w:themeColor="text1"/>
          <w:sz w:val="24"/>
          <w:highlight w:val="none"/>
        </w:rPr>
        <w:t xml:space="preserve">评委会将按上述修正错误的方法调整投标文件中的投标报价，并</w:t>
      </w:r>
      <w:r>
        <w:rPr>
          <w:rFonts w:ascii="宋体" w:hAnsi="宋体"/>
          <w:bCs/>
          <w:color w:val="000000" w:themeColor="text1"/>
          <w:sz w:val="24"/>
          <w:highlight w:val="none"/>
        </w:rPr>
        <w:t xml:space="preserve">通过</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告知</w:t>
      </w:r>
      <w:r>
        <w:rPr>
          <w:rFonts w:ascii="宋体" w:hAnsi="宋体"/>
          <w:bCs/>
          <w:color w:val="000000" w:themeColor="text1"/>
          <w:sz w:val="24"/>
          <w:highlight w:val="none"/>
        </w:rPr>
        <w:t xml:space="preserve">投标人，</w:t>
      </w:r>
      <w:r>
        <w:rPr>
          <w:rFonts w:hint="eastAsia" w:ascii="宋体" w:hAnsi="宋体"/>
          <w:bCs/>
          <w:color w:val="000000" w:themeColor="text1"/>
          <w:sz w:val="24"/>
          <w:highlight w:val="none"/>
        </w:rPr>
        <w:t xml:space="preserve">调整后的价格应对投标人具有约束力。如果投标人不确认或不接受修正后的价格，则其投标将被拒绝，其投标无效。</w:t>
      </w:r>
      <w:r/>
    </w:p>
    <w:p>
      <w:pPr>
        <w:ind w:firstLine="420"/>
        <w:spacing w:line="360" w:lineRule="auto"/>
        <w:rPr>
          <w:rFonts w:hint="eastAsia" w:ascii="宋体" w:hAnsi="宋体"/>
          <w:color w:val="000000" w:themeColor="text1"/>
          <w:sz w:val="24"/>
          <w:highlight w:val="none"/>
        </w:rPr>
      </w:pPr>
      <w:r/>
      <w:bookmarkStart w:id="161" w:name="_Toc513029234"/>
      <w:r/>
      <w:bookmarkStart w:id="162" w:name="_Toc16938550"/>
      <w:r/>
      <w:bookmarkStart w:id="163" w:name="_Toc20823306"/>
      <w:r>
        <w:rPr>
          <w:rFonts w:hint="eastAsia" w:ascii="宋体" w:hAnsi="宋体"/>
          <w:color w:val="000000" w:themeColor="text1"/>
          <w:sz w:val="24"/>
          <w:highlight w:val="none"/>
        </w:rPr>
        <w:t xml:space="preserve">25.6投标人在开、评标全过程中应保持通信畅通，及时登录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查阅</w:t>
      </w:r>
      <w:r>
        <w:rPr>
          <w:rFonts w:ascii="宋体" w:hAnsi="宋体"/>
          <w:color w:val="000000" w:themeColor="text1"/>
          <w:sz w:val="24"/>
          <w:highlight w:val="none"/>
        </w:rPr>
        <w:t xml:space="preserve">、答复相关</w:t>
      </w:r>
      <w:r>
        <w:rPr>
          <w:rFonts w:hint="eastAsia" w:ascii="宋体" w:hAnsi="宋体"/>
          <w:color w:val="000000" w:themeColor="text1"/>
          <w:sz w:val="24"/>
          <w:highlight w:val="none"/>
        </w:rPr>
        <w:t xml:space="preserve">信息</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并安排专人随时接受与代理机构及评标委员会的相关询问。</w:t>
      </w:r>
      <w:r/>
    </w:p>
    <w:p>
      <w:pPr>
        <w:ind w:firstLine="42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25.7异常低价投标（响应）审查</w:t>
      </w:r>
      <w:r/>
    </w:p>
    <w:p>
      <w:pPr>
        <w:ind w:firstLine="42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（3）投标（响应）报价低于采购项目最高限价45%的，即投标（响应）报价＜采购项目最高限价×45%；</w:t>
      </w:r>
      <w:r/>
    </w:p>
    <w:p>
      <w:pPr>
        <w:ind w:firstLine="42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（4）评审委员会基于专业判断，认为供应商报价过低，有可能影响产品质量或者不能诚信履约的其他情形。</w:t>
      </w:r>
      <w:r/>
    </w:p>
    <w:p>
      <w:pPr>
        <w:ind w:firstLine="42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相关法律法规对供应商报价有规定的，从其规定。</w:t>
      </w:r>
      <w:r/>
    </w:p>
    <w:p>
      <w:pPr>
        <w:ind w:firstLine="42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财政部门在投诉处理、监督检查中发现评审委员会未按规定对异常低价开展审查的，依法予以纠正并追究评审专家的法律责任。</w:t>
      </w:r>
      <w:r/>
    </w:p>
    <w:p>
      <w:pPr>
        <w:pStyle w:val="855"/>
        <w:ind w:firstLine="422"/>
        <w:keepLines w:val="0"/>
        <w:keepNext w:val="0"/>
        <w:spacing w:before="0" w:after="0" w:line="360" w:lineRule="auto"/>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26</w:t>
      </w:r>
      <w:bookmarkEnd w:id="161"/>
      <w:r/>
      <w:bookmarkEnd w:id="162"/>
      <w:r/>
      <w:bookmarkEnd w:id="163"/>
      <w:r>
        <w:rPr>
          <w:rFonts w:hint="eastAsia" w:ascii="宋体" w:hAnsi="宋体" w:eastAsia="宋体"/>
          <w:bCs w:val="0"/>
          <w:color w:val="000000" w:themeColor="text1"/>
          <w:highlight w:val="none"/>
        </w:rPr>
        <w:t xml:space="preserve">.无效投标条款和废标条款</w:t>
      </w:r>
      <w:r/>
    </w:p>
    <w:p>
      <w:pPr>
        <w:ind w:left="479"/>
        <w:spacing w:line="360" w:lineRule="auto"/>
        <w:rPr>
          <w:rFonts w:hint="eastAsia" w:ascii="宋体" w:hAnsi="宋体"/>
          <w:bCs/>
          <w:color w:val="000000" w:themeColor="text1"/>
          <w:sz w:val="24"/>
          <w:highlight w:val="none"/>
        </w:rPr>
      </w:pPr>
      <w:r/>
      <w:bookmarkStart w:id="164" w:name="_Toc513029235"/>
      <w:r/>
      <w:bookmarkStart w:id="165" w:name="_Toc20823307"/>
      <w:r/>
      <w:bookmarkStart w:id="166" w:name="_Toc16938551"/>
      <w:r>
        <w:rPr>
          <w:rFonts w:hint="eastAsia" w:ascii="宋体" w:hAnsi="宋体"/>
          <w:bCs/>
          <w:color w:val="000000" w:themeColor="text1"/>
          <w:sz w:val="24"/>
          <w:highlight w:val="none"/>
        </w:rPr>
        <w:t xml:space="preserve">26.1无效投标条款</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highlight w:val="none"/>
        </w:rPr>
        <w:t xml:space="preserve">26</w:t>
      </w:r>
      <w:r>
        <w:rPr>
          <w:rFonts w:hint="eastAsia" w:ascii="宋体" w:hAnsi="宋体"/>
          <w:bCs/>
          <w:color w:val="000000" w:themeColor="text1"/>
          <w:sz w:val="24"/>
          <w:szCs w:val="24"/>
          <w:highlight w:val="none"/>
        </w:rPr>
        <w:t xml:space="preserve">.1.1</w:t>
      </w:r>
      <w:r>
        <w:rPr>
          <w:rFonts w:hint="eastAsia" w:ascii="宋体" w:hAnsi="宋体"/>
          <w:color w:val="000000" w:themeColor="text1"/>
          <w:sz w:val="24"/>
          <w:szCs w:val="24"/>
          <w:highlight w:val="none"/>
        </w:rPr>
        <w:t xml:space="preserve">未按《“苏采云”系统供应商操作手册》进行正确操作的。</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26.1.2投标人在“苏采云”系统规定的时间内未成功解密电子投标文件的。</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26.1.3</w:t>
      </w:r>
      <w:r>
        <w:rPr>
          <w:rFonts w:hint="eastAsia" w:ascii="宋体" w:hAnsi="宋体"/>
          <w:bCs/>
          <w:color w:val="000000" w:themeColor="text1"/>
          <w:sz w:val="24"/>
          <w:highlight w:val="none"/>
        </w:rPr>
        <w:t xml:space="preserve">投标人未按照招标文件要求上传电子投标文件、</w:t>
      </w:r>
      <w:r>
        <w:rPr>
          <w:rFonts w:hint="eastAsia" w:ascii="宋体" w:hAnsi="宋体"/>
          <w:bCs/>
          <w:color w:val="000000" w:themeColor="text1"/>
          <w:sz w:val="24"/>
          <w:szCs w:val="24"/>
          <w:highlight w:val="none"/>
        </w:rPr>
        <w:t xml:space="preserve">电子投标文件未按规定期限投标的，纸质投标文件（如有）未按规定的期限、地点送达的。</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26.1.4</w:t>
      </w:r>
      <w:r>
        <w:rPr>
          <w:rFonts w:hint="eastAsia" w:ascii="宋体" w:hAnsi="宋体"/>
          <w:bCs/>
          <w:color w:val="000000" w:themeColor="text1"/>
          <w:sz w:val="24"/>
          <w:highlight w:val="none"/>
        </w:rPr>
        <w:t xml:space="preserve">投标人的</w:t>
      </w:r>
      <w:r>
        <w:rPr>
          <w:rFonts w:hint="eastAsia" w:ascii="宋体" w:hAnsi="宋体"/>
          <w:bCs/>
          <w:color w:val="000000" w:themeColor="text1"/>
          <w:sz w:val="24"/>
          <w:szCs w:val="24"/>
          <w:highlight w:val="none"/>
        </w:rPr>
        <w:t xml:space="preserve">电子投标文件未按招标文件要求签章的。</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26.1.5投标人的被授权代表无授权委托书或授权委托日期晚于投标截止日期的。</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26.1.6投标人不具备招标文件中规定的资格要求或未按招标文件规定的要求提供资格证明文件的。</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26.1.7</w:t>
      </w:r>
      <w:r>
        <w:rPr>
          <w:rFonts w:hint="eastAsia" w:ascii="宋体" w:hAnsi="宋体"/>
          <w:bCs/>
          <w:color w:val="000000" w:themeColor="text1"/>
          <w:sz w:val="24"/>
          <w:highlight w:val="none"/>
        </w:rPr>
        <w:t xml:space="preserve">同一投标人提交两种（含两种）以上不同的投标报价的。</w:t>
      </w:r>
      <w:r/>
    </w:p>
    <w:p>
      <w:pPr>
        <w:ind w:firstLine="480"/>
        <w:spacing w:line="360" w:lineRule="auto"/>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26.1.8投标人被“信用中国”网站（</w:t>
      </w:r>
      <w:r>
        <w:rPr>
          <w:rFonts w:ascii="宋体" w:hAnsi="宋体"/>
          <w:color w:val="000000" w:themeColor="text1"/>
          <w:sz w:val="24"/>
          <w:szCs w:val="24"/>
          <w:highlight w:val="none"/>
        </w:rPr>
        <w:fldChar w:fldCharType="begin"/>
      </w:r>
      <w:r>
        <w:rPr>
          <w:rFonts w:ascii="宋体" w:hAnsi="宋体"/>
          <w:color w:val="000000" w:themeColor="text1"/>
          <w:sz w:val="24"/>
          <w:szCs w:val="24"/>
          <w:highlight w:val="none"/>
        </w:rPr>
        <w:instrText xml:space="preserve"> HYPERLINK "http://www.creditchina.gov.cn" </w:instrText>
      </w:r>
      <w:r>
        <w:rPr>
          <w:rFonts w:ascii="宋体" w:hAnsi="宋体"/>
          <w:color w:val="000000" w:themeColor="text1"/>
          <w:sz w:val="24"/>
          <w:szCs w:val="24"/>
          <w:highlight w:val="none"/>
        </w:rPr>
        <w:fldChar w:fldCharType="separate"/>
      </w:r>
      <w:r>
        <w:rPr>
          <w:rFonts w:hint="eastAsia" w:ascii="宋体" w:hAnsi="宋体"/>
          <w:color w:val="000000" w:themeColor="text1"/>
          <w:sz w:val="24"/>
          <w:szCs w:val="24"/>
          <w:highlight w:val="none"/>
        </w:rPr>
        <w:t xml:space="preserve">www.creditchina.gov.cn</w:t>
      </w:r>
      <w:r>
        <w:rPr>
          <w:rFonts w:ascii="宋体" w:hAnsi="宋体"/>
          <w:color w:val="000000" w:themeColor="text1"/>
          <w:sz w:val="24"/>
          <w:szCs w:val="24"/>
          <w:highlight w:val="none"/>
        </w:rPr>
        <w:fldChar w:fldCharType="end"/>
      </w:r>
      <w:r>
        <w:rPr>
          <w:rFonts w:hint="eastAsia" w:ascii="宋体" w:hAnsi="宋体"/>
          <w:color w:val="000000" w:themeColor="text1"/>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000000" w:themeColor="text1"/>
          <w:sz w:val="24"/>
          <w:highlight w:val="none"/>
        </w:rPr>
        <w:t xml:space="preserve">或查询“信用中国”网站、</w:t>
      </w:r>
      <w:r>
        <w:rPr>
          <w:rFonts w:hint="eastAsia" w:ascii="宋体" w:hAnsi="宋体"/>
          <w:color w:val="000000" w:themeColor="text1"/>
          <w:sz w:val="24"/>
          <w:szCs w:val="24"/>
          <w:highlight w:val="none"/>
        </w:rPr>
        <w:t xml:space="preserve">中国政府采购网</w:t>
      </w:r>
      <w:r>
        <w:rPr>
          <w:rFonts w:hint="eastAsia" w:ascii="宋体" w:hAnsi="宋体"/>
          <w:bCs/>
          <w:color w:val="000000" w:themeColor="text1"/>
          <w:sz w:val="24"/>
          <w:highlight w:val="none"/>
        </w:rPr>
        <w:t xml:space="preserve">后发现投标人存在其他不符合《中华人民共和国政府采购法》第二十二条规定条件的信用记录。</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26.1.9投标文件未按招标文件规定的内容和要求填写的。</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26.1.10</w:t>
      </w:r>
      <w:r>
        <w:rPr>
          <w:rFonts w:hint="eastAsia" w:ascii="宋体" w:hAnsi="宋体"/>
          <w:bCs/>
          <w:color w:val="000000" w:themeColor="text1"/>
          <w:sz w:val="24"/>
          <w:highlight w:val="none"/>
        </w:rPr>
        <w:t xml:space="preserve">投标人的</w:t>
      </w:r>
      <w:r>
        <w:rPr>
          <w:rFonts w:hint="eastAsia" w:ascii="宋体" w:hAnsi="宋体"/>
          <w:bCs/>
          <w:color w:val="000000" w:themeColor="text1"/>
          <w:sz w:val="24"/>
          <w:szCs w:val="24"/>
          <w:highlight w:val="none"/>
        </w:rPr>
        <w:t xml:space="preserve">项目（采购包、标项、标段）投标总价超过本项目（本采购包、本标项、本标段）预算或最高限价的。</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26.1.11未通过符合性审查的。</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26.1.12投标文件含有采购人不能接受的附加条件的。</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26.1.13电子投标文件图片、字迹模糊不清、无法辨认导致无法评审的。</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26.1.14投标文件中有招标文件未允许提供的选择性内容。</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highlight w:val="none"/>
        </w:rPr>
        <w:t xml:space="preserve">26.1.15</w:t>
      </w:r>
      <w:r>
        <w:rPr>
          <w:rFonts w:hint="eastAsia" w:ascii="宋体" w:hAnsi="宋体"/>
          <w:bCs/>
          <w:color w:val="000000" w:themeColor="text1"/>
          <w:sz w:val="24"/>
          <w:szCs w:val="24"/>
          <w:highlight w:val="none"/>
        </w:rPr>
        <w:t xml:space="preserve">不同投标人委托同一单位或者个人办理投标事宜的。</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26.1.16</w:t>
      </w:r>
      <w:r>
        <w:rPr>
          <w:rFonts w:hint="eastAsia" w:ascii="宋体" w:hAnsi="宋体"/>
          <w:bCs/>
          <w:color w:val="000000" w:themeColor="text1"/>
          <w:sz w:val="24"/>
          <w:szCs w:val="24"/>
          <w:highlight w:val="none"/>
        </w:rPr>
        <w:t xml:space="preserve">不同投标人的单位负责人为同一人或者存在直接控股、管理关系的。</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26.1.20</w:t>
      </w:r>
      <w:r>
        <w:rPr>
          <w:rFonts w:hint="eastAsia" w:ascii="宋体" w:hAnsi="宋体"/>
          <w:bCs/>
          <w:color w:val="000000" w:themeColor="text1"/>
          <w:sz w:val="24"/>
          <w:szCs w:val="24"/>
          <w:highlight w:val="none"/>
        </w:rPr>
        <w:t xml:space="preserve">提供虚假材料的（包括工商营业执照、财务报表、资格证明文件等）。</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26.1.21</w:t>
      </w:r>
      <w:r>
        <w:rPr>
          <w:rFonts w:hint="eastAsia" w:ascii="宋体" w:hAnsi="宋体"/>
          <w:bCs/>
          <w:color w:val="000000" w:themeColor="text1"/>
          <w:sz w:val="24"/>
          <w:szCs w:val="24"/>
          <w:highlight w:val="none"/>
        </w:rPr>
        <w:t xml:space="preserve">除单一来源采购项目外，为采购项目提供整体设计、规范编制或者项目管理、监理、检测等服务的。</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26.1.22评标委员会</w:t>
      </w:r>
      <w:r>
        <w:rPr>
          <w:rFonts w:hint="eastAsia" w:ascii="宋体" w:hAnsi="宋体"/>
          <w:color w:val="000000" w:themeColor="text1"/>
          <w:sz w:val="24"/>
          <w:highlight w:val="none"/>
        </w:rPr>
        <w:t xml:space="preserve">按照本招标文件规定对投标人进行异常低价投标（响应）审查后，认为投标人不能证明其报价合理性的。</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szCs w:val="24"/>
          <w:highlight w:val="none"/>
        </w:rPr>
        <w:t xml:space="preserve">26.1.23投标文件内容不全或不符合招标文件中规定的其他实质性要求和条件的。</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26.1.24投标系统中不同投标人的MAC地址一致或标书制作工具客户端标识码一致的。</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26.1.25其他法律法规及本招标文件规定的属于无效投标的情形。</w:t>
      </w:r>
      <w:r/>
    </w:p>
    <w:p>
      <w:pPr>
        <w:ind w:left="479"/>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26.2废标条款</w:t>
      </w:r>
      <w:r/>
    </w:p>
    <w:p>
      <w:pPr>
        <w:ind w:left="479"/>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26.2.1符合专业条件的供应商或者对招标文件作实质响应的供应商不足三家的。26.2.2出现影响采购公正的违法、违规行为的。</w:t>
      </w:r>
      <w:r/>
    </w:p>
    <w:p>
      <w:pPr>
        <w:ind w:left="479"/>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26.2.3因重大变故，采购任务取消的。</w:t>
      </w:r>
      <w:r/>
    </w:p>
    <w:p>
      <w:pPr>
        <w:ind w:left="479"/>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26.2.4评标委员会认定招标文件存在歧义、重大缺陷导致评审工作无法进行。</w:t>
      </w:r>
      <w:r/>
    </w:p>
    <w:p>
      <w:pPr>
        <w:ind w:left="479"/>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26.2.5 因</w:t>
      </w:r>
      <w:r>
        <w:rPr>
          <w:rFonts w:hint="eastAsia" w:ascii="宋体" w:hAnsi="宋体"/>
          <w:bCs/>
          <w:color w:val="000000" w:themeColor="text1"/>
          <w:sz w:val="24"/>
          <w:szCs w:val="24"/>
          <w:highlight w:val="none"/>
        </w:rPr>
        <w:t xml:space="preserve">“苏采云”系统</w:t>
      </w:r>
      <w:r>
        <w:rPr>
          <w:rFonts w:ascii="宋体" w:hAnsi="宋体"/>
          <w:bCs/>
          <w:color w:val="000000" w:themeColor="text1"/>
          <w:sz w:val="24"/>
          <w:highlight w:val="none"/>
        </w:rPr>
        <w:t xml:space="preserve">故障原因造成开标不成功</w:t>
      </w:r>
      <w:r>
        <w:rPr>
          <w:rFonts w:hint="eastAsia" w:ascii="宋体" w:hAnsi="宋体"/>
          <w:bCs/>
          <w:color w:val="000000" w:themeColor="text1"/>
          <w:sz w:val="24"/>
          <w:highlight w:val="none"/>
        </w:rPr>
        <w:t xml:space="preserve">的。</w:t>
      </w:r>
      <w:r/>
    </w:p>
    <w:p>
      <w:pPr>
        <w:ind w:left="479"/>
        <w:spacing w:line="360" w:lineRule="auto"/>
        <w:rPr>
          <w:rFonts w:hint="eastAsia" w:ascii="宋体" w:hAnsi="宋体"/>
          <w:bCs/>
          <w:color w:val="000000" w:themeColor="text1"/>
          <w:sz w:val="24"/>
          <w:highlight w:val="none"/>
        </w:rPr>
      </w:pPr>
      <w:r>
        <w:rPr>
          <w:rFonts w:hint="eastAsia" w:ascii="宋体" w:hAnsi="宋体"/>
          <w:bCs/>
          <w:color w:val="000000" w:themeColor="text1"/>
          <w:sz w:val="24"/>
          <w:szCs w:val="24"/>
          <w:highlight w:val="none"/>
        </w:rPr>
        <w:t xml:space="preserve">26.2.6投标人的报价均超过采购预算，采购人不能支付的。</w:t>
      </w:r>
      <w:r/>
    </w:p>
    <w:p>
      <w:pPr>
        <w:ind w:left="479"/>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26.3 投标截止时间结束后参加投标的供应商不足三家的处理：</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26.3.1如出现投标截止时间结束后参加投标的供应商或者在评标期间对招标文件做出实质响应的供应商不足三家情况，按政府采购相关规定执行。</w:t>
      </w:r>
      <w:r/>
    </w:p>
    <w:p>
      <w:pPr>
        <w:ind w:firstLine="480"/>
        <w:spacing w:line="360" w:lineRule="auto"/>
        <w:rPr>
          <w:rFonts w:ascii="宋体" w:hAnsi="宋体"/>
          <w:b/>
          <w:bCs/>
          <w:sz w:val="24"/>
          <w:highlight w:val="none"/>
        </w:rPr>
      </w:pPr>
      <w:r>
        <w:rPr>
          <w:rFonts w:hint="eastAsia" w:ascii="宋体" w:hAnsi="宋体"/>
          <w:b/>
          <w:bCs/>
          <w:sz w:val="24"/>
          <w:highlight w:val="none"/>
        </w:rPr>
        <w:t xml:space="preserve">26.4技术标（暗标）中出现该报价供应商单位名称、简称、人员姓名、Logo、商标、电话号码等任何标识标记及其他暗示性标志的；</w:t>
      </w:r>
      <w:r/>
    </w:p>
    <w:p>
      <w:pPr>
        <w:ind w:firstLine="480"/>
        <w:spacing w:line="360" w:lineRule="auto"/>
        <w:rPr>
          <w:rFonts w:ascii="宋体" w:hAnsi="宋体"/>
          <w:b/>
          <w:bCs/>
          <w:sz w:val="24"/>
          <w:highlight w:val="none"/>
        </w:rPr>
      </w:pPr>
      <w:r>
        <w:rPr>
          <w:rFonts w:hint="eastAsia" w:ascii="宋体" w:hAnsi="宋体"/>
          <w:b/>
          <w:bCs/>
          <w:sz w:val="24"/>
          <w:highlight w:val="none"/>
        </w:rPr>
        <w:t xml:space="preserve">26.5商务标（明标）和技术标（暗标），其中某一标被本项目评委确认为无效响应文件的；</w:t>
      </w:r>
      <w:r/>
    </w:p>
    <w:p>
      <w:pPr>
        <w:ind w:firstLine="480"/>
        <w:spacing w:line="360" w:lineRule="auto"/>
        <w:rPr>
          <w:rFonts w:hint="eastAsia" w:ascii="宋体" w:hAnsi="宋体"/>
          <w:bCs/>
          <w:color w:val="000000" w:themeColor="text1"/>
          <w:sz w:val="24"/>
          <w:highlight w:val="none"/>
        </w:rPr>
      </w:pPr>
      <w:r>
        <w:rPr>
          <w:rFonts w:hint="eastAsia" w:ascii="宋体" w:hAnsi="宋体"/>
          <w:b/>
          <w:bCs/>
          <w:sz w:val="24"/>
          <w:highlight w:val="none"/>
        </w:rPr>
        <w:t xml:space="preserve">26.6暗标未按要求编制，编制粗糙、缺漏项、格式混乱、条理不清的；</w:t>
      </w:r>
      <w:r/>
    </w:p>
    <w:p>
      <w:pPr>
        <w:pStyle w:val="854"/>
        <w:ind w:firstLine="452"/>
        <w:keepLines w:val="0"/>
        <w:keepNext w:val="0"/>
        <w:spacing w:before="0" w:after="0" w:line="360" w:lineRule="auto"/>
        <w:rPr>
          <w:rFonts w:hint="eastAsia"/>
          <w:color w:val="000000" w:themeColor="text1"/>
          <w:sz w:val="30"/>
          <w:szCs w:val="30"/>
          <w:highlight w:val="none"/>
        </w:rPr>
      </w:pPr>
      <w:r/>
      <w:bookmarkStart w:id="167" w:name="_Toc120614219"/>
      <w:r>
        <w:rPr>
          <w:rFonts w:hint="eastAsia"/>
          <w:color w:val="000000" w:themeColor="text1"/>
          <w:sz w:val="30"/>
          <w:szCs w:val="30"/>
          <w:highlight w:val="none"/>
        </w:rPr>
        <w:t xml:space="preserve">六、</w:t>
      </w:r>
      <w:bookmarkEnd w:id="164"/>
      <w:r/>
      <w:bookmarkEnd w:id="165"/>
      <w:r/>
      <w:bookmarkEnd w:id="166"/>
      <w:r>
        <w:rPr>
          <w:rFonts w:hint="eastAsia"/>
          <w:color w:val="000000" w:themeColor="text1"/>
          <w:sz w:val="30"/>
          <w:szCs w:val="30"/>
          <w:highlight w:val="none"/>
        </w:rPr>
        <w:t xml:space="preserve">定标</w:t>
      </w:r>
      <w:bookmarkEnd w:id="167"/>
      <w:r/>
      <w:r/>
    </w:p>
    <w:p>
      <w:pPr>
        <w:pStyle w:val="855"/>
        <w:ind w:firstLine="422"/>
        <w:keepLines w:val="0"/>
        <w:keepNext w:val="0"/>
        <w:spacing w:before="0" w:after="0" w:line="360" w:lineRule="auto"/>
        <w:rPr>
          <w:rFonts w:hint="eastAsia" w:ascii="宋体" w:hAnsi="宋体" w:eastAsia="宋体"/>
          <w:bCs w:val="0"/>
          <w:color w:val="000000" w:themeColor="text1"/>
          <w:highlight w:val="none"/>
        </w:rPr>
      </w:pPr>
      <w:r/>
      <w:bookmarkStart w:id="168" w:name="_Toc513029238"/>
      <w:r/>
      <w:bookmarkStart w:id="169" w:name="_Toc16938554"/>
      <w:r/>
      <w:bookmarkStart w:id="170" w:name="_Toc20823310"/>
      <w:r>
        <w:rPr>
          <w:rFonts w:hint="eastAsia" w:ascii="宋体" w:hAnsi="宋体" w:eastAsia="宋体"/>
          <w:bCs w:val="0"/>
          <w:color w:val="000000" w:themeColor="text1"/>
          <w:highlight w:val="none"/>
        </w:rPr>
        <w:t xml:space="preserve">27</w:t>
      </w:r>
      <w:bookmarkEnd w:id="168"/>
      <w:r>
        <w:rPr>
          <w:rFonts w:hint="eastAsia" w:ascii="宋体" w:hAnsi="宋体" w:eastAsia="宋体"/>
          <w:bCs w:val="0"/>
          <w:color w:val="000000" w:themeColor="text1"/>
          <w:highlight w:val="none"/>
          <w:lang w:eastAsia="zh-CN"/>
        </w:rPr>
        <w:t xml:space="preserve">.</w:t>
      </w:r>
      <w:r>
        <w:rPr>
          <w:rFonts w:hint="eastAsia" w:ascii="宋体" w:hAnsi="宋体" w:eastAsia="宋体"/>
          <w:bCs w:val="0"/>
          <w:color w:val="000000" w:themeColor="text1"/>
          <w:highlight w:val="none"/>
        </w:rPr>
        <w:t xml:space="preserve">确定</w:t>
      </w:r>
      <w:bookmarkEnd w:id="169"/>
      <w:r/>
      <w:bookmarkEnd w:id="170"/>
      <w:r>
        <w:rPr>
          <w:rFonts w:hint="eastAsia" w:ascii="宋体" w:hAnsi="宋体" w:eastAsia="宋体"/>
          <w:bCs w:val="0"/>
          <w:color w:val="000000" w:themeColor="text1"/>
          <w:highlight w:val="none"/>
        </w:rPr>
        <w:t xml:space="preserve">中标单位</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360" w:lineRule="auto"/>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27.3</w:t>
      </w:r>
      <w:r>
        <w:rPr>
          <w:rFonts w:hint="eastAsia" w:ascii="宋体" w:hAnsi="宋体"/>
          <w:color w:val="000000" w:themeColor="text1"/>
          <w:sz w:val="24"/>
          <w:szCs w:val="24"/>
          <w:highlight w:val="none"/>
        </w:rPr>
        <w:t xml:space="preserve">交易中心将在“江苏政府采购网”发布中标公告，公告期限为1个工作日。</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27.4中标无效的确认</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若有充分证据证明，中标人出现下列情况之一的，一经查实，将被取消中标资格：</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27.4.1提供虚假材料谋取中标的。</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27.4.2向采购人、交易中心行贿或者提供其他不正当利益的。</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27.4.3属于本文件规定的无效投标文件条件的，但在评标过程中又未被评委会发现的。</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27.4.4与采购人或者其他供应商恶意串通的。</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27.4.5采取不正当手段诋毁、排挤其他供应商的。</w:t>
      </w:r>
      <w:r/>
    </w:p>
    <w:p>
      <w:pPr>
        <w:ind w:firstLine="480"/>
        <w:spacing w:line="360" w:lineRule="auto"/>
        <w:rPr>
          <w:rFonts w:hint="eastAsia" w:ascii="宋体" w:hAnsi="宋体"/>
          <w:color w:val="000000" w:themeColor="text1"/>
          <w:sz w:val="24"/>
          <w:szCs w:val="24"/>
          <w:highlight w:val="none"/>
        </w:rPr>
      </w:pPr>
      <w:r/>
      <w:bookmarkStart w:id="171" w:name="_Toc200451960"/>
      <w:r>
        <w:rPr>
          <w:rFonts w:hint="eastAsia" w:ascii="宋体" w:hAnsi="宋体"/>
          <w:color w:val="000000" w:themeColor="text1"/>
          <w:sz w:val="24"/>
          <w:szCs w:val="24"/>
          <w:highlight w:val="none"/>
        </w:rPr>
        <w:t xml:space="preserve">27.4.6</w:t>
      </w:r>
      <w:r>
        <w:rPr>
          <w:rFonts w:hint="eastAsia" w:ascii="宋体" w:hAnsi="宋体"/>
          <w:bCs/>
          <w:color w:val="000000" w:themeColor="text1"/>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27.4.7</w:t>
      </w:r>
      <w:r>
        <w:rPr>
          <w:rFonts w:hint="eastAsia" w:ascii="宋体" w:hAnsi="宋体"/>
          <w:bCs/>
          <w:color w:val="000000" w:themeColor="text1"/>
          <w:sz w:val="24"/>
          <w:szCs w:val="24"/>
          <w:highlight w:val="none"/>
        </w:rPr>
        <w:t xml:space="preserve">拒绝有关部门监督检查或者提供虚假情况的。</w:t>
      </w:r>
      <w:r/>
    </w:p>
    <w:p>
      <w:pPr>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 </w:t>
      </w:r>
      <w:r>
        <w:rPr>
          <w:rFonts w:hAnsi="宋体" w:cs="宋体"/>
          <w:color w:val="000000" w:themeColor="text1"/>
          <w:sz w:val="24"/>
          <w:szCs w:val="24"/>
          <w:highlight w:val="none"/>
        </w:rPr>
        <w:t xml:space="preserve">有下列情形之一的，</w:t>
      </w:r>
      <w:r>
        <w:rPr>
          <w:rFonts w:hint="eastAsia" w:hAnsi="宋体" w:cs="宋体"/>
          <w:color w:val="000000" w:themeColor="text1"/>
          <w:sz w:val="24"/>
          <w:szCs w:val="24"/>
          <w:highlight w:val="none"/>
        </w:rPr>
        <w:t xml:space="preserve">视为投标人</w:t>
      </w:r>
      <w:r>
        <w:rPr>
          <w:rFonts w:hAnsi="宋体" w:cs="宋体"/>
          <w:color w:val="000000" w:themeColor="text1"/>
          <w:sz w:val="24"/>
          <w:szCs w:val="24"/>
          <w:highlight w:val="none"/>
        </w:rPr>
        <w:t xml:space="preserve">串通</w:t>
      </w:r>
      <w:r>
        <w:rPr>
          <w:rFonts w:hint="eastAsia" w:hAnsi="宋体" w:cs="宋体"/>
          <w:color w:val="000000" w:themeColor="text1"/>
          <w:sz w:val="24"/>
          <w:szCs w:val="24"/>
          <w:highlight w:val="none"/>
        </w:rPr>
        <w:t xml:space="preserve">投标，投标无效：</w:t>
      </w:r>
      <w:r/>
    </w:p>
    <w:p>
      <w:pPr>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27.5.1不同投标人的投标文件由同一单位或者个人编制。</w:t>
      </w:r>
      <w:r/>
    </w:p>
    <w:p>
      <w:pPr>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27.5.2不同投标人委托同一单位或者个人办理投标事宜。</w:t>
      </w:r>
      <w:r/>
    </w:p>
    <w:p>
      <w:pPr>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27.5.3 不同投标人的投标文件载明的项目管理成员或者联系人员为同一人。</w:t>
      </w:r>
      <w:r/>
    </w:p>
    <w:p>
      <w:pPr>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27.5.4不同投标人的投标文件异常一致或者投标报价呈规律性差异。</w:t>
      </w:r>
      <w:r/>
    </w:p>
    <w:p>
      <w:pPr>
        <w:pStyle w:val="855"/>
        <w:ind w:firstLine="422"/>
        <w:keepLines w:val="0"/>
        <w:keepNext w:val="0"/>
        <w:spacing w:before="0" w:after="0" w:line="360" w:lineRule="auto"/>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28.质疑处理</w:t>
      </w:r>
      <w:bookmarkEnd w:id="171"/>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28.1 提出质疑的供应商应当是参与所</w:t>
      </w:r>
      <w:r>
        <w:rPr>
          <w:rFonts w:hint="eastAsia" w:ascii="宋体" w:hAnsi="宋体"/>
          <w:color w:val="000000" w:themeColor="text1"/>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28.2.1</w:t>
      </w:r>
      <w:r>
        <w:rPr>
          <w:rFonts w:ascii="宋体" w:hAnsi="宋体"/>
          <w:color w:val="000000" w:themeColor="text1"/>
          <w:sz w:val="24"/>
          <w:szCs w:val="24"/>
          <w:highlight w:val="none"/>
        </w:rPr>
        <w:t xml:space="preserve">对可以质疑的采购文件提出质疑的，为收到采购文件之日或者采购文件公告期限届满之日；</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28.2.2</w:t>
      </w:r>
      <w:r>
        <w:rPr>
          <w:rFonts w:ascii="宋体" w:hAnsi="宋体"/>
          <w:color w:val="000000" w:themeColor="text1"/>
          <w:sz w:val="24"/>
          <w:szCs w:val="24"/>
          <w:highlight w:val="none"/>
        </w:rPr>
        <w:t xml:space="preserve">对采购过程提出质疑的，为各采购程序环节结束之日；</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28.2.3</w:t>
      </w:r>
      <w:r>
        <w:rPr>
          <w:rFonts w:ascii="宋体" w:hAnsi="宋体"/>
          <w:color w:val="000000" w:themeColor="text1"/>
          <w:sz w:val="24"/>
          <w:szCs w:val="24"/>
          <w:highlight w:val="none"/>
        </w:rPr>
        <w:t xml:space="preserve">对中标或者成交结果提出质疑的，为中标或者成交结果公告期限届满之日。</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供应商应当在法定质疑期内一次性提出针对同一采购程序环节的质疑。供应商如在法定期限内对同一采购程序环节提出多次质疑的，交易中心、</w:t>
      </w:r>
      <w:r>
        <w:rPr>
          <w:rFonts w:ascii="宋体" w:hAnsi="宋体"/>
          <w:color w:val="000000" w:themeColor="text1"/>
          <w:sz w:val="24"/>
          <w:szCs w:val="24"/>
          <w:highlight w:val="none"/>
        </w:rPr>
        <w:t xml:space="preserve">采购人</w:t>
      </w:r>
      <w:r>
        <w:rPr>
          <w:rFonts w:hint="eastAsia" w:ascii="宋体" w:hAnsi="宋体"/>
          <w:color w:val="000000" w:themeColor="text1"/>
          <w:sz w:val="24"/>
          <w:szCs w:val="24"/>
          <w:highlight w:val="none"/>
        </w:rPr>
        <w:t xml:space="preserve">将只对供应商第一次质疑作出答复。</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28.3</w:t>
      </w:r>
      <w:r>
        <w:rPr>
          <w:rFonts w:hint="eastAsia" w:ascii="宋体"/>
          <w:bCs/>
          <w:color w:val="000000" w:themeColor="text1"/>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highlight w:val="none"/>
        </w:rPr>
        <w:t xml:space="preserve">供应商如组成联合体参加投标，则《质疑函范本》中要求签字、盖章、加盖公章之处，联合体各方均须按要求签字、盖章、加盖公章。</w:t>
      </w:r>
      <w:r/>
    </w:p>
    <w:p>
      <w:pPr>
        <w:ind w:firstLine="480"/>
        <w:spacing w:line="360" w:lineRule="auto"/>
        <w:rPr>
          <w:rFonts w:hint="eastAsia" w:ascii="宋体" w:hAnsi="宋体"/>
          <w:color w:val="000000" w:themeColor="text1"/>
          <w:sz w:val="24"/>
          <w:szCs w:val="24"/>
          <w:highlight w:val="none"/>
          <w:shd w:val="clear" w:color="ffffff" w:fill="d9d9d9"/>
        </w:rPr>
      </w:pPr>
      <w:r>
        <w:rPr>
          <w:rFonts w:hint="eastAsia" w:ascii="宋体" w:hAnsi="宋体"/>
          <w:color w:val="000000" w:themeColor="text1"/>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采购人、交易中心只接收以纸质原件形式送达的质疑，质疑供应商可通过面交或邮寄方式送达（采购人和交易中心不接受未填写快递运单的快件）。</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采购人、交易中心联系人、联系方式、通信地址见招标文件第一章。</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 以下情形的质疑不予受理</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28.5.1 内容不符合《政府采购质疑和投诉办法》第十二条规定的质疑。</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28.5.2 超出政府采购法定期限的质疑。</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28.5.3 以传真、电子邮件等方式递交的非原件形式的质疑。</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28.5.4未参加投标活动的供应商或在投标活动中自身权益未受到损害的供应商所提出的质疑。</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28.5.5供应商组成联合体参加投标，联合体中任何一方或多方未按要求签字、盖章、加盖公章的质疑。</w:t>
      </w:r>
      <w:r/>
    </w:p>
    <w:p>
      <w:pPr>
        <w:ind w:firstLine="468"/>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28.6供应商提出书面质疑必须有理、有据，</w:t>
      </w:r>
      <w:r>
        <w:rPr>
          <w:rFonts w:hint="eastAsia" w:ascii="宋体" w:hAnsi="宋体"/>
          <w:bCs/>
          <w:color w:val="000000" w:themeColor="text1"/>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none"/>
        </w:rPr>
        <w:t xml:space="preserve">一经查实，交易中心有权依据政府采购的有关规定，报请政府采购监管部门对该供应商进行相应的行政处罚和记录该供应商的失信信息。</w:t>
      </w:r>
      <w:r/>
    </w:p>
    <w:p>
      <w:pPr>
        <w:pStyle w:val="855"/>
        <w:ind w:firstLine="422"/>
        <w:keepLines w:val="0"/>
        <w:keepNext w:val="0"/>
        <w:spacing w:before="0" w:after="0" w:line="360" w:lineRule="auto"/>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29.中标通知书</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29.l中标结果确定后，交易中心将向中标人发出中标通知书。请中标人在中标结果公告届满之日起30日内，使用CA数字证书登录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及时下载中标通知书。因系统存储空间有限，自中标结果公告届满之日起30日后，</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不再保证提供下载中标通知书服务，因未及时下载而造成的不利后果由中标人自行承担。</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29.</w:t>
      </w: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854"/>
        <w:ind w:firstLine="452"/>
        <w:keepLines w:val="0"/>
        <w:keepNext w:val="0"/>
        <w:spacing w:before="0" w:after="0" w:line="360" w:lineRule="auto"/>
        <w:rPr>
          <w:rFonts w:hint="eastAsia"/>
          <w:color w:val="000000" w:themeColor="text1"/>
          <w:sz w:val="30"/>
          <w:szCs w:val="30"/>
          <w:highlight w:val="none"/>
        </w:rPr>
      </w:pPr>
      <w:r/>
      <w:bookmarkStart w:id="172" w:name="_Toc120614220"/>
      <w:r/>
      <w:bookmarkStart w:id="173" w:name="_Toc20823308"/>
      <w:r/>
      <w:bookmarkStart w:id="174" w:name="_Toc513029236"/>
      <w:r/>
      <w:bookmarkStart w:id="175" w:name="_Toc16938552"/>
      <w:r>
        <w:rPr>
          <w:rFonts w:hint="eastAsia"/>
          <w:color w:val="000000" w:themeColor="text1"/>
          <w:sz w:val="30"/>
          <w:szCs w:val="30"/>
          <w:highlight w:val="none"/>
        </w:rPr>
        <w:t xml:space="preserve">七、授予合同</w:t>
      </w:r>
      <w:bookmarkEnd w:id="172"/>
      <w:r/>
      <w:bookmarkEnd w:id="173"/>
      <w:bookmarkEnd w:id="174"/>
      <w:bookmarkEnd w:id="175"/>
      <w:r/>
    </w:p>
    <w:p>
      <w:pPr>
        <w:pStyle w:val="855"/>
        <w:ind w:firstLine="422"/>
        <w:keepLines w:val="0"/>
        <w:keepNext w:val="0"/>
        <w:spacing w:before="0" w:after="0" w:line="360" w:lineRule="auto"/>
        <w:rPr>
          <w:rFonts w:hint="eastAsia" w:ascii="宋体" w:hAnsi="宋体" w:eastAsia="宋体"/>
          <w:bCs w:val="0"/>
          <w:color w:val="000000" w:themeColor="text1"/>
          <w:highlight w:val="none"/>
        </w:rPr>
      </w:pPr>
      <w:r/>
      <w:bookmarkStart w:id="176" w:name="_Toc513029237"/>
      <w:r/>
      <w:bookmarkStart w:id="177" w:name="_Toc16938553"/>
      <w:r/>
      <w:bookmarkStart w:id="178" w:name="_Toc20823309"/>
      <w:r>
        <w:rPr>
          <w:rFonts w:hint="eastAsia" w:ascii="宋体" w:hAnsi="宋体" w:eastAsia="宋体"/>
          <w:bCs w:val="0"/>
          <w:color w:val="000000" w:themeColor="text1"/>
          <w:highlight w:val="none"/>
        </w:rPr>
        <w:t xml:space="preserve">30.签订合同</w:t>
      </w:r>
      <w:r/>
    </w:p>
    <w:p>
      <w:pPr>
        <w:ind w:firstLine="480"/>
        <w:spacing w:line="360" w:lineRule="auto"/>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none"/>
        </w:rPr>
        <w:t xml:space="preserve">招标文件、中标人的投标文件及招标过程中有关澄清、承诺文件均应作为合同附件。</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30.2中标人非因不可抗力未履行招、投标文件和合同规定的义务，一经查实，交易中心将根据具体情况提请政府采购管理部门作出相应处理。</w:t>
      </w:r>
      <w:r/>
    </w:p>
    <w:p>
      <w:pPr>
        <w:ind w:firstLine="480"/>
        <w:spacing w:line="360" w:lineRule="auto"/>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855"/>
        <w:ind w:firstLine="422"/>
        <w:keepLines w:val="0"/>
        <w:keepNext w:val="0"/>
        <w:spacing w:before="0" w:after="0" w:line="360" w:lineRule="auto"/>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31.服务（包含与服务相关的货物）的追加</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6"/>
      <w:bookmarkEnd w:id="177"/>
      <w:bookmarkEnd w:id="178"/>
      <w:r/>
    </w:p>
    <w:p>
      <w:pPr>
        <w:jc w:val="center"/>
        <w:spacing w:line="360" w:lineRule="auto"/>
        <w:tabs>
          <w:tab w:val="left" w:pos="1440" w:leader="none"/>
        </w:tabs>
        <w:rPr>
          <w:rFonts w:hint="eastAsia" w:ascii="黑体" w:hAnsi="黑体" w:eastAsia="黑体"/>
          <w:color w:val="000000" w:themeColor="text1"/>
          <w:sz w:val="36"/>
          <w:szCs w:val="36"/>
          <w:highlight w:val="none"/>
        </w:rPr>
        <w:outlineLvl w:val="0"/>
      </w:pPr>
      <w:r>
        <w:rPr>
          <w:rFonts w:ascii="宋体" w:hAnsi="宋体"/>
          <w:bCs/>
          <w:sz w:val="24"/>
          <w:shd w:val="clear" w:color="ffffff" w:fill="d9d9d9"/>
        </w:rPr>
        <w:br w:type="page" w:clear="all"/>
      </w:r>
      <w:bookmarkEnd w:id="100"/>
      <w:r/>
      <w:bookmarkEnd w:id="101"/>
      <w:r/>
      <w:bookmarkEnd w:id="102"/>
      <w:r/>
      <w:bookmarkEnd w:id="103"/>
      <w:r/>
      <w:bookmarkEnd w:id="104"/>
      <w:r/>
      <w:bookmarkStart w:id="179" w:name="_Toc16938559"/>
      <w:r/>
      <w:bookmarkStart w:id="180" w:name="_Toc20823315"/>
      <w:r/>
      <w:bookmarkStart w:id="181" w:name="_Toc513029243"/>
      <w:r>
        <w:rPr>
          <w:rFonts w:hint="eastAsia" w:ascii="黑体" w:hAnsi="黑体" w:eastAsia="黑体"/>
          <w:color w:val="000000" w:themeColor="text1"/>
          <w:sz w:val="36"/>
          <w:szCs w:val="36"/>
          <w:highlight w:val="none"/>
        </w:rPr>
        <w:t xml:space="preserve">第三章  合同文本</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以下为中标后签订本项目合同的通用条款，中标人不得提出实质性的修改。</w:t>
      </w:r>
      <w:r/>
    </w:p>
    <w:p>
      <w:pPr>
        <w:ind w:firstLine="602"/>
        <w:jc w:val="center"/>
        <w:spacing w:line="360" w:lineRule="auto"/>
        <w:rPr>
          <w:rFonts w:ascii="宋体" w:hAnsi="宋体"/>
          <w:b/>
          <w:bCs/>
          <w:color w:val="000000" w:themeColor="text1"/>
          <w:sz w:val="30"/>
          <w:szCs w:val="20"/>
          <w:highlight w:val="none"/>
        </w:rPr>
      </w:pPr>
      <w:r>
        <w:rPr>
          <w:rFonts w:hint="eastAsia" w:ascii="宋体" w:hAnsi="宋体"/>
          <w:b/>
          <w:color w:val="000000" w:themeColor="text1"/>
          <w:sz w:val="30"/>
          <w:highlight w:val="none"/>
        </w:rPr>
        <w:t xml:space="preserve">江苏省政府采购合同（货物）（合同编号）</w:t>
      </w:r>
      <w:r/>
    </w:p>
    <w:p>
      <w:pPr>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项目名称：                                       项目编号：</w:t>
      </w:r>
      <w:r/>
    </w:p>
    <w:p>
      <w:pPr>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甲方：（买方、需方、采购人）_________</w:t>
      </w:r>
      <w:r/>
    </w:p>
    <w:p>
      <w:pPr>
        <w:spacing w:line="360" w:lineRule="auto"/>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乙方：（卖方、供方、供应商）_________</w:t>
      </w:r>
      <w:r/>
    </w:p>
    <w:p>
      <w:pPr>
        <w:ind w:firstLine="480"/>
        <w:spacing w:line="360" w:lineRule="auto"/>
        <w:rPr>
          <w:rFonts w:ascii="宋体" w:hAnsi="宋体" w:cs="Courier New"/>
          <w:b/>
          <w:color w:val="000000" w:themeColor="text1"/>
          <w:sz w:val="24"/>
          <w:szCs w:val="24"/>
          <w:highlight w:val="none"/>
        </w:rPr>
      </w:pPr>
      <w:r>
        <w:rPr>
          <w:rFonts w:ascii="宋体" w:hAnsi="宋体" w:cs="Courier New"/>
          <w:color w:val="000000" w:themeColor="text1"/>
          <w:sz w:val="24"/>
          <w:szCs w:val="24"/>
          <w:highlight w:val="none"/>
        </w:rPr>
        <w:t xml:space="preserve">甲、乙双方根据</w:t>
      </w:r>
      <w:r>
        <w:rPr>
          <w:rFonts w:hint="eastAsia" w:ascii="宋体" w:hAnsi="宋体" w:cs="Courier New"/>
          <w:color w:val="000000" w:themeColor="text1"/>
          <w:sz w:val="24"/>
          <w:szCs w:val="24"/>
          <w:highlight w:val="none"/>
          <w:lang w:eastAsia="zh-CN"/>
        </w:rPr>
        <w:t xml:space="preserve">无锡市滨湖区公共资源交易中心</w:t>
      </w:r>
      <w:r>
        <w:rPr>
          <w:rFonts w:hint="eastAsia" w:ascii="宋体" w:hAnsi="宋体" w:cs="Courier New"/>
          <w:color w:val="000000" w:themeColor="text1"/>
          <w:sz w:val="24"/>
          <w:szCs w:val="24"/>
          <w:highlight w:val="none"/>
          <w:u w:val="single"/>
        </w:rPr>
        <w:t xml:space="preserve">   </w:t>
      </w:r>
      <w:r>
        <w:rPr>
          <w:rFonts w:ascii="宋体" w:hAnsi="宋体" w:cs="Courier New"/>
          <w:color w:val="000000" w:themeColor="text1"/>
          <w:sz w:val="24"/>
          <w:szCs w:val="24"/>
          <w:highlight w:val="none"/>
        </w:rPr>
        <w:t xml:space="preserve">项目公开招标的结果，签署本合同。</w:t>
      </w:r>
      <w:r/>
    </w:p>
    <w:p>
      <w:pPr>
        <w:ind w:firstLine="482"/>
        <w:spacing w:line="360" w:lineRule="auto"/>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一、</w:t>
      </w:r>
      <w:r>
        <w:rPr>
          <w:rFonts w:hint="eastAsia" w:ascii="宋体" w:hAnsi="宋体" w:cs="Courier New"/>
          <w:b/>
          <w:color w:val="000000" w:themeColor="text1"/>
          <w:sz w:val="24"/>
          <w:szCs w:val="24"/>
          <w:highlight w:val="none"/>
        </w:rPr>
        <w:t xml:space="preserve">合同</w:t>
      </w:r>
      <w:r>
        <w:rPr>
          <w:rFonts w:ascii="宋体" w:hAnsi="宋体" w:cs="Courier New"/>
          <w:b/>
          <w:color w:val="000000" w:themeColor="text1"/>
          <w:sz w:val="24"/>
          <w:szCs w:val="24"/>
          <w:highlight w:val="none"/>
        </w:rPr>
        <w:t xml:space="preserve">内容</w:t>
      </w:r>
      <w:r/>
    </w:p>
    <w:p>
      <w:pPr>
        <w:ind w:firstLine="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1.1 </w:t>
      </w:r>
      <w:r>
        <w:rPr>
          <w:rFonts w:hint="eastAsia" w:ascii="宋体" w:hAnsi="宋体" w:cs="Courier New"/>
          <w:color w:val="000000" w:themeColor="text1"/>
          <w:sz w:val="24"/>
          <w:szCs w:val="24"/>
          <w:highlight w:val="none"/>
        </w:rPr>
        <w:t xml:space="preserve">标的</w:t>
      </w:r>
      <w:r>
        <w:rPr>
          <w:rFonts w:ascii="宋体" w:hAnsi="宋体" w:cs="Courier New"/>
          <w:color w:val="000000" w:themeColor="text1"/>
          <w:sz w:val="24"/>
          <w:szCs w:val="24"/>
          <w:highlight w:val="none"/>
        </w:rPr>
        <w:t xml:space="preserve">名称：</w:t>
      </w:r>
      <w:r/>
    </w:p>
    <w:p>
      <w:pPr>
        <w:ind w:firstLine="480"/>
        <w:spacing w:line="360" w:lineRule="auto"/>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1.2</w:t>
      </w:r>
      <w:r>
        <w:rPr>
          <w:rFonts w:hint="eastAsia" w:ascii="宋体" w:hAnsi="宋体" w:cs="Courier New"/>
          <w:color w:val="000000" w:themeColor="text1"/>
          <w:sz w:val="24"/>
          <w:szCs w:val="24"/>
          <w:highlight w:val="none"/>
        </w:rPr>
        <w:t xml:space="preserve"> 标的质量：</w:t>
      </w:r>
      <w:r/>
    </w:p>
    <w:p>
      <w:pPr>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1.3 标的数量（规模）：</w:t>
      </w:r>
      <w:r/>
    </w:p>
    <w:p>
      <w:pPr>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1.4 履行时间（期限）：</w:t>
      </w:r>
      <w:r/>
    </w:p>
    <w:p>
      <w:pPr>
        <w:ind w:firstLine="480"/>
        <w:spacing w:line="360" w:lineRule="auto"/>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1.5 履行地点：</w:t>
      </w:r>
      <w:r/>
    </w:p>
    <w:p>
      <w:pPr>
        <w:ind w:firstLine="480"/>
        <w:spacing w:line="360" w:lineRule="auto"/>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6 履行方式：</w:t>
      </w:r>
      <w:r/>
    </w:p>
    <w:p>
      <w:pPr>
        <w:ind w:firstLine="480"/>
        <w:spacing w:line="360" w:lineRule="auto"/>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1.7 包装方式：</w:t>
      </w:r>
      <w:r/>
    </w:p>
    <w:p>
      <w:pPr>
        <w:ind w:firstLine="482"/>
        <w:spacing w:line="360" w:lineRule="auto"/>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二、合同金额</w:t>
      </w:r>
      <w:r/>
    </w:p>
    <w:p>
      <w:pPr>
        <w:ind w:firstLine="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2.1</w:t>
      </w:r>
      <w:r>
        <w:rPr>
          <w:rFonts w:hAnsi="宋体"/>
          <w:color w:val="000000" w:themeColor="text1"/>
          <w:sz w:val="24"/>
          <w:szCs w:val="24"/>
          <w:highlight w:val="none"/>
        </w:rPr>
        <w:t xml:space="preserve">本合同金额为（大写）： _____________</w:t>
      </w:r>
      <w:r>
        <w:rPr>
          <w:rFonts w:hint="eastAsia" w:hAnsi="宋体"/>
          <w:color w:val="000000" w:themeColor="text1"/>
          <w:sz w:val="24"/>
          <w:szCs w:val="24"/>
          <w:highlight w:val="none"/>
        </w:rPr>
        <w:t xml:space="preserve">圆</w:t>
      </w:r>
      <w:r>
        <w:rPr>
          <w:rFonts w:hAnsi="宋体"/>
          <w:color w:val="000000" w:themeColor="text1"/>
          <w:sz w:val="24"/>
          <w:szCs w:val="24"/>
          <w:highlight w:val="none"/>
        </w:rPr>
        <w:t xml:space="preserve">（______元）人民币</w:t>
      </w:r>
      <w:r>
        <w:rPr>
          <w:rFonts w:hint="eastAsia" w:hAnsi="宋体"/>
          <w:color w:val="000000" w:themeColor="text1"/>
          <w:sz w:val="24"/>
          <w:szCs w:val="24"/>
          <w:highlight w:val="none"/>
        </w:rPr>
        <w:t xml:space="preserve">或其他币种</w:t>
      </w:r>
      <w:r>
        <w:rPr>
          <w:rFonts w:hAnsi="宋体"/>
          <w:color w:val="000000" w:themeColor="text1"/>
          <w:sz w:val="24"/>
          <w:szCs w:val="24"/>
          <w:highlight w:val="none"/>
        </w:rPr>
        <w:t xml:space="preserve">。</w:t>
      </w:r>
      <w:r/>
    </w:p>
    <w:p>
      <w:pPr>
        <w:ind w:firstLine="482"/>
        <w:spacing w:line="360" w:lineRule="auto"/>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三、技术资料</w:t>
      </w:r>
      <w:r/>
    </w:p>
    <w:p>
      <w:pPr>
        <w:ind w:firstLine="480"/>
        <w:spacing w:line="360" w:lineRule="auto"/>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3.1乙方应按招标文件规定的时间向甲方提供使用货物</w:t>
      </w:r>
      <w:r>
        <w:rPr>
          <w:rFonts w:hint="eastAsia" w:ascii="宋体" w:hAnsi="宋体" w:cs="Courier New"/>
          <w:color w:val="000000" w:themeColor="text1"/>
          <w:sz w:val="24"/>
          <w:szCs w:val="24"/>
          <w:highlight w:val="none"/>
        </w:rPr>
        <w:t xml:space="preserve">（包含与货物相关的服务）</w:t>
      </w:r>
      <w:r>
        <w:rPr>
          <w:rFonts w:ascii="宋体" w:hAnsi="宋体" w:cs="Courier New"/>
          <w:color w:val="000000" w:themeColor="text1"/>
          <w:sz w:val="24"/>
          <w:szCs w:val="24"/>
          <w:highlight w:val="none"/>
        </w:rPr>
        <w:t xml:space="preserve">的有关技术资料。</w:t>
      </w:r>
      <w:r/>
    </w:p>
    <w:p>
      <w:pPr>
        <w:ind w:firstLine="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360" w:lineRule="auto"/>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四、知识产权</w:t>
      </w:r>
      <w:r/>
    </w:p>
    <w:p>
      <w:pPr>
        <w:ind w:firstLine="480"/>
        <w:spacing w:line="360" w:lineRule="auto"/>
        <w:rPr>
          <w:rFonts w:hint="eastAsia" w:ascii="宋体" w:hAnsi="宋体"/>
          <w:color w:val="000000" w:themeColor="text1"/>
          <w:sz w:val="24"/>
          <w:highlight w:val="none"/>
        </w:rPr>
      </w:pPr>
      <w:r>
        <w:rPr>
          <w:rFonts w:hAnsi="宋体"/>
          <w:color w:val="000000" w:themeColor="text1"/>
          <w:sz w:val="24"/>
          <w:szCs w:val="24"/>
          <w:highlight w:val="none"/>
        </w:rPr>
        <w:t xml:space="preserve">4.1乙</w:t>
      </w:r>
      <w:r>
        <w:rPr>
          <w:rFonts w:hint="eastAsia" w:ascii="宋体" w:hAnsi="宋体"/>
          <w:color w:val="000000" w:themeColor="text1"/>
          <w:sz w:val="24"/>
          <w:highlight w:val="none"/>
        </w:rPr>
        <w:t xml:space="preserve">方应保证甲方在使用、接受本合同货物</w:t>
      </w:r>
      <w:r>
        <w:rPr>
          <w:rFonts w:hint="eastAsia" w:hAnsi="宋体"/>
          <w:color w:val="000000" w:themeColor="text1"/>
          <w:sz w:val="24"/>
          <w:szCs w:val="24"/>
          <w:highlight w:val="none"/>
        </w:rPr>
        <w:t xml:space="preserve">（包含与货物相关的服务）</w:t>
      </w:r>
      <w:r>
        <w:rPr>
          <w:rFonts w:hint="eastAsia" w:ascii="宋体" w:hAnsi="宋体"/>
          <w:color w:val="000000" w:themeColor="text1"/>
          <w:sz w:val="24"/>
          <w:highlight w:val="none"/>
        </w:rPr>
        <w:t xml:space="preserve">或其任何一部分时不受第三方提出侵犯其专利权、版权、商标权和工业设计权等知识产权的起诉。一旦出现侵权，由乙方负全部责任。</w:t>
      </w:r>
      <w:r/>
    </w:p>
    <w:p>
      <w:pPr>
        <w:spacing w:line="360" w:lineRule="auto"/>
        <w:rPr>
          <w:rFonts w:hint="eastAsia" w:ascii="宋体" w:hAnsi="宋体" w:cs="Courier New"/>
          <w:color w:val="000000" w:themeColor="text1"/>
          <w:sz w:val="24"/>
          <w:szCs w:val="24"/>
          <w:highlight w:val="none"/>
        </w:rPr>
      </w:pPr>
      <w:r>
        <w:rPr>
          <w:rFonts w:hint="eastAsia" w:hAnsi="宋体"/>
          <w:color w:val="000000" w:themeColor="text1"/>
          <w:sz w:val="24"/>
          <w:szCs w:val="24"/>
          <w:highlight w:val="none"/>
        </w:rPr>
        <w:t xml:space="preserve">（注：采购项目如涉及采购标的的知识产权归属、处理的，如订购、设计、定制开发的信息化建设项目等，应当约定知识产权的归属和处理方式）</w:t>
      </w:r>
      <w:r/>
    </w:p>
    <w:p>
      <w:pPr>
        <w:ind w:firstLine="482"/>
        <w:spacing w:line="360" w:lineRule="auto"/>
        <w:rPr>
          <w:rFonts w:ascii="宋体" w:hAnsi="宋体" w:cs="Courier New"/>
          <w:color w:val="000000" w:themeColor="text1"/>
          <w:sz w:val="24"/>
          <w:szCs w:val="24"/>
          <w:highlight w:val="none"/>
          <w:u w:val="single"/>
        </w:rPr>
      </w:pPr>
      <w:r>
        <w:rPr>
          <w:rFonts w:ascii="宋体" w:hAnsi="宋体" w:cs="Courier New"/>
          <w:b/>
          <w:color w:val="000000" w:themeColor="text1"/>
          <w:sz w:val="24"/>
          <w:szCs w:val="24"/>
          <w:highlight w:val="none"/>
        </w:rPr>
        <w:t xml:space="preserve">五、产权担保</w:t>
      </w:r>
      <w:r/>
    </w:p>
    <w:p>
      <w:pPr>
        <w:ind w:firstLine="480"/>
        <w:spacing w:line="360" w:lineRule="auto"/>
        <w:rPr>
          <w:rFonts w:ascii="宋体" w:hAnsi="宋体" w:cs="Courier New"/>
          <w:color w:val="000000" w:themeColor="text1"/>
          <w:sz w:val="24"/>
          <w:szCs w:val="24"/>
          <w:highlight w:val="none"/>
          <w:u w:val="single"/>
        </w:rPr>
      </w:pPr>
      <w:r>
        <w:rPr>
          <w:rFonts w:ascii="宋体" w:hAnsi="宋体" w:cs="Courier New"/>
          <w:color w:val="000000" w:themeColor="text1"/>
          <w:sz w:val="24"/>
          <w:szCs w:val="24"/>
          <w:highlight w:val="none"/>
        </w:rPr>
        <w:t xml:space="preserve">5.1 乙方保证所交付的货物</w:t>
      </w:r>
      <w:r>
        <w:rPr>
          <w:rFonts w:hint="eastAsia" w:ascii="宋体" w:hAnsi="宋体" w:cs="Courier New"/>
          <w:color w:val="000000" w:themeColor="text1"/>
          <w:sz w:val="24"/>
          <w:szCs w:val="24"/>
          <w:highlight w:val="none"/>
        </w:rPr>
        <w:t xml:space="preserve">（包含与货物相关的服务）</w:t>
      </w:r>
      <w:r>
        <w:rPr>
          <w:rFonts w:ascii="宋体" w:hAnsi="宋体" w:cs="Courier New"/>
          <w:color w:val="000000" w:themeColor="text1"/>
          <w:sz w:val="24"/>
          <w:szCs w:val="24"/>
          <w:highlight w:val="none"/>
        </w:rPr>
        <w:t xml:space="preserve">的所有权完全属于乙方且无任何抵押、查封等产权瑕疵。</w:t>
      </w:r>
      <w:r/>
    </w:p>
    <w:p>
      <w:pPr>
        <w:ind w:firstLine="482"/>
        <w:spacing w:line="360" w:lineRule="auto"/>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六、履约保证金</w:t>
      </w:r>
      <w:r/>
    </w:p>
    <w:p>
      <w:pPr>
        <w:ind w:firstLine="480"/>
        <w:spacing w:line="360" w:lineRule="auto"/>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6.1 乙方交纳人民币__元作为本合同的履约保证金。</w:t>
      </w:r>
      <w:r>
        <w:rPr>
          <w:rFonts w:hint="eastAsia" w:ascii="宋体" w:hAnsi="宋体" w:cs="Courier New"/>
          <w:color w:val="000000" w:themeColor="text1"/>
          <w:sz w:val="24"/>
          <w:szCs w:val="24"/>
          <w:highlight w:val="none"/>
        </w:rPr>
        <w:t xml:space="preserve">（不得超过合同金额的10%）</w:t>
      </w:r>
      <w:r/>
    </w:p>
    <w:p>
      <w:pPr>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6.2合同履行结束后，甲方应及时退还交纳的履约保证金。</w:t>
      </w:r>
      <w:r/>
    </w:p>
    <w:p>
      <w:pPr>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6.2.1履约保证金退还方式：</w:t>
      </w:r>
      <w:r/>
    </w:p>
    <w:p>
      <w:pPr>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6.2.2履约保证金退还时间：</w:t>
      </w:r>
      <w:r/>
    </w:p>
    <w:p>
      <w:pPr>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6.2.3履约保证金退还条件：</w:t>
      </w:r>
      <w:r/>
    </w:p>
    <w:p>
      <w:pPr>
        <w:ind w:firstLine="480"/>
        <w:spacing w:line="360" w:lineRule="auto"/>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6.2.4履约保证金不予退还的情形：</w:t>
      </w:r>
      <w:r/>
    </w:p>
    <w:p>
      <w:pPr>
        <w:ind w:firstLine="482"/>
        <w:spacing w:line="360" w:lineRule="auto"/>
        <w:rPr>
          <w:rFonts w:ascii="宋体" w:hAnsi="宋体" w:eastAsia="仿宋_GB2312"/>
          <w:b/>
          <w:color w:val="000000" w:themeColor="text1"/>
          <w:sz w:val="24"/>
          <w:szCs w:val="24"/>
          <w:highlight w:val="none"/>
        </w:rPr>
      </w:pPr>
      <w:r>
        <w:rPr>
          <w:rFonts w:hint="eastAsia" w:ascii="宋体" w:hAnsi="宋体"/>
          <w:b/>
          <w:color w:val="000000" w:themeColor="text1"/>
          <w:sz w:val="24"/>
          <w:szCs w:val="24"/>
          <w:highlight w:val="none"/>
        </w:rPr>
        <w:t xml:space="preserve">七、合同转包或分包</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7.1乙方不得将合同标的转包给他人履行。</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360" w:lineRule="auto"/>
        <w:rPr>
          <w:rFonts w:ascii="宋体" w:hAnsi="宋体" w:eastAsia="仿宋_GB2312"/>
          <w:color w:val="000000" w:themeColor="text1"/>
          <w:sz w:val="24"/>
          <w:szCs w:val="24"/>
          <w:highlight w:val="none"/>
        </w:rPr>
      </w:pPr>
      <w:r>
        <w:rPr>
          <w:rFonts w:ascii="宋体" w:hAnsi="宋体"/>
          <w:color w:val="000000" w:themeColor="text1"/>
          <w:sz w:val="24"/>
          <w:szCs w:val="24"/>
          <w:highlight w:val="none"/>
        </w:rPr>
        <w:t xml:space="preserve">7.3</w:t>
      </w:r>
      <w:r>
        <w:rPr>
          <w:rFonts w:hint="eastAsia" w:ascii="宋体" w:hAnsi="宋体"/>
          <w:color w:val="000000" w:themeColor="text1"/>
          <w:sz w:val="24"/>
          <w:szCs w:val="24"/>
          <w:highlight w:val="none"/>
        </w:rPr>
        <w:t xml:space="preserve">乙方如有转包或未经甲方同意的分包行为，甲方有权给予终止合同。</w:t>
      </w:r>
      <w:r/>
    </w:p>
    <w:p>
      <w:pPr>
        <w:ind w:firstLine="482"/>
        <w:spacing w:line="360" w:lineRule="auto"/>
        <w:rPr>
          <w:rFonts w:ascii="宋体" w:hAnsi="宋体" w:cs="Courier New"/>
          <w:b/>
          <w:color w:val="000000" w:themeColor="text1"/>
          <w:sz w:val="24"/>
          <w:szCs w:val="24"/>
          <w:highlight w:val="none"/>
        </w:rPr>
      </w:pPr>
      <w:r>
        <w:rPr>
          <w:rFonts w:hint="eastAsia" w:ascii="宋体" w:hAnsi="宋体" w:cs="Courier New"/>
          <w:b/>
          <w:color w:val="000000" w:themeColor="text1"/>
          <w:sz w:val="24"/>
          <w:szCs w:val="24"/>
          <w:highlight w:val="none"/>
        </w:rPr>
        <w:t xml:space="preserve">八</w:t>
      </w:r>
      <w:r>
        <w:rPr>
          <w:rFonts w:ascii="宋体" w:hAnsi="宋体" w:cs="Courier New"/>
          <w:b/>
          <w:color w:val="000000" w:themeColor="text1"/>
          <w:sz w:val="24"/>
          <w:szCs w:val="24"/>
          <w:highlight w:val="none"/>
        </w:rPr>
        <w:t xml:space="preserve">、</w:t>
      </w:r>
      <w:r>
        <w:rPr>
          <w:rFonts w:hint="eastAsia" w:ascii="宋体" w:hAnsi="宋体" w:cs="Courier New"/>
          <w:b/>
          <w:color w:val="000000" w:themeColor="text1"/>
          <w:sz w:val="24"/>
          <w:szCs w:val="24"/>
          <w:highlight w:val="none"/>
        </w:rPr>
        <w:t xml:space="preserve">合同款项</w:t>
      </w:r>
      <w:r>
        <w:rPr>
          <w:rFonts w:ascii="宋体" w:hAnsi="宋体" w:cs="Courier New"/>
          <w:b/>
          <w:color w:val="000000" w:themeColor="text1"/>
          <w:sz w:val="24"/>
          <w:szCs w:val="24"/>
          <w:highlight w:val="none"/>
        </w:rPr>
        <w:t xml:space="preserve">支付</w:t>
      </w:r>
      <w:r/>
    </w:p>
    <w:p>
      <w:pPr>
        <w:ind w:firstLine="480"/>
        <w:spacing w:line="360" w:lineRule="auto"/>
        <w:rPr>
          <w:rFonts w:hint="eastAsia" w:ascii="宋体" w:hAnsi="宋体" w:cs="Courier New"/>
          <w:bCs/>
          <w:color w:val="000000" w:themeColor="text1"/>
          <w:sz w:val="24"/>
          <w:szCs w:val="24"/>
          <w:highlight w:val="none"/>
        </w:rPr>
      </w:pPr>
      <w:r>
        <w:rPr>
          <w:rFonts w:hint="eastAsia" w:ascii="宋体" w:hAnsi="宋体" w:cs="Courier New"/>
          <w:bCs/>
          <w:color w:val="000000" w:themeColor="text1"/>
          <w:sz w:val="24"/>
          <w:szCs w:val="24"/>
          <w:highlight w:val="none"/>
        </w:rPr>
        <w:t xml:space="preserve">8</w:t>
      </w:r>
      <w:r>
        <w:rPr>
          <w:rFonts w:ascii="宋体" w:hAnsi="宋体" w:cs="Courier New"/>
          <w:bCs/>
          <w:color w:val="000000" w:themeColor="text1"/>
          <w:sz w:val="24"/>
          <w:szCs w:val="24"/>
          <w:highlight w:val="none"/>
        </w:rPr>
        <w:t xml:space="preserve">.1</w:t>
      </w:r>
      <w:r>
        <w:rPr>
          <w:rFonts w:hint="eastAsia" w:ascii="宋体" w:hAnsi="宋体" w:cs="Courier New"/>
          <w:bCs/>
          <w:color w:val="000000" w:themeColor="text1"/>
          <w:sz w:val="24"/>
          <w:szCs w:val="24"/>
          <w:highlight w:val="none"/>
        </w:rPr>
        <w:t xml:space="preserve">合同款项的支付方式及进度安排</w:t>
      </w:r>
      <w:r/>
    </w:p>
    <w:p>
      <w:pPr>
        <w:ind w:firstLine="480"/>
        <w:spacing w:line="360" w:lineRule="auto"/>
        <w:rPr>
          <w:rFonts w:hint="eastAsia" w:ascii="宋体" w:hAnsi="宋体" w:cs="Courier New"/>
          <w:bCs/>
          <w:color w:val="000000" w:themeColor="text1"/>
          <w:sz w:val="24"/>
          <w:szCs w:val="24"/>
          <w:highlight w:val="none"/>
        </w:rPr>
      </w:pPr>
      <w:r>
        <w:rPr>
          <w:rFonts w:hint="eastAsia" w:ascii="宋体" w:hAnsi="宋体" w:cs="Courier New"/>
          <w:bCs/>
          <w:color w:val="000000" w:themeColor="text1"/>
          <w:sz w:val="24"/>
          <w:szCs w:val="24"/>
          <w:highlight w:val="none"/>
        </w:rPr>
        <w:t xml:space="preserve">8.1.1预付款支付时间：</w:t>
      </w:r>
      <w:r>
        <w:rPr>
          <w:rFonts w:hint="eastAsia" w:ascii="宋体" w:hAnsi="宋体" w:cs="Courier New"/>
          <w:bCs/>
          <w:color w:val="000000" w:themeColor="text1"/>
          <w:sz w:val="24"/>
          <w:szCs w:val="24"/>
          <w:highlight w:val="none"/>
          <w:u w:val="single"/>
        </w:rPr>
        <w:t xml:space="preserve">               </w:t>
      </w:r>
      <w:r>
        <w:rPr>
          <w:rFonts w:hint="eastAsia" w:ascii="宋体" w:hAnsi="宋体" w:cs="Courier New"/>
          <w:bCs/>
          <w:color w:val="000000" w:themeColor="text1"/>
          <w:sz w:val="24"/>
          <w:szCs w:val="24"/>
          <w:highlight w:val="none"/>
        </w:rPr>
        <w:t xml:space="preserve">，预付款支付比例：</w:t>
      </w:r>
      <w:r>
        <w:rPr>
          <w:rFonts w:hint="eastAsia" w:ascii="宋体" w:hAnsi="宋体" w:cs="Courier New"/>
          <w:bCs/>
          <w:color w:val="000000" w:themeColor="text1"/>
          <w:sz w:val="24"/>
          <w:szCs w:val="24"/>
          <w:highlight w:val="none"/>
          <w:u w:val="single"/>
        </w:rPr>
        <w:t xml:space="preserve">         </w:t>
      </w:r>
      <w:r>
        <w:rPr>
          <w:rFonts w:hint="eastAsia" w:ascii="宋体" w:hAnsi="宋体" w:cs="Courier New"/>
          <w:bCs/>
          <w:color w:val="000000" w:themeColor="text1"/>
          <w:sz w:val="24"/>
          <w:szCs w:val="24"/>
          <w:highlight w:val="none"/>
        </w:rPr>
        <w:t xml:space="preserve">。</w:t>
      </w:r>
      <w:r/>
    </w:p>
    <w:p>
      <w:pPr>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bCs/>
          <w:color w:val="000000" w:themeColor="text1"/>
          <w:sz w:val="24"/>
          <w:szCs w:val="24"/>
          <w:highlight w:val="none"/>
        </w:rPr>
        <w:t xml:space="preserve">8.1.2尾款支付时间：</w:t>
      </w:r>
      <w:r>
        <w:rPr>
          <w:rFonts w:hint="eastAsia" w:ascii="宋体" w:hAnsi="宋体" w:cs="Courier New"/>
          <w:bCs/>
          <w:color w:val="000000" w:themeColor="text1"/>
          <w:sz w:val="24"/>
          <w:szCs w:val="24"/>
          <w:highlight w:val="none"/>
          <w:u w:val="single"/>
        </w:rPr>
        <w:t xml:space="preserve">                 </w:t>
      </w:r>
      <w:r>
        <w:rPr>
          <w:rFonts w:hint="eastAsia" w:ascii="宋体" w:hAnsi="宋体" w:cs="Courier New"/>
          <w:bCs/>
          <w:color w:val="000000" w:themeColor="text1"/>
          <w:sz w:val="24"/>
          <w:szCs w:val="24"/>
          <w:highlight w:val="none"/>
        </w:rPr>
        <w:t xml:space="preserve">。</w:t>
      </w:r>
      <w:r/>
    </w:p>
    <w:p>
      <w:pPr>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注：（1）根据《关于做好政府采购支持企业发展有关事项的通知》（苏采购</w:t>
      </w:r>
      <w:r>
        <w:rPr>
          <w:rFonts w:hint="eastAsia" w:ascii="宋体" w:hAnsi="宋体" w:cs="Courier New"/>
          <w:bCs/>
          <w:color w:val="000000" w:themeColor="text1"/>
          <w:sz w:val="24"/>
          <w:szCs w:val="24"/>
          <w:highlight w:val="none"/>
        </w:rPr>
        <w:t xml:space="preserve">〔2020〕52</w:t>
      </w:r>
      <w:r>
        <w:rPr>
          <w:rFonts w:hint="eastAsia" w:ascii="宋体" w:hAnsi="宋体"/>
          <w:bCs/>
          <w:color w:val="000000" w:themeColor="text1"/>
          <w:sz w:val="24"/>
          <w:szCs w:val="24"/>
          <w:highlight w:val="none"/>
        </w:rPr>
        <w:t xml:space="preserve">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spacing w:line="360" w:lineRule="auto"/>
        <w:rPr>
          <w:rFonts w:hint="eastAsia" w:ascii="宋体" w:hAnsi="宋体" w:cs="Courier New"/>
          <w:bCs/>
          <w:color w:val="000000" w:themeColor="text1"/>
          <w:sz w:val="24"/>
          <w:szCs w:val="24"/>
          <w:highlight w:val="none"/>
        </w:rPr>
      </w:pPr>
      <w:r>
        <w:rPr>
          <w:rFonts w:ascii="宋体" w:hAnsi="宋体" w:cs="Courier New"/>
          <w:bCs/>
          <w:color w:val="000000" w:themeColor="text1"/>
          <w:sz w:val="24"/>
          <w:szCs w:val="24"/>
          <w:highlight w:val="none"/>
        </w:rPr>
        <w:t xml:space="preserve">（</w:t>
      </w:r>
      <w:r>
        <w:rPr>
          <w:rFonts w:hint="eastAsia" w:ascii="宋体" w:hAnsi="宋体" w:cs="Courier New"/>
          <w:bCs/>
          <w:color w:val="000000" w:themeColor="text1"/>
          <w:sz w:val="24"/>
          <w:szCs w:val="24"/>
          <w:highlight w:val="none"/>
        </w:rPr>
        <w:t xml:space="preserve">2</w:t>
      </w:r>
      <w:r>
        <w:rPr>
          <w:rFonts w:ascii="宋体" w:hAnsi="宋体" w:cs="Courier New"/>
          <w:bCs/>
          <w:color w:val="000000" w:themeColor="text1"/>
          <w:sz w:val="24"/>
          <w:szCs w:val="24"/>
          <w:highlight w:val="none"/>
        </w:rPr>
        <w:t xml:space="preserve">）根据《</w:t>
      </w:r>
      <w:r>
        <w:rPr>
          <w:rFonts w:hint="eastAsia" w:ascii="宋体" w:hAnsi="宋体" w:cs="Courier New"/>
          <w:bCs/>
          <w:color w:val="000000" w:themeColor="text1"/>
          <w:sz w:val="24"/>
          <w:szCs w:val="24"/>
          <w:highlight w:val="none"/>
        </w:rPr>
        <w:t xml:space="preserve">关于进一步提高政府采购透明度和采购效率相关事项的通知</w:t>
      </w:r>
      <w:r>
        <w:rPr>
          <w:rFonts w:ascii="宋体" w:hAnsi="宋体" w:cs="Courier New"/>
          <w:bCs/>
          <w:color w:val="000000" w:themeColor="text1"/>
          <w:sz w:val="24"/>
          <w:szCs w:val="24"/>
          <w:highlight w:val="none"/>
        </w:rPr>
        <w:t xml:space="preserve">》（</w:t>
      </w:r>
      <w:r>
        <w:rPr>
          <w:rFonts w:hint="eastAsia" w:ascii="宋体" w:hAnsi="宋体" w:cs="Courier New"/>
          <w:bCs/>
          <w:color w:val="000000" w:themeColor="text1"/>
          <w:sz w:val="24"/>
          <w:szCs w:val="24"/>
          <w:highlight w:val="none"/>
        </w:rPr>
        <w:t xml:space="preserve">财办库〔2023〕243号</w:t>
      </w:r>
      <w:r>
        <w:rPr>
          <w:rFonts w:ascii="宋体" w:hAnsi="宋体" w:cs="Courier New"/>
          <w:bCs/>
          <w:color w:val="000000" w:themeColor="text1"/>
          <w:sz w:val="24"/>
          <w:szCs w:val="24"/>
          <w:highlight w:val="none"/>
        </w:rPr>
        <w:t xml:space="preserve">）</w:t>
      </w:r>
      <w:r>
        <w:rPr>
          <w:rFonts w:hint="eastAsia" w:ascii="宋体" w:hAnsi="宋体" w:cs="Courier New"/>
          <w:bCs/>
          <w:color w:val="000000" w:themeColor="text1"/>
          <w:sz w:val="24"/>
          <w:szCs w:val="24"/>
          <w:highlight w:val="none"/>
        </w:rPr>
        <w:t xml:space="preserve">规定，对于满足合同约定支付条件的，采购人原则上应当自收到发票后10个工作日内将资金支付到合同约定的供应商账户，鼓励采购人完善内部流程，自收到发票后1个工作日内完成资金支付事宜。</w:t>
      </w:r>
      <w:r/>
    </w:p>
    <w:p>
      <w:pPr>
        <w:spacing w:line="360" w:lineRule="auto"/>
        <w:rPr>
          <w:rFonts w:ascii="宋体" w:hAnsi="宋体" w:cs="Courier New"/>
          <w:bCs/>
          <w:color w:val="000000" w:themeColor="text1"/>
          <w:sz w:val="24"/>
          <w:szCs w:val="24"/>
          <w:highlight w:val="none"/>
        </w:rPr>
      </w:pPr>
      <w:r>
        <w:rPr>
          <w:rFonts w:hint="eastAsia" w:ascii="宋体" w:hAnsi="宋体" w:cs="Courier New"/>
          <w:bCs/>
          <w:color w:val="000000" w:themeColor="text1"/>
          <w:sz w:val="24"/>
          <w:szCs w:val="24"/>
          <w:highlight w:val="none"/>
        </w:rPr>
        <w:t xml:space="preserve">（3）</w:t>
      </w:r>
      <w:r>
        <w:rPr>
          <w:rFonts w:hint="eastAsia" w:ascii="宋体"/>
          <w:bCs/>
          <w:color w:val="000000" w:themeColor="text1"/>
          <w:sz w:val="24"/>
          <w:szCs w:val="24"/>
          <w:highlight w:val="none"/>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p>
    <w:p>
      <w:pPr>
        <w:ind w:firstLine="480"/>
        <w:spacing w:line="360" w:lineRule="auto"/>
        <w:rPr>
          <w:rFonts w:ascii="宋体" w:hAnsi="宋体" w:cs="Courier New"/>
          <w:bCs/>
          <w:color w:val="000000" w:themeColor="text1"/>
          <w:sz w:val="24"/>
          <w:szCs w:val="24"/>
          <w:highlight w:val="none"/>
        </w:rPr>
      </w:pPr>
      <w:r>
        <w:rPr>
          <w:rFonts w:hint="eastAsia" w:ascii="宋体" w:hAnsi="宋体" w:cs="Courier New"/>
          <w:bCs/>
          <w:color w:val="000000" w:themeColor="text1"/>
          <w:sz w:val="24"/>
          <w:szCs w:val="24"/>
          <w:highlight w:val="none"/>
        </w:rPr>
        <w:t xml:space="preserve">8</w:t>
      </w:r>
      <w:r>
        <w:rPr>
          <w:rFonts w:ascii="宋体" w:hAnsi="宋体" w:cs="Courier New"/>
          <w:bCs/>
          <w:color w:val="000000" w:themeColor="text1"/>
          <w:sz w:val="24"/>
          <w:szCs w:val="24"/>
          <w:highlight w:val="none"/>
        </w:rPr>
        <w:t xml:space="preserve">.2</w:t>
      </w:r>
      <w:r>
        <w:rPr>
          <w:rFonts w:ascii="宋体" w:hAnsi="宋体" w:cs="Courier New"/>
          <w:color w:val="000000" w:themeColor="text1"/>
          <w:sz w:val="24"/>
          <w:szCs w:val="24"/>
          <w:highlight w:val="none"/>
        </w:rPr>
        <w:t xml:space="preserve">当采购数量与实际使用数量不一致时，</w:t>
      </w:r>
      <w:r>
        <w:rPr>
          <w:rFonts w:hint="eastAsia" w:ascii="宋体" w:hAnsi="宋体" w:cs="Courier New"/>
          <w:color w:val="000000" w:themeColor="text1"/>
          <w:sz w:val="24"/>
          <w:szCs w:val="24"/>
          <w:highlight w:val="none"/>
        </w:rPr>
        <w:t xml:space="preserve">乙方</w:t>
      </w:r>
      <w:r>
        <w:rPr>
          <w:rFonts w:ascii="宋体" w:hAnsi="宋体" w:cs="Courier New"/>
          <w:color w:val="000000" w:themeColor="text1"/>
          <w:sz w:val="24"/>
          <w:szCs w:val="24"/>
          <w:highlight w:val="none"/>
        </w:rPr>
        <w:t xml:space="preserve">应根据实际使用量供货，合同的最终结算金额按实际使用量乘以成交单价进行计算。</w:t>
      </w:r>
      <w:r/>
    </w:p>
    <w:p>
      <w:pPr>
        <w:ind w:firstLine="482"/>
        <w:spacing w:line="360" w:lineRule="auto"/>
        <w:rPr>
          <w:rFonts w:ascii="宋体" w:hAnsi="宋体" w:eastAsia="仿宋_GB2312"/>
          <w:b/>
          <w:color w:val="000000" w:themeColor="text1"/>
          <w:sz w:val="24"/>
          <w:szCs w:val="24"/>
          <w:highlight w:val="none"/>
        </w:rPr>
      </w:pPr>
      <w:r>
        <w:rPr>
          <w:rFonts w:hint="eastAsia" w:ascii="宋体" w:hAnsi="宋体"/>
          <w:b/>
          <w:color w:val="000000" w:themeColor="text1"/>
          <w:sz w:val="24"/>
          <w:szCs w:val="24"/>
          <w:highlight w:val="none"/>
        </w:rPr>
        <w:t xml:space="preserve">九、税费</w:t>
      </w:r>
      <w:r/>
    </w:p>
    <w:p>
      <w:pPr>
        <w:ind w:firstLine="480"/>
        <w:spacing w:line="360" w:lineRule="auto"/>
        <w:rPr>
          <w:rFonts w:ascii="宋体" w:hAnsi="宋体" w:eastAsia="仿宋_GB2312"/>
          <w:color w:val="000000" w:themeColor="text1"/>
          <w:sz w:val="24"/>
          <w:szCs w:val="24"/>
          <w:highlight w:val="none"/>
        </w:rPr>
      </w:pPr>
      <w:r>
        <w:rPr>
          <w:rFonts w:hint="eastAsia" w:ascii="宋体" w:hAnsi="宋体"/>
          <w:color w:val="000000" w:themeColor="text1"/>
          <w:sz w:val="24"/>
          <w:szCs w:val="24"/>
          <w:highlight w:val="none"/>
        </w:rPr>
        <w:t xml:space="preserve">9</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本合同执行中相关的一切税费均由乙方负担。</w:t>
      </w:r>
      <w:r/>
    </w:p>
    <w:p>
      <w:pPr>
        <w:ind w:firstLine="482"/>
        <w:spacing w:line="360" w:lineRule="auto"/>
        <w:rPr>
          <w:rFonts w:ascii="宋体" w:hAnsi="宋体" w:cs="Courier New"/>
          <w:color w:val="000000" w:themeColor="text1"/>
          <w:sz w:val="24"/>
          <w:szCs w:val="24"/>
          <w:highlight w:val="none"/>
        </w:rPr>
      </w:pPr>
      <w:r>
        <w:rPr>
          <w:rFonts w:ascii="宋体" w:hAnsi="宋体" w:cs="Courier New"/>
          <w:b/>
          <w:color w:val="000000" w:themeColor="text1"/>
          <w:sz w:val="24"/>
          <w:szCs w:val="24"/>
          <w:highlight w:val="none"/>
        </w:rPr>
        <w:t xml:space="preserve">十、质量</w:t>
      </w:r>
      <w:r>
        <w:rPr>
          <w:rFonts w:hint="eastAsia" w:ascii="宋体" w:hAnsi="宋体" w:cs="Courier New"/>
          <w:b/>
          <w:color w:val="000000" w:themeColor="text1"/>
          <w:sz w:val="24"/>
          <w:szCs w:val="24"/>
          <w:highlight w:val="none"/>
        </w:rPr>
        <w:t xml:space="preserve">保修范围和保修期</w:t>
      </w:r>
      <w:r>
        <w:rPr>
          <w:rFonts w:ascii="宋体" w:hAnsi="宋体" w:cs="Courier New"/>
          <w:b/>
          <w:color w:val="000000" w:themeColor="text1"/>
          <w:sz w:val="24"/>
          <w:szCs w:val="24"/>
          <w:highlight w:val="none"/>
        </w:rPr>
        <w:t xml:space="preserve">及售后服务</w:t>
      </w:r>
      <w:r/>
    </w:p>
    <w:p>
      <w:pPr>
        <w:ind w:firstLine="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0</w:t>
      </w:r>
      <w:r>
        <w:rPr>
          <w:rFonts w:ascii="宋体" w:hAnsi="宋体" w:cs="Courier New"/>
          <w:color w:val="000000" w:themeColor="text1"/>
          <w:sz w:val="24"/>
          <w:szCs w:val="24"/>
          <w:highlight w:val="none"/>
        </w:rPr>
        <w:t xml:space="preserve">.1 乙方应按招标文件规定的货物性能、技术要求、质量标准向甲方提供未经使用的全新产品。</w:t>
      </w:r>
      <w:r/>
    </w:p>
    <w:p>
      <w:pPr>
        <w:ind w:firstLine="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0</w:t>
      </w:r>
      <w:r>
        <w:rPr>
          <w:rFonts w:ascii="宋体" w:hAnsi="宋体" w:cs="Courier New"/>
          <w:color w:val="000000" w:themeColor="text1"/>
          <w:sz w:val="24"/>
          <w:szCs w:val="24"/>
          <w:highlight w:val="none"/>
        </w:rPr>
        <w:t xml:space="preserve">.2 乙方提供的货物在质量期内因货物本身的质量问题发生故障，乙方应负责免费更换。对达不到技术要求者，根据实际情况，经双方协商，可按以下办法处理：</w:t>
      </w:r>
      <w:r/>
    </w:p>
    <w:p>
      <w:pPr>
        <w:ind w:firstLine="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⑴更换：由乙方承担所发生的全部费用。</w:t>
      </w:r>
      <w:r/>
    </w:p>
    <w:p>
      <w:pPr>
        <w:ind w:firstLine="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⑵贬值处理：由甲乙双方合议定价。</w:t>
      </w:r>
      <w:r/>
    </w:p>
    <w:p>
      <w:pPr>
        <w:ind w:firstLine="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⑶退货处理：乙方应退还甲方支付的合同款，同时应承担该货物的直接费用（运输、保险、检验、货款利息及银行手续费等）。</w:t>
      </w:r>
      <w:r/>
    </w:p>
    <w:p>
      <w:pPr>
        <w:ind w:firstLine="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0</w:t>
      </w:r>
      <w:r>
        <w:rPr>
          <w:rFonts w:ascii="宋体" w:hAnsi="宋体" w:cs="Courier New"/>
          <w:color w:val="000000" w:themeColor="text1"/>
          <w:sz w:val="24"/>
          <w:szCs w:val="24"/>
          <w:highlight w:val="none"/>
        </w:rPr>
        <w:t xml:space="preserve">.3 如在使用过程中发生质量问题，乙方在接到甲方通知后在_________小时内到达甲方现场。</w:t>
      </w:r>
      <w:r/>
    </w:p>
    <w:p>
      <w:pPr>
        <w:ind w:firstLine="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0</w:t>
      </w:r>
      <w:r>
        <w:rPr>
          <w:rFonts w:ascii="宋体" w:hAnsi="宋体" w:cs="Courier New"/>
          <w:color w:val="000000" w:themeColor="text1"/>
          <w:sz w:val="24"/>
          <w:szCs w:val="24"/>
          <w:highlight w:val="none"/>
        </w:rPr>
        <w:t xml:space="preserve">.4 在质保期内，乙方应对货物出现的质量及安全问题负责处理解决并承担一切费用。</w:t>
      </w:r>
      <w:r/>
    </w:p>
    <w:p>
      <w:pPr>
        <w:ind w:firstLine="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0</w:t>
      </w:r>
      <w:r>
        <w:rPr>
          <w:rFonts w:ascii="宋体" w:hAnsi="宋体" w:cs="Courier New"/>
          <w:color w:val="000000" w:themeColor="text1"/>
          <w:sz w:val="24"/>
          <w:szCs w:val="24"/>
          <w:highlight w:val="none"/>
        </w:rPr>
        <w:t xml:space="preserve">.5上述货物免费保修期为</w:t>
      </w:r>
      <w:r>
        <w:rPr>
          <w:rFonts w:ascii="宋体" w:hAnsi="宋体" w:cs="Courier New"/>
          <w:color w:val="000000" w:themeColor="text1"/>
          <w:sz w:val="24"/>
          <w:szCs w:val="24"/>
          <w:highlight w:val="none"/>
          <w:u w:val="single"/>
        </w:rPr>
        <w:t xml:space="preserve">     </w:t>
      </w:r>
      <w:r>
        <w:rPr>
          <w:rFonts w:ascii="宋体" w:hAnsi="宋体" w:cs="Courier New"/>
          <w:color w:val="000000" w:themeColor="text1"/>
          <w:sz w:val="24"/>
          <w:szCs w:val="24"/>
          <w:highlight w:val="none"/>
        </w:rPr>
        <w:t xml:space="preserve">年（自交货验收合格之日起计），因人为因素出现的故障不在免费保修范围内。超过保修期的机器设备，终</w:t>
      </w:r>
      <w:r>
        <w:rPr>
          <w:rFonts w:hint="eastAsia" w:ascii="宋体" w:hAnsi="宋体" w:cs="Courier New"/>
          <w:color w:val="000000" w:themeColor="text1"/>
          <w:sz w:val="24"/>
          <w:szCs w:val="24"/>
          <w:highlight w:val="none"/>
        </w:rPr>
        <w:t xml:space="preserve">身</w:t>
      </w:r>
      <w:r>
        <w:rPr>
          <w:rFonts w:ascii="宋体" w:hAnsi="宋体" w:cs="Courier New"/>
          <w:color w:val="000000" w:themeColor="text1"/>
          <w:sz w:val="24"/>
          <w:szCs w:val="24"/>
          <w:highlight w:val="none"/>
        </w:rPr>
        <w:t xml:space="preserve">维修，维修时只收部件成本费。</w:t>
      </w:r>
      <w:r/>
    </w:p>
    <w:p>
      <w:pPr>
        <w:ind w:firstLine="482"/>
        <w:spacing w:line="360" w:lineRule="auto"/>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一</w:t>
      </w:r>
      <w:r>
        <w:rPr>
          <w:rFonts w:ascii="宋体" w:hAnsi="宋体" w:cs="Courier New"/>
          <w:b/>
          <w:color w:val="000000" w:themeColor="text1"/>
          <w:sz w:val="24"/>
          <w:szCs w:val="24"/>
          <w:highlight w:val="none"/>
        </w:rPr>
        <w:t xml:space="preserve">、</w:t>
      </w:r>
      <w:r>
        <w:rPr>
          <w:rFonts w:hint="eastAsia" w:ascii="宋体" w:hAnsi="宋体" w:cs="Courier New"/>
          <w:b/>
          <w:color w:val="000000" w:themeColor="text1"/>
          <w:sz w:val="24"/>
          <w:szCs w:val="24"/>
          <w:highlight w:val="none"/>
        </w:rPr>
        <w:t xml:space="preserve">项目</w:t>
      </w:r>
      <w:r>
        <w:rPr>
          <w:rFonts w:ascii="宋体" w:hAnsi="宋体" w:cs="Courier New"/>
          <w:b/>
          <w:color w:val="000000" w:themeColor="text1"/>
          <w:sz w:val="24"/>
          <w:szCs w:val="24"/>
          <w:highlight w:val="none"/>
        </w:rPr>
        <w:t xml:space="preserve">验收</w:t>
      </w:r>
      <w:r/>
    </w:p>
    <w:p>
      <w:pPr>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11.1 甲方依法组织履约验收工作。</w:t>
      </w:r>
      <w:r/>
    </w:p>
    <w:p>
      <w:pPr>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11.3 对于实际使用人和甲方分离的项目，甲方邀请实际使用人参与验收。</w:t>
      </w:r>
      <w:r/>
    </w:p>
    <w:p>
      <w:pPr>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11.4 如有必要，甲方邀请参加本项目的其他供应商或第三方专业机构及专家参与验收，相关意见将作为验收书的参考资料。</w:t>
      </w:r>
      <w:r/>
    </w:p>
    <w:p>
      <w:pPr>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360" w:lineRule="auto"/>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二</w:t>
      </w:r>
      <w:r>
        <w:rPr>
          <w:rFonts w:ascii="宋体" w:hAnsi="宋体" w:cs="Courier New"/>
          <w:b/>
          <w:color w:val="000000" w:themeColor="text1"/>
          <w:sz w:val="24"/>
          <w:szCs w:val="24"/>
          <w:highlight w:val="none"/>
        </w:rPr>
        <w:t xml:space="preserve">、货物</w:t>
      </w:r>
      <w:r>
        <w:rPr>
          <w:rFonts w:hint="eastAsia" w:ascii="宋体" w:hAnsi="宋体" w:cs="Courier New"/>
          <w:b/>
          <w:color w:val="000000" w:themeColor="text1"/>
          <w:sz w:val="24"/>
          <w:szCs w:val="24"/>
          <w:highlight w:val="none"/>
        </w:rPr>
        <w:t xml:space="preserve">的</w:t>
      </w:r>
      <w:r>
        <w:rPr>
          <w:rFonts w:ascii="宋体" w:hAnsi="宋体" w:cs="Courier New"/>
          <w:b/>
          <w:color w:val="000000" w:themeColor="text1"/>
          <w:sz w:val="24"/>
          <w:szCs w:val="24"/>
          <w:highlight w:val="none"/>
        </w:rPr>
        <w:t xml:space="preserve">包装、发运及运输</w:t>
      </w:r>
      <w:r/>
    </w:p>
    <w:p>
      <w:pPr>
        <w:ind w:firstLine="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2</w:t>
      </w:r>
      <w:r>
        <w:rPr>
          <w:rFonts w:ascii="宋体" w:hAnsi="宋体" w:cs="Courier New"/>
          <w:color w:val="000000" w:themeColor="text1"/>
          <w:sz w:val="24"/>
          <w:szCs w:val="24"/>
          <w:highlight w:val="none"/>
        </w:rPr>
        <w:t xml:space="preserve">.1 乙方应在货物发运前对其进行满足运输距离、防潮、防震、防锈和防破损装卸等要求包装，以保证货物安全运达甲方指定地点。</w:t>
      </w:r>
      <w:r>
        <w:rPr>
          <w:rFonts w:hint="eastAsia" w:ascii="宋体" w:hAnsi="宋体"/>
          <w:color w:val="000000" w:themeColor="text1"/>
          <w:sz w:val="24"/>
          <w:szCs w:val="24"/>
          <w:highlight w:val="none"/>
        </w:rPr>
        <w:t xml:space="preserve">乙方对货物的包装应符合《商品包装政府采购需求标准（试行）》和《快递包装政府采购需求标准（试行）》的规定。</w:t>
      </w:r>
      <w:r/>
    </w:p>
    <w:p>
      <w:pPr>
        <w:ind w:firstLine="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2</w:t>
      </w:r>
      <w:r>
        <w:rPr>
          <w:rFonts w:ascii="宋体" w:hAnsi="宋体" w:cs="Courier New"/>
          <w:color w:val="000000" w:themeColor="text1"/>
          <w:sz w:val="24"/>
          <w:szCs w:val="24"/>
          <w:highlight w:val="none"/>
        </w:rPr>
        <w:t xml:space="preserve">.2 使用说明书、质量检验证明书、随配附件和工具以及清单一并附于货物内。</w:t>
      </w:r>
      <w:r/>
    </w:p>
    <w:p>
      <w:pPr>
        <w:ind w:firstLine="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2</w:t>
      </w:r>
      <w:r>
        <w:rPr>
          <w:rFonts w:ascii="宋体" w:hAnsi="宋体" w:cs="Courier New"/>
          <w:color w:val="000000" w:themeColor="text1"/>
          <w:sz w:val="24"/>
          <w:szCs w:val="24"/>
          <w:highlight w:val="none"/>
        </w:rPr>
        <w:t xml:space="preserve">.3 乙方在货物发运手续办理完毕后24小时内或货到甲方48小时前通知甲方，以准备接货。</w:t>
      </w:r>
      <w:r/>
    </w:p>
    <w:p>
      <w:pPr>
        <w:ind w:firstLine="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2</w:t>
      </w:r>
      <w:r>
        <w:rPr>
          <w:rFonts w:ascii="宋体" w:hAnsi="宋体" w:cs="Courier New"/>
          <w:color w:val="000000" w:themeColor="text1"/>
          <w:sz w:val="24"/>
          <w:szCs w:val="24"/>
          <w:highlight w:val="none"/>
        </w:rPr>
        <w:t xml:space="preserve">.4 货物在交付甲方前发生的风险均由乙方负责。</w:t>
      </w:r>
      <w:r/>
    </w:p>
    <w:p>
      <w:pPr>
        <w:ind w:firstLine="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2</w:t>
      </w:r>
      <w:r>
        <w:rPr>
          <w:rFonts w:ascii="宋体" w:hAnsi="宋体" w:cs="Courier New"/>
          <w:color w:val="000000" w:themeColor="text1"/>
          <w:sz w:val="24"/>
          <w:szCs w:val="24"/>
          <w:highlight w:val="none"/>
        </w:rPr>
        <w:t xml:space="preserve">.5 货物在规定的交付期限内由乙方送达甲方指定的地点视为交付，乙方同时需通知甲方货物已送达。</w:t>
      </w:r>
      <w:r/>
    </w:p>
    <w:p>
      <w:pPr>
        <w:ind w:firstLine="482"/>
        <w:spacing w:line="360" w:lineRule="auto"/>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三</w:t>
      </w:r>
      <w:r>
        <w:rPr>
          <w:rFonts w:ascii="宋体" w:hAnsi="宋体" w:cs="Courier New"/>
          <w:b/>
          <w:color w:val="000000" w:themeColor="text1"/>
          <w:sz w:val="24"/>
          <w:szCs w:val="24"/>
          <w:highlight w:val="none"/>
        </w:rPr>
        <w:t xml:space="preserve">、违约责任</w:t>
      </w:r>
      <w:r/>
    </w:p>
    <w:p>
      <w:pPr>
        <w:ind w:firstLine="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3</w:t>
      </w:r>
      <w:r>
        <w:rPr>
          <w:rFonts w:ascii="宋体" w:hAnsi="宋体" w:cs="Courier New"/>
          <w:color w:val="000000" w:themeColor="text1"/>
          <w:sz w:val="24"/>
          <w:szCs w:val="24"/>
          <w:highlight w:val="none"/>
        </w:rPr>
        <w:t xml:space="preserve">.1 甲方无正当理由拒收货物的，甲方向乙方偿付拒收货款总值</w:t>
      </w:r>
      <w:r>
        <w:rPr>
          <w:rFonts w:hint="eastAsia" w:ascii="宋体" w:hAnsi="宋体" w:cs="Courier New"/>
          <w:color w:val="000000" w:themeColor="text1"/>
          <w:sz w:val="24"/>
          <w:szCs w:val="24"/>
          <w:highlight w:val="none"/>
          <w:u w:val="single"/>
        </w:rPr>
        <w:t xml:space="preserve">    </w:t>
      </w:r>
      <w:r>
        <w:rPr>
          <w:rFonts w:ascii="宋体" w:hAnsi="宋体" w:cs="Courier New"/>
          <w:color w:val="000000" w:themeColor="text1"/>
          <w:sz w:val="24"/>
          <w:szCs w:val="24"/>
          <w:highlight w:val="none"/>
        </w:rPr>
        <w:t xml:space="preserve">的违约金。</w:t>
      </w:r>
      <w:r/>
    </w:p>
    <w:p>
      <w:pPr>
        <w:ind w:firstLine="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3</w:t>
      </w:r>
      <w:r>
        <w:rPr>
          <w:rFonts w:ascii="宋体" w:hAnsi="宋体" w:cs="Courier New"/>
          <w:color w:val="000000" w:themeColor="text1"/>
          <w:sz w:val="24"/>
          <w:szCs w:val="24"/>
          <w:highlight w:val="none"/>
        </w:rPr>
        <w:t xml:space="preserve">.2 甲方无故逾期验收和办理货款支付手续的</w:t>
      </w:r>
      <w:r>
        <w:rPr>
          <w:rFonts w:hint="eastAsia" w:ascii="宋体" w:hAnsi="宋体" w:cs="Courier New"/>
          <w:color w:val="000000" w:themeColor="text1"/>
          <w:sz w:val="24"/>
          <w:szCs w:val="24"/>
          <w:highlight w:val="none"/>
        </w:rPr>
        <w:t xml:space="preserve">，</w:t>
      </w:r>
      <w:r>
        <w:rPr>
          <w:rFonts w:ascii="宋体" w:hAnsi="宋体" w:cs="Courier New"/>
          <w:color w:val="000000" w:themeColor="text1"/>
          <w:sz w:val="24"/>
          <w:szCs w:val="24"/>
          <w:highlight w:val="none"/>
        </w:rPr>
        <w:t xml:space="preserve">甲方应按逾期付款总额每日</w:t>
      </w:r>
      <w:r>
        <w:rPr>
          <w:rFonts w:hint="eastAsia" w:ascii="宋体" w:hAnsi="宋体" w:cs="Courier New"/>
          <w:color w:val="000000" w:themeColor="text1"/>
          <w:sz w:val="24"/>
          <w:szCs w:val="24"/>
          <w:highlight w:val="none"/>
          <w:u w:val="single"/>
        </w:rPr>
        <w:t xml:space="preserve">    </w:t>
      </w:r>
      <w:r>
        <w:rPr>
          <w:rFonts w:ascii="宋体" w:hAnsi="宋体" w:cs="Courier New"/>
          <w:color w:val="000000" w:themeColor="text1"/>
          <w:sz w:val="24"/>
          <w:szCs w:val="24"/>
          <w:highlight w:val="none"/>
        </w:rPr>
        <w:t xml:space="preserve">向乙方支付违约金。</w:t>
      </w:r>
      <w:r/>
    </w:p>
    <w:p>
      <w:pPr>
        <w:ind w:firstLine="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3</w:t>
      </w:r>
      <w:r>
        <w:rPr>
          <w:rFonts w:ascii="宋体" w:hAnsi="宋体" w:cs="Courier New"/>
          <w:color w:val="000000" w:themeColor="text1"/>
          <w:sz w:val="24"/>
          <w:szCs w:val="24"/>
          <w:highlight w:val="none"/>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themeColor="text1"/>
          <w:sz w:val="24"/>
          <w:szCs w:val="24"/>
          <w:highlight w:val="none"/>
          <w:u w:val="single"/>
        </w:rPr>
        <w:t xml:space="preserve">    </w:t>
      </w:r>
      <w:r>
        <w:rPr>
          <w:rFonts w:ascii="宋体" w:hAnsi="宋体" w:cs="Courier New"/>
          <w:color w:val="000000" w:themeColor="text1"/>
          <w:sz w:val="24"/>
          <w:szCs w:val="24"/>
          <w:highlight w:val="none"/>
        </w:rPr>
        <w:t xml:space="preserve">的违约金，如造成甲方损失超过违约金的，超出部分由乙方继续承担赔偿责任。 </w:t>
      </w:r>
      <w:r/>
    </w:p>
    <w:p>
      <w:pPr>
        <w:ind w:firstLine="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3</w:t>
      </w:r>
      <w:r>
        <w:rPr>
          <w:rFonts w:ascii="宋体" w:hAnsi="宋体" w:cs="Courier New"/>
          <w:color w:val="000000" w:themeColor="text1"/>
          <w:sz w:val="24"/>
          <w:szCs w:val="24"/>
          <w:highlight w:val="none"/>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360" w:lineRule="auto"/>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四</w:t>
      </w:r>
      <w:r>
        <w:rPr>
          <w:rFonts w:ascii="宋体" w:hAnsi="宋体" w:cs="Courier New"/>
          <w:b/>
          <w:color w:val="000000" w:themeColor="text1"/>
          <w:sz w:val="24"/>
          <w:szCs w:val="24"/>
          <w:highlight w:val="none"/>
        </w:rPr>
        <w:t xml:space="preserve">、不可抗力事件处理</w:t>
      </w:r>
      <w:r/>
    </w:p>
    <w:p>
      <w:pPr>
        <w:ind w:firstLine="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4</w:t>
      </w:r>
      <w:r>
        <w:rPr>
          <w:rFonts w:ascii="宋体" w:hAnsi="宋体" w:cs="Courier New"/>
          <w:color w:val="000000" w:themeColor="text1"/>
          <w:sz w:val="24"/>
          <w:szCs w:val="24"/>
          <w:highlight w:val="none"/>
        </w:rPr>
        <w:t xml:space="preserve">.1 在合同有效期内，任何一方因不可抗力事件导致不能履行合同，则合同履行期可延长，其延长期与不可抗力影响期相同。</w:t>
      </w:r>
      <w:r/>
    </w:p>
    <w:p>
      <w:pPr>
        <w:ind w:firstLine="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4</w:t>
      </w:r>
      <w:r>
        <w:rPr>
          <w:rFonts w:ascii="宋体" w:hAnsi="宋体" w:cs="Courier New"/>
          <w:color w:val="000000" w:themeColor="text1"/>
          <w:sz w:val="24"/>
          <w:szCs w:val="24"/>
          <w:highlight w:val="none"/>
        </w:rPr>
        <w:t xml:space="preserve">.2 不可抗力事件发生后，应立即通知对方，并寄送有关权威机构出具的证明。</w:t>
      </w:r>
      <w:r/>
    </w:p>
    <w:p>
      <w:pPr>
        <w:ind w:firstLine="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4</w:t>
      </w:r>
      <w:r>
        <w:rPr>
          <w:rFonts w:ascii="宋体" w:hAnsi="宋体" w:cs="Courier New"/>
          <w:color w:val="000000" w:themeColor="text1"/>
          <w:sz w:val="24"/>
          <w:szCs w:val="24"/>
          <w:highlight w:val="none"/>
        </w:rPr>
        <w:t xml:space="preserve">.3 不可抗力事件延续120天以上，双方应通过友好协商，确定是否继续履行合同。</w:t>
      </w:r>
      <w:r/>
    </w:p>
    <w:p>
      <w:pPr>
        <w:ind w:firstLine="482"/>
        <w:spacing w:line="360" w:lineRule="auto"/>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五</w:t>
      </w:r>
      <w:r>
        <w:rPr>
          <w:rFonts w:ascii="宋体" w:hAnsi="宋体" w:cs="Courier New"/>
          <w:b/>
          <w:color w:val="000000" w:themeColor="text1"/>
          <w:sz w:val="24"/>
          <w:szCs w:val="24"/>
          <w:highlight w:val="none"/>
        </w:rPr>
        <w:t xml:space="preserve">、</w:t>
      </w:r>
      <w:r>
        <w:rPr>
          <w:rFonts w:hint="eastAsia" w:ascii="宋体" w:hAnsi="宋体" w:cs="Courier New"/>
          <w:b/>
          <w:color w:val="000000" w:themeColor="text1"/>
          <w:sz w:val="24"/>
          <w:szCs w:val="24"/>
          <w:highlight w:val="none"/>
        </w:rPr>
        <w:t xml:space="preserve">解决争议的方法</w:t>
      </w:r>
      <w:r/>
    </w:p>
    <w:p>
      <w:pPr>
        <w:ind w:firstLine="480"/>
        <w:spacing w:line="360" w:lineRule="auto"/>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5</w:t>
      </w: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甲乙</w:t>
      </w:r>
      <w:r>
        <w:rPr>
          <w:rFonts w:ascii="宋体" w:hAnsi="宋体" w:cs="Courier New"/>
          <w:color w:val="000000" w:themeColor="text1"/>
          <w:sz w:val="24"/>
          <w:szCs w:val="24"/>
          <w:highlight w:val="none"/>
        </w:rPr>
        <w:t xml:space="preserve">双方</w:t>
      </w:r>
      <w:r>
        <w:rPr>
          <w:rFonts w:hint="eastAsia" w:ascii="宋体" w:hAnsi="宋体" w:cs="Courier New"/>
          <w:color w:val="000000" w:themeColor="text1"/>
          <w:sz w:val="24"/>
          <w:szCs w:val="24"/>
          <w:highlight w:val="none"/>
        </w:rPr>
        <w:t xml:space="preserve">因</w:t>
      </w:r>
      <w:r>
        <w:rPr>
          <w:rFonts w:ascii="宋体" w:hAnsi="宋体" w:cs="Courier New"/>
          <w:color w:val="000000" w:themeColor="text1"/>
          <w:sz w:val="24"/>
          <w:szCs w:val="24"/>
          <w:highlight w:val="none"/>
        </w:rPr>
        <w:t xml:space="preserve">合同</w:t>
      </w:r>
      <w:r>
        <w:rPr>
          <w:rFonts w:hint="eastAsia" w:ascii="宋体" w:hAnsi="宋体" w:cs="Courier New"/>
          <w:color w:val="000000" w:themeColor="text1"/>
          <w:sz w:val="24"/>
          <w:szCs w:val="24"/>
          <w:highlight w:val="none"/>
        </w:rPr>
        <w:t xml:space="preserve">签订、履行而</w:t>
      </w:r>
      <w:r>
        <w:rPr>
          <w:rFonts w:ascii="宋体" w:hAnsi="宋体" w:cs="Courier New"/>
          <w:color w:val="000000" w:themeColor="text1"/>
          <w:sz w:val="24"/>
          <w:szCs w:val="24"/>
          <w:highlight w:val="none"/>
        </w:rPr>
        <w:t xml:space="preserve">发生的一切争议，应通过</w:t>
      </w:r>
      <w:r>
        <w:rPr>
          <w:rFonts w:hint="eastAsia" w:ascii="宋体" w:hAnsi="宋体" w:cs="Courier New"/>
          <w:color w:val="000000" w:themeColor="text1"/>
          <w:sz w:val="24"/>
          <w:szCs w:val="24"/>
          <w:highlight w:val="none"/>
        </w:rPr>
        <w:t xml:space="preserve">友好</w:t>
      </w:r>
      <w:r>
        <w:rPr>
          <w:rFonts w:ascii="宋体" w:hAnsi="宋体" w:cs="Courier New"/>
          <w:color w:val="000000" w:themeColor="text1"/>
          <w:sz w:val="24"/>
          <w:szCs w:val="24"/>
          <w:highlight w:val="none"/>
        </w:rPr>
        <w:t xml:space="preserve">协商解决。如协商不成</w:t>
      </w:r>
      <w:r>
        <w:rPr>
          <w:rFonts w:hint="eastAsia" w:ascii="宋体" w:hAnsi="宋体" w:cs="Courier New"/>
          <w:color w:val="000000" w:themeColor="text1"/>
          <w:sz w:val="24"/>
          <w:szCs w:val="24"/>
          <w:highlight w:val="none"/>
        </w:rPr>
        <w:t xml:space="preserve">由甲方住所地人民</w:t>
      </w:r>
      <w:r>
        <w:rPr>
          <w:rFonts w:ascii="宋体" w:hAnsi="宋体" w:cs="Courier New"/>
          <w:color w:val="000000" w:themeColor="text1"/>
          <w:sz w:val="24"/>
          <w:szCs w:val="24"/>
          <w:highlight w:val="none"/>
        </w:rPr>
        <w:t xml:space="preserve">法院</w:t>
      </w:r>
      <w:r>
        <w:rPr>
          <w:rFonts w:hint="eastAsia" w:ascii="宋体" w:hAnsi="宋体" w:cs="Courier New"/>
          <w:color w:val="000000" w:themeColor="text1"/>
          <w:sz w:val="24"/>
          <w:szCs w:val="24"/>
          <w:highlight w:val="none"/>
        </w:rPr>
        <w:t xml:space="preserve">管辖。</w:t>
      </w:r>
      <w:r/>
    </w:p>
    <w:p>
      <w:pPr>
        <w:ind w:firstLine="482"/>
        <w:spacing w:line="360" w:lineRule="auto"/>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六</w:t>
      </w:r>
      <w:r>
        <w:rPr>
          <w:rFonts w:ascii="宋体" w:hAnsi="宋体" w:cs="Courier New"/>
          <w:b/>
          <w:color w:val="000000" w:themeColor="text1"/>
          <w:sz w:val="24"/>
          <w:szCs w:val="24"/>
          <w:highlight w:val="none"/>
        </w:rPr>
        <w:t xml:space="preserve">、合同生效及其他</w:t>
      </w:r>
      <w:r/>
    </w:p>
    <w:p>
      <w:pPr>
        <w:ind w:firstLine="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6</w:t>
      </w:r>
      <w:r>
        <w:rPr>
          <w:rFonts w:ascii="宋体" w:hAnsi="宋体" w:cs="Courier New"/>
          <w:color w:val="000000" w:themeColor="text1"/>
          <w:sz w:val="24"/>
          <w:szCs w:val="24"/>
          <w:highlight w:val="none"/>
        </w:rPr>
        <w:t xml:space="preserve">.1 合同经双方法定代表人或授权委托代</w:t>
      </w:r>
      <w:r>
        <w:rPr>
          <w:rFonts w:hint="eastAsia" w:ascii="宋体" w:hAnsi="宋体" w:cs="Courier New"/>
          <w:color w:val="000000" w:themeColor="text1"/>
          <w:sz w:val="24"/>
          <w:szCs w:val="24"/>
          <w:highlight w:val="none"/>
        </w:rPr>
        <w:t xml:space="preserve">表</w:t>
      </w:r>
      <w:r>
        <w:rPr>
          <w:rFonts w:ascii="宋体" w:hAnsi="宋体" w:cs="Courier New"/>
          <w:color w:val="000000" w:themeColor="text1"/>
          <w:sz w:val="24"/>
          <w:szCs w:val="24"/>
          <w:highlight w:val="none"/>
        </w:rPr>
        <w:t xml:space="preserve">人签字并加盖单位公章后生效。</w:t>
      </w:r>
      <w:r/>
    </w:p>
    <w:p>
      <w:pPr>
        <w:ind w:firstLine="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6</w:t>
      </w:r>
      <w:r>
        <w:rPr>
          <w:rFonts w:ascii="宋体" w:hAnsi="宋体" w:cs="Courier New"/>
          <w:color w:val="000000" w:themeColor="text1"/>
          <w:sz w:val="24"/>
          <w:szCs w:val="24"/>
          <w:highlight w:val="none"/>
        </w:rPr>
        <w:t xml:space="preserve">.2本合同未尽事宜，遵照</w:t>
      </w:r>
      <w:r>
        <w:rPr>
          <w:rFonts w:hint="eastAsia" w:ascii="宋体" w:hAnsi="宋体" w:cs="Courier New"/>
          <w:color w:val="000000" w:themeColor="text1"/>
          <w:sz w:val="24"/>
          <w:szCs w:val="24"/>
          <w:highlight w:val="none"/>
        </w:rPr>
        <w:t xml:space="preserve">《中华人民共和国民法典》《中华人民共和国政府采购法》等</w:t>
      </w:r>
      <w:r>
        <w:rPr>
          <w:rFonts w:ascii="宋体" w:hAnsi="宋体" w:cs="Courier New"/>
          <w:color w:val="000000" w:themeColor="text1"/>
          <w:sz w:val="24"/>
          <w:szCs w:val="24"/>
          <w:highlight w:val="none"/>
        </w:rPr>
        <w:t xml:space="preserve">有关条文执行。</w:t>
      </w:r>
      <w:r/>
    </w:p>
    <w:p>
      <w:pPr>
        <w:ind w:firstLine="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6</w:t>
      </w:r>
      <w:r>
        <w:rPr>
          <w:rFonts w:ascii="宋体" w:hAnsi="宋体" w:cs="Courier New"/>
          <w:color w:val="000000" w:themeColor="text1"/>
          <w:sz w:val="24"/>
          <w:szCs w:val="24"/>
          <w:highlight w:val="none"/>
        </w:rPr>
        <w:t xml:space="preserve">.</w:t>
      </w:r>
      <w:r>
        <w:rPr>
          <w:rFonts w:hint="eastAsia" w:ascii="宋体" w:hAnsi="宋体" w:cs="Courier New"/>
          <w:color w:val="000000" w:themeColor="text1"/>
          <w:sz w:val="24"/>
          <w:szCs w:val="24"/>
          <w:highlight w:val="none"/>
        </w:rPr>
        <w:t xml:space="preserve">3</w:t>
      </w:r>
      <w:r>
        <w:rPr>
          <w:rFonts w:ascii="宋体" w:hAnsi="宋体" w:cs="Courier New"/>
          <w:color w:val="000000" w:themeColor="text1"/>
          <w:sz w:val="24"/>
          <w:szCs w:val="24"/>
          <w:highlight w:val="none"/>
        </w:rPr>
        <w:t xml:space="preserve"> 本合同正本一式</w:t>
      </w:r>
      <w:r>
        <w:rPr>
          <w:rFonts w:hint="eastAsia" w:ascii="宋体" w:hAnsi="宋体" w:cs="Courier New"/>
          <w:color w:val="000000" w:themeColor="text1"/>
          <w:sz w:val="24"/>
          <w:szCs w:val="24"/>
          <w:highlight w:val="none"/>
        </w:rPr>
        <w:t xml:space="preserve">两</w:t>
      </w:r>
      <w:r>
        <w:rPr>
          <w:rFonts w:ascii="宋体" w:hAnsi="宋体" w:cs="Courier New"/>
          <w:color w:val="000000" w:themeColor="text1"/>
          <w:sz w:val="24"/>
          <w:szCs w:val="24"/>
          <w:highlight w:val="none"/>
        </w:rPr>
        <w:t xml:space="preserve">份，具有同等法律效力，甲</w:t>
      </w:r>
      <w:r>
        <w:rPr>
          <w:rFonts w:hint="eastAsia" w:ascii="宋体" w:hAnsi="宋体" w:cs="Courier New"/>
          <w:color w:val="000000" w:themeColor="text1"/>
          <w:sz w:val="24"/>
          <w:szCs w:val="24"/>
          <w:highlight w:val="none"/>
        </w:rPr>
        <w:t xml:space="preserve">方、</w:t>
      </w:r>
      <w:r>
        <w:rPr>
          <w:rFonts w:ascii="宋体" w:hAnsi="宋体" w:cs="Courier New"/>
          <w:color w:val="000000" w:themeColor="text1"/>
          <w:sz w:val="24"/>
          <w:szCs w:val="24"/>
          <w:highlight w:val="none"/>
        </w:rPr>
        <w:t xml:space="preserve">乙方各执一份。</w:t>
      </w:r>
      <w:r/>
    </w:p>
    <w:p>
      <w:pPr>
        <w:ind w:left="480" w:hanging="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  甲方：                        乙方： </w:t>
      </w:r>
      <w:r/>
    </w:p>
    <w:p>
      <w:pPr>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  地址：                       </w:t>
      </w:r>
      <w:r>
        <w:rPr>
          <w:rFonts w:hint="eastAsia" w:ascii="宋体" w:hAnsi="宋体" w:cs="Courier New"/>
          <w:color w:val="000000" w:themeColor="text1"/>
          <w:sz w:val="24"/>
          <w:szCs w:val="24"/>
          <w:highlight w:val="none"/>
        </w:rPr>
        <w:t xml:space="preserve"> </w:t>
      </w:r>
      <w:r>
        <w:rPr>
          <w:rFonts w:ascii="宋体" w:hAnsi="宋体" w:cs="Courier New"/>
          <w:color w:val="000000" w:themeColor="text1"/>
          <w:sz w:val="24"/>
          <w:szCs w:val="24"/>
          <w:highlight w:val="none"/>
        </w:rPr>
        <w:t xml:space="preserve">地址： </w:t>
      </w:r>
      <w:r/>
    </w:p>
    <w:p>
      <w:pPr>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  法定代表人</w:t>
      </w:r>
      <w:r>
        <w:rPr>
          <w:rFonts w:hint="eastAsia" w:ascii="宋体" w:hAnsi="宋体" w:cs="Courier New"/>
          <w:color w:val="000000" w:themeColor="text1"/>
          <w:sz w:val="24"/>
          <w:szCs w:val="24"/>
          <w:highlight w:val="none"/>
        </w:rPr>
        <w:t xml:space="preserve">或授权代表</w:t>
      </w:r>
      <w:r>
        <w:rPr>
          <w:rFonts w:ascii="宋体" w:hAnsi="宋体" w:cs="Courier New"/>
          <w:color w:val="000000" w:themeColor="text1"/>
          <w:sz w:val="24"/>
          <w:szCs w:val="24"/>
          <w:highlight w:val="none"/>
        </w:rPr>
        <w:t xml:space="preserve">：        法定代表人</w:t>
      </w:r>
      <w:r>
        <w:rPr>
          <w:rFonts w:hint="eastAsia" w:ascii="宋体" w:hAnsi="宋体" w:cs="Courier New"/>
          <w:color w:val="000000" w:themeColor="text1"/>
          <w:sz w:val="24"/>
          <w:szCs w:val="24"/>
          <w:highlight w:val="none"/>
        </w:rPr>
        <w:t xml:space="preserve">或授权代表</w:t>
      </w:r>
      <w:r>
        <w:rPr>
          <w:rFonts w:ascii="宋体" w:hAnsi="宋体" w:cs="Courier New"/>
          <w:color w:val="000000" w:themeColor="text1"/>
          <w:sz w:val="24"/>
          <w:szCs w:val="24"/>
          <w:highlight w:val="none"/>
        </w:rPr>
        <w:t xml:space="preserve">：</w:t>
      </w:r>
      <w:r/>
    </w:p>
    <w:p>
      <w:pPr>
        <w:ind w:firstLine="240"/>
        <w:spacing w:line="360" w:lineRule="auto"/>
        <w:rPr>
          <w:rFonts w:hint="eastAsia" w:ascii="宋体" w:hAnsi="Courier New" w:cs="Courier New"/>
          <w:color w:val="000000" w:themeColor="text1"/>
          <w:highlight w:val="none"/>
        </w:rPr>
      </w:pPr>
      <w:r>
        <w:rPr>
          <w:rFonts w:hint="eastAsia" w:ascii="宋体" w:hAnsi="宋体" w:cs="Courier New"/>
          <w:color w:val="000000" w:themeColor="text1"/>
          <w:sz w:val="24"/>
          <w:szCs w:val="24"/>
          <w:highlight w:val="none"/>
        </w:rPr>
        <w:t xml:space="preserve">联系电话：                    联系电话：          </w:t>
      </w:r>
      <w:r/>
    </w:p>
    <w:p>
      <w:pPr>
        <w:jc w:val="center"/>
        <w:spacing w:line="360" w:lineRule="auto"/>
        <w:rPr>
          <w:rFonts w:hint="eastAsia" w:ascii="宋体" w:hAnsi="宋体" w:cs="Courier New"/>
          <w:color w:val="000000" w:themeColor="text1"/>
          <w:sz w:val="24"/>
          <w:szCs w:val="24"/>
          <w:highlight w:val="none"/>
        </w:rPr>
      </w:pPr>
      <w:r>
        <w:rPr>
          <w:rFonts w:hint="eastAsia" w:ascii="宋体" w:hAnsi="Courier New" w:cs="Courier New"/>
          <w:color w:val="000000" w:themeColor="text1"/>
          <w:highlight w:val="none"/>
        </w:rPr>
        <w:t xml:space="preserve">                 </w:t>
      </w:r>
      <w:r>
        <w:rPr>
          <w:rFonts w:hint="eastAsia" w:ascii="宋体" w:hAnsi="宋体" w:cs="Courier New"/>
          <w:color w:val="000000" w:themeColor="text1"/>
          <w:sz w:val="24"/>
          <w:szCs w:val="24"/>
          <w:highlight w:val="none"/>
        </w:rPr>
        <w:t xml:space="preserve">   </w:t>
      </w:r>
      <w:r/>
    </w:p>
    <w:p>
      <w:pPr>
        <w:jc w:val="center"/>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r>
      <w:r/>
    </w:p>
    <w:p>
      <w:pPr>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                    </w:t>
      </w:r>
      <w:r>
        <w:rPr>
          <w:rFonts w:ascii="宋体" w:hAnsi="宋体" w:cs="Courier New"/>
          <w:color w:val="000000" w:themeColor="text1"/>
          <w:sz w:val="24"/>
          <w:szCs w:val="24"/>
          <w:highlight w:val="none"/>
        </w:rPr>
        <w:t xml:space="preserve">签订日期：      年  </w:t>
      </w:r>
      <w:r>
        <w:rPr>
          <w:rFonts w:hint="eastAsia" w:ascii="宋体" w:hAnsi="宋体" w:cs="Courier New"/>
          <w:color w:val="000000" w:themeColor="text1"/>
          <w:sz w:val="24"/>
          <w:szCs w:val="24"/>
          <w:highlight w:val="none"/>
        </w:rPr>
        <w:t xml:space="preserve">  </w:t>
      </w:r>
      <w:r>
        <w:rPr>
          <w:rFonts w:ascii="宋体" w:hAnsi="宋体" w:cs="Courier New"/>
          <w:color w:val="000000" w:themeColor="text1"/>
          <w:sz w:val="24"/>
          <w:szCs w:val="24"/>
          <w:highlight w:val="none"/>
        </w:rPr>
        <w:t xml:space="preserve">月  </w:t>
      </w:r>
      <w:r>
        <w:rPr>
          <w:rFonts w:hint="eastAsia" w:ascii="宋体" w:hAnsi="宋体" w:cs="Courier New"/>
          <w:color w:val="000000" w:themeColor="text1"/>
          <w:sz w:val="24"/>
          <w:szCs w:val="24"/>
          <w:highlight w:val="none"/>
        </w:rPr>
        <w:t xml:space="preserve"> </w:t>
      </w:r>
      <w:r>
        <w:rPr>
          <w:rFonts w:ascii="宋体" w:hAnsi="宋体" w:cs="Courier New"/>
          <w:color w:val="000000" w:themeColor="text1"/>
          <w:sz w:val="24"/>
          <w:szCs w:val="24"/>
          <w:highlight w:val="none"/>
        </w:rPr>
        <w:t xml:space="preserve">日</w:t>
      </w:r>
      <w:r/>
    </w:p>
    <w:p>
      <w:pPr>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r>
      <w:r/>
    </w:p>
    <w:p>
      <w:pPr>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r>
      <w:r/>
    </w:p>
    <w:p>
      <w:pPr>
        <w:ind w:firstLine="480"/>
        <w:spacing w:line="360" w:lineRule="auto"/>
        <w:rPr>
          <w:rFonts w:ascii="宋体" w:hAnsi="宋体"/>
          <w:bCs/>
          <w:color w:val="000000" w:themeColor="text1"/>
          <w:sz w:val="24"/>
          <w:szCs w:val="24"/>
          <w:highlight w:val="none"/>
        </w:rPr>
      </w:pPr>
      <w:r>
        <w:rPr>
          <w:rFonts w:hint="eastAsia" w:ascii="宋体" w:hAnsi="宋体" w:cs="Courier New"/>
          <w:color w:val="000000" w:themeColor="text1"/>
          <w:sz w:val="24"/>
          <w:szCs w:val="24"/>
          <w:highlight w:val="none"/>
        </w:rPr>
        <w:t xml:space="preserve">注：采购人也可参考财政部制定的《政府采购货物买卖合同（试行）》使用，《政府采购货物买卖合同（试行）》电子版请登录中国政府采购网（www.ccgp.gov.cn）下载。</w:t>
      </w:r>
      <w:r/>
    </w:p>
    <w:p>
      <w:pPr>
        <w:ind w:firstLine="480"/>
        <w:spacing w:line="360" w:lineRule="auto"/>
        <w:rPr>
          <w:rFonts w:ascii="宋体" w:hAnsi="宋体"/>
          <w:bCs/>
          <w:sz w:val="24"/>
          <w:szCs w:val="24"/>
        </w:rPr>
      </w:pPr>
      <w:r>
        <w:rPr>
          <w:rFonts w:ascii="宋体" w:hAnsi="宋体"/>
          <w:bCs/>
          <w:sz w:val="24"/>
          <w:szCs w:val="24"/>
        </w:rPr>
      </w:r>
      <w:r/>
    </w:p>
    <w:p>
      <w:pPr>
        <w:jc w:val="center"/>
        <w:spacing w:line="360" w:lineRule="auto"/>
        <w:tabs>
          <w:tab w:val="left" w:pos="1440" w:leader="none"/>
        </w:tabs>
        <w:rPr>
          <w:rFonts w:hint="eastAsia" w:ascii="黑体" w:hAnsi="黑体" w:eastAsia="黑体"/>
          <w:sz w:val="36"/>
          <w:szCs w:val="36"/>
        </w:rPr>
        <w:outlineLvl w:val="0"/>
      </w:pPr>
      <w:r>
        <w:rPr>
          <w:rFonts w:ascii="宋体" w:hAnsi="宋体"/>
          <w:bCs/>
          <w:sz w:val="24"/>
          <w:szCs w:val="24"/>
        </w:rPr>
        <w:br w:type="page" w:clear="all"/>
      </w:r>
      <w:bookmarkEnd w:id="179"/>
      <w:r/>
      <w:bookmarkEnd w:id="180"/>
      <w:r/>
      <w:bookmarkEnd w:id="181"/>
      <w:r/>
      <w:bookmarkStart w:id="182" w:name="_Hlt16619369"/>
      <w:r/>
      <w:bookmarkEnd w:id="182"/>
      <w:r/>
      <w:bookmarkStart w:id="183" w:name="_Hlt16619350"/>
      <w:r/>
      <w:bookmarkStart w:id="184" w:name="_Toc20823346"/>
      <w:r/>
      <w:bookmarkStart w:id="185" w:name="_Toc16938590"/>
      <w:r/>
      <w:bookmarkStart w:id="186" w:name="_Toc120614244"/>
      <w:r/>
      <w:bookmarkStart w:id="187" w:name="_Toc479757211"/>
      <w:r/>
      <w:bookmarkStart w:id="188" w:name="_Toc462564139"/>
      <w:r>
        <w:rPr>
          <w:rFonts w:hint="eastAsia" w:ascii="黑体" w:hAnsi="黑体" w:eastAsia="黑体"/>
          <w:sz w:val="36"/>
          <w:szCs w:val="36"/>
        </w:rPr>
        <w:t xml:space="preserve">第</w:t>
      </w:r>
      <w:bookmarkEnd w:id="183"/>
      <w:r>
        <w:rPr>
          <w:rFonts w:hint="eastAsia" w:ascii="黑体" w:hAnsi="黑体" w:eastAsia="黑体"/>
          <w:sz w:val="36"/>
          <w:szCs w:val="36"/>
        </w:rPr>
        <w:t xml:space="preserve">四章 采购需求</w:t>
      </w:r>
      <w:bookmarkEnd w:id="184"/>
      <w:r/>
      <w:bookmarkEnd w:id="185"/>
      <w:r/>
      <w:bookmarkEnd w:id="186"/>
      <w:r/>
      <w:r/>
    </w:p>
    <w:p>
      <w:pPr>
        <w:ind w:firstLine="600"/>
        <w:jc w:val="left"/>
        <w:spacing w:line="360" w:lineRule="auto"/>
        <w:rPr>
          <w:rFonts w:hint="eastAsia" w:ascii="黑体" w:hAnsi="黑体" w:eastAsia="黑体"/>
          <w:color w:val="000000"/>
          <w:sz w:val="30"/>
          <w:szCs w:val="30"/>
        </w:rPr>
      </w:pPr>
      <w:r/>
      <w:bookmarkStart w:id="189" w:name="_Toc49090575"/>
      <w:r/>
      <w:bookmarkStart w:id="190" w:name="_Toc26554093"/>
      <w:r/>
      <w:r/>
    </w:p>
    <w:p>
      <w:pPr>
        <w:jc w:val="left"/>
        <w:spacing w:line="360" w:lineRule="auto"/>
        <w:rPr>
          <w:rFonts w:hint="eastAsia" w:ascii="黑体" w:hAnsi="黑体" w:eastAsia="黑体"/>
          <w:color w:val="000000"/>
          <w:sz w:val="30"/>
          <w:szCs w:val="30"/>
        </w:rPr>
      </w:pPr>
      <w:r>
        <w:rPr>
          <w:rFonts w:hint="eastAsia" w:ascii="黑体" w:hAnsi="黑体" w:eastAsia="黑体"/>
          <w:color w:val="000000"/>
          <w:sz w:val="30"/>
          <w:szCs w:val="30"/>
        </w:rPr>
        <w:t xml:space="preserve">本项目属性：货物类项目</w:t>
      </w:r>
      <w:r/>
    </w:p>
    <w:p>
      <w:pPr>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本项目标的物所属行业：工业</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本项目中的</w:t>
      </w:r>
      <w:r>
        <w:rPr>
          <w:rFonts w:hint="eastAsia" w:ascii="宋体" w:hAnsi="宋体" w:cs="宋体"/>
          <w:b/>
          <w:bCs/>
          <w:sz w:val="24"/>
          <w:szCs w:val="24"/>
        </w:rPr>
        <w:t xml:space="preserve">实验桌1</w:t>
      </w:r>
      <w:r>
        <w:rPr>
          <w:rFonts w:hint="eastAsia" w:ascii="宋体" w:hAnsi="宋体"/>
          <w:color w:val="000000"/>
          <w:sz w:val="24"/>
          <w:szCs w:val="24"/>
        </w:rPr>
        <w:t xml:space="preserve">为核心产品。</w:t>
      </w:r>
      <w:r/>
    </w:p>
    <w:p>
      <w:pPr>
        <w:spacing w:line="360" w:lineRule="auto"/>
        <w:rPr>
          <w:rFonts w:ascii="宋体" w:hAnsi="宋体" w:cs="宋体"/>
          <w:b/>
          <w:sz w:val="24"/>
          <w:szCs w:val="24"/>
        </w:rPr>
      </w:pPr>
      <w:r>
        <w:rPr>
          <w:rFonts w:hint="eastAsia" w:ascii="宋体" w:hAnsi="宋体"/>
          <w:b/>
          <w:color w:val="000000"/>
          <w:sz w:val="30"/>
          <w:szCs w:val="30"/>
        </w:rPr>
        <w:t xml:space="preserve">第一部分  项目技术要求</w:t>
      </w:r>
      <w:r/>
    </w:p>
    <w:p>
      <w:pPr>
        <w:spacing w:line="360" w:lineRule="auto"/>
        <w:rPr>
          <w:rFonts w:ascii="宋体" w:hAnsi="宋体" w:cs="宋体"/>
          <w:b/>
          <w:sz w:val="24"/>
          <w:szCs w:val="24"/>
        </w:rPr>
      </w:pPr>
      <w:r>
        <w:rPr>
          <w:rFonts w:hint="eastAsia" w:ascii="宋体" w:hAnsi="宋体" w:cs="宋体"/>
          <w:b/>
          <w:sz w:val="24"/>
          <w:szCs w:val="24"/>
        </w:rPr>
        <w:t xml:space="preserve">一、项目概况：</w:t>
      </w:r>
      <w:r/>
    </w:p>
    <w:p>
      <w:pPr>
        <w:ind w:firstLine="482"/>
        <w:spacing w:line="360" w:lineRule="auto"/>
        <w:rPr>
          <w:rFonts w:ascii="宋体" w:hAnsi="宋体" w:cs="宋体"/>
          <w:sz w:val="24"/>
          <w:szCs w:val="24"/>
        </w:rPr>
      </w:pPr>
      <w:r>
        <w:rPr>
          <w:rFonts w:hint="eastAsia" w:ascii="宋体" w:hAnsi="宋体" w:cs="宋体"/>
          <w:sz w:val="24"/>
          <w:szCs w:val="24"/>
        </w:rPr>
        <w:t xml:space="preserve">1.项目名称：省锡中滨湖分校实验室装备采购项目</w:t>
      </w:r>
      <w:r/>
    </w:p>
    <w:p>
      <w:pPr>
        <w:ind w:firstLine="482"/>
        <w:spacing w:line="360" w:lineRule="auto"/>
        <w:rPr>
          <w:rFonts w:ascii="宋体" w:hAnsi="宋体" w:cs="宋体"/>
          <w:sz w:val="24"/>
          <w:szCs w:val="24"/>
        </w:rPr>
      </w:pPr>
      <w:r>
        <w:rPr>
          <w:rFonts w:hint="eastAsia" w:ascii="宋体" w:hAnsi="宋体" w:cs="宋体"/>
          <w:sz w:val="24"/>
          <w:szCs w:val="24"/>
        </w:rPr>
        <w:t xml:space="preserve">2.采购人：无锡市滨湖区教育局</w:t>
      </w:r>
      <w:r/>
    </w:p>
    <w:p>
      <w:pPr>
        <w:ind w:firstLine="482"/>
        <w:spacing w:line="360" w:lineRule="auto"/>
        <w:rPr>
          <w:rFonts w:ascii="宋体" w:hAnsi="宋体" w:cs="宋体"/>
          <w:sz w:val="24"/>
          <w:szCs w:val="24"/>
        </w:rPr>
      </w:pPr>
      <w:r>
        <w:rPr>
          <w:rFonts w:hint="eastAsia" w:ascii="宋体" w:hAnsi="宋体" w:cs="宋体"/>
          <w:sz w:val="24"/>
          <w:szCs w:val="24"/>
        </w:rPr>
        <w:t xml:space="preserve">3本项目预算金额：804.9961万元</w:t>
      </w:r>
      <w:r/>
    </w:p>
    <w:p>
      <w:pPr>
        <w:ind w:firstLine="482"/>
        <w:spacing w:line="360" w:lineRule="auto"/>
        <w:rPr>
          <w:rFonts w:ascii="宋体" w:hAnsi="宋体" w:cs="宋体"/>
          <w:sz w:val="24"/>
          <w:szCs w:val="24"/>
          <w:highlight w:val="none"/>
        </w:rPr>
      </w:pPr>
      <w:r>
        <w:rPr>
          <w:rFonts w:hint="eastAsia" w:ascii="宋体" w:hAnsi="宋体" w:cs="宋体"/>
          <w:sz w:val="24"/>
          <w:szCs w:val="24"/>
          <w:highlight w:val="none"/>
        </w:rPr>
        <w:t xml:space="preserve">4.本项目最高限价：740.05158万元</w:t>
      </w:r>
      <w:r/>
    </w:p>
    <w:p>
      <w:pPr>
        <w:ind w:firstLine="482"/>
        <w:spacing w:line="360" w:lineRule="auto"/>
        <w:rPr>
          <w:rFonts w:ascii="宋体" w:hAnsi="宋体" w:cs="宋体"/>
          <w:sz w:val="24"/>
          <w:szCs w:val="24"/>
        </w:rPr>
      </w:pPr>
      <w:r>
        <w:rPr>
          <w:rFonts w:hint="eastAsia" w:ascii="宋体" w:hAnsi="宋体" w:cs="宋体"/>
          <w:sz w:val="24"/>
          <w:szCs w:val="24"/>
        </w:rPr>
        <w:t xml:space="preserve">5.采购内容：省锡中滨湖分校物理、生物、化学实验室的仪器设备等（招标范围包括货物的供货、安装、调试、培训、验收、售后服务等内容，中标供应商在供货前需要对接学校对产品数量、尺寸等进行复核）。</w:t>
      </w:r>
      <w:r/>
    </w:p>
    <w:p>
      <w:pPr>
        <w:spacing w:line="360" w:lineRule="auto"/>
        <w:rPr>
          <w:rFonts w:ascii="宋体" w:hAnsi="宋体" w:cs="宋体"/>
          <w:b/>
          <w:bCs/>
          <w:sz w:val="24"/>
          <w:szCs w:val="24"/>
        </w:rPr>
      </w:pPr>
      <w:r>
        <w:rPr>
          <w:rFonts w:hint="eastAsia" w:ascii="宋体" w:hAnsi="宋体" w:cs="宋体"/>
          <w:b/>
          <w:bCs/>
          <w:sz w:val="24"/>
          <w:szCs w:val="24"/>
        </w:rPr>
        <w:t xml:space="preserve">二、采购清单及技术要求：详见附件一、省锡中滨湖分校实验室装备采购项目招标清单</w:t>
      </w:r>
      <w:r/>
    </w:p>
    <w:p>
      <w:pPr>
        <w:ind w:left="420"/>
        <w:spacing w:line="360" w:lineRule="auto"/>
        <w:rPr>
          <w:rFonts w:hint="eastAsia" w:ascii="宋体" w:hAnsi="宋体" w:cs="宋体"/>
          <w:sz w:val="24"/>
          <w:szCs w:val="24"/>
        </w:rPr>
      </w:pPr>
      <w:r>
        <w:rPr>
          <w:rFonts w:hint="eastAsia" w:ascii="宋体" w:hAnsi="宋体" w:cs="宋体"/>
          <w:sz w:val="24"/>
          <w:szCs w:val="24"/>
        </w:rPr>
        <w:t xml:space="preserve">注：1、投标人必须在满足招标文件要求的基础上进行报价，投标人所投内容必须</w:t>
      </w:r>
      <w:r/>
    </w:p>
    <w:p>
      <w:pPr>
        <w:spacing w:line="360" w:lineRule="auto"/>
        <w:rPr>
          <w:rFonts w:ascii="宋体" w:hAnsi="宋体" w:cs="宋体"/>
          <w:sz w:val="24"/>
          <w:szCs w:val="24"/>
        </w:rPr>
      </w:pPr>
      <w:r>
        <w:rPr>
          <w:rFonts w:hint="eastAsia" w:ascii="宋体" w:hAnsi="宋体" w:cs="宋体"/>
          <w:sz w:val="24"/>
          <w:szCs w:val="24"/>
        </w:rPr>
        <w:t xml:space="preserve">满足附件一要求，不得有负偏离。</w:t>
      </w:r>
      <w:r/>
    </w:p>
    <w:p>
      <w:pPr>
        <w:numPr>
          <w:ilvl w:val="0"/>
          <w:numId w:val="5"/>
        </w:numPr>
        <w:ind w:left="420"/>
        <w:spacing w:line="360" w:lineRule="auto"/>
        <w:rPr>
          <w:rFonts w:ascii="宋体" w:hAnsi="宋体" w:cs="宋体"/>
          <w:sz w:val="24"/>
          <w:szCs w:val="24"/>
        </w:rPr>
      </w:pPr>
      <w:r>
        <w:rPr>
          <w:rFonts w:hint="eastAsia" w:ascii="宋体" w:hAnsi="宋体" w:cs="宋体"/>
          <w:sz w:val="24"/>
          <w:szCs w:val="24"/>
        </w:rPr>
        <w:t xml:space="preserve">如采用与上述要求不一致且主观认为高于上述要求的材质，则应当在投标文件</w:t>
      </w:r>
      <w:r/>
    </w:p>
    <w:p>
      <w:pPr>
        <w:spacing w:line="360" w:lineRule="auto"/>
        <w:rPr>
          <w:rFonts w:ascii="宋体" w:hAnsi="宋体" w:cs="宋体"/>
          <w:sz w:val="24"/>
          <w:szCs w:val="24"/>
        </w:rPr>
      </w:pPr>
      <w:r>
        <w:rPr>
          <w:rFonts w:hint="eastAsia" w:ascii="宋体" w:hAnsi="宋体" w:cs="宋体"/>
          <w:sz w:val="24"/>
          <w:szCs w:val="24"/>
        </w:rPr>
        <w:t xml:space="preserve">中详细描述，且必须提供相关证明文件，或者相关的国家技术规范，但供应商应承担被评委判定为负偏离的风险。</w:t>
      </w:r>
      <w:r/>
    </w:p>
    <w:p>
      <w:pPr>
        <w:numPr>
          <w:ilvl w:val="0"/>
          <w:numId w:val="5"/>
        </w:numPr>
        <w:ind w:left="420"/>
        <w:spacing w:line="360" w:lineRule="auto"/>
        <w:rPr>
          <w:rFonts w:ascii="宋体" w:hAnsi="宋体" w:cs="宋体"/>
          <w:sz w:val="24"/>
          <w:szCs w:val="24"/>
        </w:rPr>
      </w:pPr>
      <w:r>
        <w:rPr>
          <w:rFonts w:hint="eastAsia" w:ascii="宋体" w:hAnsi="宋体" w:cs="宋体"/>
          <w:sz w:val="24"/>
          <w:szCs w:val="24"/>
        </w:rPr>
        <w:t xml:space="preserve">投标人可对现场进行勘查（不统一组织、因投标人不进行现场勘查造成辅材附</w:t>
      </w:r>
      <w:r/>
    </w:p>
    <w:p>
      <w:pPr>
        <w:spacing w:line="360" w:lineRule="auto"/>
        <w:rPr>
          <w:rFonts w:ascii="宋体" w:hAnsi="宋体" w:cs="宋体"/>
          <w:sz w:val="24"/>
          <w:szCs w:val="24"/>
        </w:rPr>
      </w:pPr>
      <w:r>
        <w:rPr>
          <w:rFonts w:hint="eastAsia" w:ascii="宋体" w:hAnsi="宋体" w:cs="宋体"/>
          <w:sz w:val="24"/>
          <w:szCs w:val="24"/>
        </w:rPr>
        <w:t xml:space="preserve">件费用计算不准等的后果均由供应商负责）</w:t>
      </w:r>
      <w:r/>
    </w:p>
    <w:p>
      <w:pPr>
        <w:numPr>
          <w:ilvl w:val="0"/>
          <w:numId w:val="5"/>
        </w:numPr>
        <w:ind w:left="420"/>
        <w:spacing w:line="360" w:lineRule="auto"/>
        <w:rPr>
          <w:rFonts w:ascii="宋体" w:hAnsi="宋体" w:cs="宋体"/>
          <w:sz w:val="24"/>
          <w:szCs w:val="24"/>
        </w:rPr>
      </w:pPr>
      <w:r>
        <w:rPr>
          <w:rFonts w:hint="eastAsia" w:ascii="宋体" w:hAnsi="宋体" w:cs="宋体"/>
          <w:sz w:val="24"/>
          <w:szCs w:val="24"/>
        </w:rPr>
        <w:t xml:space="preserve">本项目需要对①化学学科所有教室及仪器室；②生物学科所有教室及仪器室；</w:t>
      </w:r>
      <w:r/>
    </w:p>
    <w:p>
      <w:pPr>
        <w:spacing w:line="360" w:lineRule="auto"/>
        <w:rPr>
          <w:rFonts w:ascii="宋体" w:hAnsi="宋体" w:cs="宋体"/>
          <w:sz w:val="24"/>
          <w:szCs w:val="24"/>
        </w:rPr>
      </w:pPr>
      <w:r>
        <w:rPr>
          <w:rFonts w:hint="eastAsia" w:ascii="宋体" w:hAnsi="宋体" w:cs="宋体"/>
          <w:sz w:val="24"/>
          <w:szCs w:val="24"/>
        </w:rPr>
        <w:t xml:space="preserve">③物理学科所有教室及仪器室进行深化设计。</w:t>
      </w:r>
      <w:r/>
    </w:p>
    <w:p>
      <w:pPr>
        <w:ind w:firstLine="420"/>
        <w:spacing w:line="360" w:lineRule="auto"/>
        <w:rPr>
          <w:rFonts w:ascii="宋体" w:hAnsi="宋体" w:cs="宋体"/>
          <w:sz w:val="24"/>
          <w:szCs w:val="24"/>
        </w:rPr>
      </w:pPr>
      <w:r>
        <w:rPr>
          <w:rFonts w:hint="eastAsia" w:ascii="宋体" w:hAnsi="宋体" w:cs="宋体"/>
          <w:sz w:val="24"/>
          <w:szCs w:val="24"/>
        </w:rPr>
        <w:t xml:space="preserve">5、中标单位于中标后3日内向使用单位提供部分产品的样品进行测试，具体测试产品清单由使用单位抽取，若产品测试不合格，采购人有权取消该中标单位中标资格。</w:t>
      </w:r>
      <w:r/>
    </w:p>
    <w:p>
      <w:pPr>
        <w:spacing w:line="360" w:lineRule="auto"/>
        <w:rPr>
          <w:rFonts w:ascii="宋体" w:hAnsi="宋体" w:cs="宋体"/>
          <w:b/>
          <w:bCs/>
          <w:sz w:val="24"/>
          <w:szCs w:val="24"/>
        </w:rPr>
      </w:pPr>
      <w:r>
        <w:rPr>
          <w:rFonts w:hint="eastAsia" w:ascii="宋体" w:hAnsi="宋体" w:cs="宋体"/>
          <w:b/>
          <w:bCs/>
          <w:sz w:val="24"/>
          <w:szCs w:val="24"/>
        </w:rPr>
        <w:t xml:space="preserve">三、服务要求：</w:t>
      </w:r>
      <w:r/>
    </w:p>
    <w:p>
      <w:pPr>
        <w:pStyle w:val="933"/>
        <w:ind w:left="0" w:firstLine="480"/>
        <w:spacing w:line="360" w:lineRule="auto"/>
        <w:rPr>
          <w:rFonts w:ascii="宋体" w:hAnsi="宋体" w:cs="宋体"/>
          <w:lang w:eastAsia="zh-CN"/>
        </w:rPr>
      </w:pPr>
      <w:r>
        <w:rPr>
          <w:rFonts w:hint="eastAsia" w:ascii="宋体" w:hAnsi="宋体" w:cs="宋体"/>
          <w:lang w:eastAsia="zh-CN"/>
        </w:rPr>
        <w:t xml:space="preserve">1.质量要求：符合国家、地方及相关行业标准。货物的验收包括：数量、外观、质量、性能、质保单、包装和乙方承诺的其他指标；验收标准根据有关规定及技术要求，原则上以通过计量检定或校准合格为准。</w:t>
      </w:r>
      <w:r/>
    </w:p>
    <w:p>
      <w:pPr>
        <w:pStyle w:val="933"/>
        <w:ind w:left="0" w:firstLine="480"/>
        <w:spacing w:line="360" w:lineRule="auto"/>
        <w:rPr>
          <w:rFonts w:ascii="宋体" w:hAnsi="宋体" w:cs="宋体"/>
          <w:lang w:eastAsia="zh-CN"/>
        </w:rPr>
      </w:pPr>
      <w:r>
        <w:rPr>
          <w:rFonts w:hint="eastAsia" w:ascii="宋体" w:hAnsi="宋体" w:cs="宋体"/>
          <w:lang w:eastAsia="zh-CN"/>
        </w:rPr>
        <w:t xml:space="preserve">2.交货期：合同签订生效后45日历天内，完成供货、安装、调试，交付采购人使用。</w:t>
      </w:r>
      <w:r/>
    </w:p>
    <w:p>
      <w:pPr>
        <w:pStyle w:val="933"/>
        <w:ind w:left="0" w:firstLine="480"/>
        <w:spacing w:line="360" w:lineRule="auto"/>
        <w:rPr>
          <w:rFonts w:ascii="宋体" w:hAnsi="宋体" w:cs="宋体"/>
          <w:lang w:eastAsia="zh-CN"/>
        </w:rPr>
      </w:pPr>
      <w:r>
        <w:rPr>
          <w:rFonts w:hint="eastAsia" w:ascii="宋体" w:hAnsi="宋体" w:cs="宋体"/>
          <w:lang w:eastAsia="zh-CN"/>
        </w:rPr>
        <w:t xml:space="preserve">3.质保期：3年（自终验收双方签署终验收报告之日起开始计算，质保期满后提供终身有偿维修服务）。</w:t>
      </w:r>
      <w:r/>
    </w:p>
    <w:p>
      <w:pPr>
        <w:pStyle w:val="933"/>
        <w:ind w:left="0" w:firstLine="480"/>
        <w:spacing w:line="360" w:lineRule="auto"/>
        <w:rPr>
          <w:rFonts w:hint="eastAsia" w:ascii="宋体" w:hAnsi="宋体" w:cs="宋体"/>
          <w:lang w:eastAsia="zh-CN"/>
        </w:rPr>
      </w:pPr>
      <w:r>
        <w:rPr>
          <w:rFonts w:hint="eastAsia" w:ascii="宋体" w:hAnsi="宋体" w:cs="宋体"/>
          <w:lang w:eastAsia="zh-CN"/>
        </w:rPr>
        <w:t xml:space="preserve">4.本项目实施地点：省锡中滨湖分校，</w:t>
      </w:r>
      <w:r>
        <w:rPr>
          <w:rFonts w:hint="eastAsia" w:ascii="宋体" w:hAnsi="宋体" w:cs="宋体"/>
          <w:bCs/>
          <w:lang w:eastAsia="zh-CN"/>
        </w:rPr>
        <w:t xml:space="preserve">具体地点以合同书约定为准。中标方必须按采购人要求将本项目中货物送到指定地点（包括可能的分布范围），并分地实施安装调试。</w:t>
      </w:r>
      <w:r/>
    </w:p>
    <w:p>
      <w:pPr>
        <w:pStyle w:val="933"/>
        <w:ind w:left="0" w:firstLine="480"/>
        <w:spacing w:line="360" w:lineRule="auto"/>
        <w:rPr>
          <w:rFonts w:ascii="宋体" w:hAnsi="宋体" w:cs="宋体"/>
          <w:lang w:eastAsia="zh-CN"/>
        </w:rPr>
      </w:pPr>
      <w:r>
        <w:rPr>
          <w:rFonts w:hint="eastAsia" w:ascii="宋体" w:hAnsi="宋体" w:eastAsia="宋体" w:cs="宋体"/>
          <w:bCs/>
          <w:lang w:eastAsia="zh-CN"/>
        </w:rPr>
        <w:t xml:space="preserve">5.付款方式：合同签</w:t>
      </w:r>
      <w:r>
        <w:rPr>
          <w:rFonts w:hint="eastAsia" w:ascii="宋体" w:hAnsi="宋体" w:cs="宋体"/>
          <w:lang w:eastAsia="zh-CN"/>
        </w:rPr>
        <w:t xml:space="preserve">订后支付合同价款的30%预付款，货物到场后全部安装完毕后付至合同价款的55%，验收合格并经审计后付至审定价的100%。</w:t>
      </w:r>
      <w:r/>
    </w:p>
    <w:p>
      <w:pPr>
        <w:spacing w:line="360" w:lineRule="auto"/>
        <w:tabs>
          <w:tab w:val="left" w:pos="525" w:leader="none"/>
          <w:tab w:val="left" w:pos="630" w:leader="none"/>
          <w:tab w:val="left" w:pos="735" w:leader="none"/>
          <w:tab w:val="left" w:pos="945" w:leader="none"/>
        </w:tabs>
        <w:rPr>
          <w:rFonts w:ascii="宋体" w:hAnsi="宋体" w:cs="宋体"/>
          <w:b/>
          <w:bCs/>
          <w:sz w:val="24"/>
          <w:szCs w:val="24"/>
        </w:rPr>
      </w:pPr>
      <w:r>
        <w:rPr>
          <w:rFonts w:hint="eastAsia" w:ascii="宋体" w:hAnsi="宋体" w:cs="宋体"/>
          <w:b/>
          <w:sz w:val="24"/>
          <w:szCs w:val="24"/>
        </w:rPr>
        <w:t xml:space="preserve">第二部分  有关说明</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sz w:val="24"/>
          <w:szCs w:val="24"/>
        </w:rPr>
      </w:pPr>
      <w:r>
        <w:rPr>
          <w:rFonts w:hint="eastAsia" w:ascii="宋体" w:hAnsi="宋体" w:cs="宋体"/>
          <w:bCs/>
          <w:sz w:val="24"/>
          <w:szCs w:val="24"/>
        </w:rPr>
        <w:t xml:space="preserve">1.投标总报价包括满足本项目要求的所有产品及其配件、包装、运输、安装调试及售后服务等从项目中标起到项目正式交付以及质保期内所发生的一切费用。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sz w:val="24"/>
          <w:szCs w:val="24"/>
        </w:rPr>
      </w:pPr>
      <w:r>
        <w:rPr>
          <w:rFonts w:hint="eastAsia" w:ascii="宋体" w:hAnsi="宋体" w:cs="宋体"/>
          <w:bCs/>
          <w:sz w:val="24"/>
          <w:szCs w:val="24"/>
        </w:rPr>
        <w:t xml:space="preserve">2.通过中国海关报关验放进入中国境内且产自中国境外的产品不在本项目的报价范围。</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cs="宋体"/>
          <w:bCs/>
          <w:sz w:val="24"/>
          <w:szCs w:val="24"/>
        </w:rPr>
      </w:pPr>
      <w:r>
        <w:rPr>
          <w:rFonts w:hint="eastAsia" w:ascii="宋体" w:hAnsi="宋体" w:cs="宋体"/>
          <w:bCs/>
          <w:sz w:val="24"/>
          <w:szCs w:val="24"/>
        </w:rPr>
        <w:t xml:space="preserve">3.本项目中如有被列入《网络关键设备和网络安全专用产品目录》的网络安全专用产品的，应当按照《信息安全技术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cs="宋体"/>
          <w:bCs/>
          <w:sz w:val="24"/>
          <w:szCs w:val="24"/>
        </w:rPr>
      </w:pPr>
      <w:r>
        <w:rPr>
          <w:rFonts w:hint="eastAsia" w:ascii="宋体" w:hAnsi="宋体" w:cs="宋体"/>
          <w:bCs/>
          <w:sz w:val="24"/>
          <w:szCs w:val="24"/>
        </w:rPr>
        <w:t xml:space="preserve">4.采购人成立验收小组，按照采购合同的约定对中标供应商的履约情况进行验收。验收时间以采购人政府采购履约验收通知单发出为准。验收时，采购人按照采购合同的约定对每一项技术、商务要求的履约情况进行确认。验收结束后，验收小组出具验收书，给出项目总体评价，验收双方共同签署并盖章，履约验收的各项资料存档备查。</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cs="宋体"/>
          <w:bCs/>
          <w:sz w:val="24"/>
          <w:szCs w:val="24"/>
        </w:rPr>
      </w:pPr>
      <w:r>
        <w:rPr>
          <w:rFonts w:hint="eastAsia" w:ascii="宋体" w:hAnsi="宋体" w:cs="宋体"/>
          <w:bCs/>
          <w:sz w:val="24"/>
          <w:szCs w:val="24"/>
        </w:rPr>
        <w:t xml:space="preserve">采购人在项目验收时如发现中标供应商所供产品技术参数与投标文件不符，采购人有权拒收货、拒付款，并按提供虚假材料谋取中标处理，供货方须承担相应的法律责任。</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cs="宋体"/>
          <w:bCs/>
          <w:sz w:val="24"/>
          <w:szCs w:val="24"/>
        </w:rPr>
      </w:pPr>
      <w:r>
        <w:rPr>
          <w:rFonts w:hint="eastAsia" w:ascii="宋体" w:hAnsi="宋体" w:cs="宋体"/>
          <w:bCs/>
          <w:sz w:val="24"/>
          <w:szCs w:val="24"/>
        </w:rPr>
        <w:t xml:space="preserve">5.产品质量必须符合《中华人民共和国国家标准》及我国最新颁布的与之相关的技术规范与正宗合格产品标准，同时必须满足采购清单中所列全部规格、型号、具体配置、技术条件及功能要求和供方承诺的其他指标；产品质量出现问题，供方负责包退、包换、包修，其费用由供方负责。</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cs="宋体"/>
          <w:bCs/>
          <w:sz w:val="24"/>
          <w:szCs w:val="24"/>
        </w:rPr>
      </w:pPr>
      <w:r>
        <w:rPr>
          <w:rFonts w:hint="eastAsia" w:ascii="宋体" w:hAnsi="宋体" w:cs="宋体"/>
          <w:bCs/>
          <w:sz w:val="24"/>
          <w:szCs w:val="24"/>
        </w:rPr>
        <w:t xml:space="preserve">6.供货期间，采购人可随时委托具有资质的第三方专业检测机构进行全过程跟踪检测，检测内容包括但不限于原材料、半成品、成品等。检测标准以国家、行业标准、招标文件及投标承诺为依据。供应商须无条件配合采购人、检测单位完成跟踪检测工作，并由采购人委托的检测单位出具检测报告及验收报告。相关检测费用由中标单位承担，若检测结果没有达到中标单位投标文件中承诺的技术要求，采购人有权因此而终止部分直至全部合同，由此而造成的后果和责任由供应商全部承担。</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sz w:val="24"/>
          <w:szCs w:val="24"/>
        </w:rPr>
      </w:pPr>
      <w:r>
        <w:rPr>
          <w:rFonts w:hint="eastAsia" w:ascii="宋体" w:hAnsi="宋体" w:cs="宋体"/>
          <w:bCs/>
          <w:sz w:val="24"/>
          <w:szCs w:val="24"/>
        </w:rPr>
        <w:t xml:space="preserve">7.货物保管：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cs="宋体"/>
          <w:bCs/>
          <w:sz w:val="24"/>
          <w:szCs w:val="24"/>
        </w:rPr>
      </w:pPr>
      <w:r>
        <w:rPr>
          <w:rFonts w:hint="eastAsia" w:ascii="宋体" w:hAnsi="宋体" w:cs="宋体"/>
          <w:bCs/>
          <w:sz w:val="24"/>
          <w:szCs w:val="24"/>
        </w:rPr>
        <w:t xml:space="preserve">8.中标供应商按签约合同价的5%向采购人缴纳履约保证金；中标（成交）供应商也可采用电子履约保函（保险）形式提供履约担保，具体操作可登录江苏政府采购网的保险保函模块进行办理。</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sz w:val="24"/>
          <w:szCs w:val="24"/>
        </w:rPr>
      </w:pPr>
      <w:r>
        <w:rPr>
          <w:rFonts w:ascii="宋体" w:hAnsi="宋体" w:cs="宋体"/>
          <w:bCs/>
          <w:sz w:val="24"/>
          <w:szCs w:val="24"/>
        </w:rPr>
        <w:t xml:space="preserve">9</w:t>
      </w:r>
      <w:r>
        <w:rPr>
          <w:rFonts w:hint="eastAsia" w:ascii="宋体" w:hAnsi="宋体" w:cs="宋体"/>
          <w:bCs/>
          <w:sz w:val="24"/>
          <w:szCs w:val="24"/>
          <w:lang w:eastAsia="zh-CN"/>
        </w:rPr>
        <w:t xml:space="preserve">.</w:t>
      </w:r>
      <w:r>
        <w:rPr>
          <w:rFonts w:hint="eastAsia" w:ascii="宋体" w:hAnsi="宋体" w:cs="宋体"/>
          <w:bCs/>
          <w:sz w:val="24"/>
          <w:szCs w:val="24"/>
        </w:rPr>
        <w:t xml:space="preserve">根据《关于推</w:t>
      </w:r>
      <w:r>
        <w:rPr>
          <w:rFonts w:hint="eastAsia" w:ascii="宋体" w:hAnsi="宋体" w:cs="宋体"/>
          <w:bCs/>
          <w:sz w:val="24"/>
          <w:szCs w:val="24"/>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sz w:val="24"/>
          <w:szCs w:val="24"/>
        </w:rPr>
      </w:pPr>
      <w:r>
        <w:rPr>
          <w:rFonts w:ascii="宋体" w:hAnsi="宋体" w:cs="宋体"/>
          <w:bCs/>
          <w:sz w:val="24"/>
          <w:szCs w:val="24"/>
        </w:rPr>
        <w:t xml:space="preserve">10</w:t>
      </w:r>
      <w:r>
        <w:rPr>
          <w:rFonts w:hint="eastAsia" w:ascii="宋体" w:hAnsi="宋体" w:cs="宋体"/>
          <w:bCs/>
          <w:sz w:val="24"/>
          <w:szCs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sz w:val="24"/>
          <w:szCs w:val="24"/>
        </w:rPr>
      </w:pPr>
      <w:r>
        <w:rPr>
          <w:rFonts w:ascii="宋体" w:hAnsi="宋体" w:cs="宋体"/>
          <w:bCs/>
          <w:sz w:val="24"/>
          <w:szCs w:val="24"/>
        </w:rPr>
        <w:t xml:space="preserve">11</w:t>
      </w:r>
      <w:r>
        <w:rPr>
          <w:rFonts w:hint="eastAsia" w:ascii="宋体" w:hAnsi="宋体" w:cs="宋体"/>
          <w:bCs/>
          <w:sz w:val="24"/>
          <w:szCs w:val="24"/>
        </w:rPr>
        <w:t xml:space="preserve">.依据《政府采购促进中小企业发展管理办法》规定享受扶持政策获得政府采购合同的，小微企业不得将合同分包给大中型企业，中型企业不得将合同分包给大型企业。</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sz w:val="24"/>
          <w:szCs w:val="24"/>
        </w:rPr>
      </w:pPr>
      <w:r>
        <w:rPr>
          <w:rFonts w:ascii="宋体" w:hAnsi="宋体" w:cs="宋体"/>
          <w:bCs/>
          <w:sz w:val="24"/>
          <w:szCs w:val="24"/>
        </w:rPr>
        <w:t xml:space="preserve">12</w:t>
      </w:r>
      <w:r>
        <w:rPr>
          <w:rFonts w:hint="eastAsia" w:ascii="宋体" w:hAnsi="宋体" w:cs="宋体"/>
          <w:bCs/>
          <w:sz w:val="24"/>
          <w:szCs w:val="24"/>
          <w:lang w:eastAsia="zh-CN"/>
        </w:rPr>
        <w:t xml:space="preserve">.</w:t>
      </w:r>
      <w:r>
        <w:rPr>
          <w:rFonts w:hint="eastAsia" w:ascii="宋体" w:hAnsi="宋体" w:cs="宋体"/>
          <w:bCs/>
          <w:sz w:val="24"/>
          <w:szCs w:val="24"/>
        </w:rPr>
        <w:t xml:space="preserve">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cs="宋体"/>
          <w:bCs/>
          <w:sz w:val="24"/>
          <w:szCs w:val="24"/>
        </w:rPr>
      </w:pPr>
      <w:r>
        <w:rPr>
          <w:rFonts w:ascii="宋体" w:hAnsi="宋体" w:cs="宋体"/>
          <w:bCs/>
          <w:sz w:val="24"/>
          <w:szCs w:val="24"/>
        </w:rPr>
        <w:t xml:space="preserve">13</w:t>
      </w:r>
      <w:r>
        <w:rPr>
          <w:rFonts w:hint="eastAsia" w:ascii="宋体" w:hAnsi="宋体" w:cs="宋体"/>
          <w:bCs/>
          <w:sz w:val="24"/>
          <w:szCs w:val="24"/>
          <w:lang w:eastAsia="zh-CN"/>
        </w:rPr>
        <w:t xml:space="preserve">.</w:t>
      </w:r>
      <w:r>
        <w:rPr>
          <w:rFonts w:hint="eastAsia" w:ascii="宋体" w:hAnsi="宋体" w:cs="宋体"/>
          <w:bCs/>
          <w:sz w:val="24"/>
          <w:szCs w:val="24"/>
        </w:rPr>
        <w:t xml:space="preserve">凡涉及招标文件的补充说明或修正，均以书面依据为准。</w:t>
      </w:r>
      <w:r/>
    </w:p>
    <w:p>
      <w:pPr>
        <w:spacing w:line="360" w:lineRule="auto"/>
        <w:tabs>
          <w:tab w:val="left" w:pos="525" w:leader="none"/>
          <w:tab w:val="left" w:pos="630" w:leader="none"/>
          <w:tab w:val="left" w:pos="735" w:leader="none"/>
          <w:tab w:val="left" w:pos="945" w:leader="none"/>
          <w:tab w:val="left" w:pos="1080" w:leader="none"/>
        </w:tabs>
        <w:rPr>
          <w:rFonts w:ascii="宋体" w:hAnsi="宋体" w:cs="宋体"/>
          <w:b/>
          <w:bCs/>
          <w:sz w:val="24"/>
          <w:szCs w:val="24"/>
        </w:rPr>
      </w:pPr>
      <w:r>
        <w:rPr>
          <w:rFonts w:hint="eastAsia" w:ascii="宋体" w:hAnsi="宋体" w:cs="宋体"/>
          <w:b/>
          <w:bCs/>
          <w:sz w:val="24"/>
          <w:szCs w:val="24"/>
        </w:rPr>
        <w:t xml:space="preserve">附件一、省锡中滨湖分校实验室装备采购项目招标清单</w:t>
      </w:r>
      <w:r/>
    </w:p>
    <w:tbl>
      <w:tblPr>
        <w:tblStyle w:val="679"/>
        <w:tblW w:w="9863" w:type="dxa"/>
        <w:tblInd w:w="99" w:type="dxa"/>
        <w:tblLayout w:type="fixed"/>
        <w:tblCellMar>
          <w:left w:w="108" w:type="dxa"/>
          <w:top w:w="0" w:type="dxa"/>
          <w:right w:w="108" w:type="dxa"/>
          <w:bottom w:w="0" w:type="dxa"/>
        </w:tblCellMar>
        <w:tblLook w:val="04A0" w:firstRow="1" w:lastRow="0" w:firstColumn="1" w:lastColumn="0" w:noHBand="0" w:noVBand="1"/>
      </w:tblPr>
      <w:tblGrid>
        <w:gridCol w:w="709"/>
        <w:gridCol w:w="922"/>
        <w:gridCol w:w="6953"/>
        <w:gridCol w:w="642"/>
        <w:gridCol w:w="637"/>
      </w:tblGrid>
      <w:tr>
        <w:trPr>
          <w:trHeight w:val="380"/>
        </w:trPr>
        <w:tc>
          <w:tcPr>
            <w:gridSpan w:val="5"/>
            <w:tcBorders>
              <w:top w:val="single" w:color="000000" w:sz="4" w:space="0"/>
              <w:left w:val="single" w:color="000000" w:sz="4" w:space="0"/>
              <w:bottom w:val="single" w:color="000000" w:sz="4" w:space="0"/>
              <w:right w:val="single" w:color="000000" w:sz="4" w:space="0"/>
            </w:tcBorders>
            <w:tcW w:w="9863" w:type="dxa"/>
            <w:vAlign w:val="center"/>
            <w:textDirection w:val="lrTb"/>
            <w:noWrap/>
          </w:tcPr>
          <w:p>
            <w:pPr>
              <w:jc w:val="center"/>
              <w:spacing w:line="360" w:lineRule="auto"/>
              <w:widowControl/>
              <w:rPr>
                <w:rFonts w:ascii="宋体" w:hAnsi="宋体" w:cs="宋体"/>
                <w:b/>
                <w:bCs/>
                <w:color w:val="000000"/>
                <w:sz w:val="28"/>
                <w:szCs w:val="28"/>
              </w:rPr>
            </w:pPr>
            <w:r>
              <w:rPr>
                <w:rFonts w:hint="eastAsia" w:ascii="宋体" w:hAnsi="宋体" w:cs="宋体"/>
                <w:b/>
                <w:bCs/>
                <w:color w:val="000000"/>
                <w:sz w:val="28"/>
                <w:szCs w:val="28"/>
                <w:lang w:bidi="ar"/>
              </w:rPr>
              <w:t xml:space="preserve">省锡中滨湖分校实验室装备采购项目清单</w:t>
            </w:r>
            <w:r/>
          </w:p>
        </w:tc>
      </w:tr>
      <w:tr>
        <w:trPr>
          <w:trHeight w:val="380"/>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b/>
                <w:bCs/>
                <w:color w:val="000000"/>
                <w:sz w:val="20"/>
                <w:szCs w:val="20"/>
              </w:rPr>
            </w:pPr>
            <w:r>
              <w:rPr>
                <w:rFonts w:hint="eastAsia" w:ascii="宋体" w:hAnsi="宋体" w:cs="宋体"/>
                <w:b/>
                <w:bCs/>
                <w:color w:val="000000"/>
                <w:sz w:val="20"/>
                <w:szCs w:val="20"/>
                <w:lang w:bidi="ar"/>
              </w:rPr>
              <w:t xml:space="preserve">序号</w:t>
            </w:r>
            <w:r/>
          </w:p>
        </w:tc>
        <w:tc>
          <w:tcPr>
            <w:tcBorders>
              <w:top w:val="non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spacing w:line="360" w:lineRule="auto"/>
              <w:widowControl/>
              <w:rPr>
                <w:rFonts w:ascii="宋体" w:hAnsi="宋体" w:cs="宋体"/>
                <w:b/>
                <w:bCs/>
                <w:color w:val="000000"/>
                <w:sz w:val="20"/>
                <w:szCs w:val="20"/>
              </w:rPr>
            </w:pPr>
            <w:r>
              <w:rPr>
                <w:rFonts w:hint="eastAsia" w:ascii="宋体" w:hAnsi="宋体" w:cs="宋体"/>
                <w:b/>
                <w:bCs/>
                <w:color w:val="000000"/>
                <w:sz w:val="20"/>
                <w:szCs w:val="20"/>
                <w:lang w:bidi="ar"/>
              </w:rPr>
              <w:t xml:space="preserve">产品名称</w:t>
            </w:r>
            <w:r/>
          </w:p>
        </w:tc>
        <w:tc>
          <w:tcPr>
            <w:tcBorders>
              <w:top w:val="none" w:color="000000" w:sz="4" w:space="0"/>
              <w:left w:val="single" w:color="000000" w:sz="4" w:space="0"/>
              <w:bottom w:val="single" w:color="000000" w:sz="4" w:space="0"/>
              <w:right w:val="single" w:color="000000" w:sz="4" w:space="0"/>
            </w:tcBorders>
            <w:tcW w:w="6953" w:type="dxa"/>
            <w:vAlign w:val="center"/>
            <w:textDirection w:val="lrTb"/>
            <w:noWrap w:val="false"/>
          </w:tcPr>
          <w:p>
            <w:pPr>
              <w:jc w:val="center"/>
              <w:spacing w:line="360" w:lineRule="auto"/>
              <w:widowControl/>
              <w:rPr>
                <w:rFonts w:ascii="宋体" w:hAnsi="宋体" w:cs="宋体"/>
                <w:b/>
                <w:bCs/>
                <w:color w:val="000000"/>
                <w:sz w:val="20"/>
                <w:szCs w:val="20"/>
              </w:rPr>
            </w:pPr>
            <w:r>
              <w:rPr>
                <w:rFonts w:hint="eastAsia" w:ascii="宋体" w:hAnsi="宋体" w:cs="宋体"/>
                <w:b/>
                <w:bCs/>
                <w:color w:val="000000"/>
                <w:sz w:val="20"/>
                <w:szCs w:val="20"/>
                <w:lang w:bidi="ar"/>
              </w:rPr>
              <w:t xml:space="preserve">技术参数、规格、功能</w:t>
            </w:r>
            <w:r/>
          </w:p>
        </w:tc>
        <w:tc>
          <w:tcPr>
            <w:tcBorders>
              <w:top w:val="non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b/>
                <w:bCs/>
                <w:color w:val="000000"/>
                <w:sz w:val="20"/>
                <w:szCs w:val="20"/>
              </w:rPr>
            </w:pPr>
            <w:r>
              <w:rPr>
                <w:rFonts w:hint="eastAsia" w:ascii="宋体" w:hAnsi="宋体" w:cs="宋体"/>
                <w:b/>
                <w:bCs/>
                <w:color w:val="000000"/>
                <w:sz w:val="20"/>
                <w:szCs w:val="20"/>
                <w:lang w:bidi="ar"/>
              </w:rPr>
              <w:t xml:space="preserve">数量</w:t>
            </w:r>
            <w:r/>
          </w:p>
        </w:tc>
        <w:tc>
          <w:tcPr>
            <w:tcBorders>
              <w:top w:val="non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b/>
                <w:bCs/>
                <w:color w:val="000000"/>
                <w:sz w:val="20"/>
                <w:szCs w:val="20"/>
              </w:rPr>
            </w:pPr>
            <w:r>
              <w:rPr>
                <w:rFonts w:hint="eastAsia" w:ascii="宋体" w:hAnsi="宋体" w:cs="宋体"/>
                <w:b/>
                <w:bCs/>
                <w:color w:val="000000"/>
                <w:sz w:val="20"/>
                <w:szCs w:val="20"/>
                <w:lang w:bidi="ar"/>
              </w:rPr>
              <w:t xml:space="preserve">单位</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玻璃棒</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2、规格：φ3mm～φ4mm；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3、理化性能：耐水等级：1级，耐碱等级：1级，耐酸等级：2级；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4、应力：在偏光仪中呈蓝色；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5、色泽：无色透明，允许微带黄绿色；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6、玻璃棒要圆、直径均匀、不能粗细不匀，无气泡、无节瘤、无结石。</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千克</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化学实验装置背景板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1.75型轻钢龙骨、3*3*2.5mm方管加固，双侧15mm阻燃版+9.5mm石膏,2道腻子+基膜，5CM高铝合金踢脚线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2.16m2</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专用有线户外声光闪动警灯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1、与主机、分机配套使用，电压12V，电流0.8ma，≤100分贝，防水等级不低于IP55，模拟转动。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试管刷</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1、产品由金属丝和绞合在其上的猪鬃毛制成，制成的试管刷要求不散、不脱毛；</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2、整体应平整、美观，猪鬃毛长度均匀。</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手摇离心转台</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手摇离心转台是一种简单的手动动力机械，凡转动的实验大多可用它来带动。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金属槽码</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2g×3，5g×2，10g×2，20g×2，50g×2，100g×2，200g×2，5g×1金属槽码盘和10g×1金属槽码盘。</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坩埚钳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1、产品用不锈钢制造。总长度为200㎜；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2、钳子制作应光滑、平整、无缺陷；</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3、钳子的夹持端为弯头，端头应有齿纹，便于夹住物体，吻合一致。</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电流磁场演示器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1、仪器由直线电流磁场演示器、环形电流磁场演示器、螺线管电流磁场演示器等构成；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2、输入电流2.5A；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3、演示器的线圈骨架和底座用全透明有机玻璃制作，切割面和表面必须光洁、明亮，不得有明显创痕、伤疤等缺陷。</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模拟生态设备</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一、组成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195*193mm，透明亚克力材质，实验器由圆筒上主体(上盖带两个孔)、带内槽下盖(可液封密闭)、靠近下半部区域放置一个孔，规格不同的硅胶塞组成。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二、功能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1.用于生化实验中的光合作用、呼吸作用、模拟生态系统等实验。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2.实验箱、密封盖、橡胶塞可轻松搭建密闭实验环境，整体配合可用于模拟生态系统的研究，多种不同孔径的橡胶塞可以配合多种传感器实时监测各种数据的变化情况，并在Windows、安卓、iOS终端上呈现。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3.透明亚克力材质，便于观察箱体内部的实验现象，材料强度高，耐腐蚀。</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4.独立的实验箱体设计，可整体使用，也可三个独立实验箱体进行不同组合形式使用，比如单个实验箱可拆分使用完成光合作用实验探究等。使用灵活，满足不同实验需求。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5.橡胶塞密封效果好，种类比较多，支持带线的传感器探头主体完全进入实验器，可满足不同实验需求，支持教师DIY设计实验。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6.配套专用实验预设模板，以表格和曲线等形式自动记录数据变化情况，实验结果更直观明显。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三、实验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研究生态系统的稳定性、光合作用等实验</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洗洁精</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环保，无毒无害，使用安全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毫升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高速钢半圆形锯片</w:t>
            </w:r>
            <w:r/>
          </w:p>
        </w:tc>
        <w:tc>
          <w:tcPr>
            <w:tcBorders>
              <w:top w:val="none" w:color="000000" w:sz="4" w:space="0"/>
              <w:left w:val="none" w:color="000000" w:sz="4" w:space="0"/>
              <w:bottom w:val="none" w:color="000000" w:sz="4" w:space="0"/>
              <w:right w:val="none" w:color="000000" w:sz="4" w:space="0"/>
            </w:tcBorders>
            <w:tcW w:w="6953"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88mm，HCS高碳钢锯体；切割模板、软金属及塑料材质等</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冷凝器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2、规格：直固，300mm；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平抛和碰撞实验器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磁吸式，背板尺寸≥325*240mm。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智能升降机构设备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1、智能升降机构箱体：整体尺寸：≥500*450*150mm；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2、箱体外壳：采用冷轧钢板，厚度为：≥1mmSPCC，经激光切割折弯成型，表面经酸洗磷化处理，静电喷涂环保粉末高温处理工艺，表面光滑，不易变形，强度高等特点，无有害物质，具有防腐性高。</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3、升降传动机构：绕线旋转线槽模块采用汽车轮毂式，材质采用ABS工程塑料模具注塑一次成型。</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手锤</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1、供学生敲击物体的手动工具；</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2、材质：45～55优质碳素结构钢；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3、硬度：大头HRC≥48～55，小头HRC≥40；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4、锤体孔眼端正，轮廓清晰、表面不应有裂纹、折叠、缺口、凹凸不平、生锈等缺陷；</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5、木柄采用材质坚韧的木材制作，并应平直圆滑，无裂纺、霉变、虫蛀，表面涂清漆；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6、榔头装柄后不得松动摇头。</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把</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实验室物联控制套装</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智能融合信息终端：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1、1U机架式设计。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2、集成千兆交换机功能，具备4个RJ45网口。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3、具备4路RS232通信端口，具备1路RS485通信端口，具备1路干接点接口，具备1路12V/2A输出接口，具备2路GPIO接口。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4、有线麦克风通道具备DSP处理能力，支持远距离拾音、AFC自动反馈控制、AGC音量增益自动控制、6段EQ调制、0~24db增益调制。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5、具备1路USB通信接口,具备一进四出USBKVM切换能力。</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具备网络中控功能，支持电教设备的本地或远程控制。集成物联网关功能，支持能耗数据上报。支持MQTT协议，支持扩展最大30路2.4G无线物联模块，配合小程序可远程对终端设备及物联模块进行手动、定时、集控管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7、具备音频硬解码能力，具备推送的音频广播播放功能，可播放定时/手动广播任务，支持0-100级广播级别选择。</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通过授权可支持高清视频广播播放功能，支持H.264、AAC等主流媒体格式，智能终端在待机状态下接收预设的高清流媒体内容或在线电视节目进行自动播放，自动开启显示设备，实现无人值守智能化视频广播功能，视频广播支持0-100级广播优先级选择。</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9、支持通过控制面板或远程控制暂停广播输出和调节广播音量，强制广播模式（例如消防应急广播）下禁止控制面板操作广播暂停和调节音量。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10、支持web配置界面，支持本地参数、网络参数、串口参数、面板参数、音视频矩阵参数、IO接口参数、显示设备参数等配置。支持开关机场景及自定义场景配置。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通过配套触控面板可完成一键开关机设备、音量调节。支持IC卡刷卡或插卡、扫码、IP对讲等功能，支持离线状态下启用面板开机功能,支持同品牌无线麦克风接入及扩声。支持设备故障报修功能，待机状态下可显示设备联机网络信息、终端ID信息、运维电话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12、支持≥6路大屏/投影机同屏显示或≥4路大屏/投影机异屏显示及控制，支持输出画面冻结功能。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13、支持自有品牌麦克风的接入、控制和状态查询，包括麦克风电量、使用状态、充电状态及锁止状态等。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14、支持在线升级功能，支持版本信息查看，网络配置等功能。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15、支持通过RS232串口控制协议，实现对第三方设备的接入控制，包括：智能交互平板、投影机、录播主机、音频处理器等设备。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16、支持通过RS485串口控制协议，实现对RS485从设备的控制。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集控管理：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1、采用B/S架构，本地化部署。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2、支持通过HTTPS协议进行Web访问，通过账号+密码+验证码的方式进行用户身份认证，支持手动同步HTTPS证书。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3、支持接入云端，支持通过小程序使用本功能。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4、支持向第三方开放OpenAPI接口，可以通过OpenAPI实现单点登录、IC卡用户同步、课表同步、</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设备管理、反向二维码扫码认证等功能。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5、支持通过NTP方式校正时间，支持手动校正时间，支持向管理设备提供时间同步服务。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6、支持管理功能：网络设置、关机、重启、信息及运行状态查看。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7、支持远程维护，支持数据库本地备份及备份导出功能。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8、支持用户自定义名称、Logo、标语、学校名称、学校Logo等。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9、具备用户管理功能：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1)支持管理员、学校管理员、教师、学生、临时人员5种用户类型。支持针对不同的用户赋予不同的管理权限和使用权限，并提供用户批量授权功能。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2)支持创建10000+用户，支持批量导入教师用户。</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3)支持用户信息（学工号、IC卡号、手机号和部门名称等）管理，提供IC卡挂失功能。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4)支持与一卡通、教务或其他第三方用户数据库对接。</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10、具备智能设备管理功能：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1)支持设备分区设置、设备控制、设备参数配置、设备状态查看、设备日志记录及查看、设备能耗记录及查看、设备故障收集及展示等，提供设备配置复制功能、批量控制功能。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2)支持展示环境数据（温度、湿度、光照、PM2.5、二氧化碳等）和设定策略，可通过检测环境温度自动调整空调模式。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3)支持通过手动/定时任务进行设备控制。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4)支持扫码、小程序、后台远程、IC卡刷卡和课表联动等开机方式。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5)支持设备异常检测并主动推送告警消息。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6)支持管理设备固件版本（当前固件版本、可升级固件版本、远程批量升级等）。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7)支持与智能融合终端进行IP对讲、远程监听功能。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8)支持查看教室监控画面、电脑桌面、监控墙，提供设备巡查、IP对讲联动监控等功能。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9)支持经认证的第三方485智能设备接入：智能电表、智能空开、传感器等。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11、具备多媒体素材管理功能：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1)支持音视频文件（MP3、MP4、AVI、TS等）上传、下载、预览及审核。</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2)支持图文素材编辑、预览及审核。</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3)支持添加在线视频资源。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4)支持推送媒体素材上传通知、媒体素材审核通知到管理员。</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12、具备音视频IP广播推送功能：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1)支持解码媒体资源库中审核过的音视频文件并推送至同品牌广播接收终端。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2)支持拉取媒体资源库配置的在线视频流（HTTP、RTSP、RTMP、UDP/TS等协议）并推送至同品牌广播接收终端。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3)支持定点或分组推送至广播接收终端。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4)支持跨子网推送音视频广播。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5)支持同时推送32路音频、16路视频广播。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13、具备图文广播功能：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1)支持将媒体资源库中审核过的图文资源推送至同品牌图文广播接收终端。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2)支持定点或分组推送至图文广播接收终端。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3)支持同时推送100路图文广播。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14、具备音视频直转播功能：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1)支持接收同品牌音频直播终端推送的音频流并对其进行分区转播至同品牌广播接收终端。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2)支持接收同品牌视频直播终端推送的音视频流并对其进行定点或分组转播至同品牌广播接收终端。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3)支持通过浏览器进行定点或分组喊话至同品牌广播接收终端，同时可配置喊话背景音乐。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15、具备任务管理功能：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1)支持创建手动/定时设备管理任务、音频广播任务、视频广播任务、图文广播任务、直转播任务。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2)支持创建任务模板和运行模式，对任务进行策略化管理。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3)支持模式/任务以优先级（0-100级）方式调度，优先执行高优先级任务。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4)支持一键切换工作日的定时任务，实现全校统一调课功能。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16、具备统计报表功能：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1)支持设备使用时长、设备能耗、空调能耗统计，提供设备能耗导出功能。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2)提供首页和数据大屏展示运行状态，包括设备使用概览、设备能耗曲线、设备实时状态、教室使用状态、任务运行状态等。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3)支持环境数据统计并展示环境数据曲线。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4)支持记录设备运行日志，包括设备上下线、开关机、设备启用禁用、用户认证、麦克风使用、IP对讲求助、设备故障等。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5)支持记录日志，包括用户登录日志、用户操作日志、任务调度日志、策略执行日志、OpenAPI访问日志等。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6)支持日志分类查询，提供日志导出功能。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17、支持消防、安防事件联动触发广播告警。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18、支持微信公众号消息推送功能，包括投影灯泡使用告警信息、媒体素材上传及审核信息、设备异常离线告警信息、数据库备份异常告警信息和设备状态定时统计信息等。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19、支持直播课堂功能，可以进行全校的教学直播以及网络直播。支持创建定时任务，定时开启教学直播。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20、支持教室预约功能。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液晶操控面板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产品参数：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1、一体化设计，工业ABS工程塑料注塑成型。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2、具备7英寸高分辨率工业触摸屏，支持触摸屏控制界面定制。支持画面切换，声音调整，设备控制。支持广播信号本地暂停收听及音量调节。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3、具备二维码扫码摄像头，支持实现二维码反扫及扫码开机。集成IC卡读卡器，支持刷卡开机，支持安装底座实现插卡开机。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4、支持充电桩麦克风未归位语音提醒，支持关机倒计时语音提示，支持外接传感器数据实时显示。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触控电源控制器：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1、标准触摸86型开关面板，通过2.4G无线方式与同品牌网关连接。</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2、220VAC电源输入，触控按键功能可自定义设置。具备2路220VAC独立输出，每路最大支持500W。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3、面板可匹配2键/4键/6键三种风格，最多可配置2个按键为本地线路控制按键，其他可设置为关联按键。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4、内置能耗计量芯片，可实时检测用电设备运行状态并上报能耗数据。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5、授权用户通过微信小程序远程监控每路电源输出的状态，可手动或定时对接入的灯光、风扇、窗帘等用电设备进行智能策略通断电控制。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6、支持通过禁用本地按键模式，同时支持自主启用本地按键模式。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空调控制器：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1、通过2.4G无线方式与网关连接。</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2、输入采用1路220V大功率防脱落插头，输出采用1路大功率咬合式接口，最大支持6000W负载。具备1路红外输出，可遥控所连接的空调设备。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3、内置温湿度传感器，可实时显示当前区域温湿度状态。内置能耗计量芯片，可实时检测所连接空调的能耗数据，可汇总空调能耗数据。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4、支持通过微信小程序远程监控所连接空调的运行状态，对其进行手动/定时的点对点、点对组开关机及模式切换。可选配同品牌操作面板对空调进行本地控制。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5、支持自启动通电应急模式。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九合一传感器：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工作电压：DC 5V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通信类型：485/TTL二选一</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温度："分辨率：0.01℃测量范围：-40 ～ 125℃测量精度：±0.2℃"</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湿度："分辨率：0.01%测量范围：0 ～ 100%测量精度：±2%RH"</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CO2:"分辨率：1ppm测量范围：400 ～ 60,000ppm测量精度：±30ppm"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甲醛："分辨率：1μg/m³测量范围：0 ～ 1,000μg/m³测量精度：±25%"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TVOC："分辨率：1ppb测量范围：0 ～ 60,000ppb测量精度：±30ppb"</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PM2.5："分辨率：1μg/m³测量范围：0 ～ 1,000μg/m³测量精度：±10%"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PM10："分辨率：1μg/m³测量范围：0 ～ 1,000μg/m³测量精度：±10%"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PM1.0："分辨率：1μg/m³测量范围：0 ～ 1,000μg/m³测量精度：±10%"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光照度："分辨率：1Lux测量范围：0 ～ 60,000Lux测量精度：±5%"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电子时钟：</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1、TFTLCD显示屏，显示分辨率≥2560*800。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2、1个千兆以太网口，支持POE/DC受电；具备一个USB接口。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3、支持通过NTP协议自动校准日期和时间，支持时区配置。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4、提供多个时钟显示模板，支持个性化时钟显示。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5、可实现手动或定时息屏和亮屏、信息发布等功能。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6、支持在线升级功能，可直接联网升级。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智能配电模块：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1、支持80~260V宽电压输入，具备≥8路独立电源输出接口，单路额定电流8A，总额定电流25A；具备≥6路国标插座，1路防脱落万可插座（扩展2路电源输出控制或1路幕布/窗帘控制）。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3、每路电源输出接口对应1个电源指示灯，通电亮灯，断电熄灯。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4、支持IO输入状态查询、能耗统计及上报。</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5、支持通过IP网络接入服务器对本设备进行独立管理和控制。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6、支持通过配置工具进行静态/动态IP地址、掩码、网关以及服务器查找方式等参数配置。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音箱：</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1、采用号角式结构、双导向管、音柱型箱体设计。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2、内置不少于1个4×6寸椭圆形专业定制低音单元，94mm球顶高音单元、HIFI分频器。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3、功率：60W，阻抗：8欧姆。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4、频响：35HZ-18KHZ。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5、灵敏度：90±3dB。</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电子班牌：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 一体化设计，工业ABS工程塑料注塑成型。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 具备1个RJ45千兆网口，1路HDMI输入接口，1路USB接口，1路3.5mm音频输入接口，1路3.5mm音频输出接口，1路12V/1A输出接口,1路干接点接口, 1路GPIO接口；具备人体近场感应（正面1.5米范围内）亮屏功能；支持POE或DC 12V/3A受电。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 配备≥13.3英寸工业触控屏，支持10点触控，屏幕分辨率≥1920×1080，亮度≥400nits；配备200万像素双目摄像头，支持暗光识别；集成IC卡读卡器；内置扬声器2W*2、拾音器；具备音视频编解码能力。</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 支持展示教室今日日期、时间、周次、课表，教室当前正在上课的课程信息。支持查看全校所有教室本学年的课表信息。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 支持查看当前课程的学生信息，支持学生考勤签到，支持人脸、IC卡刷卡签到。支持实时展示待签到、已签到学生信息。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 具备门禁管理功能，支持IC卡刷卡、人脸识别、密码等开门方式。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 具备教室预约功能，学生/老师可以通过IC卡刷卡或者人脸识别登录，然后进行教室预约。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 具备巡班巡考功能，支持查看教室实时画面。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 具备IP对讲功能，支持与后台管理员进行实时语音通话。</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 采用4核CPU、4GB RAM、32GB EMMC FLASH，内置1T NPU。开放控制接口，支持界面自主定制。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网络控制面板：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1、支持POE受电，86型面板安装方式，嵌入式，800MHz 32位双核处理器。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2、配备≥7寸电容式触控屏幕，屏幕分辨率1024x600。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3、具备一个RJ45以太网口、1个mircoSD卡接口。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远程485控制器：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1、一体化设计，工业ABS工程塑料注塑成型，标准1P导轨式安装方式。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2、支持DC12V外部供电；具备1路RS485接口，1个外置对频按键；内置2.4G无线通讯模块。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3、具备1个IR接口，支持红外收发功能。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4、支持同品牌2.4G物联通讯协议，可接入同品牌物联网关。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5、最大支持8路RS485有线设备控制。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3P+N智能断路器：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RS485+能耗计量+380V63A+5位标准导轨式安装</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1P智能断路器：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RS485+能耗计量+220V25A+1位标准导轨式安装</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智能控制窗帘电机：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1、电机负载≥70Kg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2、加厚轨道≥1.9mm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3、功率≥36W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4、材质：阻燃PC</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所有模块均由同一控制端控制</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轴心（制作笔课件专用）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规格用途：制作笔课件专用轴心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长度：220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材质：金属轴杆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结构：光滑圆柱杆，两端适配固定安装</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适用：物理教学笔课件组装、演示实验配件</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广口瓶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2、规格：棕色，125mL；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霍尔效应实验仪（变温）</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主要实验内容：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1、学习霍尔效应原理，测绘霍尔元件的曲线；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2、学习利用霍尔效应测量磁感应强度B；</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3、学习用“对称交换测量法”消除负效应产生的误差；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4、测量电磁铁的磁场分布。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5、变温霍尔效应实验：可开设测量霍尔系数与温度的关系，电导率与温度的关系，推算半导体器件的禁带宽度等实验。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6、霍尔元件材料电导率测量、霍尔系数测量、载流子浓度测量、迁移率测量。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主要技术参数：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1、液晶触摸屏调节、控制与计算实验参数与数据。高清液晶屏，规格：1024X600像素。具有实验原理页面、仪器介绍页面、VH-Is页面、VH-B页面、VH-IM</w:t>
            </w:r>
            <w:r>
              <w:rPr>
                <w:rFonts w:hint="eastAsia" w:ascii="宋体" w:hAnsi="宋体" w:cs="宋体"/>
                <w:color w:val="000000"/>
                <w:sz w:val="20"/>
                <w:szCs w:val="20"/>
                <w:lang w:bidi="ar"/>
              </w:rPr>
              <w:t xml:space="preserve">页面、B-IM页面、Vσ-Is页面、RH-n页面、VH-X磁场分布测量页面、变温霍尔效应实验VH-T页面、数据与曲线显示页面、设置页面等，各页面间可通过触控按钮快速切换，也可逐页滚动。实验数据可手动与自动采集，可录入、撤回、存储、清除，可描绘实验数据曲线，各曲线均自带拟合功能，自动计算并给出拟合数据和相关系数。设备带USB数据传输接口，并可校准技术参数和测量精确度，可设置显示亮度和音量，可设置时间，自带实验计时器，可恢复出厂设置，有设置wifi名称和密码，设置服务器IP和端口功能，操作带语音提示（可关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2、励磁恒流源0～1A连续可调，既可软件控制正反，又可硬件手动控制正反；调节细度＜0.1mA，稳定度＜10-5，液晶触摸屏数显；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3、样品工作电流源0～5mA，稳定度＜10-5；调节细度＜1µA，液晶屏数显，既可软件控制正反，又可硬件手动控制正反；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4、霍尔电压显示窗：直流毫伏表2000.0mV，分辨率0.1mV；带软件调零；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5、电导电压显示窗：直流毫伏表2000.0mV，分辨率0.1mV；带软件调零；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6、自动测量设置窗：起始值和最大值可设，测量间隔可设置；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6、磁感应强度显示窗：直流200.0mT，分辨率0.1mV；带软件调零；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7、变温霍尔效应实验， 霍尔元件变温范围：室温～100℃；测温传感器：铂电阻；加热器最高温度120℃，测量温度单位：℃、K同时显示；可开设测量霍尔系数与温度的关系，电导电压与温度的关系，进而测得霍尔系数与温度的关系、载流子浓度与温度的关系、迁移率与温度的关系等实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8、砷化镓霍尔片，霍尔灵敏度≥150mV/(mA•T)；</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9、电磁铁：截面尺寸：22X18mm：磁场气隙4mm，微调范围1mm。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10、移动尺装置：横向移动距离70mm，竖向移动30mm，距离分辨率1mm。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11、使用霍尔片保护电路：设有过压、过流和吸收电路，接线错误不会造成霍尔片和仪器损坏。 </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微型物理光学观察器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半导体激光器，光的干涉、多种衍射(单缝、多缝、圆孔、异形孔、单丝、圆屏、刀口等)。</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移电球(验电球)</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1、长度：≥11CM小球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2、直径：1.5CM棒直径：1CM。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内聚力演示器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主体：2 根带挂钩的纯铅圆柱体（铅柱）</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铅柱材质：含铅量 ＞99%（纯铅，易挤压贴合）</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配套工具：旋转式刮削器（胶木 + 钢刀片）、挤压扳动器 / 螺旋挤压器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结构：每根铅柱一端带金属挂钩，用于悬挂重物</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Style w:val="968"/>
                <w:rFonts w:hint="default"/>
                <w:lang w:bidi="ar"/>
              </w:rPr>
              <w:t xml:space="preserve">细口瓶</w:t>
            </w:r>
            <w:r>
              <w:rPr>
                <w:rStyle w:val="969"/>
                <w:rFonts w:hint="default"/>
                <w:lang w:bidi="ar"/>
              </w:rPr>
              <w:t xml:space="preserve"></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2、规格：1000mL；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饱和水汽膨胀液化演示器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透明容器内能承受3个以上大气压，成雾明显，使用安全。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高速钢木工车刀组 （5支套）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串珠刀，凿刀（3.0mm,6.4mm两种规格），切断刀，刮刀</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凸面镜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1、由凸面镜体，托架、支柱、底座各部分组成。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2、托架、支柱、底座均为塑料制品。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3、产品应符合JY138－82《凹、凸面镜》的有关规定。</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电动钻孔器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手提箱装手提式电动钻孔机，内装可充电锂电池（容量大于1.5AH）供电，转速0～550/分钟，钻轧头可装夹1～10mm钻头，配有专用卡具，也可装夹四种不同直径的打孔器，可对不同规格橡胶塞打孔；2、附有各种钻头，打孔器和随机工具。</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展示边柜1</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1.尺寸：4900*600*800mm；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2.材质及工艺：1.全钢结构：2.台面：采用12mm厚抗倍特板,倒圆角处理，</w:t>
            </w:r>
            <w:r>
              <w:rPr>
                <w:rFonts w:hint="eastAsia" w:ascii="宋体" w:hAnsi="宋体" w:cs="宋体"/>
                <w:color w:val="000000"/>
                <w:sz w:val="20"/>
                <w:szCs w:val="20"/>
                <w:lang w:bidi="ar"/>
              </w:rPr>
              <w:t xml:space="preserve">防强酸强碱，耐磨耐高温；不含任何有毒物质，无辐射，受热不产生有毒气体和物质；3.柜体：采用1.0mm厚度，表面锌层80g/m2无油无花镀锌钢板 ，漆膜附着力高不变色（烤漆膜厚度平均值≥70μm），无异味，柜体双重防腐保护。4.防撞胶垫：装于门板内侧，减缓碰撞，保护柜体；5.门板及抽面：采用双层结构，组装式设计，保证两层双面都喷涂处理，中间采用隔音材料，保证关门减少噪音；6.连接件：采用ABS专用连接组装件；7.合页：采用优质不锈钢铰链；9.固定桌脚：采用柜体内置可调ABS调整脚，保证调整脚前后都可以调节高低</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木工锤</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钢锤木工锤，锤头长度不小于5cm,木柄长度不小于20cm。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把</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塑料多用滴管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标称容量：5mL（最大吸液量）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材质：低密度聚乙烯（LDPE），透明 / 半透明，无毒、耐酸碱、回弹性好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总长度：210mm（常见标准）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滴量：约 55μL / 滴（水相，常温常压）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结构：一体成型，含吸液球、管身、尖嘴；尖嘴可热封</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800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DNA双螺旋结构模型组件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四种碱基、脱氧核糖、磷酸彼此分离，透明塑料盒包装。</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物理实验装置背景板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1.75型轻钢龙骨、3*3*2.5mm方管加固，双侧15mm阻燃版+9.5mm石膏,2道腻子+基膜，5CM高铝合金踢脚线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2.16m2</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平头镊</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12.5cm 直头</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牛皮纸</w:t>
            </w:r>
            <w:r/>
          </w:p>
        </w:tc>
        <w:tc>
          <w:tcPr>
            <w:tcBorders>
              <w:top w:val="none" w:color="000000" w:sz="4" w:space="0"/>
              <w:left w:val="none" w:color="000000" w:sz="4" w:space="0"/>
              <w:bottom w:val="none" w:color="000000" w:sz="4" w:space="0"/>
              <w:right w:val="non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80g,12*12cm 100张/袋</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袋</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光具座</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1.导轨采用铝合金结构。2、主机由铝合金导轨，支脚、滑块、刻度尺组成。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物理支架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产品为组合式，有A型底座（大、小）2根、立杆2根、连接头2个、万能夹1个、烧瓶夹1个、铁环1个、滴定夹1个、圆盘1个、漏斗架板1块组成。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物理天平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1、最大称量500g，分度值0.02g；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2、制动机构的支承螺钉、托架，应能保证升降平稳，以保持横梁的再现性；天平开启或停动后，吊耳悬挂不得倾斜、晃动；梁体不得有扭动，指针不得有前后跳针和带针现象；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3、横梁应具有足够的刚性和硬度，表面应进行防腐蚀处理，但不允许涂调和漆；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4、底座由金属制成应具有足够的强度和稳度。</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木工量具五件套装</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公制五件套：三角板（铝合金），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中心规（铝合金），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划线笔（不锈钢），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多功能规（90mm*170mm*1.25mm,不锈钢），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带水平直角尺（铝合金），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表面均做黑色阳极化处理</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化学反应原理</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Style w:val="968"/>
                <w:rFonts w:hint="default"/>
                <w:lang w:bidi="ar"/>
              </w:rPr>
              <w:t xml:space="preserve">以《普通高中化学课程标准（</w:t>
            </w:r>
            <w:r>
              <w:rPr>
                <w:rStyle w:val="970"/>
                <w:lang w:bidi="ar"/>
              </w:rPr>
              <w:t xml:space="preserve">2017</w:t>
            </w:r>
            <w:r>
              <w:rPr>
                <w:rStyle w:val="968"/>
                <w:rFonts w:hint="default"/>
                <w:lang w:bidi="ar"/>
              </w:rPr>
              <w:t xml:space="preserve">年版</w:t>
            </w:r>
            <w:r>
              <w:rPr>
                <w:rStyle w:val="970"/>
                <w:lang w:bidi="ar"/>
              </w:rPr>
              <w:t xml:space="preserve">2020</w:t>
            </w:r>
            <w:r>
              <w:rPr>
                <w:rStyle w:val="968"/>
                <w:rFonts w:hint="default"/>
                <w:lang w:bidi="ar"/>
              </w:rPr>
              <w:t xml:space="preserve">年修订）》为依据，结合各大版本高中化学课程教材，满足高中化学课程的所有实验。此箱是专为教师及学生完成教材要求的实验而设计，采用高度集成的方法将</w:t>
            </w:r>
            <w:r>
              <w:rPr>
                <w:rStyle w:val="970"/>
                <w:lang w:bidi="ar"/>
              </w:rPr>
              <w:t xml:space="preserve">“</w:t>
            </w:r>
            <w:r>
              <w:rPr>
                <w:rStyle w:val="968"/>
                <w:rFonts w:hint="default"/>
                <w:lang w:bidi="ar"/>
              </w:rPr>
              <w:t xml:space="preserve">化学反应原理</w:t>
            </w:r>
            <w:r>
              <w:rPr>
                <w:rStyle w:val="970"/>
                <w:lang w:bidi="ar"/>
              </w:rPr>
              <w:t xml:space="preserve">”</w:t>
            </w:r>
            <w:r>
              <w:rPr>
                <w:rStyle w:val="968"/>
                <w:rFonts w:hint="default"/>
                <w:lang w:bidi="ar"/>
              </w:rPr>
              <w:t xml:space="preserve">这一知识模块对应的实验需要用到的仪器分块放置在实验箱里，准备简单，管理方便。每款仪器的配置均符合教材上要求的所有实验，充分提高了实验课堂的授课水平和学习质量。对部分实验仪器做了改进和分类，使实验操作更加方便、快捷。</w:t>
            </w:r>
            <w:r>
              <w:rPr>
                <w:rStyle w:val="968"/>
                <w:rFonts w:hint="default"/>
                <w:lang w:bidi="ar"/>
              </w:rPr>
              <w:br/>
            </w:r>
            <w:r>
              <w:rPr>
                <w:rStyle w:val="968"/>
                <w:rFonts w:hint="default"/>
                <w:lang w:bidi="ar"/>
              </w:rPr>
              <w:t xml:space="preserve">外观尺寸</w:t>
            </w:r>
            <w:r>
              <w:rPr>
                <w:rStyle w:val="970"/>
                <w:lang w:bidi="ar"/>
              </w:rPr>
              <w:t xml:space="preserve">(mm)</w:t>
            </w:r>
            <w:r>
              <w:rPr>
                <w:rStyle w:val="968"/>
                <w:rFonts w:hint="default"/>
                <w:lang w:bidi="ar"/>
              </w:rPr>
              <w:t xml:space="preserve">：</w:t>
            </w:r>
            <w:r>
              <w:rPr>
                <w:rStyle w:val="970"/>
                <w:lang w:bidi="ar"/>
              </w:rPr>
              <w:t xml:space="preserve">485*370*155mm</w:t>
            </w:r>
            <w:r>
              <w:rPr>
                <w:rStyle w:val="970"/>
                <w:lang w:bidi="ar"/>
              </w:rPr>
              <w:br/>
            </w:r>
            <w:r>
              <w:rPr>
                <w:rStyle w:val="968"/>
                <w:rFonts w:hint="default"/>
                <w:lang w:bidi="ar"/>
              </w:rPr>
              <w:t xml:space="preserve">箱体颜色：灰色</w:t>
            </w:r>
            <w:r>
              <w:rPr>
                <w:rStyle w:val="968"/>
                <w:rFonts w:hint="default"/>
                <w:lang w:bidi="ar"/>
              </w:rPr>
              <w:br/>
            </w:r>
            <w:r>
              <w:rPr>
                <w:rStyle w:val="968"/>
                <w:rFonts w:hint="default"/>
                <w:lang w:bidi="ar"/>
              </w:rPr>
              <w:t xml:space="preserve">箱体材料：高密度工程塑料（聚丙烯），使用</w:t>
            </w:r>
            <w:r>
              <w:rPr>
                <w:rStyle w:val="970"/>
                <w:lang w:bidi="ar"/>
              </w:rPr>
              <w:t xml:space="preserve">0.5mm</w:t>
            </w:r>
            <w:r>
              <w:rPr>
                <w:rStyle w:val="968"/>
                <w:rFonts w:hint="default"/>
                <w:lang w:bidi="ar"/>
              </w:rPr>
              <w:t xml:space="preserve">厚的</w:t>
            </w:r>
            <w:r>
              <w:rPr>
                <w:rStyle w:val="970"/>
                <w:lang w:bidi="ar"/>
              </w:rPr>
              <w:t xml:space="preserve">PVC</w:t>
            </w:r>
            <w:r>
              <w:rPr>
                <w:rStyle w:val="968"/>
                <w:rFonts w:hint="default"/>
                <w:lang w:bidi="ar"/>
              </w:rPr>
              <w:t xml:space="preserve">背胶板印刷全套（</w:t>
            </w:r>
            <w:r>
              <w:rPr>
                <w:rStyle w:val="970"/>
                <w:lang w:bidi="ar"/>
              </w:rPr>
              <w:t xml:space="preserve">4</w:t>
            </w:r>
            <w:r>
              <w:rPr>
                <w:rStyle w:val="968"/>
                <w:rFonts w:hint="default"/>
                <w:lang w:bidi="ar"/>
              </w:rPr>
              <w:t xml:space="preserve">张）铭牌，不起皱，不脱落。</w:t>
            </w:r>
            <w:r>
              <w:rPr>
                <w:rStyle w:val="968"/>
                <w:rFonts w:hint="default"/>
                <w:lang w:bidi="ar"/>
              </w:rPr>
              <w:br/>
            </w:r>
            <w:r>
              <w:rPr>
                <w:rStyle w:val="968"/>
                <w:rFonts w:hint="default"/>
                <w:lang w:bidi="ar"/>
              </w:rPr>
              <w:t xml:space="preserve">箱体内部零件固定体：采用高发泡隔离填充材料，内部零件固定体采用双层双色工艺制作，更能凸显零件的立体效果，上层绿色下层黑色，使用不同颜色的材质制造更容易找到相应器材。零件固定体按零件形状数控雕刻成型，每种实验器材有相对应插槽，每种实验器材设有固定位置。</w:t>
            </w:r>
            <w:r>
              <w:rPr>
                <w:rStyle w:val="968"/>
                <w:rFonts w:hint="default"/>
                <w:lang w:bidi="ar"/>
              </w:rPr>
              <w:br/>
            </w:r>
            <w:r>
              <w:rPr>
                <w:rStyle w:val="968"/>
                <w:rFonts w:hint="default"/>
                <w:lang w:bidi="ar"/>
              </w:rPr>
              <w:t xml:space="preserve">实验器材：药匙、胶头滴管、玻璃棒、</w:t>
            </w:r>
            <w:r>
              <w:rPr>
                <w:rStyle w:val="970"/>
                <w:lang w:bidi="ar"/>
              </w:rPr>
              <w:t xml:space="preserve">50mL</w:t>
            </w:r>
            <w:r>
              <w:rPr>
                <w:rStyle w:val="968"/>
                <w:rFonts w:hint="default"/>
                <w:lang w:bidi="ar"/>
              </w:rPr>
              <w:t xml:space="preserve">烧杯、</w:t>
            </w:r>
            <w:r>
              <w:rPr>
                <w:rStyle w:val="970"/>
                <w:lang w:bidi="ar"/>
              </w:rPr>
              <w:t xml:space="preserve">100mL</w:t>
            </w:r>
            <w:r>
              <w:rPr>
                <w:rStyle w:val="968"/>
                <w:rFonts w:hint="default"/>
                <w:lang w:bidi="ar"/>
              </w:rPr>
              <w:t xml:space="preserve">烧杯、</w:t>
            </w:r>
            <w:r>
              <w:rPr>
                <w:rStyle w:val="970"/>
                <w:lang w:bidi="ar"/>
              </w:rPr>
              <w:t xml:space="preserve">250mL</w:t>
            </w:r>
            <w:r>
              <w:rPr>
                <w:rStyle w:val="968"/>
                <w:rFonts w:hint="default"/>
                <w:lang w:bidi="ar"/>
              </w:rPr>
              <w:t xml:space="preserve">烧杯、试管夹、</w:t>
            </w:r>
            <w:r>
              <w:rPr>
                <w:rStyle w:val="970"/>
                <w:lang w:bidi="ar"/>
              </w:rPr>
              <w:t xml:space="preserve">10mL</w:t>
            </w:r>
            <w:r>
              <w:rPr>
                <w:rStyle w:val="968"/>
                <w:rFonts w:hint="default"/>
                <w:lang w:bidi="ar"/>
              </w:rPr>
              <w:t xml:space="preserve">量筒、秒表、球型分液漏斗、锥形瓶、长直角玻璃管、短直角玻璃管、圆底烧瓶、止水皮管夹、酒精灯、表面皿、石棉网、</w:t>
            </w:r>
            <w:r>
              <w:rPr>
                <w:rStyle w:val="970"/>
                <w:lang w:bidi="ar"/>
              </w:rPr>
              <w:t xml:space="preserve">U</w:t>
            </w:r>
            <w:r>
              <w:rPr>
                <w:rStyle w:val="968"/>
                <w:rFonts w:hint="default"/>
                <w:lang w:bidi="ar"/>
              </w:rPr>
              <w:t xml:space="preserve">形管、口部具支试管、培养皿等。</w:t>
            </w:r>
            <w:r>
              <w:rPr>
                <w:rStyle w:val="968"/>
                <w:rFonts w:hint="default"/>
                <w:lang w:bidi="ar"/>
              </w:rPr>
              <w:br/>
            </w:r>
            <w:r>
              <w:rPr>
                <w:rStyle w:val="968"/>
                <w:rFonts w:hint="default"/>
                <w:lang w:bidi="ar"/>
              </w:rPr>
              <w:t xml:space="preserve">可做实验：</w:t>
            </w:r>
            <w:r>
              <w:rPr>
                <w:rStyle w:val="970"/>
                <w:lang w:bidi="ar"/>
              </w:rPr>
              <w:t xml:space="preserve">1</w:t>
            </w:r>
            <w:r>
              <w:rPr>
                <w:rStyle w:val="968"/>
                <w:rFonts w:hint="default"/>
                <w:lang w:bidi="ar"/>
              </w:rPr>
              <w:t xml:space="preserve">、探究盐酸与镁反应前后溶液的温度变化；</w:t>
            </w:r>
            <w:r>
              <w:rPr>
                <w:rStyle w:val="970"/>
                <w:lang w:bidi="ar"/>
              </w:rPr>
              <w:t xml:space="preserve">2</w:t>
            </w:r>
            <w:r>
              <w:rPr>
                <w:rStyle w:val="968"/>
                <w:rFonts w:hint="default"/>
                <w:lang w:bidi="ar"/>
              </w:rPr>
              <w:t xml:space="preserve">、探究八水合氢氧化钡晶体与氯化铵晶体反应前后固体的温度变化；</w:t>
            </w:r>
            <w:r>
              <w:rPr>
                <w:rStyle w:val="970"/>
                <w:lang w:bidi="ar"/>
              </w:rPr>
              <w:t xml:space="preserve">3</w:t>
            </w:r>
            <w:r>
              <w:rPr>
                <w:rStyle w:val="968"/>
                <w:rFonts w:hint="default"/>
                <w:lang w:bidi="ar"/>
              </w:rPr>
              <w:t xml:space="preserve">、原电池实验；</w:t>
            </w:r>
            <w:r>
              <w:rPr>
                <w:rStyle w:val="970"/>
                <w:lang w:bidi="ar"/>
              </w:rPr>
              <w:t xml:space="preserve">4</w:t>
            </w:r>
            <w:r>
              <w:rPr>
                <w:rStyle w:val="968"/>
                <w:rFonts w:hint="default"/>
                <w:lang w:bidi="ar"/>
              </w:rPr>
              <w:t xml:space="preserve">、简易电池的设计与制作；</w:t>
            </w:r>
            <w:r>
              <w:rPr>
                <w:rStyle w:val="970"/>
                <w:lang w:bidi="ar"/>
              </w:rPr>
              <w:t xml:space="preserve">5</w:t>
            </w:r>
            <w:r>
              <w:rPr>
                <w:rStyle w:val="968"/>
                <w:rFonts w:hint="default"/>
                <w:lang w:bidi="ar"/>
              </w:rPr>
              <w:t xml:space="preserve">、影响化学反应速率的因素；</w:t>
            </w:r>
            <w:r>
              <w:rPr>
                <w:rStyle w:val="970"/>
                <w:lang w:bidi="ar"/>
              </w:rPr>
              <w:t xml:space="preserve">6</w:t>
            </w:r>
            <w:r>
              <w:rPr>
                <w:rStyle w:val="968"/>
                <w:rFonts w:hint="default"/>
                <w:lang w:bidi="ar"/>
              </w:rPr>
              <w:t xml:space="preserve">、化学能转化成电能；</w:t>
            </w:r>
            <w:r>
              <w:rPr>
                <w:rStyle w:val="970"/>
                <w:lang w:bidi="ar"/>
              </w:rPr>
              <w:t xml:space="preserve">7</w:t>
            </w:r>
            <w:r>
              <w:rPr>
                <w:rStyle w:val="968"/>
                <w:rFonts w:hint="default"/>
                <w:lang w:bidi="ar"/>
              </w:rPr>
              <w:t xml:space="preserve">、化学反应速率的影响因素；</w:t>
            </w:r>
            <w:r>
              <w:rPr>
                <w:rStyle w:val="970"/>
                <w:lang w:bidi="ar"/>
              </w:rPr>
              <w:t xml:space="preserve">8</w:t>
            </w:r>
            <w:r>
              <w:rPr>
                <w:rStyle w:val="968"/>
                <w:rFonts w:hint="default"/>
                <w:lang w:bidi="ar"/>
              </w:rPr>
              <w:t xml:space="preserve">、中和反应反应热的测定；</w:t>
            </w:r>
            <w:r>
              <w:rPr>
                <w:rStyle w:val="970"/>
                <w:lang w:bidi="ar"/>
              </w:rPr>
              <w:t xml:space="preserve">9</w:t>
            </w:r>
            <w:r>
              <w:rPr>
                <w:rStyle w:val="968"/>
                <w:rFonts w:hint="default"/>
                <w:lang w:bidi="ar"/>
              </w:rPr>
              <w:t xml:space="preserve">、定性与定量研究影响化学反应速率的因素；</w:t>
            </w:r>
            <w:r>
              <w:rPr>
                <w:rStyle w:val="970"/>
                <w:lang w:bidi="ar"/>
              </w:rPr>
              <w:t xml:space="preserve">10</w:t>
            </w:r>
            <w:r>
              <w:rPr>
                <w:rStyle w:val="968"/>
                <w:rFonts w:hint="default"/>
                <w:lang w:bidi="ar"/>
              </w:rPr>
              <w:t xml:space="preserve">、探究浓度对化学平衡的影响；</w:t>
            </w:r>
            <w:r>
              <w:rPr>
                <w:rStyle w:val="970"/>
                <w:lang w:bidi="ar"/>
              </w:rPr>
              <w:t xml:space="preserve">11</w:t>
            </w:r>
            <w:r>
              <w:rPr>
                <w:rStyle w:val="968"/>
                <w:rFonts w:hint="default"/>
                <w:lang w:bidi="ar"/>
              </w:rPr>
              <w:t xml:space="preserve">、盐类水解的应用；</w:t>
            </w:r>
            <w:r>
              <w:rPr>
                <w:rStyle w:val="970"/>
                <w:lang w:bidi="ar"/>
              </w:rPr>
              <w:t xml:space="preserve">12</w:t>
            </w:r>
            <w:r>
              <w:rPr>
                <w:rStyle w:val="968"/>
                <w:rFonts w:hint="default"/>
                <w:lang w:bidi="ar"/>
              </w:rPr>
              <w:t xml:space="preserve">、简单的电镀实验；</w:t>
            </w:r>
            <w:r>
              <w:rPr>
                <w:rStyle w:val="970"/>
                <w:lang w:bidi="ar"/>
              </w:rPr>
              <w:t xml:space="preserve">13</w:t>
            </w:r>
            <w:r>
              <w:rPr>
                <w:rStyle w:val="968"/>
                <w:rFonts w:hint="default"/>
                <w:lang w:bidi="ar"/>
              </w:rPr>
              <w:t xml:space="preserve">、制作简单的燃料电池等。</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研磨过滤器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1、容量20mL聚丙烯工程塑料；</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2、耐丙酮、酒精、石油醚、甲醇、乙酸、四氯化碳。</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电荷间作用力实验器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产品主要由底座、大球、带线小球、刻度尺、伸缩杆等组成。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自感现象演示器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1、主线圈：带铁芯线圈；</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2、显示方式：高亮度LED发光二极管；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3、工作电源：CD3V（5电池二节）。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喷笔上色工作台</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电压：220-240V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功率：15W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噪音：45分贝</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重量：约4.7KG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排风量：5.2立方米/MIN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展开尺寸40.5*43.5*33（cm）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外箱尺寸47*27.5*36(cm)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中号试管刷</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1、产品由金属丝和绞合在其上的猪鬃毛制成，制成的试管刷要求不散、不脱毛；</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2、整体应平整、美观，猪鬃毛长度均匀。</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金刚砂砂轮 </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形状：平形（最常用）、杯形、碟形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外径：150mm（教学砂轮机标配）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磨料：人造金刚石（金刚砂）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粒度（目数）：80#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结合剂：树脂结合剂（教学 / 手工常用，韧性好、易修整）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工作线速度：≤35 m/s（安全转速）</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运动神经元装片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1、标本在80x和200x学生显微镜下观察运动神经原的形态；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2、能看清运动神经原的细胞体和突起、细胞体内的胞核、少量的神经纤维和神经胶质细胞的胞核；</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3、不要求显示尼氏体；</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4、标本取材于脊髓灰质前角中的运动神经原，作涂片或分离装片；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5、用能显示细胞结构和不易褪色的方法染色；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6、神经原应分布均轧形态正执无破碎现象。在80x镜下盖玻片中间部分的任一视野内应不少于五个运动神经原；</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7、应符合JY67－82《生物玻片标本通用技术条件》的规定；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8、产品应符合JY99－82《运动神经元装片》的要求。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压缩机+ 套装喷笔</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1.电流:1.6A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2.马达:DC12V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3.接口尺寸:螺纹接口1/18mm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4.输出:DC12V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5.输入:AC100V-240V50/60HZ 0.6A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6.自动停机压力:25PSI</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7.空气流量:10.5L/MIN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8.调压方式:无极分流降压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9.自动开机压力:15PSI</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10.声音:47分贝</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11.调压范围:2-15PSI</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12.电池电压容量:1.2V*100 2000MA</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菱形小磁针</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每组包含菱形小磁针不小于16支。</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自粘式三角砂光纸  25片装</w:t>
            </w:r>
            <w:r/>
          </w:p>
        </w:tc>
        <w:tc>
          <w:tcPr>
            <w:tcBorders>
              <w:top w:val="none" w:color="000000" w:sz="4" w:space="0"/>
              <w:left w:val="none" w:color="000000" w:sz="4" w:space="0"/>
              <w:bottom w:val="none" w:color="000000" w:sz="4" w:space="0"/>
              <w:right w:val="non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形状：正三角形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尺寸：边长 70 mm（教学常用标准）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基材：氧化铝 / 碳化硅砂面 + 背胶纸基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背面：自粘不干胶，可直接粘贴在摩擦块上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粒度：120#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特点：粘贴牢固、不易脱落、更换方便</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探究法拉第电磁感应定律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一、整体规格：</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1.安装方式：台式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2.外观尺寸：350×300×610mm (长×宽×高)</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3.外观设计：马蹄形（U形）立式结构，符合人体工学，便于多角度观察。表面采用细磨砂黑纹处理，质感高级，有效减少环境光反射干扰，凸显实验现象。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4.机身材质：优质铝合金型材与Q235钢板，结构稳定。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二、核心演示组件（四管对比）：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四根长度均为550mm、外径均为Φ25mm的平行立管，提供最直观的对比实验：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1.纯铜管： 高纯度黄铜管，电导率高，涡流效应最强，磁铁下落速度最慢，现象极其明显。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2.纯铝管： 高纯度铝管，电导率次于铜，涡流效应较强，磁铁下落速度较慢，与铜管形成对比。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3.透明亚克力管(参照管)：绝缘体，无涡流效应。磁铁在重力作用下自由落体，下落速度最快，作为对比基准。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4.LED可视化亚克力管 (创新点)：管壁内侧嵌入四组均匀分布的感应线圈。每组线圈回路中连接一个高亮LED灯。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三、磁铁配置：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1.规格：钕铁硼稀土永磁环，共4个（与管道数量匹配）。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2.性能：剩磁Br ≥ 1.2T，提供极强的磁场。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3.稳定性：具有优异的温度稳定性，确保在不同环境下实验现象一致可靠。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设计：中心开孔，下落轨迹更稳定，便于重复操作。</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冷凝器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2、规格：球形，300mm；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单摆运动规律演示器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由底座、调解螺旋、螺母悬点螺丝横杆横丝，横杆立杆指角器，偏角指针。</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净化通风设备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送风箱风量1600/m3，整个净化级别达到10万级无尘净化级别，集成初、中、高效净化过滤器, 由风机、净化箱、风管、进出风口组成，达到10万级净化。自净器高效净化，特别是多室净化合理分配气流很重要。</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雕刻刀专用多形状磨石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材质：碳化硅磨料</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粒度： 240#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结构：一体成型多刃面，适配雕刻刀斜口、尖口、圆弧口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硬度：中硬耐磨，不易掉砂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中和热实验器</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一、组成: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1.由反应容器、硅胶塞及注液器构成。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2.材质：PET</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3.工艺：丝印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二、功能: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1.配合温度传感器、数据采集器等硬件及中和热专用软件，用于测定强酸与强碱反应的中和热实验。</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解剖器具</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生物解剖器7件套、解剖针（盒）、解剖盘</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验证基因连锁与互换规律玉米标本</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标本选用父代穗、母代穗、子一代穗、子二代穗及子二代测交穗5穗玉米穗组成，各有不同的基因型。</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磁力搅拌器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※1、3顶板选者（陶瓷涂层，不锈钢或铝） - 选择任意一种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2、强大的马达可达10升搅拌能力</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※3、从环境温度到320°C的温度范围，温度控制1°C /步</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4、速度设置从200到2200转/分钟，转速控制为10转/步</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5、运行时间-1至999分钟和无限模式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※6、具有上次运行记忆功能的微处理器控制器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7、大而清晰的关键参数显示，便于阅读</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8、工作面板尺寸：140 mm，尺寸 (L x W x H)：156 x 248 x 104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9、发热量：600W，保护等级：IP 21</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10、允许环境温度：5 - 40°C，允许相对湿度：80%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11、重量：2.2kg，输入电压：110v-2.65A，220v-2.65A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12、总功耗：610W</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毛钱管(牛顿管)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结构：玻璃管 + 金属底座阀门 + 羽毛、钱币（或金属片）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管体尺寸：</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长度：约 1000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直径：约 35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材质：高硼硅玻璃管，金属密封阀</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实验物体：轻质羽毛、金属片各 1 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气密性：可抽真空，密封良好</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纸盆扬声器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1、直径不小于200mm，8Ω；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2、动圈式扬声器的主要性能在指向性、频响(5-5KHZ)、失真度、音质等方面符合技术要求。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条形盒测力计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1、产品为组装式，2.5N；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2、产品必配部件:壳体1个；弹簧1个；面板1块；带钩指针1个；提手1个；</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3、壳体由塑料制作；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4、弹簧：由金属制成，表面防锈处理；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5、面板：由金属制成，防锈处理。</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教师总控电源</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外壳采用镀锌板折弯焊接成型，表面喷塑，电源面板表面贴面膜，有漏电总开关、交流220V五孔带防护插座、教师用低压调整单元、学生用控制单元，低压交直流电压、40A倒计时时间均采用二位半数显表头显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2、直流稳压输出：标准电压：1.5V～12V，可输出到16V，无极可调，每0.1V递增。额定电流：2A。负载特性：交流输入电压在198V～242V之间变化，在额定电流输出时电压变化≤0.2V，在交流输入220V时，纹波电压≤3mV。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3、交流稳压输出：标准电压：2V～12V，可输出0V～16V，每0.5V步进调整，自动稳压。额定电流：5A。负载特性：交流输入在220V不变时，负载电流在0至额定电流范围内变化，输出各档电压变化量±0.5V。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4、直流40A大电流：当负载大于10A时，10秒内负载自动关断，并有倒计时时间显示。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5、过载保护：当直流输出过载或短路时，自动进入恒流状态。当低压交直流长时间处在过载或短路状态下。电源自动关机。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6、电源低压交直流电压二位半数字显示，显示精度0.1V。所显示的是实际输出电压。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7、学生交流220V输出分4路，每路输出独立工作。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8、变压器输入端设有过载自恢复保护。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9、设有总电源漏电保护开关。低压交直流输出采用全铜香蕉插座，教师用五孔插座带安全防护。</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受迫振动和共振演示器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结构：支架、偏心轮驱动装置、长短不同弹簧振子组、底座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驱动方式：电机带动偏心轮，提供周期性驱动力</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可调频率范围：约 0.5～3 Hz（30～180 次 / 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振子数量：通常 5～6 组弹簧振子，固有频率各不相同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电机电压：DC 6V～12V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外形尺寸：约 350mm × 150mm × 400mm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材质：金属支架、塑料底座、弹簧、钢球振子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镊子</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1、不锈钢，尖头，140mm；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2、符合GB4747、1—1989《医用镊通用技术条件》的有关规定。</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晶体空间点阵模型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食盐，金刚石，石墨，明矾，石英各一种</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风机软连接</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1、≥φ600-φ400mm，pp材质。进出口接头采用柔性材质，消除因震动引起的微量错位对风机的影响。</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净化吊顶</w:t>
            </w:r>
            <w:r/>
          </w:p>
        </w:tc>
        <w:tc>
          <w:tcPr>
            <w:tcBorders>
              <w:top w:val="none" w:color="000000" w:sz="4" w:space="0"/>
              <w:left w:val="none" w:color="000000" w:sz="4" w:space="0"/>
              <w:bottom w:val="none" w:color="000000" w:sz="4" w:space="0"/>
              <w:right w:val="non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钢板EPS氧指数30，50MM厚夹心硅岩净化板，双面贴膜，企口白灰色，表面喷塑密封，净化防尘防菌处理。</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验电羽</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在绝缘底座上装一根金属杆，在金属杆上端用两个半园形的金属片之中夹约40根自由线（丝织带制成）。上端用螺母拧紧。</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对</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高中物理必修模块教学挂图</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1、40幅；</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2、纸张规格：纸张不低于105克铜版纸，覆膜；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3、印刷：四色彩色胶印；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4、图形：教学挂图应图像清晰，色泽自然鲜明，位置准确；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图片印刷套印准确，层次分明，轮廓实，电分制版无浮雕印；网点清晰饱满，小点不秃，大点光洁不糊，质感好；墨色均匀厚实，色彩鲜有光泽，肤色正、接版准确，色调深浅一致；文字印刷压力适度，全图前后轻重一致；全图前后墨色一致，浓淡适度符合要求；版面端正，正反套印准确；文字、标点清晰，笔锋挺秀，无缺笔断划，标题黑实不花，小字不糊不瞎；无脏污、破损；无野墨；成品裁切方正，无明显刀花，无连接页、折角、破头；耐碱折正，书面平服，无皱折；</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6、印刷标准：符合GB7705-87《平版装潢印刷品标准》；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7、适用于《全日制义务教育物理课程标准》。</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测电笔</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1、全长不小于132mm，由测电头、绝缘手柄组成，测量范围：交流12V-220V；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2、刀杆材料选用优质CR-V钢，全硬热处理，达到CE标准；手柄绝缘性能良好；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3、安全、结构、外观应符合JY0001第5、6、7的有关要求执行。</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钨钢齿圆锯片 80mm 24齿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外径：80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齿数：24 T</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内孔孔径：20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刀头材质：钨钢刀头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厚度：约 0.4～0.5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转速：≤60000～72000 r/min</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动量传递演示器(碰撞球)</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5球，中学物理演示物体互相作用时动量的传递。结构；由底板、立柱、横杆、横梁等组成仪器支架。支架上悬挂五个质量相同的钢球。</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金刚石结构模型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1、仪器可组装金刚石晶体结构，由彩色橡胶球、塑料杆组成，演示用；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2、直径不小于29mm，球杆组装松紧适度，不应有自由转动、松脱，组装后不得有明显的弯曲变形及角度变化；教学演示效果明显。</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原油常见馏分标本</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1、包括：原油、汽油、煤油、柴油、重油、润滑油、油渣；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2、每种标本附有标签采用塑料盒包装。</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盒</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圆水槽</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2、规格：Φ200mm×100mm；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顶装智能控制器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规格：≥10寸高分辨率工业触摸屏，集中控制，可执行各选项控制（配一启动按钮开关和一急停开关）1、摇臂控制：对全室摇臂进行单独或分组控制（上升、下降或暂停，上升或下降到底后摇臂会自动停止），具有防卡，防夹功能2、电源控制：对全室220V进行单独或分组控制；3、照明控制：对全室照明进行单独或分组控制；4、通风控制：触摸数字无极变频控制，具有频率数字显示功能，可精确控制通风风量；5、供水控制：对全室供排水进行控制。</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钢直尺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200mm碳钢材质，200mm×20mm×0.5mm，分度值0.5mm。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毛细现象演示器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1、构造一塑料盛液座，五根内径大小不同的玻璃毛细管；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2、使用说明将五根毛细管，分别插入孔内，将有色水慢慢加入盛液座内，直到浸入毛细管为止；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3、此时可以看到有色水在管内上升高度不同，毛细管内径越小有色水就上升越高。</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数码显微互动设备</w:t>
            </w:r>
            <w:r/>
          </w:p>
        </w:tc>
        <w:tc>
          <w:tcPr>
            <w:tcBorders>
              <w:top w:val="none" w:color="000000" w:sz="4" w:space="0"/>
              <w:left w:val="none" w:color="000000" w:sz="4" w:space="0"/>
              <w:bottom w:val="none" w:color="000000" w:sz="4" w:space="0"/>
              <w:right w:val="non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为保证产品的全面性，需提供至少七种显示视图，支持监控视图、报告视图、策略视图、文件提交视图、答题卡视图、抢答竞赛视图、共享白板视图等，在对应视图中能直观的操作相关功能；监控视图页面提供客户端画面监控缩略图，能够显示整个班级学生，并支持缩略图多级放大缩小。1、全面支持Windows系列，包括Windows 11（32位、64位）、支持MAC及众多Linux发行版本，兼容虚拟机。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屏幕广播：将教师机屏幕和教师讲话实时广播给单一、部分或全体学生，可选择全屏或窗口方式。窗口模式下或教师机与学生机分辨率不同情况下，学生机可以以“缩放模式”、“平移”或者“智能滚动”的窗口方式接收广播，广播窗口所在的屏幕位置有“居中”、“偏右”、“偏左”三种方式选择，此时学生可跟着教师操作，边看边练，以增加教学的直观性；支持教师根据需要选择屏幕的某个部分广播给学生，给教师留有一定的私人空间；屏幕广播的同时，支持教师指定学生演示教师机屏幕；广播多媒体课件，可使用屏幕笔添加批注，广播同时可进行屏幕录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3、学生演示：教师选定一台学生机作为示范，由此学生代替教师进行示范教学。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5、分组教学：通过分组教学，将学生分成几个组进行合作学习。小组长可使用多种功能来辅导同伴，例如：广播教学、监视、文件分发和网络影院。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6、屏幕监视：教师机可以监视单一、部分、全体学生机的屏幕，教师机每屏可监视多个学生屏幕。可以控制教师机监控的同屏幕各窗口间、屏幕与屏幕间的切换速度。可手动或自动循环监视。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网络白板：教师通过导入图片、文档或截图创建白板，将白板内容共享给学生，学生和教师可以共享在白板上通过绘图工具和文本书写完成学习任务或绘画作品，提高学生团队合作的兴趣。教师也可以允许学生自己独立完成学习任务，教师可以在教师机上监看所有学生的完成情况。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8、标准化考试：教师将试卷分发给学生即可开始考试</w:t>
            </w:r>
            <w:r>
              <w:rPr>
                <w:rFonts w:hint="eastAsia" w:ascii="宋体" w:hAnsi="宋体" w:cs="宋体"/>
                <w:color w:val="000000"/>
                <w:sz w:val="20"/>
                <w:szCs w:val="20"/>
                <w:lang w:bidi="ar"/>
              </w:rPr>
              <w:t xml:space="preserve">，教师导入word、ppt、excel、pdf等文档类型的考试内容共享给学生，直接生成答题卡用于学生作答，包含多种不同的题型：多选题，判断题，填空题和论述题等。考试过程中，可以看到学生答题的进度，答题情况。考试过程中可以教师如有问题补充，可暂停考试，在特殊情况下，可以暂挂考试，下次启动后可继续考试；考试过程中如有断电、关机等意外情况学生机可断线重连，考试结束后学生可提交或时间到自动提交。自动评分，柱状图分析统计结果，将评分结果发送给学生，考试结果统一导出 为.html/xml 形式，方便数据后期的整合利用。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9、作业下发:可以将图片或office文件下发给学生作为课后作业。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10、语言选择:中英文可选，满足双语教学需求。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条形磁铁</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1、铝铁碳，150mm；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2、教学用磁钢极性标注，指北极（N）为红色，指南极（S）为白色或蓝色；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3、N、S字母的颜色为蓝色或白色；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3、试验后磁感应强度不小于第1条的要求。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对</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圆水槽</w:t>
            </w:r>
            <w:r/>
          </w:p>
        </w:tc>
        <w:tc>
          <w:tcPr>
            <w:tcBorders>
              <w:top w:val="none" w:color="000000" w:sz="4" w:space="0"/>
              <w:left w:val="none" w:color="000000" w:sz="4" w:space="0"/>
              <w:bottom w:val="none" w:color="000000" w:sz="4" w:space="0"/>
              <w:right w:val="non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2、圆形，Φ270mm×140mm；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球形导体</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1、表面镀镍（镀锌或镀铬）的金属空壳，球形导体呈球状；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2、三角形底座；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3、插在底座上的有机玻璃棒。</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Style w:val="968"/>
                <w:rFonts w:hint="default"/>
                <w:lang w:bidi="ar"/>
              </w:rPr>
              <w:t xml:space="preserve">细口瓶</w:t>
            </w:r>
            <w:r>
              <w:rPr>
                <w:rStyle w:val="969"/>
                <w:rFonts w:hint="default"/>
                <w:lang w:bidi="ar"/>
              </w:rPr>
              <w:t xml:space="preserve"></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2、规格：棕色，500mL；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比色管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25mL，符合JY/T0423-2011《教学用玻璃仪器一般质量要求和试验方法》的规定。</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250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自粘式三角砂光纸  25片装</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形状：正三角形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边长：70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粒度：120#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基材：碳化硅 / 氧化铝砂面，纸基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背面：强力自粘不干胶，可直接粘贴摩擦块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包装：25 片 / 袋</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吊架外壳功能板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1、规格：采用ABS注塑成型，经高温模压工艺一次成型，表面光滑，环保无毒，生产工业采取模块组合，便于安装，外观流线形设计，简洁美观，高温固化处理，耐腐蚀。</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光谱管组</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1、光谱管组是一种低气压放电管，用来观察气体的发射光谱；</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2、每组6支，每支玻璃管两端均装有电极。</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自由落体实验仪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1、分组实验，进行定性观测和定量研究物体在自由降落状态下的运动规律，钢球直径10mm，便携式支架。</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无线数显pH传感器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显示/无线/存储模块：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1.独立模块化结构，与各种传感器组合使用，具备独立数据显示、数据存储、数据上传功能。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2.接入后自动识别传感器，实时显示传感器测量数据，支持多值传感器数据显示及存储，数据显示屏刷新频率10Hz；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3.1.77寸（±0.1寸）彩屏，采用智能接口与传感器连接，接口具有方向性和自锁功能，可以防止传感器在使用过程中脱落，保证数据传输稳定；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4.屏幕可显示二维码，通过移动终端设备扫描二维码进行无线连接，采用蓝牙4.0传输协议，可将传感器测量数据实时传输到APP。</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5.设有按键开关，工作状态下，可通过调动按键开关切换数据显示和二维码界面；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6.通过移动终端设备可设置数据显示精度以及数据调零，可对数据进行描点绘图处理。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7.可将模块存储的测量数据导出至计算机进行数据分析（兼充电）；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8.支持Android、iOS 、Windows、鸿蒙操作；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9.采用充电锂电供电，电池电压3.7V，容量1100mAh，待机时间10小时，采用microUSB充电接口；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10.数据存储频率5Hz，存储容量最大262,144个数据点。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功能模块：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1.用于测量溶液中的pH，可测量有色溶液的酸碱度；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2.性能：测量范围：0~14；分度：0.01；准确度：0.15；最大采样率：5KHz；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3.温度范围：0-80℃（塑壳）,0-100℃（玻璃），电缆长度：1m，电极杆长度：120mm，电极杆直径：12mm，斜率：≥97%，电阻：≤250M，零点：7.00±0.25pH；</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4.结构：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使用BNC连接器方式与电极连接；具有快速响应的特点，测量数据能在5秒内达到真实值的90%， 10秒内稳定；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5.传感器由高强度塑料外壳封装，采用注塑工艺，材质为蓝色透明PC。外壳设计M5螺丝孔位，可将传感器固定在多种操作和装置上；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6.传感器数据处理电路为双主板设计，采用技术成熟的SMT生产工艺，可保证传感器经久耐用，数据传输稳定、持续；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7.采用智能接口，输出数字信号，接口具有方向性和自锁功能，可以防止传感器在使用过程中脱落，保证数据传输稳定；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8.模块化、可热插拔设计，支持有线通讯、无线通讯和屏幕数据显示三种工作方式；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9.可应用于Windows、Android、iOS、麒麟、统信、鸿蒙操作；</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高中化学实验材料</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小刀、棉花、木炭、火柴、蜡烛、剪刀、焊锡、炭棒、导线、电灯泡、木板、电池、电珠、砂纸等。</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份</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密立根油滴仪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主要实验内容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1、验证电荷的不连续性，测定基本电荷的大小；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4、学会对仪器的调整、油滴的选定、跟踪、测量以及数据的处理。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主要技术参数：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1、平均极板间距离：5.00±0.01mm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2、放大倍数：30， 焦 距：48mm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3、分划板满刻度当量：3.0±0.01mm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4、连续跟踪带电油时：≥2h</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5、起辉电压：1500V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6、改变油滴带电量时间：≤5S</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7、平均相对误差：≤3%</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8、CCD 电子显示：800TVL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9、工作电压：DC500V，线视场 ：3.5mm。 </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骨骼肌纵横切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1、标本在80X和200X学生显微镜下观察骨骼肌纵横切破片标志；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2、在纵断面上能起看清肌外膜和成束的股双维,股纤维上有显暗相间的横纹,即明带和暗带。在肌膜下可见圆形或长形的胞核；</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3、在横断面上能起看清肌外膜、肌束膜、肌纤维及其胞核和小血管等；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4、标本取材于哺乳动物的隔肌；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5、纵横切片的厚度均在8μm以丸每张玻片放纵、横切各一片；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6、明暗带及胞核等应着色清晰,对比协调；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7、纵切材料的肌纤维应伸直,成纵断面的肌纤维不得不于90%,肌膜无裂隙;横切材料肌纤维囊应不收缩、无裂隙;纵横切材料的肌模,肌外膜均应完整无皱褶；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8、应符合JY67－82《生物玻片标本通用技术条件》的规定；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9、产品应符合JY96－82《骨骼肌纵横切片》的要求。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油石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材质：棕刚玉（氧化铝）/ 绿碳化硅</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常用粒度：180#～600#（粗磨～精磨）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常见尺寸：100×25×12 mm、150×50×25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硬度：中硬（HRA 80～90）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结合剂：陶瓷结合剂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烧瓶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2、规格：平底，250mL；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3、细口球形平底烧瓶放在上不应旋转或摇晃；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4、烧瓶颈应上下粗细一致，不应有明显的弯曲，不允许有严重的条纹存在，不允许有明显的能目测的铁锈、铁屑存在。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气体做功内能减少演示器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1、产品由塑料底板和储气室、热敏电阻及相应的电子放大器组成；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2、盒尺寸：145*105*55mm。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96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简易综合箱</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铝合金箱体内，包含消毒用品、包扎辅料、防护用品及裁剪器材；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6</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碰撞实验器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由铝合金轨道、支架、铝合金轨道长度，组成一体。</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风洞实验套装</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1、风洞参数: 440*140*148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空气流速度: 6.5 - 14.1 m/s</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工作温度: 15°C - 35 °C</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高采样率速：4个传感器模拟和数字输入，15 MHz 采样率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 个模拟差分输入:范围±30V, ±15V, ±5V, ±0.25 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 个模拟输出范围:±10 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内置函数发生器  可配合数据记录仪使用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2、数据记录仪</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 4通道传感器端，4通道模拟端，双独立高频函数发生器可以连接各种传感器与模拟输出仪器运行实时采集与分析。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内部存储器不少于5G。可插外部存储器保存。</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可同时测量四通道电压值，采样率可达15Mhz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模拟端分辨率12位最低采样段66ns，调节步长1纳秒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电压分布每端口可调±30 V, ±15 V, ±5 V, ±0,25 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USB连接，含嵌入式软件，免驱动，随时更换电脑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传感器和数据记录器链接时可提醒。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传感器端兼容多样化实验传感器，传感器有独立显示LCD屏幕具有双独立高频函数发生器(正弦波，三角波，利基，信号恢复)：输出范围：±10 V、输出电流50mA、输出阻抗：50欧姆、采样率：5MS / s每个传感器均需有LED灯来判定工作状态</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多用电表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数字式，4-1/2位，电压﹑电流﹑电阻﹑温度测试﹑电容﹑二极管测试。</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蝴蝶标本墙</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背板采用1cm高密 PVC 底板覆3mm亚克力,UV打印，蝴蝶标本固定于背板上，配套蝴蝶名称、科属等相关信息，不少于15个，约10cm。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无线数显氧气传感器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显示/无线/存储模块：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1.独立模块化结构，与各种传感器组合使用，具备独立数据显示、数据存储、数据上传功能。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2.接入后自动识别传感器，实时显示传感器测量数据，支持多值传感器数据显示及存储，数据显示屏刷新频率10Hz；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3.1.77寸（±0.1寸）彩屏，采用智能接口与传感器连接，接口具有方向性和自锁功能，可以防止传感器在使用过程中脱落，保证数据传输稳定；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4.屏幕可显示二维码，通过移动终端设备扫描二维码进行无线连接，采用蓝牙4.0传输协议，可将传感器测量数据实时传输到APP。</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5.设有按键开关，工作状态下，可通过调动按键开关切换数据显示和二维码界面；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6.通过移动终端设备可设置数据显示精度以及数据调零，可对数据进行描点绘图处理。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7.可将模块存储的测量数据导出至计算机进行数据分析（兼充电）；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8.支持Android、iOS 、Windows、鸿蒙操作；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9.采用充电锂电供电，电池电压3.7V，容量1100mAh，待机时间10小时，采用microUSB充电接口；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10.数据存储频率5Hz，存储容量最大262,144个数据点。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功能模块：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1.用于测量待测气体中氧气的含量；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2.性能：测量范围：0～100％，分度：0.1％；准确度：±1%（0-50%)、±2%(50.1%-100%)；最大采样率：5KHz；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3.技术指标：工作温度5℃～40℃，工作湿度0～95%RH（无冷凝），储存温度-15℃～50℃，响应时间(T90)＜15秒；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4.结构：氧气传感器探头外壳直径36.8mm，探头部分直径20mm,探头整体高度50mm,线长80cm；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5.传感器由高强度塑料外壳封装，采用注塑工艺，材质为蓝色透明PC。外壳设计M5螺丝孔位，可将传感器固定在多种操作和装置上；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6.传感器数据处理电路为双主板设计，采用技术成熟的SMT生产工艺，可保证传感器经久耐用，数据传输稳定、持续；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7.采用智能接口，输出数字信号，接口具有方向性和自锁功能，可以防止传感器在使用过程中脱落，保证数据传输稳定；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8.设有硬件校准按键，可通过按键校准空气中氧气的含量：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9.模块化、可热插拔设计，支持有线通讯、无线通讯和屏幕数据显示三种工作方式；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10.可应用于Windows、Android、iOS、麒麟、统信、鸿蒙操作。</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16</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墙面粉刷</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1、清理原墙面基础（此清理不含产墙皮）；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2、刷界面剂一遍；批刮美巢821腻子粉2-3遍找平、并打磨平整；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3、刷底漆一遍，面漆两遍（立邦漆）。</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100</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保温漏斗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保温漏斗整体用约0.5mm厚的黄铜皮制成，分漏斗体、漏斗颈、加热头三部分。</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酒精喷灯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结构为座式。金属制作，壁厚1mm，火焰温度可达1200摄氏度。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1、主要由壶体、燃杯、壶嘴、喷管、火苗调节杆、钢针组成；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2、壶体外形尺寸：容量250ml；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3、喷管与壶体连接螺纹、壶体密封盖无漏气现象；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4、焊接部位应焊接牢固、光滑。</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隔热网</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环保型，功能与石棉网相同，隔热材料不是石棉</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干燥管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2、规格：U形，Φ20mm×200mm；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3、U形管弯度圆正，不得过分扁瘪歪斜，两管成水平，其高低差不大于5mm；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气体定律实验器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1、要提供修正体积数据；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2、由气筒、活塞组成；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3、气筒5mL。</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红外线作用演示器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技术要求：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1、本仪器包含：红外线发现实验器、红外线性质说明器和红外线控制器，三套实验装置；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2、符合JY0001－2003《教学仪器一般质量要求》的有关规定。</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翻转扇形桌</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规格：≥750*576*750mm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1、台面及前挡板优质刨花板（三聚氰胺板）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2、台面托架采用优质冷轧钢板经冲压折弯工艺一体而成，表面采用防锈静电喷涂处理,实用牢固，承受力大。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3、桌子书包斗：采用高强度铝合金结构，承重性好，整体造型外观饱满，精致大方。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4、桌腿采用人字型结构，前后脚表面采用防锈静电喷涂处理及塑料配件而成，整体牢固耐用，美观大方，承受力大。</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张</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无线数显相对湿度传感器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显示/无线/存储模块：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1.独立模块化结构，与各种传感器组合使用，具备独立数据显示、数据存储、数据上传功能。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2.接入后自动识别传感器，实时显示传感器测量数据，支持多值传感器数据显示及存储，数据显示屏刷新频率10Hz；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3.1.77寸（±0.1寸）彩屏，采用智能接口与传感器连接，接口具有方向性和自锁功能，可以防止传感器在使用过程中脱落，保证数据传输稳定；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4.屏幕可显示二维码，通过移动终端设备扫描二维码进行无线连接，采用蓝牙4.0传输协议，可将传感器测量数据实时传输到APP。</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5.设有按键开关，工作状态下，可通过调动按键开关切换数据显示和二维码界面；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6.通过移动终端设备可设置数据显示精度以及数据调零，可对数据进行描点绘图处理。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7.可将模块存储的测量数据导出至计算机进行数据分析（兼充电）；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8.支持Android、iOS 、Windows、鸿蒙操作；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9.采用充电锂电供电，电池电压3.7V，容量1100mAh，待机时间10小时，采用microUSB充电接口；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10.数据存储频率5Hz，存储容量最大262,144个数据点。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功能模块：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1.用于测量容器内的湿度；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2.性能：测量范围：0～100%，分度0.1％；准确度：≤±5%（20%-70%），≤±6%（&lt;20%,&gt;70%）；最大采样率：5KHz；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3.技术指标：探管φ9mm，长度57mm，工作温度-40℃～100℃，存储温度-40℃～125℃，压力范围700～1100mbar，响应时间(T90)＜5秒；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4.结构：传感器尺寸：133*40*25(mm)，由高强度塑料外壳封装，采用注塑工艺，材质为蓝色透明PC。外壳设计M5螺丝孔位，可将传感器固定在多种操作和装置上；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5.传感器数据处理电路为双主板设计，采用技术成熟的SMT生产工艺，可保证传感器经久耐用，数据传输稳定、持续；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6.采用智能接口，输出数字信号，接口具有方向性和自锁功能，可以防止传感器在使用过程中脱落，保证数据传输稳定；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7.模块化、可热插拔设计，支持有线通讯、无线通讯和屏幕数据显示三种工作方式；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8.可应用于Windows、Android、iOS、麒麟、统信、鸿蒙操作。</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容量瓶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1、高硼硅玻璃材质，由瓶体和瓶塞组成；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2、规格：500mL。内应力消除：在偏光仪下呈紫色；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3、刻度线清晰耐久，粗细均匀，平行于瓶底平面；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4、瓶口与瓶塞密合性好。</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33</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无线数显色度计&amp;浊度计</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功能模块：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1.测量范围：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浊度：0~400NTU，分度：0.1 NTU；</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透光率：0～100％，分度：0.1%；</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吸光度：0-3，分度：0.001。</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2.测量波长：色度六种波长：650nm（红色）、600nm（橙色）、570nm（黄色）、550nm（绿色）、500nm（蓝色）和450nm（紫色）；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浊度波长：850nm；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 浊度：0-25NTU ≤±2NTU，</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25-400NTU ≤±5% F.S</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4.传感器由高强度塑料外壳封装，采用注塑工艺，材质为黑色ABS。外壳设计M5螺丝孔位，可将传感器固定在多种操作和装置上；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5传感器数据处理电路为双主板设计，采用技术成熟的SMT生产工艺，可保证传感器经久耐用，数据传输稳定、持续；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6.采用智能接口，输出数字信号，接口具有方向性和自锁功能，可以防止传感器在使用过程中脱落，保证数据传输稳定；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7.模块化、可热插拔设计，支持有线通讯、无线通讯和屏幕数据显示三种工作方式；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8.可应用于Windows、Android、iOS、麒麟、统信、鸿蒙操作。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9.可完成检测生物组织中的蛋白质、浓度对化学反应速率的影响、测定有色溶液的浓度等实验。</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植物细胞有丝分裂</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1、标本在80×和200×学生显微镜下，观察洋葱根尖分生区有丝分裂形态；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2、能看清有丝分裂各时期染色体形态分布；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3、染色体着色均匀清晰。</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顶装内胆主体架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1、结构参数：隔层板、左右铝合金外壳、支撑架采用扣压式组装链接一体，具有质量轻、强度高、耐腐蚀、结构稳定等特点。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2、技术参数：舱体底层隔层板采用厚度：≥1.0mm的冷轧钢板，规格：≥1200mm*520mm。支撑架采用冷轧钢板。所有的金属件表面经环氧树脂粉末喷涂高温固化处理，具有阻燃性强和耐酸碱、耐腐蚀等特点。</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炼钢转炉模型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1、产品为炼铁高炉缩小模型，装置于底座上，模型高度的最小尺寸：620mm；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2、模型应能正确显示高炉“腰粗、喉细”的整体特征，并应显示炉喉、炉身、炉腰、炉腹、炉缸等各部分结构；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3、模型应能正确显示小料钟、小料斗、大料钟、大料斗及煤气出口的结构和位置，并可演示在加料过程中各有关部件间的相互关系；</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4、产品的主要结构应用标签注明，标注应准确、清晰、牢固；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5、各部件应比例适当，位置正确，连接牢固，不得因正常震动、碰触而开裂、松脱。</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斜口钳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规格：5 寸 / 125mm（常用）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材质：高碳钢锻造，整体淬火</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钳头：斜口剪切型，刃口锋利</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表面处理：抛光镀铬或发黑防锈</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手柄：PVC 防滑绝缘手柄</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把</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突发事件接警云</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功能特性：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统计显示内容：可对报警设备总数统计，包括设备在线率、设备总数、在线设备、离线设备、报警设备、预警数量以及监测时长等数据展示。设备在线列表：可展示报警设备所在空间名称、设备编号、设备名称、设备在线/离线状态以及上一次在线时间等信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2、基础数据管理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（1）信息处理：应当突发事件接警客户端弹出警情信息，可以进行查看具体的报警信息，并且能够对该报警信息作出上报、误报、开警号、关警号、防护、停警声等相应的处理操作。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（2）支持广域网操作和管理，学校用户支持通过电脑端或手机端完成所有的管理操作，方便学校进行账户管理；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（3）学校基础数据管理：应可以对学校、组织机构、监测楼栋以及监测空间进行管理操作功能。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（4）账号管理：应可以刷新、新增管理员、修改管理员、删除管理员、搜索管理员账号等相应的操作。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（5）设备报警记录：应可以刷新、生成Excel、搜索、查看处理状态、警情、报警时间、联系电话、地址、设备编码、防区、设备MAC、接警人、微信接警人、处理时间、地图、监控视频、防区图、离线地图。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互联功能：应可以与主机联接，当主机接收到与其相连接的分机、移动式报警控制器发出的报警信号时，主机应可以通过网线或SIM卡联网方式将报警信号传输至与其相连的突发事件接警客户端、手机APP软件或微信端以及Internet网页端接收到报警信息后，应可以自动弹出具体的警情信息、地图（包含经度、纬度、地址、地图位置）、电话、防区、报警时间、设备MAC等信息；接警客户端接收到报警信息后，显示报警信息的同时，自动开启播放以主机对应的警报声，方便师生、安保负责人通过警报声辩别何种突发事件来临，做出正确的应对措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3、应急疏散管理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设备管理：应可以刷新，新增设备，生成Excel，选择、查看设备编码、设备MAC、设备状态、设备地址、防区图、监控视频、离线地图、修改设备设置、删除设备、冻结、恢复、布防、撤防、全选、设置设备内容信息、搜索等相应的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（2）报警联系人：应可以刷新，新增、修改、删除以及查询报警联系人，当发生应急突发事件报警时，支持以电话、短信的方式通知报警联系人。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（3）报警参数管理：对报警设备进行报警参数进行配置管理，可选择报警设备，设置相应的推送方式、推送次数以及报警联系人；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（4）设备在线管理：应可以按照防区字段、报警设备类型进行分类查询，展示报警设备所在空间名称、设备编号、设备名称、设备在线/离线状态以及上一次在线时间等信息；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（5）设备报警记录管理：应可以查询设备的报警信息，按照报警模式、报警时间、报警设备编号、报警设备类型、报警设备位置以及报警事件进行列表显示，可查询每条报警记录的具体通知记录；</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4、校端突发事件应急管理数据看板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  将数据通过分类统计，进行数据可视化输出，可通过一屏实现整个校园突发事件的整体概况。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（1）设备概况：设备总数、在线设备、离线设备、设备在线率；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数据统计分析：应将设备、设备警情记录、非法撤防记录、设备不在线记录按天、按月、按年进行统计，每种数据统计结果按照已处理、误报、撤防、布防四种情况进行分类,通过扇形图的方式进行直观呈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（3）设备在线记录：以列表的方式呈现时间、设备编号、设备类型、防区位置以及在线状态；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（4）设备防区地图：以地图的方式呈现当前防区的位置；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（5）最新报警记录：以列表的方式呈现序号、报警时间、设备编号、报警位置、报警模式、报警事件，多个报警信息进行滚动播放显示；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（6）累计事件报警数统计：按照警情、演练进行分类统计，显示累计报警数、发生警情数、发生演练报警数；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（7）警情事件统计：按照报警事件、报警模式进行分类统计，分别显示暴力袭击、火灾、空袭报警、地震报警发生次数；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（8）警情趋势图：统计今年累计发生的警情数量，演练数量，通过柱状图按照月份进行直观统计显示。</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无线数显钙离子传感器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显示模块：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独立模块化结构，与各种传感器组合使用，具备独立数据显示、数据存储、数据上传功能。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接入后自动识别传感器，实时显示传感器测量数据，支持多值传感器数据显示及存储，数据显示屏刷新频率10Hz；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1.77寸（±0.1寸）彩屏，采用智能接口与传感器连接，接口具有方向性和自锁功能，可以防止传感器在使用过程中脱落，保证数据传输稳定；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屏幕可显示二维码，通过移动终端设备扫描二维码进行无线连接，采用蓝牙4.0传输协议，可将传感器测量数据实时传输到APP。</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设有按键开关，工作状态下，可通过调动按键开关切换数据显示和二维码界面；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通过移动终端设备可设置数据显示精度以及数据调零，可对数据进行描点绘图处理。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可将模块存储的测量数据导出至计算机进行数据分析（兼充电）；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采用充电锂电供电，电池电压3.7V，容量1100mAh，待机时间10小时，采用microUSB充电接口；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数据存储频率5Hz，存储容量最大262,144个数据点。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注：续航时间和连接的传感器有关，差别较大。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传感器尺寸：77*41*25（mm）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功能模块用于测量溶液中钾离子的含量；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性能：L；分度：10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传感器尺寸：80*40*25(mm)，由高强度塑料外壳封装，采用注塑工艺，材质为蓝色透明PC。外壳设计M5螺丝孔位，可将传感器固定在多种操作和装置上；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传感器数据处理电路为双主板设计，采用技术成熟的SMT生产工艺，可保证传感器经久耐用，数据传输稳定、持续；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采用智能接口，输出数字信号，接口具有方向性和自锁功能，可以防止传感器在使用过程中脱落，保证数据传输稳定；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模块化、可热插拔设计，支持有线通讯、无线通讯和屏幕数据显示三种工作方式；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可应用于Windows、Android、iOS、麒麟、统信、鸿蒙操作。</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干燥器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2、规格：160mL；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气体洗瓶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标称容量：250 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材质：高硼硅玻璃（加厚防爆）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结构：一体成型，带长导管进气、短导管出气，磨砂口密封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瓶身直径：约 70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总高度：约 180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导管管径：约 8mm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电子天平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1、量程1000g，感量0.1g；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2、以电子元件：称重传感器，放大电路，AD转换电路，单片机电路，显示电路，键盘电路，通讯接口电路，稳压电源电路等电路组成；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3、功能：液晶显示，自动零位跟踪可调，自动故障诊断，自动校准，全量程范围去皮，过载保护等。</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演示电磁继电器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工作电压：直流6~9V。电流：60±10mA。</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紫外线作用演示器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技术要求：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1、产品由防紫外线罩，紫外线灯，日光灯，滤光片，荧光片，主机盒等组成；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2、使用电源AC220V±22V50Hz；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3、紫外线灯为AC220V6W波长265mm、254mm各一只；</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4、日光灯：220V，8W一只；</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5、符合JY0001－2003《教学仪器一般质量要求》的有关规定。</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电子元件(工业产品)</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1、电阻(碳膜电阻、瓷管电阻、线绕电阻、光敏电阻、热敏电阻等)；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2、电磁继电器、电容、电感、电位器、二极管、发光二极管、三极管、集成电路块等。</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电子天平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1、量程100g，感量0.01g；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2、以电子元件：称重传感器，放大电路，AD转换电路，单片机电路，显示电路，键盘电路，通讯接口电路，稳压电源电路等电路组成；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3、功能：液晶显示，自动零位跟踪可调，自动故障诊断，自动校准，全量程范围去皮，过载保护等。</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顶装智能总控柜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1、结构参数：总控柜挂壁式结构设计，整体规格：≥450*200*900mm；箱体厚度为：≥1mmSPCC冷轧钢板，表面光滑，不易变形，强度高等特点，</w:t>
            </w:r>
            <w:r>
              <w:rPr>
                <w:rFonts w:hint="eastAsia" w:ascii="宋体" w:hAnsi="宋体" w:cs="宋体"/>
                <w:color w:val="000000"/>
                <w:sz w:val="20"/>
                <w:szCs w:val="20"/>
                <w:lang w:bidi="ar"/>
              </w:rPr>
              <w:t xml:space="preserve">钣金折弯成型，表面经酸洗磷化处理，静电喷涂环保粉末高温处理工艺，无有害物质，具有防腐性高，柜右侧上端为电气设备安装层，右侧下柜配有操作位置显示屏窗口，配有紧急停止开关、启、停开关。2、控制箱内配置要求：导轨式接线端子，电源总开关、导轨五孔插座2组，漏保漏电断路器2组，⑴.单片机控制器及功能扩展模块1套，单片机控制器及功能扩展模块1套；安全机制既长时间不操作自动切断总电源。⑵.风机变频器：箱内配置风机变频器控制器1个，功率≥5.5KVA，输入额定电压三相380V；±15%。教师端可根据教学所需，控制风量大小。</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低频信号发生器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10Hz～1MHz，正弦波功率输出不小于5W。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1、20Hz～20kHz，可分几个频段，连续可调，有功率输出；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2、正弦波电压输出不小于3.5V（1kHz）。</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环境检测实时监视</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控制箱内配置精密温湿度传感器，实时监测室内的温度和湿度，实时显示当前环境的温度和湿度，为舒适的室内环境提供实时数据参考</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项</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保险丝作用演示器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1、交流12V；2、三根保险丝组成，正面有相应的实验电路图，电路图绘制应正确、清晰、不易脱落，图形符号应符合JY0001的有关规定。</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演示斜面小车</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本仪器由斜面板，底板，小车，摩擦块和滑轮支架组成，优质木材，全长1200mm。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中和热测定仪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本仪器装置有φ90×100mm有机玻璃外壳,有机玻璃上盖,隔热温层,φ60×70mm有机圆筒内，以及玻璃环形搅拌器等部件组成。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称量纸</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60*60mm 500张/包,硫酸纸</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学生安全电源</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1、ABS 翻转式电源盒，可放置在实验台两侧，书包盒中间，也可置于台面，实验和安装都非常方便。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2、配置≥2组220V国标5孔插座，保险丝保护，工作指示。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3、电源采用耐磨、耐腐蚀、耐高温（≤140℃）的面板，标识清楚。</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力学综合实验套装</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1、力学气桌：平整度高，重量轻，全金属，易存储，表面尺寸不小于A1纸（935*750毫米）。具有至少可以固定各种配件。三个可以调整高度的底脚螺丝。</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2、运动滑块（带样机）：两个，无线，内含气浮装置，形成气垫，提供移动无摩擦环境，可在移动中打点。直径不超过100毫米高度不超过95毫米。双色LED灯，通过快速摄像头与力学软件配合，方便检测轨迹。重量 =0.5×小车质量，超载配件刻度使用牛顿单位。内部可以连接一个锂电池可以驱动小车至少30分钟，配备控制器，设置打点时间间隔。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3、无弹性碰撞配件：提供两个划痕以确保两个运动物体之间的连接可以显示无弹性碰撞实验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4、校准力发射器：弹簧刚度200N/m，可调压力范围:4-9 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5、与力学气桌匹配的红外发射和接受框，通过配套软件，显示运动轨迹。</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聚光小手电筒</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充电式，LED灯头，金属材质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可密封长玻璃管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内径10mm×1000mm，有胶塞，带刻度衬板。</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水火箭</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1、安装发射架，装上四根导向杆，调整发射角度，拧紧左右两侧的定位螺丝；</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先将水火箭瓶体装入1/4到1/3的水，将瓶口内侧的水用纸巾擦干（增大摩擦系数），用力将制作好的胶塞喷嘴塞入瓶口，尽力完全塞进去，然后用六角扳手将气门嘴上的六角螺母拧紧，胶塞受挤膨胀后自然会跟瓶口紧密结合，这样才能尽可能增大气压，让水火箭飞得更高更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3、将气门嘴上的金属套帽先旋掉，现在将水火箭倒过来安放到发射架上，气门嘴刚好从上板中央的圆孔穿过，然后将气门嘴金属套帽拧上；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4、用打气筒给充气，气压足够大时将胶塞冲开，箭体在反冲作用下高速射出。</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灭火设备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1、≥4KG干粉灭火器，符合安全条例，满足意外事故需要；两个灭火器和1个灭火器箱；</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金属矿物、金属及合金标本</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1、包括：铜矿、铝矿、钨矿、锡石矿、铁矿、铁、铅矿、锡、铝合金、钛金；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2、每种标本附有标签；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3、塑料包装盒。</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盒</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照明灯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600*600mm平板灯</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台式砂光机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产品功率:1200W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砂带打磨宽:150mm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砂带打磨长:341mm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砂带尺寸:152X1220mm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砂盘尺寸:Ф250mm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产品重量:42.5kg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包装尺寸:75.5X45.5X46.5cm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产品转速:2850 r/min</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无线数显压强传感器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显示/无线/存储模块：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1.独立模块化结构，与各种传感器组合使用，具备独立数据显示、数据存储、数据上传功能。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2.接入后自动识别传感器，实时显示传感器测量数据，支持多值传感器数据显示及存储，数据显示屏刷新频率10Hz；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3.1.77寸（±0.1寸）彩屏，采用智能接口与传感器连接，接口具有方向性和自锁功能，可以防止传感器在使用过程中脱落，保证数据传输稳定；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4.屏幕可显示二维码，通过移动终端设备扫描二维码进行无线连接，采用蓝牙4.0传输协议，可将传感器测量数据实时传输到APP。</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5.设有按键开关，工作状态下，可通过调动按键开关切换数据显示和二维码界面；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6.通过移动终端设备可设置数据显示精度以及数据调零，可对数据进行描点绘图处理。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7.可将模块存储的测量数据导出至计算机进行数据分析（兼充电）；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8.支持Android、iOS 、Windows、鸿蒙操作；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9.采用充电锂电供电，电池电压3.7V，容量1100mAh，待机时间10小时，采用microUSB充电接口；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10.数据存储频率5Hz，存储容量最大262,144个数据点。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功能模块：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1.用于直接测量气体的绝对压强；配件：20mL注液器。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2.性能：测量范围：0  ~700 kPa；分度：0.1 kPa；准确度：1kPa；最大采样率：5KHz；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范围：0到210千帕(0到2.1大气压或0到1600毫米-汞柱)；最大不会导致永久性破坏压力：405千帕(4大气压)；使用工厂校准的准确度：±4kPa；在空气中使用单点自定义校准的准确度：±3kPa；反应时间：10毫秒；内部体积：0.8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4.结构：塑料软管内径φ4、外径φ6，长55mm；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5.传感器由高强度塑料外壳封装，采用注塑工艺，材质为蓝色透明PC。外壳设计M5螺丝孔位，可将传感器固定在多种操作和装置上；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6.传感器数据处理电路为双主板设计，采用技术成熟的SMT生产工艺，可保证传感器经久耐用，数据传输稳定、持续；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7.采用智能接口，输出数字信号，接口具有方向性和自锁功能，可以防止传感器在使用过程中脱落，保证数据传输稳定；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8.模块化、可热插拔设计，支持有线通讯、无线通讯和屏幕数据显示三种工作方式；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9.设有调零按键，支持硬件数据调零和软件数据调零；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10.可应用于Windows、Android、iOS、麒麟、统信、鸿蒙操作；</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活扳手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1、材质：优质中碳钢；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2、规格：200mm。活动扳手；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3、其他符合GB/T4440-1998《活扳手》的要求。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广口瓶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2、规格：60mL；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三脚架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1、由铁环和3只脚组成；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2、三只脚与铁环焊接紧固，脚距相等，立放台上时圆环应与台面平行，所支承的容器不得有滑动。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130</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百分表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测量范围：0～10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分度值：0.01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精度：±0.01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示值误差：≤0.02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测杆行程：10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表盘刻度：圆周 100 格，每圈代表 1mm 行程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结构：防震机芯，硬质合金测头，带燕尾安装座</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把</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碳的同素异形体结构模型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包括金刚石、石墨、碳-60三种结构模型；小型，球管式，可拆卸。</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高压灭菌锅</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手提式，18L、不锈钢、直径34cm压力消毒锅；</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1、盖上装有工作压力为0.14MPa的安全阀和能承受蒸汽压力为0.165MPa的放汽阀，使用安全，性能可靠；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2、盖上装有刻度压力表外圈红字表示温度内圈黑字表示压力，显示明确。</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演示数字测力计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量程2N，分辨率0.001N，误差≤0.2%，满量程±1/2字，有调零、内置校准、记忆(能显示稳定值)功能，数字尺寸≥2.5cm×4cm。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试管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2、厚薄均匀，不得有刺手现象；规格：试管外径Φ15mm，试管高150mm；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3、截面应为适度的圆形；试管口部是熔光的平口；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4、管口应平整、光滑，不得有裂口、裂纹存在；试管的底部应基本为半球形。</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2284</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舱体末端封板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1、结构参数：末端堵头与外壳用扣压式组装，具有质量轻、强度高、耐腐蚀、结构稳定后期检修便捷等特点。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2、技术要求：采用ABS工程材料，必须由模具注塑一次成型，规格：≥510*520*240mm。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无线数显力传感器</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显示/无线/存储模块：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1.独立模块化结构，与各种传感器组合使用，具备独立数据显示、数据存储、数据上传功能。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2.接入后自动识别传感器，实时显示传感器测量数据，支持多值传感器数据显示及存储，数据显示屏刷新频率10Hz；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3.1.77寸（±0.1寸）彩屏，采用智能接口与传感器连接，接口具有方向性和自锁功能，可以防止传感器在使用过程中脱落，保证数据传输稳定；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4.屏幕可显示二维码，通过移动终端设备扫描二维码进行无线连接，采用蓝牙4.0传输协议，可将传感器测量数据实时传输到APP。</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5.设有按键开关，工作状态下，可通过调动按键开关切换数据显示和二维码界面；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6.通过移动终端设备可设置数据显示精度以及数据调零，可对数据进行描点绘图处理。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7.可将模块存储的测量数据导出至计算机进行数据分析（兼充电）；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8.支持Android、iOS 、Windows、鸿蒙操作；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9.采用充电锂电供电，电池电压3.7V，容量1100mAh，待机时间10小时，采用microUSB充电接口；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10.数据存储频率5Hz，存储容量最大262,144个数据点。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功能模块：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1.可用于测拉力（显示正值）和压力（显示负值）；</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2.性能：测量范围：-20N~+20N；分度：0.01N；准确度：0.1N；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3.原理：传感器的敏感元件是电阻式应变计，它由电阻应变片、悬臂梁和传感器电路构成。悬臂梁受力后产生形变，应变片将悬臂梁的形变转换为电阻值的变化，通过传感器电路处理后即可转换为力的变化。</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4.结构：手柄式结构，由传感器数据处理电路和金属测钩构成，通过螺纹连接；</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传感器由高强度塑料外壳封装，采用注塑工艺，材质为蓝色透明PC。外壳设计M5螺丝孔位，可将传感器固定在多种操作和装置上；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5.传感器数据处理电路为双主板设计，采用技术成熟的SMT生产工艺，可保证传感器经久耐用，数据传输稳定、持续；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6.采用智能接口，输出数字信号，接口具有方向性和自锁功能，可以防止传感器在使用过程中脱落，保证数据传输稳定；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7.模块化、可热插拔设计，支持有线通讯、无线通讯和屏幕数据显示三种工作方式；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8.设有调零按键，支持硬件数据调零和软件数据调零；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9.可应用于Windows、Android、iOS、麒麟、统信、鸿蒙操作。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10.可完成实验：胡克定律、摩擦力、探究滑动摩擦力的影响因素、力的合成与分解、牛顿第三定律、超重与失重、研究向心力与质量、角速度和半径之间的关系、研究变力作用下的动量定理等实验。</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锥形瓶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2、规格：锥形，50mL；壁厚：不小于1mm；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3、底部不允许有结石、节瘤存在；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500</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操作台</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规格：2400*1200*750mm，台面板材：一体化台面，采用知名品牌12.7mm厚实心理化板。理化板抗翘曲、易清洁、防水、防火、耐酸碱、耐腐蚀、防静电。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台身结构：铝合金框架结构,框架采用国标Ф50 mm±1.2mm 圆管为立腿，横管为32×28±1.2mm方管，铝合金型材的壁厚不小于1.0mm（±0.2 mm）。铝合金表面静电喷塑，连接件为ABS工程塑料连接件。铝合金型材应带凹槽，凹槽的宽度、深度应与所采用的柜体板材相匹配，接缝严密，无晃动现象。桌架整体耐腐蚀、防火、防潮、稳固耐用；背板侧板及吊板采用16mm厚优质三聚氰胺板双贴面密度板，所有板材外露端面采用高质量PVC封边条，利用机械封边机配以热溶胶高温封边，高密封性不吸水、不膨胀，外型美观、经久耐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脚垫：采用特制模具ABS注塑脚垫，高度可调，可有效防止台身受潮，延长设备 的使用寿命</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张</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外径千分尺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1、产品为有效量程为25mm、测量精度为0.01mm的测砧为固定式的千分尺；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2、采用钢材制造，表面抛光处理；其中砧头用优质钢材制造；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3、刻度清晰，无断线、缺划。</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DNA和RAN在细胞中的分布</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标本类型：永久装片 / 涂片（口腔上皮细胞 / 洋葱内表皮细胞）</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适用范围：中小学生物教学观察</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载玻片：76.2 mm × 25.4 mm，厚度 1.0–1.2 mm，无划痕、无气泡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盖玻片：24 mm × 24 mm，厚度 0.13–0.17 mm，透明洁净</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标本厚度：单层细胞，无重叠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染色方法：甲基绿 - 吡罗红（Methyl Green-Pyronin Y）染色法</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染色剂：甲基绿 - 吡罗红混合染液，pH 4.8（醋酸缓冲液）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染色时间：5–10 min（室温）</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结果判读</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DNA：细胞核呈绿色 / 蓝绿色（主要分布）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RNA：细胞质呈红色 / 粉红色（主要分布）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核仁：红色（富含 RNA）</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泥三角</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1、金属丝外套石棉筒；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2、等边三角形的单边长不小于80㎜</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滑动变阻器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1、技术规格：电阻20Ω；额定电流2A；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2、电阻值误差应小于10％；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3、滑动变阻器绕线应紧密排齐、平整；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4、电阻线绝缘层承受不低于1.5kV的电压不被击穿；滑动变阻器承受1.5kV的电压试验，不应出现飞弧或击穿现象；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5、在额定电流下工作时，温升不应超过300℃，试验后绕线无松动，绝缘层无破损现象；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6、瓷管表面上釉，光滑平整，无裂纹；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7、常温常湿条件下绝缘电阻应大于20MΩ；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8、滑动头与电阻线、滑杆保持良好的弹性接触，触头应圆滑，压力均匀，滑动应顺畅；滑动头在电阻线上滑动时，电阻值应均匀变化，不得有间断跳跃现象。</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演示电流电压表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1、高中演示电流电压表为指针式内磁结构。供教学演示实验中作检流计，及测量直流电流、直流电压、交流电流、交流电压等之用；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2、基本误差：±2.5%；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3、阻尼时间：≤6s。</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160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蒸发皿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1、实验用加热仪器100mm，陶瓷制造；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2、口圆整、光滑，不得有缺口，厚薄均匀，底部平整，不凸凹，放置平面不摇晃，器身不扁瘪；</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3、蒸发皿的形状应规整，不得有裂纹和妨碍使用的熔洞、斑点、缺釉等缺陷；</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4、吸水率：不大于0.3%；</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5、釉的耐酸性：带釉蒸发皿内表面釉的损失量不大于0.01mg/cm2；</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6、釉的高温粘结性：将带釉蒸发皿加热至900℃时，不出现釉粘结现象；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7、热稳定性：产品在高于室温230℃至室温的水中热交换一次，不出现裂痕或色斑；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8、按使用温度可分为：带釉蒸发皿和无釉蒸发皿。带釉蒸发皿使用温度不高于1000℃，无釉蒸发皿使用温度不高于1250℃。</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161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三口烧瓶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标称容量：250 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瓶体材质：高硼硅 3.3 玻璃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瓶型：直三口 / 斜三口（常用斜三口）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主口规格：24# 标准磨口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侧口规格：2×19# 或 2×24# 标准磨口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瓶底直径：约 80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全高：约 160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壁厚：均匀加厚，耐热冲击</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162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比色管架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适用规格：适配 10mL / 25mL / 50mL 比色管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材质：优质塑料（PP / 聚甲醛）或木质、铝合金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孔数：常用 6 孔、12 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结构形式：双层多孔架，上层定位孔、下层承托孔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孔径：根据比色管外径配套，一般 16mm、21mm、27mm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外形尺寸（12 孔常用）：约 320mm × 110mm × 70mm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163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高中教学电源</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交流：2V～24V，每2V一档，2V～6V/12A，8V～12V/6A，14V～24V/3A；直流稳压：1V～25V分档连续可调，2V～6V/6A，8V～12V/4A，14V～24V/2A；直流大电流短时输出：40A，8秒自动关断；输出端子采用Φ4mm铜芯香蕉插座或行程不小于4mm的铜接线柱；交流输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a、各档空载电压应不大于1.05U标＋0.3V；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b、各档满载电压应不小于0.95U标～0.3V；直流稳压输出电压偏调：±（2％U标＋0.1V）；直流大电流短时输出电流大于10A时，20s±2s自动关断。输出短时电流为40A+10A，8s±2自动关断；过载保护；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a、电源的交流输出和直流输出电流等于或小于其额定输出电流时，电源应正常工作，当输出电流在额定输出电流值的1.05～1.5倍时，电源应能过载保护；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b、各档输出电路短路时应能自动关断；连续工作时间不少于8h。</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164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水浴锅</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1、一列二孔，工作室尺寸：300mm×160mm×90mm（±20mm）；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2、功率：600W；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3、控温范围：室温+5℃～99.9℃，温度均匀性：±0.5℃，水温波动±0.5℃；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4、数显；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5、外壳：静电喷塑，安全可靠。不锈钢内胆拉伸成型；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6、控温：微机PID智能控制。</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165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工作服</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1、材质：涤卡；身长120cm，颜色为白色；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2、工作服具有一定的防静电，及防酸、碱及其他化学腐蚀的能力；</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3、产品应做工精细，产品外观无破损、斑点、污物等缺陷；</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4、产品所用材料应能满足日常穿用和中学实验室日常使用要求，具有一定耐穿性、牢固性和和舒适感。</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166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激光李萨如图形演示仪（箱式）</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知识点：相互垂直谐振动的合成。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1.便携箱式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2.外观尺寸34cm×26 cm×15cm；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3.频率比可调；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4.相位差可调；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5.幅度可调；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6.激光器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(1)功率：30mw;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(2)类型：红色点状；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7.现象：选择x方向和y方向简谐振动的频率比（1:1、1:2、2:3......)可以通过投影看到相应的李萨茹图形，改变两信号的相位差，同样频率比的李萨茹图形也会有所改变</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167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钢直尺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600mm碳钢材质，600mm×20mm×0.5mm，分度值0.5mm。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168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溶液导电演示器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1、产品由示教版、电极电线、容器、灵敏电流计等组成；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2、示教电路版用塑料制成。面板上带有指示用灯炮和开关；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3、电极采用耐酸、碱、盐的导电材料制成；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4、容器为耐酸、碱、盐的透明材料制成；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5、为进行比较实验，容器数量为4个；</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6、产品的电源电压为直流6V。</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169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水槽柜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440mm*600mm*850mm；水槽采用环保型PP材料一次性注塑成型，耐强酸碱≤80度有机溶剂并耐≥150度高温，壁厚≥3mm，具有防溢出功能。水槽后端高出水槽两侧≥50mm防止后排学生使用时水溅到前排学生身上。水槽柜为榫卯连接结构并合理布局加强筋，安装时不用胶水粘结，使用产品自身力量相互连接，产品不变形，不扭曲。柜子整体采用环保型ABS工程塑料一次性注塑成型，表面木纹与光面相结合处理。同时水槽柜底部为模具一体成型，加固水槽柜的强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水槽柜带独立储物抽屉，抽屉隐藏于水槽柜检修门内，使用时打开，不用时不影响整体外观造型。同时水槽柜自带抽屉封板防止抽屉内物品外漏于水槽柜内，抽屉封板与水槽柜前端模具一体成型非二次组装。储物抽屉采用环保型ABS材料一次性注塑成型与水槽柜整体连接，尺寸：≥85mm*120mm*345mm，储物抽屉分为三格，每格尺寸：≥110mm*115mm*65mm；便于学生使用时存放不同洗涤辅助用品。</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186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170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紫外灭菌车</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1、紫外消毒车釆用双灯管结构，并可以单独使用，灯臂角度可以180度调节，不用时请垂放关上保护门以免灯管破坏，又能保持灯管清洁；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2、定时器可以在120分钟内定时控制消毒时间，定时器工作完毕会自行断路而灯管熄灭；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3、形式为移动式；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4、安全防护分类为I类；</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5、灯臂长度为：920mm+2mm,灯臂调节角度为0-180度；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6、输入功率为:150VA；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7、环境温度：5-40C；</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8、相对温度：80%；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9、电源220V+22V 50Hz+lHz；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10、紫外线波长253.7A；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1、电流电压220V50Hz；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12、功率2×30W；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13、灯臂调节角度ZXC-1型为0-180°；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14、定时范围：1-120分钟，其最大定时误差＜=15min；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15、消毒车釆用的消毒灯管符合GB19258-2003的规定；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16、熔断器规格：FUSES。</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171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纵波演示器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1、本产品由支架、螺旋弹簧、振源及附件、连接杆和衬布等部件组成；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2、支架应有足够的强度，表面经防锈处理；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3、振子为柱体或球体金属件。表面镀铬，振子可在弹簧钢片上调整其高度；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4、弹簧钢片应有足够的长度和钢度，表面防锈处理；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5、螺旋弹簧需经防锈处理，在工作状态下应满足如下要求；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6、螺旋弹簧吊线结点应在一条直线上，且分布均匀。</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172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锥形瓶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2、规格：锥形，500mL；壁厚：不小于1mm；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3、底部不允许有结石、节瘤存在；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173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学生实验纸材</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打点纸带、墨粉纸、坐标纸、复印纸</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174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分离及鉴定土壤中能分解尿素的细菌培养基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尿素固体培养基：2 瓶 (35.88g/瓶)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酚红(选用)：1 瓶(5mL/瓶)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尿素：1瓶(5g/瓶)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LB固体培养基：2瓶(40g/瓶)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一次性细菌过滤器：1个</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20mL塑料注液器：1个</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175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通风控制辅材及安装</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1、规格：≥3*4+2*2.5㎡；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2、线芯材质：高纯度铜，无氧化铜芯；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3、绝缘护套：耐磨、耐老化、耐腐蚀、柔软。橡皮绝缘；</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4、标称截面：4㎡；</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5、电压等级：中、低压电力电缆（35千伏及以下）；</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项</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176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笔形砂光机(需要另配电源)</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1.额定电压：12 - 18V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2.直流电源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3.摆动频率：8,000次/分钟(每冲程 2.5mm)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4.机身长度：160mm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5.重量：130g</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177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铁的吸氧腐蚀实验器</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一、组成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平口圆底试管（52*100mm）、橡胶塞、宝塔头、硅胶堵头*2</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二、功能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1.用于铁的吸氧腐蚀实验的探究，通过测量反应过程中温度、压强、氧气含量的变化，探究铁的吸氧腐蚀现象。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2.实验器具有匹配不同传感器探头的孔径，密封性良好，配合温度传感器、绝对压强传感器测量铁在吸氧腐蚀过程中温度、氧气含量、压强的变化，并在Windows、安卓、iOS终端上实时呈现数据。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3.试管体积足够大，增加反应物的接触面积，能使反应物在试管内部充分反应，实验效果明显。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4.透明瓶体设计，便于观察实验现象，可从多维度了解实验。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5.与传感器适配性好，轻松搭建密封的实验环境，可拓展完成多种化学实验。减轻准备器材的负担，轻松满足演示及分组实验，让课堂教学更高效。</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三、实验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探究铁的吸氧腐蚀现象等实验</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178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硬质玻璃管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1、高硼硅玻璃材质，硬质；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2、规格：外径Φ20mm，长250mm；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179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大肠杆菌涂片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1、在500×生物显微镜下观察大肠杆菌的基本形态；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2、清晰地看出大肠杆菌的形态，不要求显示鞭毛；</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3、标本一般应取材于人工培养的大肠杆菌；实验所用载玻片应经洗液清洗。</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180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砂纸</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内含120，240，400，600，800，1000目各一张</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181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演示轨道小车</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利用电火花计时，车拖纸带式，打点有效距离不小于900mm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182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频闪观察器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1、物理探究实验用；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2、产品为带孔的圆盘，圆盘可自动转动，固定片有相同孔径的圆孔。</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183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平底管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Φ12mm×150mm符合《玻璃仪器通用技术要求》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184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白光的色散与合成演示器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1、产品由三棱镜2个（一对）、光源、光屏及底座等组成；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2、两块棱镜应配对；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3、三棱镜的顶角为60±0.5°，非工作面磨砂。应有保护性倒角。</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185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磁感线演示器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1、本仪器由铁粉盒、生铁粉、磁铁组成；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2、铁粉盒用塑料制作，内腔呈长方形，底部有两个孔；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3、生铁粉选用颗粒状，质量不少于3G；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4、磁铁N、S板标示明显。</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186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侵润和不侵润现象演示器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由塑料盒(98*58*40mm)一个、浸润玻璃一块、不浸润玻璃一块，细线30cm长两根个、海绵组成</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187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教师端专业图像分析</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1、图像采集与存储：可以兼容标准的USB。</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2、常规的图像处理功能：图像缩放、彩色转灰度、反相、图像叠加运算及景深扩展功能、直方图均衡，各种和形态学有关的滤镜如：中值滤波、腐蚀、膨胀、锐化、加噪声、图像柔化等功能。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 区域操作、处理、分析功能：对选择区域进行分析、 处理，并且可以导出灰度或者是二值图。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 灵活的定标功能：可以设定几组定标值供选择，更改定标值后各测量数据会自动变化。</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 图像标注、测量功能：文字、箭头、各种形状的标注框，直线、折线、任意直线、周长、面积、角度等的测量，支持动态视频测量。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 图像识别和分析功能：灰度、RGB分量的彩色分割，并且显示灰度直方图，可以完成图像的自动分割。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 图像的多层分割：可以在一幅图片上实现多层的分割，并且没有层数的限制，各层计算的数据可以分别显示并统计。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 分割修正功能：孔洞填充、边缘平滑以及压框不计，提供区域或者是点的擦除功能，提供断开和连接功能。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9.、颗粒删除功能：可以根据对象的各种形态参数对需要的目标进行筛选。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10、计算形态参数：可以得出几何参数、位置参数、当量几何参数、外接几何参数、光密度参数、形态学参数，以及相关其他参数。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 便捷的结果输出：支持所有结果输出到Word、Excel。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12、多语言模块：支持中文、英文等一键安装。</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13、支持Windows xp/win7/win8/win10,Mac OSX, Linux</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14、图片拼接模块（教师端）：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1）支持多种图像输入格式；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2）界面友好，操作简单灵活；</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3）最大支持20×20张图像的拼接；</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4）拼接速度快，准确；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5）动态自动拼接功能：将拍摄到的切片的各个部位的局部图像按顺序拼接得到整个切片的图像。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15、动态景深拓展模块(教师端）：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1）去模糊多焦面合成：直接移动微调手轮，将不同焦面的图像合成得到清晰完整的整幅图像，增加高倍物镜的景深；</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2）支持多种图像输入格式；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3）具有操作简便，合成速度快，合成图像效果好的特点。</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188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轨道小车</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车拖纸带打点式，打点有效距离不小于600mm。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189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蜂蜡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环保，无毒无害，使用安全</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克</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190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凹凸桥演示器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凹、凸桥间隙独立可调外框，操作简单实验效果明显，本仪器由两根平行凹凸轨，支架、钢球和轨道。间隙调节器组成。</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191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方座支架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1、由矩形底座、立杆、烧瓶夹、大小铁环、垂直夹（2 只）、平行夹等组成；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2、底座和立杆表面应作防锈处理；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3、放置平稳、支承夹持可靠，立杆与底座间的垂直度不大于 3mm，铁环组装后与立杆垂直，垂直度不大于 4mm。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192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门电路和传感器应用实验箱</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与门、或门、非门电路、干簧管、温度传感器、热敏电阻、光敏电阻、感温铁氧体、霍尔元件等应用实验。</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193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细胞亚显微结构模型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1、产品为高等真核细胞立体亚显微结构模型，细胞直径约放大两万倍，环保塑料制品，固定内部元件的衬板，在剖面与外壳之间，应无色透明；</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2、元件的组装应牢固可靠，调换的元件应拆装方便，不得自由松动和脱落。</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194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作品展示柜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1.规格尺寸：2700*300*2200mm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2.材质:实木多层板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3.制作工艺根据图纸定制</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张</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195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电子天平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1、量程200g，最小分度值：0.001g；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2、线性误差≤±0.002g；重复性误差≤0.001g；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3、校准方式：外校（配砝码）；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4、数据输出：RS232；电源电压：220VAC；</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5、采用高精度电磁平衡传达室感器，LED显示，具有8种称量单位转换，计数功能。</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196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丁达尔现象实验器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1、产品由盒体、左盖板、右盖板、电池盖板、电池盒、方试管、试管盖按钮组成；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2、盒体呈长方形，装有集光电珠的电池盒可以沿盒槽上下移动；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3、通过盒体前端的观察窗，就能看见胶体的丁达尔现象。</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197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胶棒(附毛皮)</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教师用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1、产品包括：硬橡胶棒（或聚碳酸脂棒）1根，毛皮1块；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2、硬橡胶棒（或聚碳酸脂棒）；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3、胶棒、聚碳酸脂棒表面要光洁；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4、毛皮为经过鞣制的猫皮、兔皮、羊羔皮等。</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对</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198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平抛竖落仪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结构组成：底座、支架、电磁铁、弹射装置、两个钢球、接球盒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钢球规格：直径 16 mm，材质为实心钢球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释放方式：电磁铁吸合释放，保证两球同时开始运动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底座尺寸：约 250 mm × 180 mm × 60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总高度：约 400 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199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教师演示台</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1、规格：2400mm*700mm*850mm±10mm。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2、台面：采用一体化≥25mm厚高强度金属树脂理化板，耐强酸碱、耐腐蚀、耐有机溶剂，抗菌、抗污染、防水、防火，并经精密加工、倒角、打磨，呈光滑半圆形，注重人性化设计，美观实用。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2、桌身：整体采用≥1.0mm厚优质冷轧钢板，全部钢制件纳米陶瓷镀膜防锈处理。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3、结构：演示台设有储物柜，中间为演示台,设置电源主控、多媒体设备（主机、显示器、中控、功放、交换机）的位置预留。含PP水槽、下水管和溢流管及三联水嘴。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4、滑道：抽屉全部采用优质三节承重式滚珠滑道开合十万次不变形。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铰链：采用优质铰链，开合十万次不变形。三联水嘴：鹅颈式实验室专用优质化验水嘴：要求防酸碱、防锈、防虹吸、防阻塞，表面环氧树脂喷涂。出水嘴为铜质瓷芯，高头，便于多用途使用，可拆卸清洗阻塞。出水嘴可拆卸，内置成型螺纹，便于连接各类水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6、下水管和溢流管：水槽专配型排水管，不锈钢卡扣连接，安装方便不渗漏。</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张</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200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仪器车</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1、规格尺寸不小于：590mm×400mm×800mm；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2、仪器车额定载重量为60kg，上、下层托盘承载重量均不小于60kg；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3、采用双层结构，有上、下二层托盘，不锈钢材料；</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4、车架用不锈钢管制成；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5、万向轮部件可以绕固定管作360º旋转；在仪器车载重为额定值时，车轮应转动灵活，并且万向轮的方向也能自动调整，无卡阻现象。</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辆</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201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乳胶手套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一次性乳胶手套</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付</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202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漏斗架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1、产品由支承板、底板、立柱等组成；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2、全木制结构，支承板，板上布有2个圆孔；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3、立杆垂直度3mm，支承板的高度应能方便调整且紧固可靠。</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203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干燥管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2、规格：单球，150mm；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4、符合JY0001～2003《教学仪器一般质量要求》的有关规定。</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204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匀速圆周运动投影器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1、吊线横梁2、吊杆3、摆长调整器4、屏幕板5、单摆球6、电磁铁7、转动盘8、小球9、机箱座10、屏幕支架11、直流电源插座12、电磁铁开关13、电机开机K214、指示灯15、电位器16、机箱盖。</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205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量角器(圆等分器)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1、演示用，0～180°实木制；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2、外形尺寸：600mm，带有金属手柄,应印有0~180°角度刻度线，在0°、90°、180°位置印有角度数值，90°刻度线与圆心应在一条直线上，垂直于下方的直尺，两边对称，刻线和数字排列整齐端正，刻线粗细均匀。</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206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电子天平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1、量程400g，感量0.1g；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2、高亮度显示，读数清晰。具有计数，称重、去皮等多种功能模式。</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207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电子比荷实验仪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1、三位半显示；0~100VDC/0~200VDC(纹波&lt;1%)(两档)三位半显示；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2、带PASCO通讯接口，可在110V/220V之间切换。</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208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台钻</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最大钻孔直径：13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最小夹持 / 钻孔：1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主轴锥度 / 夹头：B16</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主轴行程：50–85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立柱直径：48–72 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209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摩擦力演示器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1、电动式摩擦力演示实验装置；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2、滚筒转动带动橡皮带运动，通过橡皮带上物体的相对运动结合仪器配备的演示测力计测量物理的最大静摩擦力；</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3、额定电压：交流220V；频率：50Hz；电机功率：40W。</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210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气体辉光球</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球罩直径：95 mm（±1 mm），高硼硅加厚透明玻璃，壁厚 2.5–3 mm，抗冲击防炸裂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内部气体：低压惰性混合气体（氖 + 氩为主），气压约几十帕（稀薄真空，避免正压危险）；氖主导红光，氩调蓝 / 紫，混合出彩色流光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中心电极：实心金属球形 / 棒状电极，表面抗氧化处理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底座尺寸：约 120 mm × 120 mm × 60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整机高度：约 150 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211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电磁阻尼演示器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材质：底座 PP/ABS；摆片 6063 铝；磁铁 钕铁硼；支架 冷轧钢板 / 铝合金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摆长 / 摆幅：摆轴到摆下端约 220 mm；最大摆角 30°，可稳定复位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工作温度：10–35℃（室温），避免高温退磁</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212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托盘天平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1、最大称量500g，分度值0.5g；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2、称量允许误差为±0.5d(分度值)；</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3、砝码组合的总质量（包括标尺计量值）应不小于天平的最大秤量；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4、冲压件及铸件表面应光洁平整，不应有毛刺、锋棱、裂纹和显见砂眼。</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213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智能升降学生电源</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1、电源尺寸：≥120*430mm，开孔尺寸≥Φ102mm。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2、智能升降学生电源采用铝合金加工程塑料，隐藏式设计，以智能电动升降为核心，智能电动升降开关，外加智能防夹手、防顶撞功能，轻奢体验，一键乐享，镀白工艺。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3、开关机环形LED灯闪烁提示，待机状态下中间LED灯灭。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4、产品控制端设计≤3秒开机功能，轻按电源键即可控制升降。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5、直流稳压输出：0-30V/2A（倍率：0.1V），交流电压输出：0～30V/2A（倍率：V），过载保护功能，闪“E”提示，按钮复位。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6、可受教师锁定，锁定后电压不可调节。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7、电压，电流显示，数字键盘输入，禁用上下键输入方式。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8、带1组国标五孔交流220V电压输出。</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214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电子天平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称量范围：0～200 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可读性（分度值）：0.1 mg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稳定时间：≤3～5 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功能：自动校准、去皮、计数、单位转换</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215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金刚砂半圆形锯片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外径：65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形状：半圆形开槽锯片（弧形刃口）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刃部材质：电镀金刚石砂 / 金刚砂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基体材质：合金钢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内孔径：10 mm 或 16 mm（常用教学型 10mm）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砂粒度：120#～180# 中细砂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厚度：0.3～0.5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适用转速：≤ 15000 r/min</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216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电珠(小灯泡)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2.5V或3.8V</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217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光具盘</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盘面直径：Φ300 mm（标准教学型）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盘面材质：白色磨砂金属板 / ABS 工程塑料，带角度刻度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刻度分度：360° 圆周刻度，分度值 1°</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光源配置：半导体激光光源 1～3 束，平行红光，安全 Class Ⅱ</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配套光学元件：平面镜、凹面镜、凸面镜、凸透镜、凹透镜、三棱镜、玻璃砖等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固定方式：带底座立式支架，可旋转、可锁定角度</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218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细胞膜流动镶嵌模型组件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1、环保塑料制品，每个细胞约为25mm；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2、蛋白质分子，磷脂分子，多糖。</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219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桥梁模型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六件/套；外形尺寸：≥370mm×60mm×200mm，有机玻璃材质，底板为优质色板，环保塑料精致加工成型；含悬梁桥、斜拉索桥、梁架桥、拱架桥、弓形拱桥、悬索桥等六</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220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平行通电直导线之间的相互作用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Style w:val="968"/>
                <w:rFonts w:hint="default"/>
                <w:lang w:bidi="ar"/>
              </w:rPr>
              <w:t xml:space="preserve">规格：460*360*90mm</w:t>
            </w:r>
            <w:r>
              <w:rPr>
                <w:rStyle w:val="968"/>
                <w:rFonts w:hint="default"/>
                <w:lang w:bidi="ar"/>
              </w:rPr>
              <w:br/>
            </w:r>
            <w:r>
              <w:rPr>
                <w:rStyle w:val="968"/>
                <w:rFonts w:hint="default"/>
                <w:lang w:bidi="ar"/>
              </w:rPr>
              <w:t xml:space="preserve">实验目的：演示电流之间的相互作用。</w:t>
            </w:r>
            <w:r>
              <w:rPr>
                <w:rStyle w:val="968"/>
                <w:rFonts w:hint="default"/>
                <w:lang w:bidi="ar"/>
              </w:rPr>
              <w:br/>
            </w:r>
            <w:r>
              <w:rPr>
                <w:rStyle w:val="968"/>
                <w:rFonts w:hint="default"/>
                <w:lang w:bidi="ar"/>
              </w:rPr>
              <w:t xml:space="preserve">实验器材：通电平行直导线相互作用演示器(通电平行直导线、电流方向调节开关、操作开关等组成)。</w:t>
            </w:r>
            <w:r>
              <w:rPr>
                <w:rStyle w:val="968"/>
                <w:rFonts w:hint="default"/>
                <w:lang w:bidi="ar"/>
              </w:rPr>
              <w:br/>
            </w:r>
            <w:r>
              <w:rPr>
                <w:rStyle w:val="968"/>
                <w:rFonts w:hint="default"/>
                <w:lang w:bidi="ar"/>
              </w:rPr>
              <w:t xml:space="preserve">实验内容：</w:t>
            </w:r>
            <w:r>
              <w:rPr>
                <w:rStyle w:val="968"/>
                <w:rFonts w:hint="default"/>
                <w:lang w:bidi="ar"/>
              </w:rPr>
              <w:br/>
            </w:r>
            <w:r>
              <w:rPr>
                <w:rStyle w:val="968"/>
                <w:rFonts w:hint="default"/>
                <w:lang w:bidi="ar"/>
              </w:rPr>
              <w:t xml:space="preserve">1.调水平：把两平行直导线装在仪器上下两个对应的凹槽中，并检查是否 转动灵活。调节仪器，使两平行直导线在自身重力的作用下，自动转向观</w:t>
            </w:r>
            <w:r>
              <w:rPr>
                <w:rStyle w:val="968"/>
                <w:rFonts w:hint="default"/>
                <w:lang w:bidi="ar"/>
              </w:rPr>
              <w:br/>
            </w:r>
            <w:r>
              <w:rPr>
                <w:rStyle w:val="968"/>
                <w:rFonts w:hint="default"/>
                <w:lang w:bidi="ar"/>
              </w:rPr>
              <w:t xml:space="preserve">察者方向，就视为水平调好了。</w:t>
            </w:r>
            <w:r>
              <w:rPr>
                <w:rStyle w:val="968"/>
                <w:rFonts w:hint="default"/>
                <w:lang w:bidi="ar"/>
              </w:rPr>
              <w:br/>
            </w:r>
            <w:r>
              <w:rPr>
                <w:rStyle w:val="968"/>
                <w:rFonts w:hint="default"/>
                <w:lang w:bidi="ar"/>
              </w:rPr>
              <w:t xml:space="preserve">2.插上电源线，红色指示灯亮表明电源接通。</w:t>
            </w:r>
            <w:r>
              <w:rPr>
                <w:rStyle w:val="968"/>
                <w:rFonts w:hint="default"/>
                <w:lang w:bidi="ar"/>
              </w:rPr>
              <w:br/>
            </w:r>
            <w:r>
              <w:rPr>
                <w:rStyle w:val="968"/>
                <w:rFonts w:hint="default"/>
                <w:lang w:bidi="ar"/>
              </w:rPr>
              <w:t xml:space="preserve">3.将两个铜导线平行放置，将开关扳至“同向”,即两个通电平行直导线中 电流方向一致。按“操作开关”,观察到两铜棒因排斥分开。</w:t>
            </w:r>
            <w:r>
              <w:rPr>
                <w:rStyle w:val="968"/>
                <w:rFonts w:hint="default"/>
                <w:lang w:bidi="ar"/>
              </w:rPr>
              <w:br/>
            </w:r>
            <w:r>
              <w:rPr>
                <w:rStyle w:val="968"/>
                <w:rFonts w:hint="default"/>
                <w:lang w:bidi="ar"/>
              </w:rPr>
              <w:t xml:space="preserve">4.将两个铜导线平行放置，将开关扳至“反向”,即两个通电平行直导线中 电流方向相反，按“操作开关”,观察到两铜棒因吸引合并。</w:t>
            </w:r>
            <w:r>
              <w:rPr>
                <w:rStyle w:val="968"/>
                <w:rFonts w:hint="default"/>
                <w:lang w:bidi="ar"/>
              </w:rPr>
              <w:br/>
            </w:r>
            <w:r>
              <w:rPr>
                <w:rFonts w:hint="eastAsia" w:ascii="宋体" w:hAnsi="宋体" w:cs="宋体"/>
                <w:b/>
                <w:bCs/>
                <w:color w:val="000000"/>
                <w:sz w:val="20"/>
                <w:szCs w:val="20"/>
                <w:lang w:bidi="ar"/>
              </w:rPr>
              <w:t xml:space="preserve">备注：必修三-P105</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221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万能夹</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产品由夹杆、夹头组成。夹头分三爪，铝合金压铸成夹叉形，夹口为张紧螺丝张口，双向紧固，每一夹叉上均粘接软木底垫。</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222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三角锉刀</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工作范围长180mm30.5mm注塑手柄</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223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恒温水浴锅</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1、注塑外壳；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2、容器孔数：1孔；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3、工作电压：AC220V•50Hz；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4、功率：4A、300W，室温-100℃5温控精度≦1.5℃；6升温速度由室温升到沸点≦70分钟。</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224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教学用铅酸蓄电池充电器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输入电压：AC 220V 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输出电压：2V / 4V / 6V / 12V 多档可调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输出电流：1A / 2A 两档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充电方式：恒压限流充电，带过充、过流、短路保护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指示方式：电源指示灯 + 充电指示灯</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225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教师电源</w:t>
            </w:r>
            <w:r/>
          </w:p>
        </w:tc>
        <w:tc>
          <w:tcPr>
            <w:tcBorders>
              <w:top w:val="single" w:color="000000" w:sz="4" w:space="0"/>
              <w:left w:val="non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1.教师演示台配备总漏电保护和分组保护，可分组控制学生的高低压电源，确保学生实验安全方便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2.教师电源总控采用≥7寸"电阻式"液晶屏，显示智能控制按键同时显示电源电压；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3.教师交流电源通过智能控制按键直接选取0～30V电压，最小调节单元可达1V,额定电流6A；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4.教师直流电源也是通过智能控制按键直接选取，调节范围为0～30V，分辨率可达0.1V,额定电流4A；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5.低压大电流值为40A，自动关断；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6.教学电源：220V交流输出为带安全门的新国标插座，带有电源指示 ，学生低压交流电源可通过智能控制按键直接选取0～30V电压，最小调节单元为1V，组输送至学生桌；低压直流电压教师能准确控制，最小调节单元为0.1V。</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226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条形盒测力计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1、产品为组装式，10N；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2、产品必配部件:壳体1个；弹簧1个；面板1块；带钩指针1个；提手1个；</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3、壳体由塑料制作；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4、弹簧：由金属制成，表面防锈处理；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5、面板：由金属制成，防锈处理。</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227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微型溶液导电实验器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显示方式：LED 灯光显示（亮暗区分导电强弱）</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电极材质：石墨 / 不锈钢惰性电极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探头结构：笔式一体化，双电极固定间距</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228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石墨结构模型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1、仪器可组装石墨晶体结构，由黑色橡胶球39只、塑料杆组成，演示用；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2、橡胶球直径不小于290mm；球杆组装松紧适度，不应有自由转动、松脱，组装后不得有明显的弯曲变形及角度变化；教学演示效果明显。</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229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微型三角散打机 </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1.额定电压：220V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2.额定频率：50Hz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3.额定输入功率：320W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4.速度档位：6档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5.摆动角度：3°</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6.摆动频率11000-20000/min</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230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牛角管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2、规格：Φ18mm×150mm；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231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PN结特性研究与测量实验仪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主要实验内容：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1、温度不变，测量PN结正向伏安特性，计算玻尔兹曼常数；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2、正向电流I不变，测绘PN结正向压V-T曲线，计算灵敏度，估算被测PN结材料的禁带宽度；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3、应用实验：用给定PN结测量未知温度；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4、创新实验1：根据实验数据，估算PN结反向饱和电流Is。</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5、创新实验2：观测复合电流的大小。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主要技术性能：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1、带封装PN结，由二极管和小功率NPN晶体三极管的CB结短路而成；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2、电流输出范围10nA～1mA，分4段可调，调节细度：最小1nA，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驱动电压约5V，跳字≤1个字/min；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3、专用SV表精确测量PN结正向电压，测量不确定度：0.5%±2个字；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4、实验温度：室温～99℃；</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5、数字温度计：0～100℃，分辨率0.1℃；</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6、含电加热器等配件，完成所有实验。</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232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强酸碱储存柜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1、规格：≥1650*1090*460mm。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2、材质：采用聚丙烯(PP)材料无缝焊接而成。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3、材料厚度：≥8mm厚度板材。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4、双门/手动，≥2个可调层板。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5、配备聚丙烯防泄漏托盘，可单独取出，便于清洁，层板可根据需要调节。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6、柜门贴有醒目的“腐蚀性”警示标识。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7、可以用于各种腐蚀性化学品的存储，如硫酸，硝酸，乙酸，硫磺酸等，保护操作者及周围人群安全。</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233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试剂架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1、规格：≥1000*300*750mm；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2、双层，分两段，立柱采用≥80mm*42mm*1.2mm的铝镁合金专用型材，挡条采用≥40mm*15mm*1mm的铝镁合金专用型材，支撑件采用≥1.2mm厚的冷轧钢板冲压成型；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3、支撑件用不锈钢内六角螺丝及小铁条固定在立柱上，可以上下自由调节；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4、金属件外喷纯环氧树脂，高温固化；</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5、固定件采用≥4mm厚的专用合金件 ，充分保证试剂架安装后的稳定性；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6、电源插座：≥6只5孔10A防溅插座，电源盒采用防溅结构；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7、试剂架的上端和下端与台面连接的地方，分别采用工程塑料成型的立柱盖和立柱套；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8、试剂架的螺丝均采用不锈钢螺丝 ，层板采用≥8mm钢化玻璃。</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234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烧杯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2、规格：10mL，烧杯上标志应清晰、耐久，造型规范、薄厚均匀、无明显偏斜，底部不允许有结石、节瘤存在；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3、放在上不应旋转或摇晃；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4、当向外倾倒液体时，液体呈一束细流流出，不应外溢，不应沿壁外流。</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200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235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展示边柜2</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1.尺寸：4500*600*800mm；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2.材质及工艺：1.全钢结构：2.台面：采用12mm厚抗倍特板,倒圆角处理，</w:t>
            </w:r>
            <w:r>
              <w:rPr>
                <w:rFonts w:hint="eastAsia" w:ascii="宋体" w:hAnsi="宋体" w:cs="宋体"/>
                <w:color w:val="000000"/>
                <w:sz w:val="20"/>
                <w:szCs w:val="20"/>
                <w:lang w:bidi="ar"/>
              </w:rPr>
              <w:t xml:space="preserve">防强酸强碱，耐磨耐高温；不含任何有毒物质，无辐射，受热不产生有毒气体和物质；3.柜体：采用1.0mm厚度，表面锌层80g/m2无油无花镀锌钢板 ，漆膜附着力高不变色（烤漆膜厚度平均值≥70μm），无异味，柜体双重防腐保护。4.防撞胶垫：装于门板内侧，减缓碰撞，保护柜体；5.门板及抽面：采用双层结构，组装式设计，保证两层双面都喷涂处理，中间采用隔音材料，保证关门减少噪音；6.连接件：采用ABS专用连接组装件；7.合页：采用优质不锈钢铰链；9.固定桌脚：采用柜体内置可调ABS调整脚，保证调整脚前后都可以调节高低</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236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微量移液器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量程范围：20 μL ～ 200 μL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精度（准确度）：≤ ±1.0%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重复性（精密度）：≤ ±0.5%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适配吸头：200 μL 通用吸头</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237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全室给水管路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1、技术要求：具有防酸、防碱、耐腐蚀功能，全室给水全部模块化设计，每组模块间采用活接式连接，方便安装、检修。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2、给水管：主管选用≥Ф25（mm）PPR水管，支管≥Ф20（mm）PPR水管，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3、安全控制：总开关阀门、电磁阀外、丝连接件等，</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项</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238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超纯水仪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1、以城市自来水为水源，可同时生产 DI 高纯水，UP 超纯水，一级 RO 纯水，水质量满足 ASTM D1193-06、GB/T 11446.1-2013、GB/T33087-2016、GB/T6682-2008、CP、EP、USP、JP、CAP、CLSI 等规定的水质标准要求。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2、产水量：20 升/小时；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3、出水口（正面）：2 个（DI 去离子水、UP 超纯水，最大分配速度为 2 L/min）；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4、去离子水水质，电阻率(25℃)：16 MΩ.cm；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5、超纯水水质，电阻率(25℃)：18.2 MΩ.cm；TOC：5 ppb；微粒&lt;1 /ml (&gt;0.2μm)；细菌&lt;0.01 CFU/ml；致热原(内毒素) &lt;0.001 EU/ml；RNA 酶：1 pg/ml；DNA 酶：5 pg/ml；蛋白酶：0.15 μg/ml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7、智能化人机交互，4.3寸嵌入式彩色液晶控制界面，多级菜单式触屏操作，分辨率达：800×480，可全面了解滤芯，存储，水质状态、运行状态等信息。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8、具备一键紫外开启功能，配套低压24V波长254nmUv冷阴极管紫外灯组件，彻底杀菌及降低 TOC，提高水质，配备•USB•接口，支持历史报警记录的查询和历史定量取水记录的数据导出功能；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9、可设定RO膜、Uv灯和超纯化柱的寿命，显示耗材已用和剩余时间，耗材到期更换自动提醒，避免水质下降。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具备定时自动关机（0~24H）功能，关机时间到后自动停止所有输出，进入关机模式，具备高质量高硬度的水流开关、电磁阀、高压阀、静音泵等设备元器件及水质传感器电阻率在线检测；配备缺水蜂鸣报警提示，用户可自行设定缺水具体时间来实现设备缺水状态下自动停机保护设备；控制屏界面实时在线检测显示超纯水电阻率数值。</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11、3 路水质监测及超标报警（RO水、DI水、UP水）。温度灵敏度0.1℃，可同时显示温度补偿后的电导率/电阻率和水温。</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12、具有RO、超纯水的定时、定量取水功能；设置取水模式，界面同步更新显示设置的取水要求，定时设置范围（0.1~3000min）；定量设置范围（10~9999ml)；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13、整机以DC24V为主电源，全面使用弱电元件，超纯水水质超标、耗材寿命终结均能报警。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14、通讯接口要求：USB接口，可导出运行数据或升级版本，4G通讯接口，实现物联网连接。</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15、机箱采用冷压钢板静电喷涂成型壳体，内部支架采用全钣金模具冲压成型。配备同品牌35升储水箱，由HDPE聚乙烯材料制造，外层加入抗UV助剂，内层使用纯PE原料，水箱需采用锥形底设计，桶体桶底部安装有排水阀，可排空水箱储水，水箱需标配复合空气滤器，可吸附CO2和有机物。</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16、12 英寸预处理柱，包含5μm深层折叠PP纯化柱、活性炭纤维PC纯化柱（非普通碳棒/颗粒碳），大幅度的延长更换周期。</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17、RO膜片，可设置RO膜冲洗间隔和持续时间，延长RO膜寿命，RO膜采用整体封装的抛弃式组件，杜绝二次污染，RO水不合格自动排放功能，确保进入后端纯化组件的纯水质量。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18、纯化柱为关键性耗材，需采用大容量结构设计，单根树脂填量达1.36L/根，总量达4.08升，确保高品质出水、减少TOC析出，降低使用成本。</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19、标配配置：主机1台，纯化柱1套，35升PE纯水箱1个</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239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抽气管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2、灯工焊接牢固，喷水管应在球内中心位置，喷口对正下管孔，两孔间距不大于2.5mm；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3、喷口切割磨平，不得有歪斜及小缺点；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4、磨砂浮子必须活动自如，不得阻塞不动；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240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直流高压电源</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1、输出电压：250V、300V、600V、1000V、1200V、1500V；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2、纹波电压：≤0.5V；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3、输出电流：≥0.1A(250V、300V时)≥0.05A(600V、1000V、1200V、1500V时)；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4、有过载保护。</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241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化学反应速率实验器</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一、组成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密封反应瓶、注液阀门开关、注液器（10mL）、压强传感器接口、泄压组件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二、功能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1.用于探究催化剂对过氧化氢分解的影响、金属与酸反应、酶催化的高效性等。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密封反应瓶，保证实验器的密封性，实验数据更加精确，支持固体、液体和气体任意组合的产气或吸收气体的相关的生化反应，配合绝对压强传感器，通过测量压强的变化，探究化学反应速率的快慢，在Windows、安卓、iOS终端上实时呈现数据，实验规律更加直观，适用范围广泛。</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3.装置设有螺口注液器及注液阀门开关，保证全程密封的情况下，注入液体定量可控，可一次或分段多次注入，实验高效且保证安全性。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4.装置设有泄压阀 ，压强过高时会自动泄压，充分保证了实验的安全性。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5.透明瓶体设计，便于观察实验现象，可从多维度了解实验。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6.与传感器适配性好，轻松搭建密封的实验环境，减轻准备器材的负担，轻松满足演示及分组实验，让课堂教学更高效。</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242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酸度计(pH计)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1、笔式，测量范围：0.0～14.0pH；</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2、分辨率：0.1pH；</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3、精度：±0.1pH（20℃）；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4、工作环境：0～50℃RH〈95%；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5、校正：一点校正。</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33</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243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钻头</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规格范围：直径 1 mm ～ 13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柄部类型：直柄（圆柱柄）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材质：高速钢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刃型：标准双螺旋槽，定心好、排屑顺畅</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适用材料：木材、塑料、铝合金、薄钢板等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表面处理：本色 / 氧化发黑，防锈耐磨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匹配设备：φ1–13mm 台钻、手电钻</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长度：随直径递增，典型总长 40～100 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244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抽气盘</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1、本套仪器由抽气盘，塑料钟罩，电铃,橡胶密封圈等组成；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2、钟罩的外径为180mm,属高强度透明塑料制品，透明度良好。</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245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向心力实验器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向心力实验器1、产品结构：本仪器由底座、传动部分、塑料转盘、弹簧装置、金属球等组成。</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246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手持修边机架 </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最大跨距：150mm，通过定心销进行圆铣（100mm-400mm)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247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钴玻璃片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光学核心：强吸收 570–590 nm 钠黄光，透过 450–495 nm 蓝光，可清晰观察钾的紫色焰色；滤除 250–320 nm 有害紫外；分色号：3–4 号（实验室常用）、6–7 号（工业高温观火）</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规格尺寸</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常规片：50×50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厚度：3 mm（实验室标配）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边缘：可磨边 / 倒角，防划伤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材质与成分：硅酸盐玻璃基体，添加氧化钴（CoO≈0.5%）着色；SiO₂为主，含少量 Na₂O、CaO 等；耐高温型可承受 380℃以上短期高温</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248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安培力演示器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1、励磁方式：永磁式（分立平行放置的匀强磁铁）；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2、直导线：a、直径：Φ1.6mm紫铜线。b、长度：150mm(磁感线段)；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3、工作电源：a、3V-6V。</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249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升力</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1、设备参数：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规格：0.9×0.6×1m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电源：AC220V/50Hz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功率：500W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展台：采用新型复合材料，经高温模铸压工艺成型。具备优良的电气绝缘性、耐腐蚀性、环保无毒、优异的耐紫外线抗老化性能，阻燃性可达到FVO级，使用寿命长，永不变色的特性。简约时尚的蛋壳造型展台，在满足展示载体的同时，让原本厚重的展台变得更加灵动。场景百搭是它展陈的核心优势，其独特的外观能更好的融入于各种场景空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台面：康贝特板，厚度≧10mm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展台固定脚：碳钢表面电镀钢板厚度≧2mm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部件：风机、支架、机翼、控制、6V低压安全防水按钮等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2、功能描述：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展示了伯努利现象。当气流通过机翼时，由于机翼的形状造成上方流速快，压强小；下方流速慢，压强大。机翼上方的飘带产生“下洗”现象；机翼下方的飘带产生上升现象。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3、操作说明：</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观众按下启动按钮，即可演示。</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250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蹄形磁铁</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1、铝铁碳，80mm；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2、教学用磁钢极性标注，指北极（N）为红色，指南极（S）为白色或蓝色；N、S字母的颜色为蓝色或白色；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3、试验后磁感应强度不小于第1条的要求。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251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燃气轮机模型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缸内剖视体、外气缸、叶轮支架、压气机叶轮、燃烧室剂体、透平叶轮、叶轮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外形尺寸:280*120*140mm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材质：金属、有机玻璃</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252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工具组套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包含：1.精密台钳；2.通用夹持器；3.笔形砂光机（12v）；4.精密钻铣机（12v）；5.手持曲线锯（12v）；6</w:t>
            </w:r>
            <w:r>
              <w:rPr>
                <w:rFonts w:hint="eastAsia" w:ascii="宋体" w:hAnsi="宋体" w:cs="宋体"/>
                <w:color w:val="000000"/>
                <w:sz w:val="20"/>
                <w:szCs w:val="20"/>
                <w:lang w:bidi="ar"/>
              </w:rPr>
              <w:t xml:space="preserve">.工具夹持器；7.12v直流电源变压器；8.电子游标卡尺；9.延长软轴；10.打磨头；11.切断片；12.砂轮组片（2红2绿）；13.钻头；14.口罩；15.手持曲线锯配件（锯条2根，扳手1支，保护盖1个）；16.护目镜；17.内六角扳手；18.镊子；19.1m卷尺；20.环保木工胶；21.笔型砂光机配件（头柄8支，砂纸1套）；*22.拉杆式工具箱。功能强大的钻铣、打磨、切割一站式便携移动工作。特制低噪音、大扭矩直流电机，为学生们在各种比赛现场提供了稳定、高效、精准的工作体验，轻松完美诠释使用者的创意理念。</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253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嵌入式锯片 宽度14mm</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锯片类型：嵌入式开槽锯片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有效宽度：14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外径：常用 65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内孔径：10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材质：硬质合金刀头 + 钢基体</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254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烧杯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2、规格：500mL，烧杯上标志应清晰、耐久，造型规范、薄厚均匀、无明显偏斜，底部不允许有结石、节瘤存在；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3、放在上不应旋转或摇晃；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4、当向外倾倒液体时，液体呈一束细流流出，不应外溢，不应沿壁外流。</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255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微型台式砂轮机 </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1、砂轮直径150mm；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2、电压220V，频率50Hz；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3、转速3000r/min；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4、功率370W。</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256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光控开关实验器材套件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光敏电阻、74LS14、51kΩ可变电阻、发光二极管、330Ω电阻。</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257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PP仪器柜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1、规格：≥1000mm*500mm*2050mm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2、材质：PP材质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3、柜体：侧板，顶板及底板采用增强型PP材质，一次注塑成型。表面做磨砂处理，结构紧密，耐腐蚀性强。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4、上柜门：采用增强型PP材质一次注塑成型，外嵌≥4mm厚钢化烤漆玻璃，中间烤漆镂空制作透明可视。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5、下柜门：采用增强型PP材质一次注塑成型，外嵌≥4mm钢化烤漆玻璃。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6、层板：配三块活动层板（上柜二块，下柜一块），每块层板尺寸为增强型PP材质一次注塑成型，承重不低于20公斤。层板可以抽取，自由组合各层空间。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7、门铰链：用增强型PP材质一次注塑成型，内嵌隐藏安装方便，耐腐蚀。</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8、柜体预留通风孔，可以与通风管路连接。</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258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一字螺丝刀</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1、规格150mm；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2、旋杆采用45#钢，工作部硬度不低于HRC48；</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3、手柄采用绝缘材质，外形根据人体工程学设计，手感舒适；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4、旋杆应经镀鉻防锈处理；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5、旋柄表面光洁、无毛刺，无缩迹。</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259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条形盒测力计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1、产品为组装式，1N；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2、产品必配部件:壳体1个；弹簧1个；面板1块；带钩指针1个；提手1个；</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3、壳体由塑料制作；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4、弹簧：由金属制成，表面防锈处理；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5、面板：由金属制成，防锈处理。</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260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油膜实验器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工程塑料φ20cm，由盛水盘、刻度板、油酸、痱子粉、注液器、滴管、铅笔等组成。</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261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顶部电源供应装置模块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1、顶部电源供应装置模块：外形整体规格：≥200mm*200mm*150mm，材质采用ABS工程塑料模具注塑一次成型，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2、供应装置模块顶部配有固定电缆线防水接头，四周预留了高、低压电源位置，底部中间配有一个限位开关，底部有四个软胶落地脚；</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262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饮水鸟</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外形尺寸：高约 190～210 mm，底座约 80×50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结构组成：玻璃主体、头部绒布、尾部配重、支架、玻璃嘴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工作介质：易挥发性液体（二氯甲烷 / 乙醚类教学安全型）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工作原理：利用蒸发吸热→气压差→重心变化实现往复摆动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工作条件：室温 15～30℃，头部沾水即可连续摆动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摆动频率：约 10～20 次 / 分钟</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263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护目镜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类型：防溅护目镜 / 化学实验护目镜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镜片材质：聚碳酸酯（PC），抗冲击、防刮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镜片厚度：≥1.0 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137</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264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旋转的银蛋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1、设备参数：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规格：0.9×0.6×1m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电源：无需用电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功率：无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展台：采用新型复合材料，经高温模铸压工艺成型。具备优良的电气绝缘性、耐腐蚀性、环保无毒、优异的耐紫外线抗老化性能，阻燃性可达到FVO级，使用寿命长，永不变色的特性。简约时尚的蛋壳造型展台，在满足展示载体的同时，让原本厚重的展台变得更加灵动。场景百搭是它展陈的核心优势，其独特的外观能更好的融入于各种场景空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台面：康贝特板，厚度≧10mm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展台固定脚：碳钢表面电镀钢板厚度≧2mm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部件：有机玻璃、磁铁、金属蛋等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2、功能描述：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本展品主要由三个可旋转磁块、一只金属蛋、透明圆盘和手轮组成。三个磁块在圆盘的下方互成120度夹角放置，为方便观众观看，圆盘采用透明材料，金属蛋放置在圆盘上方，为防止观众触碰到展品，外部用有机玻璃罩罩住。观众转动手轮，磁块旋转产生旋转磁场。而金属蛋是闭合的导体，线圈所形成的旋转磁场会使金属蛋中产生感生电流，并形成磁场，两个磁场相互作用使银蛋旋起来。于银蛋的质量分布不均匀，是偏心的，因此当银蛋旋转时，在离心力、重力以及摩擦力的作用下它便竖立了起来。</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3、操作说明：</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观众转动手轮，看看银弹会发生怎样的变化。</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265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量筒</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1、标称容量：500mL，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3、底座和口部边缘应做熔光处理，口边应与量筒的轴线垂直；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4、量杯放在上，不应摇晃；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5、当从量杯向外倾倒液体时，液体呈一束细流流出，不应外溢，不应沿壁外流；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6、外表面和内表面不应有破皮气泡和薄皮气泡、密集小气泡和积水条纹存在。</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266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全室供电线路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1、线管：≥DN25mm国标阻燃PVC线管；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2、电线：国标铜芯线≥4m²、≥2.5㎡；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3、信号控制线：RVVP 聚氯乙烯护套纯无氧铜屏蔽≥2芯线；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4、模块化设计，每组模块间采用活接式连接，方便安装、检修。</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项</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267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氢燃料电池演示器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2个质子交换膜电极，膜电极≥33㎜×33㎜，电表两个。</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268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无线数智小车</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包含智能小车*2辆、智能风扇模块</w:t>
            </w:r>
            <w:r>
              <w:rPr>
                <w:rFonts w:hint="eastAsia" w:ascii="宋体" w:hAnsi="宋体" w:cs="宋体"/>
                <w:color w:val="000000"/>
                <w:sz w:val="20"/>
                <w:szCs w:val="20"/>
                <w:lang w:bidi="ar"/>
              </w:rPr>
              <w:t xml:space="preserve">、智能弹射模块、矢量显示模块、智能驱动模块、轨道及附件、配套软件。智能小车能够同时测量位移、速度、加速度、力、角速度物理量，可以测出单个或多个变量变化的规律，描绘相应的曲线。智能小车内置的蓝牙无线模块，与计算机、平板电脑、手机无线连接，在软件上显示出测量数据或实验图线，可以在多多终端使用。内置弹射装置，为小车提供三种初始速度，可通过触摸按键启动或通过软件启动。智能小车有2个智能附件连接接口，可同时连接智能风扇模块、智能弹射模块、智能驱动模块、矢量显示模块其中两个模块。可在软件上对智能模块进行参数设置和控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智能小车至少满足以下主要技术参数：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1、力：测量范围：±20N；分度：≤0.001N；精准度：±0.01 N； 数据无线最高采样率：2000Hz。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位移：测量范围：-9999.9 mm ~9999.9mm；分度：≤1mm；精准度：±3mm；数据无线最高采样率：2000Hz。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速度：测量范围：±3m/S；最大速度：±3m/S；分度：≤0.001m/s；精准度：±0.01m/s；数据无线最高采样率：2000Hz；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加速度：测量范围：±156.8m/S2 （±16g）；分度≤0.001m/S2；精准度：±0.01m/S2；数据无线最高采样率：2000Hz；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陀螺仪：测量范围：±2000°/S；分度≤1°/S；精准度：±3°/s；数据无线最高采样率：2000Hz。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2、内置弹射装置，为小车提供三种初始速度，可通过触摸按键启动或通过软件启动。可在软件上对智能模块进行参数设置和控制。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3、可应用于Windows、Android、iOS、麒麟、统信、鸿蒙等操作。</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269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水止皮管夹</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1、水止皮管夹用钢丝拧制而成，弹性良好，夹持牢靠，表面作镀铬处理。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2、成型规整，表面无锈蚀。</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270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滴定管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标称容量：50 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分度值：0.1 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容量允差（A 级）：±0.05 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最小读数：0.05 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材质：玻璃（酸式 / 碱式通用）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流出时间：60～90 s</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271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磁力加热搅拌器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1、搅拌容量：不小于500ml；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2、搅拌速度：无级调速0-1250转/分；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3、加热温度：室温至400℃；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4、控温方式：自动；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5、工作电压：220V/50Hz，加热功率：200W，电动功率25W。</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272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硫酸接触室模型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1、产品为接触法制硫酸的接触室缩小模型，外壳可局部剖开，能看清其内部结构；接触室内上部和下部各有一层触媒，两触媒层之间为热交换器；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2、触媒层应显示出黄色圆柱状固体颗粒，与热交换器之间应留有空隙；热交换器采用列管式，应表现出其内部立体结构；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3、气体的各进、出口的位置应正确，热交换器上部的热气体出口与接触室顶部的进口之间应用导管相连；</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4、在各个适当部位用箭头标示气体的走向，箭头方向必须正确；产品的主要结构应用标签注明，标注应准确、清晰、牢固；各部件应比例适当，位置正确，连接牢固，不得因正常震动、碰触而开裂、松脱。</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273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滴定管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2、碱式，50mL，内应力消除：在偏光仪下呈紫色；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3、刻度标示清晰、均匀。</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274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嵌入式锯片 宽度8mm</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锯片宽度：8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外径：65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内孔径：10 mm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基体材质：优质钢板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刃口材质：硬质合金 / 金刚砂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适用设备：微型台钻、小型切割机</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275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焦耳定律演示器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1、由贮气盒、标准电阻、气门螺帽、连接软管、红色液体、玻璃管、刻度线等组成；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2、电源电压：DC：0～6V；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3、工作电流：＜2A；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4、标准电阻：4Ω±0.5Ω。</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276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牛顿环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由球面玻璃和平面玻璃组成，平凸透镜的曲面半径20mm以上，直径25mm以上。</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277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盖革计数器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产品由计数器、探测器及其连线组成。仪器主要技术参数：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1、工作电压：交流220V±10%，50Hz；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2、盖革计数器的本底计数率不大于40次/分；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3、探测器采用J401α、β、γ型计数管。。</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278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电池盒</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1、仪器可放置1节1号电池；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2、各触点使用不锈钢材料；要求接触良好，整体结构结实牢固；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3、可串并联。</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279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斧</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采用60号络钒钢，整体淬火处理。</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电工材料</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鳄鱼夹、插口夹、香蕉插头、电阻丝、锌片、铜片、灯泡(15W、60W)、小电池(5号、纽扣、太阳电池)、保险丝、保险管(不同规格的合金熔丝、保险管)、焊锡、绝缘胶布、导线等。</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Style w:val="968"/>
                <w:rFonts w:hint="default"/>
                <w:lang w:bidi="ar"/>
              </w:rPr>
              <w:t xml:space="preserve">细口瓶</w:t>
            </w:r>
            <w:r>
              <w:rPr>
                <w:rStyle w:val="969"/>
                <w:rFonts w:hint="default"/>
                <w:lang w:bidi="ar"/>
              </w:rPr>
              <w:t xml:space="preserve"> </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2、规格：棕色，125mL；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烧杯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2、规格：25mL，烧杯上标志应清晰、耐久，造型规范、薄厚均匀、无明显偏斜，底部不允许有结石、节瘤存在；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3、放在上不应旋转或摇晃；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4、当向外倾倒液体时，液体呈一束细流流出，不应外溢，不应沿壁外流。</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200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探究安培力的方向与电流方向、磁场方向的关系</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Style w:val="968"/>
                <w:rFonts w:hint="default"/>
                <w:lang w:bidi="ar"/>
              </w:rPr>
              <w:t xml:space="preserve">规格：460*360*90mm</w:t>
            </w:r>
            <w:r>
              <w:rPr>
                <w:rStyle w:val="968"/>
                <w:rFonts w:hint="default"/>
                <w:lang w:bidi="ar"/>
              </w:rPr>
              <w:br/>
            </w:r>
            <w:r>
              <w:rPr>
                <w:rStyle w:val="968"/>
                <w:rFonts w:hint="default"/>
                <w:lang w:bidi="ar"/>
              </w:rPr>
              <w:t xml:space="preserve">实验目的：演示安培力的方向与电流方向、磁场方向的关系。</w:t>
            </w:r>
            <w:r>
              <w:rPr>
                <w:rStyle w:val="968"/>
                <w:rFonts w:hint="default"/>
                <w:lang w:bidi="ar"/>
              </w:rPr>
              <w:br/>
            </w:r>
            <w:r>
              <w:rPr>
                <w:rStyle w:val="968"/>
                <w:rFonts w:hint="default"/>
                <w:lang w:bidi="ar"/>
              </w:rPr>
              <w:t xml:space="preserve">实验器材安培力演示器(由底座、磁极框架、磁铁、接线柱、刻度盘支架、刻度盘、指针、通电线框等组成)、教学电源、单刀开关、滑动变阻器、导线。</w:t>
            </w:r>
            <w:r>
              <w:rPr>
                <w:rStyle w:val="968"/>
                <w:rFonts w:hint="default"/>
                <w:lang w:bidi="ar"/>
              </w:rPr>
              <w:br/>
            </w:r>
            <w:r>
              <w:rPr>
                <w:rStyle w:val="968"/>
                <w:rFonts w:hint="default"/>
                <w:lang w:bidi="ar"/>
              </w:rPr>
              <w:t xml:space="preserve">实验内容:</w:t>
            </w:r>
            <w:r>
              <w:rPr>
                <w:rStyle w:val="968"/>
                <w:rFonts w:hint="default"/>
                <w:lang w:bidi="ar"/>
              </w:rPr>
              <w:br/>
            </w:r>
            <w:r>
              <w:rPr>
                <w:rStyle w:val="968"/>
                <w:rFonts w:hint="default"/>
                <w:lang w:bidi="ar"/>
              </w:rPr>
              <w:t xml:space="preserve">1.演示磁场对通电导线的作用力和作用方向将演示器的 1、3接线柱接入电路中，接通电源(3~6V)，看到指针发生偏转，说明线框在磁场内受到力的作用，这个力就是安培力。改变电流方向，可发现指针偏转的方向也改变，说明安培力的方向与电流方向有关。</w:t>
            </w:r>
            <w:r>
              <w:rPr>
                <w:rStyle w:val="968"/>
                <w:rFonts w:hint="default"/>
                <w:lang w:bidi="ar"/>
              </w:rPr>
              <w:br/>
            </w:r>
            <w:r>
              <w:rPr>
                <w:rStyle w:val="968"/>
                <w:rFonts w:hint="default"/>
                <w:lang w:bidi="ar"/>
              </w:rPr>
              <w:t xml:space="preserve">2. 演示安培力的大小与电流大小的关系</w:t>
            </w:r>
            <w:r>
              <w:rPr>
                <w:rStyle w:val="968"/>
                <w:rFonts w:hint="default"/>
                <w:lang w:bidi="ar"/>
              </w:rPr>
              <w:br/>
            </w:r>
            <w:r>
              <w:rPr>
                <w:rStyle w:val="968"/>
                <w:rFonts w:hint="default"/>
                <w:lang w:bidi="ar"/>
              </w:rPr>
              <w:t xml:space="preserve">将演示器的接线柱接入电路中，调节滑动变阻 器，减小其阻值以增大电路中的电流强度(电流强度 的大小可接入电流表来显示),可发现指针偏转的角 度随电流的增大而增大，可定性说明安培力的大小 与电流强度成正比。</w:t>
            </w:r>
            <w:r>
              <w:rPr>
                <w:rStyle w:val="968"/>
                <w:rFonts w:hint="default"/>
                <w:lang w:bidi="ar"/>
              </w:rPr>
              <w:br/>
            </w:r>
            <w:r>
              <w:rPr>
                <w:rStyle w:val="968"/>
                <w:rFonts w:hint="default"/>
                <w:lang w:bidi="ar"/>
              </w:rPr>
              <w:t xml:space="preserve">3.演示安培力的大小与导线长度的关系</w:t>
            </w:r>
            <w:r>
              <w:rPr>
                <w:rStyle w:val="968"/>
                <w:rFonts w:hint="default"/>
                <w:lang w:bidi="ar"/>
              </w:rPr>
              <w:br/>
            </w:r>
            <w:r>
              <w:rPr>
                <w:rStyle w:val="968"/>
                <w:rFonts w:hint="default"/>
                <w:lang w:bidi="ar"/>
              </w:rPr>
              <w:t xml:space="preserve">将演示器的接线柱接入电路中，调节滑动变阻器使其偏转一定角度，然后保持电路中电流大小不变将演示器的 其它接线柱分别接入电路中，可发现指针偏转角度随通电导线的长度的减小而减小，通过实验可说明安培力的大小 与通电导线的长度成正比。</w:t>
            </w:r>
            <w:r>
              <w:rPr>
                <w:rStyle w:val="968"/>
                <w:rFonts w:hint="default"/>
                <w:lang w:bidi="ar"/>
              </w:rPr>
              <w:br/>
            </w:r>
            <w:r>
              <w:rPr>
                <w:rStyle w:val="968"/>
                <w:rFonts w:hint="default"/>
                <w:lang w:bidi="ar"/>
              </w:rPr>
              <w:t xml:space="preserve">4. 演示安培力的大小与磁感应强度的关系</w:t>
            </w:r>
            <w:r>
              <w:rPr>
                <w:rStyle w:val="968"/>
                <w:rFonts w:hint="default"/>
                <w:lang w:bidi="ar"/>
              </w:rPr>
              <w:br/>
            </w:r>
            <w:r>
              <w:rPr>
                <w:rStyle w:val="968"/>
                <w:rFonts w:hint="default"/>
                <w:lang w:bidi="ar"/>
              </w:rPr>
              <w:t xml:space="preserve">将演示器的接线柱接入电路中，保持电流强度不变，将上下磁极距离调大，以减小磁感应强度，发现指针偏转的 角度减小。定性说明安培力的大小与磁感应强度的大小成正比。</w:t>
            </w:r>
            <w:r>
              <w:rPr>
                <w:rStyle w:val="968"/>
                <w:rFonts w:hint="default"/>
                <w:lang w:bidi="ar"/>
              </w:rPr>
              <w:br/>
            </w:r>
            <w:r>
              <w:rPr>
                <w:rStyle w:val="968"/>
                <w:rFonts w:hint="default"/>
                <w:lang w:bidi="ar"/>
              </w:rPr>
              <w:t xml:space="preserve">实验原理：</w:t>
            </w:r>
            <w:r>
              <w:rPr>
                <w:rStyle w:val="968"/>
                <w:rFonts w:hint="default"/>
                <w:lang w:bidi="ar"/>
              </w:rPr>
              <w:br/>
            </w:r>
            <w:r>
              <w:rPr>
                <w:rStyle w:val="968"/>
                <w:rFonts w:hint="default"/>
                <w:lang w:bidi="ar"/>
              </w:rPr>
              <w:t xml:space="preserve">通电线框(导体)在匀强磁场中受安培力的作用时发生偏移，同时线 框受自身重力在水平方向的分力的作用，当二者达到平衡时线框平面偏 转到某一角度静止(角度越大所受安培力越大),这个偏转的角度通过指 针放大显示在刻度盘上。</w:t>
            </w:r>
            <w:r>
              <w:rPr>
                <w:rStyle w:val="968"/>
                <w:rFonts w:hint="default"/>
                <w:lang w:bidi="ar"/>
              </w:rPr>
              <w:br/>
            </w:r>
            <w:r>
              <w:rPr>
                <w:rFonts w:hint="eastAsia" w:ascii="宋体" w:hAnsi="宋体" w:cs="宋体"/>
                <w:b/>
                <w:bCs/>
                <w:color w:val="000000"/>
                <w:sz w:val="20"/>
                <w:szCs w:val="20"/>
                <w:lang w:bidi="ar"/>
              </w:rPr>
              <w:t xml:space="preserve">备注：选择性必修二-P3</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打气筒</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产品由气筒、踏脚、活塞、活塞杆、手柄、橡胶管、气针夹等组成。</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主体材料、尺寸：水龙头总整高度≥535mm。主体：采用≥ø20*2mm管径的不低于黄铜制造。直管：采用≥ø13*1.0mm管径的不锈钢制造。臂管：采用≥ø13*1.0mm管径的不锈钢制造。鹅颈弯管：采用≥ø13*1.0mm管径的不锈钢制造，可360°旋转。</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2、涂层:涂层经亚光环氧树脂耐酸碱粉末涂料热固处理，耐腐蚀、耐热，防紫外线辐射。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3、陶瓷阀芯：90°旋转，使用寿命开关要求达到≥20万次，静态最大耐压≥10bar。</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4、开关旋钮:高密度PP，人体工学设计，手感舒适。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194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无线数显心率传感器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显示/无线/存储模块：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1.独立模块化结构，与各种传感器组合使用，具备独立数据显示、数据存储、数据上传功能。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2.接入后自动识别传感器，实时显示传感器测量数据，支持多值传感器数据显示及存储，数据显示屏刷新频率10Hz；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3.1.77寸（±0.1寸）彩屏，采用智能接口与传感器连接，接口具有方向性和自锁功能，可以防止传感器在使用过程中脱落，保证数据传输稳定；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4.屏幕可显示二维码，通过移动终端设备扫描二维码进行无线连接，采用蓝牙4.0传输协议，可将传感器测量数据实时传输到APP。</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5.设有按键开关，工作状态下，可通过调动按键开关切换数据显示和二维码界面；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6.通过移动终端设备可设置数据显示精度以及数据调零，可对数据进行描点绘图处理。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7.可将模块存储的测量数据导出至计算机进行数据分析（兼充电）；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8.支持Android、iOS 、Windows、鸿蒙操作；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9.采用充电锂电供电，电池电压3.7V，容量1100mAh，待机时间10小时，采用microUSB充电接口；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10.数据存储频率5Hz，存储容量最大262,144个数据点。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功能模块：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1.用于测量人体的实时心率大小以及心跳脉动波形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2.性能：测量范围：0～200次；最大采样率：5KHz；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3.原理：传感器敏感器件为专用指夹。光源和光敏元件置于手指两侧，光源发出的光照射在组织上，经透射后被光敏元件接收，通过传感器电路将脉动的光强度信号转变为电信号。</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4.结构：血氧探头OEM300-AL，长度1米。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5.传感器尺寸：80*40*25(mm)，由高强度塑料外壳封装，采用注塑工艺，材质为蓝色透明PC。外壳设计M5螺丝孔位，可将传感器固定在多种操作和装置上；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6.传感器数据处理电路为双主板设计，采用技术成熟的SMT生产工艺，可保证传感器经久耐用，数据传输稳定、持续；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7.采用智能接口，输出数字信号，接口具有方向性和自锁功能，可以防止传感器在使用过程中脱落，保证数据传输稳定；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8.模块化、可热插拔设计，支持有线通讯、无线通讯和屏幕数据显示三种工作方式；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9.可应用于Windows、Android、iOS、麒麟、统信、鸿蒙操作。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10.使用方法：将血氧探头连线接入传感器，预热一分钟后将血氧探头夹在被测人员食指上（注意：血氧探头红色发光侧应在手指指甲一侧），被测人员保持坐立不动，被测手指位置与心脏距离不超过20cm。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带柄铣刀组 6-10mm (4支组)</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规格：6mm、7mm、8mm、10mm 共 4 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柄径：6mm 直柄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刃部材质：高速钢 HSS</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刃型：立铣刀</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适用设备：台钻、小型铣床、手电钻</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盒</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准备台</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1、规格：2400*1200*760mm*760mm±10mm。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2、台面：采用一体化12mm±1mm实芯理化板台面，耐强酸碱、耐腐蚀、耐有机溶剂，抗菌、抗污染、防水、防火，并经精密加工、倒角、打磨，呈光滑半圆形，注重人性化设计，美观实用。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3、台身结构：新型塑铝结构，整体为1200*600*760四张桌架拼接而成。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书包斗：整体尺寸≥480*290*150mm,壁厚≥3.0mm，采用环保型ABS塑料工程一次性注塑成型，在书包斗的前端中心位置注塑出螺孔，通过螺钉将书包斗与中间横梁固定相接，可拆卸易于组装。中间设置内凹圆槽挂凳卡槽，便于收纳、放置实验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5、桌腿：采用工字型压铸铝一次成型，材料表面经高压静电喷涂环氧树脂防护层，耐酸碱，耐腐蚀处理。上腿规格：长≥585mm宽≥56mm高≥90mm，壁厚≥3.0mm。下腿规格：长≥540mm宽≥51mm高≥80mm，壁厚≥3.0mm。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立柱：采用≥41×95mm，壁厚≥1.8mm。前横梁采用≥36×25mm，壁厚≥1.3mm。中横梁采用≥34×25mm，壁厚≥1.3mm。后横梁：采用≥43×26mm，壁厚≥1.3mm。加强横支撑件：采用≥30×60mm椭圆管，壁厚≥1.5mm。材料表面经高压静电喷涂环氧树脂防护层，耐酸碱，耐腐蚀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7、桌腿配有PP脚套装饰盖。</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张</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琼脂糖凝胶电泳实验试剂盒</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主要组分：琼脂糖、电泳缓冲液（1×TAE 或 1×TBE）、上样缓冲液（含指示剂）、核酸染料（安全型）、一次性手套、吸头、离心管等耗材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琼脂糖规格：电泳级，凝胶强度高，电内渗低</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缓冲液类型：TAE / TBE 通用型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核酸染色：安全无毒型染料，替代溴化乙锭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适用胶浓度：0.8%～2.0% 可配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适用片段：100 bp～20 kb 核酸片段</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290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手套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1、产品为橡胶制品，长袖口带五指套；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2、应耐强酸、强碱及氧化剂、还原剂等化学药品试剂的腐蚀，并结实耐用；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3、冬季不得发硬，夏季不得粘连；各部位应完整严密，无开裂和小孔。</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双</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291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突发事件应急演练预警设备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1、主机采用≥7寸LED显示屏触摸控制以及显示，屏幕上分区域显示当前时间、报警模式、设备编号、防区位置、设备在线列表以及联动报警信息；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2、功能按键：≥5个按键，分别为暴力、火灾、地震、空袭、取消报警；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3、12V电源输出：≥1路12V/1A的直流电源输出；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4、后备电池：待机时间≥10小时，工作时间≥10分钟；</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5、通讯：局域网通讯，通讯距离不受限制，内置天线；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6、报警响应时间：≤3秒；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7、电源：AC220V±10%；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8、功耗：≤72W；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9、整机尺寸：≥220*220*60mm；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10、工作温度：-20～60℃(主电工作)；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11、存储温度：-40～80℃；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12、相对湿度：5～95%RH，无凝露；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13、具有“暴力、火灾、地震、空袭”四大突发事件报警功能，可通过对应的触摸屏按键触发警报，支持与突发事件接警设备对接。</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14、主机触发火灾警报按钮及警示语音提示：火灾警报声+（语音：“发生火灾，大家不要惊慌，请捂鼻猫腰，迅速按演习路线有序疏</w:t>
            </w:r>
            <w:r>
              <w:rPr>
                <w:rFonts w:hint="eastAsia" w:ascii="宋体" w:hAnsi="宋体" w:cs="宋体"/>
                <w:color w:val="000000"/>
                <w:sz w:val="20"/>
                <w:szCs w:val="20"/>
                <w:lang w:bidi="ar"/>
              </w:rPr>
              <w:t xml:space="preserve">散到安全区域，不要推挤踩踏”）+火灾警报声；主机触发暴力袭击警报按钮及警示语音提示：110警报声+（语音：“发生暴力袭击，大家不要惊慌，请关好门窗躲避到安全区域．安保人员紧急到岗处理”）+110警报声；主机触发地震警报按钮及警示语音提示：地震警报声+（语音：“地震警报”，大家不要惊慌，请先实施紧急避险，再按演习路线有序疏散到安全区域不要推挤踩踏”）+地震警报声；主机触发空袭警报按钮及警示语音提示：空袭警报声+（语音：“空袭警报”，大家不要惊慌，迅速按演习路线有序疏散到安全区域．不要推挤踩踏”）+空袭警报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15、主机可通过屏幕设置当前防区信息、布防防区位置以及报警模式并将当前报警模式发送给分机；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16、可接收并响应分机触发的突发事件报警；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17、可联动声光报警器进行联动报警输出；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18、可联动多功能智慧语言提示屏进行联动报警输出；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19、具有警报声、语音疏散引导、文字显示警情和上报地点等警示功能；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20、小程序、WEB端可自动显示警报信息；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21、主机可通过连接网络，可以给设定的紧急联系人以电话、短信方式通知警情信息；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22、具有静默功能，用户可通过登录后台，进行参数设置，将模式切换为“禁默模式”，重要时刻可临时禁用警报功能；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23、具有消音复位功能，可通过触摸“取消报警”键复位并消除当前的警报信息，主机可以复位并消除所有的报警设备的警报信息；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24、具有远程管理功能，可通过小程序、WEB端进行用户管理、防区管理、设备管理等；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25、支持智慧烟感探测终端联动报警输入，可触发警报并显示报警信息和位置，可选择自动触发火灾报警；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26、具有备电功能，支持停电运行；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27、具有内置扬声器；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28、具有音频功放输出，可外接大功率扬声器；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29、具有音频信号输出，可外接校园广播；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30、具有12V直流电源输出，可驱动外部警报设备；</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292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演示微电流电阻表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灵敏度：高灵敏度，可检测微弱电流变化</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显示方式：大表盘指针式，刻度清晰，便于课堂演示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功能：可测微电流、电阻，部分兼具检流功能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精度等级：2.5 级（教学演示级）</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293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集屑盘</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使用厚度为1.5mm的钢板制成，粉末涂层。尺寸：388*308*24mm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294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滴定管刷</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1、产品由金属丝和绞合在其上的猪鬃毛制成；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2、应符合JY0001-88《教学仪器产品一般质量要求》的有关规定。</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295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二氧化碳晶体结构模型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氧原子（1孔、天蓝球）30个、碳原子（6孔、黑球）14个、球直径不小于25mm）。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296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静电现象演示组合</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知识点：演示电场的分布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1.静电跳球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外观尺寸：约35cm×20cm×38cm；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配亚克力支架1个；</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铝制横置平行板，φ35cm；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锡纸球1套。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2.平行板电场演示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外观尺寸：约35cm×20cm×38cm；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铝质竖置平行板，φ35cm；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亚克力底板。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3.静电摆球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外观尺寸：约35cm×20cm×45cm；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铝质竖置平行板，φ35cm；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亚克力底板、支架；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镀铝乒乓球1件。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4.配静电高压电源1台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外观尺寸：约35cm×30cm×13cm；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电压输出稳定，0到50kv连续可调；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高清液晶表头；带开关式电位器；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配有专用放电叉；</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297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演示可调内阻电池</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结构类型：气压调节式（含改进型），通过气体压力调节电解液接触面积改变内阻</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内阻调节范围：约 500 Ω ～ 10000 Ω 连续可调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额定电压：3 V ～ 5 V（等效两节干电池级）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调节方式：气压气囊 / 活塞式加压，改变内阻连续平滑可调</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298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磁分子模型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结构组成：透明外壳、大量可自由转动的小磁针 / 微型线圈（模拟分子磁体）、底座、外磁场施加装置（如条形磁铁 / 励磁线圈）</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小磁偶极尺寸均匀，排布密集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调节功能：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无外场：磁偶极随机分布；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加外磁场：可快速呈现整齐排列；</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299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磁场测量综合实验仪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主要实验内容：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1、测量螺旋管的磁感应强度和磁场分布；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2、测量单个圆线圈的磁感应强度和磁场分布；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3、测量亥姆霍兹线圈的磁感应强度和磁场分布；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4、验证毕奥-萨伐尔定律；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5、学习零磁场的实现方法；</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6、测量地磁场水平分量的大小。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主要技术参数：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1、无磁测量：开放式设计，可测量其他线圈的磁场，单匝亥姆霍兹线圈，单匝线圈、直导线等。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2、高精度弱磁场双向一体传感器，磁场测量范围：2mT、20mT双量程自动转换，4位LED数显，一键调零，分辨率≥0.1μT；传感器轴向移动距离≥500mm，径向移动距离±80mm；传感器可自由取下，测量其他磁场。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3、螺线管：线径1.5mm，匝数110匝，允许电流6A。等效长度180mm，等效直径40mm；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#4、电流源：0-8A（稳流）连续可调，3位半LED显示，连续可调；稳定度：≥1*10-4/min；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5、黑色铝合金槽式导轨，双曲线式滑块，无磁设计，快速滑动，无间隙、无回差，导轨长度≥600mm，分辨率≥1mm；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滴瓶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2、规格：60mL；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电阻箱</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四位9999Ω，0.5级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1、学生电阻箱的结构为十进多盘式，电阻处阻值变换方式为开关式；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2、电阻箱参考功率为0.5W，标称使用功率为1W；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3、等级指数0.5%；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4、电阻箱由每个开关触头接触引起的电阻变差不应大于最小步进电阻值允许绝对误差值的50%；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5、在参考条件下，电阻箱的负载功率自参考功率上限值改变到标称使用范围上限值后，在稳定状态下，由自热引起的变差应不超过相应等级指数值。</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蒸馏烧瓶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2、是一个具支管的圆底球体形烧瓶，便于与冷凝管和牛角管等组成蒸馏装置；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3、规格：250mL；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心肌切片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1、标本在80x和200x学生显微镜下观察心肌的结构；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2、在心肌的断面上能看清柱状并具有分枝的肌纤维（肌细胞），胞核呈圆形或椭圆形，位于肌纤维的中央；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3、在肌纤维彼此衔接的地方能看清心肌的特有结构—“闰盘”；</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4、在肌纤维的横断面上能看清肌原纤维和圆形核的横断面结构；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5、在400x镜下能看清肌原纤维上有纤细的横纹；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6、标本取材于哺乳动物的心脏；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7、切片厚度在8μm以内，材料面积不小于4x4mm；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8、用能显示闰盘和横纹的方法染色！要求闰盘、胞核着色明显，横纹清晰，胞质不着色或色淡；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9、呈纵断面的肌纤维应不少于材料面积的2／5；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10、应保持细胞结构正常；</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11、应符合JY67－82《生物玻片标本通用技术条件》的规定；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12、产品应符合JY98－82《心肌切片》的要求。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气压模拟演示器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电源电压10（1）4V，有导向杆配重块透明筒活动圆盘塑料小球、振动板底座、电机调速旋钮电源接线柱电源开关。</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毛细管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0.9-1.1*100mm (500支/桶)</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笔式酸度计</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1、ABS工程塑料外壳；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2、仪器级别：0.01级；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3、测量范围：pH：0.00～14.00。</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垂直电泳槽</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1、聚碳酸脂注塑成型槽体；</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2、可实现原位制胶功能，200V。</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植物立体水晶标本</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1.约φ10*30cm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主要工艺:主要工艺:高透包埋胶工艺，带背板，新鲜植物保持植物的根、茎、叶、花、果，固色干燥处理后，经过第一次透光树脂材料灌入后，将处理过的饮片标本放入树脂材料中，再次加入树脂包埋原材料，经过真空处理，高压处理，高温加热硬化处理,硬化后简单打磨处理,保证成品硬度及透亮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3.配套:专业标签注解。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4.数量不少于26种</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项</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智慧互动教考终端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配备2路高清摄像系统，一路全局录播系统用于实验操作的视频全局录制、存储、和传播实验操作视频信息，用于学业考试时评价学生的实验操作技能水平或平时教学中用于帮助学生检查和纠正实验操作错误。一路细节录播系统，从不同的角度录制实验操作细节部分，是对全局录播有效的补充。</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2、CPU:SOC ≥2.2GHz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屏幕尺寸：≥13英寸</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分辨率：≥1920*1200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网络类型：4G+WiFi</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存储容量：≥256GB</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屏幕分辨率：≥ 1080P</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运行内存：≥ 8GB</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屏幕比例：≥16:10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厚度：7.1-9mm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后置摄像头像素：≥1300W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前置摄像头像素：≥800w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电池容量:≥10000mAh</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屏幕类型:LCD</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310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试管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Style w:val="968"/>
                <w:rFonts w:hint="default"/>
                <w:lang w:bidi="ar"/>
              </w:rPr>
              <w:t xml:space="preserve">1、高硼硅玻璃材质；</w:t>
            </w:r>
            <w:r>
              <w:rPr>
                <w:rStyle w:val="968"/>
                <w:rFonts w:hint="default"/>
                <w:lang w:bidi="ar"/>
              </w:rPr>
              <w:br/>
            </w:r>
            <w:r>
              <w:rPr>
                <w:rStyle w:val="968"/>
                <w:rFonts w:hint="default"/>
                <w:lang w:bidi="ar"/>
              </w:rPr>
              <w:t xml:space="preserve">2、厚薄均匀，不得有刺手现象；规格：试管外径</w:t>
            </w:r>
            <w:r>
              <w:rPr>
                <w:rStyle w:val="971"/>
                <w:lang w:bidi="ar"/>
              </w:rPr>
              <w:t xml:space="preserve">Φ</w:t>
            </w:r>
            <w:r>
              <w:rPr>
                <w:rStyle w:val="968"/>
                <w:rFonts w:hint="default"/>
                <w:lang w:bidi="ar"/>
              </w:rPr>
              <w:t xml:space="preserve">12mm，试管高70mm；</w:t>
            </w:r>
            <w:r>
              <w:rPr>
                <w:rStyle w:val="968"/>
                <w:rFonts w:hint="default"/>
                <w:lang w:bidi="ar"/>
              </w:rPr>
              <w:br/>
            </w:r>
            <w:r>
              <w:rPr>
                <w:rStyle w:val="968"/>
                <w:rFonts w:hint="default"/>
                <w:lang w:bidi="ar"/>
              </w:rPr>
              <w:t xml:space="preserve">3、截面应为适度的圆形；试管口部是熔光的平口；</w:t>
            </w:r>
            <w:r>
              <w:rPr>
                <w:rStyle w:val="968"/>
                <w:rFonts w:hint="default"/>
                <w:lang w:bidi="ar"/>
              </w:rPr>
              <w:br/>
            </w:r>
            <w:r>
              <w:rPr>
                <w:rStyle w:val="968"/>
                <w:rFonts w:hint="default"/>
                <w:lang w:bidi="ar"/>
              </w:rPr>
              <w:t xml:space="preserve">4、管口应平整、光滑，不得有裂口、裂纹存在；试管的底部应基本为半球形。</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350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311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学生端给排水接口</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给排水管接头采用,PVC材质，具有耐酸碱，拔插轻松，不生锈；即插即用，带自动锁紧插功能，带自动止水功能，即使在供水排水工作时，随时拔掉接口不会有任何滴漏现象。#2、水管和快速接头链接采用不锈钢螺纹接口连接，不漏水，维修方便。水管采用金属包塑编织风暴软管，管外部由PVC包塑，内管加厚三元乙丙橡胶材料，抗老化、防爆裂、防生锈、经久耐用。</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312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干燥管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2、规格：U形，Φ15mm×150mm；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3、U形管弯度圆正，不得过分扁瘪歪斜，两管成水平，其高低差不大于5mm；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313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试管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Style w:val="968"/>
                <w:rFonts w:hint="default"/>
                <w:lang w:bidi="ar"/>
              </w:rPr>
              <w:t xml:space="preserve">1、高硼硅玻璃材质；</w:t>
            </w:r>
            <w:r>
              <w:rPr>
                <w:rStyle w:val="968"/>
                <w:rFonts w:hint="default"/>
                <w:lang w:bidi="ar"/>
              </w:rPr>
              <w:br/>
            </w:r>
            <w:r>
              <w:rPr>
                <w:rStyle w:val="968"/>
                <w:rFonts w:hint="default"/>
                <w:lang w:bidi="ar"/>
              </w:rPr>
              <w:t xml:space="preserve">2、厚薄均匀，不得有刺手现象；规格：试管外径</w:t>
            </w:r>
            <w:r>
              <w:rPr>
                <w:rStyle w:val="971"/>
                <w:lang w:bidi="ar"/>
              </w:rPr>
              <w:t xml:space="preserve">Φ</w:t>
            </w:r>
            <w:r>
              <w:rPr>
                <w:rStyle w:val="968"/>
                <w:rFonts w:hint="default"/>
                <w:lang w:bidi="ar"/>
              </w:rPr>
              <w:t xml:space="preserve">40mm，试管高200mm；</w:t>
            </w:r>
            <w:r>
              <w:rPr>
                <w:rStyle w:val="968"/>
                <w:rFonts w:hint="default"/>
                <w:lang w:bidi="ar"/>
              </w:rPr>
              <w:br/>
            </w:r>
            <w:r>
              <w:rPr>
                <w:rStyle w:val="968"/>
                <w:rFonts w:hint="default"/>
                <w:lang w:bidi="ar"/>
              </w:rPr>
              <w:t xml:space="preserve">3、截面应为适度的圆形；试管口部是熔光的平口；</w:t>
            </w:r>
            <w:r>
              <w:rPr>
                <w:rStyle w:val="968"/>
                <w:rFonts w:hint="default"/>
                <w:lang w:bidi="ar"/>
              </w:rPr>
              <w:br/>
            </w:r>
            <w:r>
              <w:rPr>
                <w:rStyle w:val="968"/>
                <w:rFonts w:hint="default"/>
                <w:lang w:bidi="ar"/>
              </w:rPr>
              <w:t xml:space="preserve">4、管口应平整、光滑，不得有裂口、裂纹存在；试管的底部应基本为半球形。</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314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无线数显电导率传感器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显示/蓝牙/存储功能：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独立模块化结构，与各种传感器组合使用，具备独立数据显示、数据存储、数据上传功能。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接入后自动识别传感器，实时显示传感器测量数据，支持多值传感器数据显示及存储，数据显示屏刷新频率10Hz；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1.77寸（±0.1寸）彩屏，采用智能接口与传感器连接，接口具有方向性和自锁功能，可以防止传感器在使用过程中脱落，保证数据传输稳定；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屏幕可显示二维码，通过移动终端设备扫描二维码进行无线连接，采用蓝牙4.0传输协议，可将传感器测量数据实时传输到APP。</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设有按键开关，工作状态下，可通过调动按键开关切换数据显示和二维码界面；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通过移动终端设备可设置数据显示精度以及数据调零，可对数据进行描点绘图处理。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可将模块存储的测量数据导出至计算机进行数据分析（兼充电）；</w:t>
            </w:r>
            <w:r>
              <w:rPr>
                <w:rFonts w:hint="eastAsia" w:ascii="宋体" w:hAnsi="宋体" w:cs="宋体"/>
                <w:color w:val="000000"/>
                <w:sz w:val="20"/>
                <w:szCs w:val="20"/>
                <w:lang w:bidi="ar"/>
              </w:rPr>
              <w:br/>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采用充电锂电供电，电池电压3.7V，容量1100mAh，待机时间10小时，采用microUSB充电接口；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数据存储频率5Hz，存储容量最大262,144个数据点。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注：续航时间和连接的传感器有关，差别较大。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传感器尺寸：77*41*25（mm）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功能模块：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用于测量溶液的导电能力；</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性能：测量范围一：0μS/cm ~20000μS/cm，分度：10μS/cm；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      测量范围二：0μS/cm ~2000μS/cm，分度：1μS/cm；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      测量范围三：0μS/cm ~200μS/cm，分度：0.1μS/cm；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准确度：0μS/cm~200μS/cm档：≤±4μS/cm；0μS/cm~2000μS/cm档：≤±40μS/cm；0μS/cm~20000μS/cm档：≤±400μS/cm；最大采样率：5KHz；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原理：传感器敏感器件为铂黑电极。电极玻璃基座上有两片铂黑电极片，其位置和距离都已固定。电极插入待测液体，在外界电压的作用下溶液中产生电流，通过传感器电路处理后即可转换为电导率（或数值的变化）。</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技术指标：温度范围：0-100℃（玻璃），电缆长度：1m，电极杆长度：150mm，电极杆直径：12mm；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结构：使用BNC连接器方式与电极连接；</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传感器由高强度塑料外壳封装，外壳设有M5螺丝孔位，可将传感器固定在多种操作和实验装置上；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传感器数据处理电路为双主板设计，采用技术成熟的SMT生产工艺，可保证传感器经久耐用，数据传输稳定、持续；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采用智能接口，输出数字信号，接口具有方向性和自锁功能，可以防止传感器在使用过程中脱落，保证数据传输稳定；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模块化、可热插拔设计，支持有线通讯、无线通讯和屏幕数据显示三种工作方式；可支持蓝牙无线数据传输；</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设有量程切换按键，支持硬件切换传感器量程；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可应用于Windows、Android、iOS、统信、鸿蒙操作。</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315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高中静力学演示教具</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每套带支杆单滑轮、尼龙线、桌边夹，小铁环，支杆高度可调。</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316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无线数显气态酒精传感器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显示/无线/存储模块：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1.独立模块化结构，与各种传感器组合使用，具备独立数据显示、数据存储、数据上传功能。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2.接入后自动识别传感器，实时显示传感器测量数据，支持多值传感器数据显示及存储，数据显示屏刷新频率10Hz；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3.1.77寸（±0.1寸）彩屏，采用智能接口与传感器连接，接口具有方向性和自锁功能，可以防止传感器在使用过程中脱落，保证数据传输稳定；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4.屏幕可显示二维码，通过移动终端设备扫描二维码进行无线连接，采用蓝牙4.0传输协议，可将传感器测量数据实时传输到APP。</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5.设有按键开关，工作状态下，可通过调动按键开关切换数据显示和二维码界面；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6.通过移动终端设备可设置数据显示精度以及数据调零，可对数据进行描点绘图处理。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7.可将模块存储的测量数据导出至计算机进行数据分析（兼充电）；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8.支持Android、iOS 、Windows、鸿蒙操作；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9.采用充电锂电供电，电池电压3.7V，容量1100mAh，待机时间10小时，采用microUSB充电接口；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10.数据存储频率5Hz，存储容量最大262,144个数据点。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功能模块：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1.用于测量待测气体中酒精的含量；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2.性能：测量范围：0~2mg/L；准确度：0.2mg/l；最大采样率：5KHz；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3.原理：传感器内的敏感元件为半导体气敏元件。当有被检测气体存在时，空气中该气体的浓度越高，传感器的电导率就越高。使用简单的电路即可将这种电导率的变化转换为与气体浓度对应的输出信号。</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4.结构：传感器尺寸：85*40*25(mm)，由高强度塑料外壳封装，采用注塑工艺，材质为蓝色透明PC。外壳设计M5螺丝孔位，可将传感器固定在多种操作和装置上；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5.传感器数据处理电路为双主板设计，采用技术成熟的SMT生产工艺，可保证传感器经久耐用，数据传输稳定、持续；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6.采用智能接口，输出数字信号，接口具有方向性和自锁功能，可以防止传感器在使用过程中脱落，保证数据传输稳定；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7.模块化、可热插拔设计，支持有线通讯、无线通讯和屏幕数据显示三种工作方式；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8.可应用于Windows、Android、iOS、麒麟、统信、鸿蒙操作。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9.可以完成酵母菌呼吸作用研究、测量气态酒精含量等实验。</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317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细齿锯条 34齿（12支）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规格：全长约 300 mm（12 寸），标准手工钢锯条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齿数：34 齿 / 英寸，细齿型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材质：高碳钢淬火，韧性好、不易折断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齿形：细齿交错分齿，切削顺畅、切面光滑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适用材料：金属管材、薄板、塑料、亚克力等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包装：12 支 / 组</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318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超净工作台</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1、单人单面、外壳全钢结构，不锈钢操作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2、垂直气流、准闭合式玻璃风门（全钢化处理）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3、玻璃升降模式：恒力弹簧升降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4、可任意设置紫外灯预约开启时间和关闭时间（0-9999min)，照明和杀菌系统安全互锁；，具有温度补偿功能，开启温度补偿键，进行温度补偿，便于湿冷环境的操作；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5、具有臭氧浓度检测功能，提示操作区臭氧浓度，超出上限报警。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6、风机具有调速功能，高效过滤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7、控制仪表：4.3寸液晶触摸显示面板，仪表面板分别设有插座、灭菌、风机、照明的轻触式按键。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8、显示功能：可显示温度、湿度、光照度，显示开机时间和持续运行时间。。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9、洁净等级：100级@≥0.5μ M（美联邦209E）；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 菌落数:≤0.5个/皿•时(Φ90mm培养平皿)；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11、平均风速：0.25m～0.45m/s（可调）；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12、噪音  ≤62dB (A)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13、最大功率 130W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14、外型尺寸： W×D×H 825*520*1570mm；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17</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319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托盘天平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1、最大称量200g，分度值0.2g；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2、称量允许误差为±0.5d(分度值)；</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3、砝码组合的总质量（包括标尺计量值）应不小于天平的最大秤量；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4、冲压件及铸件表面应光洁平整，不应有毛刺、锋棱、裂纹和显见砂眼。</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320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烧杯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2、规格：5mL，烧杯上标志应清晰、耐久，造型规范、薄厚均匀、无明显偏斜，底部不允许有结石、节瘤存在；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3、放在上不应旋转或摇晃；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4、当向外倾倒液体时，液体呈一束细流流出，不应外溢，不应沿壁外流。</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200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321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抽滤瓶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2、规格：500mL；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3、底部不允许有结石、节瘤存在；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322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延长软轴 110/P</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采用0.3-3.2mm筒夹头</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323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PH计</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1、三合一pH电极, 带内置温度传感器。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2.超大屏幕白光背景,测量值清晰可见；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3.屏幕具有显示电极斜率图标\测量图标\校准图标\温度图标\错误报警\自动温度补偿图标；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4.PH:</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测量范围:0.00~14.00pH；</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测量精度:±0.01pH；</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校准点:2 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使用校准液:USA (pH4.01, 7.00, 10.01)；</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5.mv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测量范围：-1999~1999mV；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测量精度：±1mV；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连接器 BNC</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6.自动温度补偿范围:0~100°C</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7、测温精度：±1℃</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324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手摇钻</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1、手摇式，不小于300mm,可装0-7mm钻头；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2、其他符合QB/T2210-1996《手摇钻》标准。</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325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吊装安装支架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1、采用厚度≥1mmSPCC冷轧钢板经激光切割、数控冲压、数控折弯成型，生产工业采取模块组合，便于安装，外观流线形设计，简洁美观，表面经环氧树脂粉末静电喷涂、高温固化处理，耐腐蚀。</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2、升降支架采用厚度≥2mm，SPCC冷轧钢板经激光切割、数控冲压、数控折弯成型，表面经环氧树脂粉末静电喷涂、高温固化处理，耐腐蚀。 </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326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胰腺切片(示胰岛)</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标本在80×和200×学生显微镜下观察胰腺（示胰岛）的结构；取材于大鼠；满足教学实验用。</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327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电磁振荡演示仪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振荡模式：阻尼振荡（可观察≥6 个完整周波）、等幅振荡（电子补偿维持振幅）</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显示方式：指针式大电表指示；BNC 接口外接示波器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工作电源：220V 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工作环境：0～40℃，相对湿度＜85%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可调功能：多组电容 / 电感可选，演示周期随 L、C 变化</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安全标准：外壳绝缘，无高压裸露，符合教学仪器安全规范</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328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细口瓶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2、规格：250mL；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180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329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微型热熔胶枪 </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1、规格：含热熔胶枪一把，胶枪采用陶瓷PTC热敏电阻作为发热元件，长温速度快，恒温准确。在100V至240V之间的交流或直流电源中可正常使用。额定频率：50-60HZ、功率：100W，带指示灯和开关。11*190mm胶棒30根；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2、材质：胶枪采用铜嘴，全身优质塑料。</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把</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330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向心力演示器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由机座、变速盘、大皮带轮、小皮带轮、旋臂、示力标尺、压杆、套筒、弹簧、钢球、铝球、驱动机构等组成。</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331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大（铝木）仪器柜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1、规格：1200*500*2000mm±10mm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2、柜体框架：采用模具成型的专用铝合金方管制作，通过ABS专用连接件组装而成，保证连接牢固。铝合金管材的壁厚1.2 mm（误差±0.2 mm）。铝合金型材带凹槽，凹槽的宽度与柜体衬板相匹配，凹槽的深度足够，保证柜体衬板与铝型材之间接缝严密，无晃动现象，不发生脱落。铝合金型材表面需经静电粉沫喷涂处理，整体耐腐蚀、防火、防潮、稳固耐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柜体采用E1级厚度为16mm的沙面白色环保板材，所有板材外露面采用PUR不可逆封边工艺，封边耐热、寒、水蒸气、化学品和溶剂，稳定性强，封边后封边条不可剥离，高密封性不吸水、不膨胀，外型美观、经久耐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4、柜门：上部为专用木框对开玻璃门，下部为对开木门，铝合金拉手。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5、隔板：上柜设置2块活动隔板，下柜设置1块活动隔板。隔板所用的板材与柜体板材相同，厚度不小于16mm。隔板可活动升降，为了维护柜子空间完整及美观度，不得使用升降条等突出形态装置。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6、支脚：采用直径不小于8mm的不锈钢螺杆与ABS工程塑料一次注塑成型的脚垫。</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332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箔片验电器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教师用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1、本产品由外壳、绝缘套筒、导电杆、箔片及中位卡组成；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2、外壳应牢固、平整、底座平稳，透光部分应光洁透明，无气泡及划痕；</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3、圆球或圆盘、导电杆及中位片用金属制成，镀铬抛光后，表面光洁无毛刺。安装后应紧固无松动及歪斜现象；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4、导电杆与外壳间应有绝缘套管，安装后应无明显缝隙。</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对</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333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细口瓶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2、规格：500mL；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334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阴极射线管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结构组成：真空玻璃管、阴极、阳极、偏转电极、荧光屏、支架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显示方式：荧光屏发光显示电子束轨迹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偏转方式：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电场偏转：加直流电压可观察水平 / 竖直偏转</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磁场偏转：用蹄形磁铁靠近可观察弯曲轨迹</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335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阴极射线管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主要结构：灯丝阴极、加速阳极、偏转极板、荧光屏、玻璃真空外壳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显示：荧光屏受电子轰击发光，显示电子束轨迹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演示功能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阴极射线沿直线传播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电场作用下偏转</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磁场作用下偏转（洛伦兹力）</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336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烧瓶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2、规格：圆底，500mL；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3、细口球形平底烧瓶放在上不应旋转或摇晃；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4、烧瓶颈应上下粗细一致，不应有明显的弯曲，不允许有严重的条纹存在，不允许有明显的能目测的铁锈、铁屑存在。</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204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337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智慧环境监测设备</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1、机身一体化成型，采用不小于21寸屏幕，四边进行圆角设计。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24V直流电源供电，可通过传感器模块实现对空气温湿度、光照、甲醛、C02、TVOC、PM2.5实时监测。配合环境监测云，可通过一体机实现室内环境实时监测，也可以通过数据可视化呈现所有布设主机的场景环境监测质量，具有一屏显示整体情况和异常数据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PM2.5监测模块：采用激光散射法监测，PM2.5/PM10测量直径：0.3~1、1~2.5、2.5~10um，测量范围:0~999ug/m3，PM10测量范围:0~999ug/m3，体积颗粒物浓度：PCS/0.1L，最小颗粒直径：0.3um，精度：＜±10%，分辨率：0.1ug/m3，重复性：＜10%，输出信号：瞬时PM2.5、PM10浓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3、挥发性有机化合物监测模块：采用气敏半导体监测原理，测量范围：0~220PPM，精度：＜±20%，分辨率：0.1PPM，灵敏度：＞3，响应时间：＜10秒。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4、甲醛监测模块：在线监测、扩散式检测方法，测量范围：0~2ppm，分辨率：0.01ppm，精度：＜±4%，稳定性：＜±3%，测量重复性：＜±2%，测量灵敏度：1.1±0.5uA（ppm）。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5、CO2浓度监测模块采用红外测量原理，具备温度补偿功能，测量范围：0~5000PPM，测量精度：±4%，分辨率：1PPM，测量重复性：±1%，预热时间≤180秒，响应时间≤60秒。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6、光照监测模块：低量程光照度测量范围：0~70KLUX，光照度测量精度：±7%，光照度分辨率：1LUX16位数字，光照度测量重复性：±5%，测量稳定时间：0.5秒，响应时间：＜1秒。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7、湿度监测模块：湿度测量范围：0~100RH%，测量精度：±3RH%，分辨率：0.1%RH，重复性：±1%RH。</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8、温度监测模块：测量范围：-40~80度，测量精度：±0.5度，分辨率：0.1度，重复性：±0.2度，空气温度漂移：＜±0.1度/年。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9、设备频率容限：≤20ppm、频率范围：2400-2483.5MHz、发射功率：≤20dBm(EIRP)、占用带宽：≤40MHz、杂散发射限制：≤-30dBm。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338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电子束演示器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1、加速极电压：0～200伏连续可调；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2、偏转板电压：电压幅度0～40伏连续可调电压方向：上正、断路、下正三档；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3、电源：220V±10%50Hz4、功率消耗：小于8瓦。</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339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高中微型化学实验箱</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箱体：PP 工程塑料箱，带锁扣，内衬珍珠棉 /eva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微型玻璃 / 耐化学塑料件：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反应容器：井穴板（9/24 孔）、微型试管（5 mL）、具支试管、微型蒸馏 / 回流装置、微型漏斗、滴管（4 mL 多用滴管）；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配套：双导气管塞、微型铁架台 / 支架、橡胶管、止水夹、药匙、镊子；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测量与辅助： /药勺、pH 试纸、表面皿、陶瓷点滴板；</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340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DNA快速杂交仪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1、电源电压:AC220V±10%，50Hz，350W，使用环境:0℃～+40℃，相对湿度:≤90%RH；</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2、温控范围:环境温度+5℃~60℃可调。</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341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拉压测力计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1、产品主要由具有测量性能的耐疲劳弹簧、指针、调节器、分度板等组成；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2、使用时指针在所测力的方向上（无负荷时）必要时对准零位；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3、不在零位时，只要旋动两端的调节器，可使指针移向零位；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4、将测力计固定在支架上或其他能固定的位置上，便可测量拉力或秤物等实验。</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342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左右手定则演示器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1、左右手定则演示器由底座、撑杆、接线板（棒）、方形线圈组成；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2、底座用非金属材料制成，其底部安装垫角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3、产品应符合JY0014－90《左右手定则演示器》的要求。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343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空气压缩引火仪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1.产品由气缸、底座、端盖、活塞等组成。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2.产品应符合JY137-82《空气压缩引火仪》的要求。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344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无线数显电导率传感器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显示/无线/存储模块：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1.独立模块化结构，与各种传感器组合使用，具备独立数据显示、数据存储、数据上传功能。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2.接入后自动识别传感器，实时显示传感器测量数据，支持多值传感器数据显示及存储，数据显示屏刷新频率10Hz；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3.1.77寸（±0.1寸）彩屏，采用智能接口与传感器连接，接口具有方向性和自锁功能，可以防止传感器在使用过程中脱落，保证数据传输稳定；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4.屏幕可显示二维码，通过移动终端设备扫描二维码进行无线连接，采用蓝牙4.0传输协议，可将传感器测量数据实时传输到APP。</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5.设有按键开关，工作状态下，可通过调动按键开关切换数据显示和二维码界面；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6.通过移动终端设备可设置数据显示精度以及数据调零，可对数据进行描点绘图处理。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7.可将模块存储的测量数据导出至计算机进行数据分析（兼充电）；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8.支持Android、iOS 、Windows、鸿蒙操作；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9.采用充电锂电供电，电池电压3.7V，容量1100mAh，待机时间10小时，采用microUSB充电接口；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10.数据存储频率5Hz，存储容量最大262,144个数据点。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功能模块：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1.用于测量溶液的导电能力；</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2.性能：测量范围：0  ~20mS/cm；分度：0.001 mS/cm；准确度：0.6mS/cm(600uS/cm)；最大采样率：5KHz；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原理：传感器敏感器件为铂黑电极。电极玻璃基座上有两片铂黑电极片，其位置和距离都已固定。电极插入待测液体，在外界电压的作用下溶液中产生电流，通过传感器电路处理后即可转换为电导率（或数值的变化）。</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4.技术指标：温度范围：0-100℃（玻璃），电缆长度：1m，电极杆长度：150mm，电极杆直径：12mm；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5.结构：使用BNC连接器方式与电极连接；</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6.传感器由高强度塑料外壳封装，外壳设有M5螺丝孔位，可将传感器固定在多种操作和实验装置上；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7.传感器数据处理电路为双主板设计，采用技术成熟的SMT生产工艺，可保证传感器经久耐用，数据传输稳定、持续；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8.采用智能接口，输出数字信号，接口具有方向性和自锁功能，可以防止传感器在使用过程中脱落，保证数据传输稳定；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9.模块化、可热插拔设计，支持有线通讯、无线通讯和屏幕数据显示三种工作方式；可支持蓝牙无线数据传输；</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10.设有量程切换按键，支持硬件切换传感器量程；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11.可应用于Windows、Android、iOS、统信、鸿蒙操作。</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345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功能柱</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1、规格：≥340*210*740mm；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2、材质：采用工程PP塑料模具一次成型，壁厚≥3mm，不变形，不扭曲，无明显裂纹、凹陷、气泡、缩水等现象。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3、结构：功能柱身分为两块，塑料注塑模一次性成型,以齿合槽配以螺丝连接，拆分组合方便，方便检修桶体内的风管或电线。</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346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微型冲压机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喉深：95mm，行程：80mm，压力：0.5吨，体积：180*270*410mm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347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双金属片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1、双金属片由约0.5mm厚的两种金属片制成；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2、双金属片用铝铆钉铆合，常温下主体平直；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3、手柄为木质。</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348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电磁波的干涉衍射偏振演示器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1、发射器：频率10GHz±1GHz，等幅波输出≥10mW；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2、接收器：喇叭天线接收距离≥1m，振子接收距离≥0.5m，有声、光、电显示。</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349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电谐振演示器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1、发送：放电距离0.2mm～2mm可调，来顿瓶电容≥500pF；</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2、接收：来顿瓶电容≥500pF，可变电容350pF～850pF。</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350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铸铁（0级精度）</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1、规格：400mm×400mm；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2、材质：球墨铸铁，含底角</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351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烧杯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2、规格：1000mL，烧杯上标志应清晰、耐久，造型规范、薄厚均匀、无明显偏斜，底部不允许有结石、节瘤存在；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3、放在上不应旋转或摇晃；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4、当向外倾倒液体时，液体呈一束细流流出，不应外溢，不应沿壁外流。</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352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平抛运动实验器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1、产品材质：钢制喷塑；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2、产品尺寸：仪器高≥37cm，背板宽为25cm；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3、产品由平抛导轨抛球挡驾、钢球、接球槽、小旋组重锤、调平螺栓、底板面板、支杆、磁条组成。</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353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电阻定律实验器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1、仪器由示教板、接线柱、电阻丝、紫铜丝、铁丝组成。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2、各标记点安装红、黑接线柱。</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354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无线充电</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1、设备参数：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规格：0.9×0.6×1.15m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电源：AC220V/50Hz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功率：500W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展台：采用新型复合材料，经高温模铸压工艺成型。具备优良的电气绝缘性、耐腐蚀性、环保无毒、优异的耐紫外线抗老化性能，阻燃性可达到FVO级，使用寿命长，永不变色的特性。简约时尚的蛋壳造型展台，在满足展示载体的同时，让原本厚重的展台变得更加灵动。场景百搭是它展陈的核心优势，其独特的外观能更好的融入于各种场景空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台面：康贝特板，厚度≧10mm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展台固定脚：碳钢表面电镀钢板厚度≧2mm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部件：无线充电原理演示装置、汽车充电演示装置、手机充电装置等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2、展项描述：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无线充电，又称作感应充电、非接触式感应充电，是利用近场感应，也就是电感耦合，由供电设备(充电器)将能量传送至用电的装置，该装置使用接收到的能量对电池充电，并同时供其本身运作之用。由于充电器与用电装置之间以电感耦合传送能量，两者之间不用电线连接，因此充电器及用电的装置都可以做到无导电接点外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3、操作说明：</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（1）按下“原理演示”按钮，左右移动滑动块，观看滑动块接近线圈时的变化；</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（2）按下“汽车充电”按钮，观看汽车的变化；</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（3）按下“手机充电”按钮，将具有无线充电功能的手机放到托盘上，观察手机的变化。</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355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三棱镜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1、产品由三棱镜、托架、支柱、底座等组成；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2、三棱镜体外形为正三棱柱，相邻两角为60±0.5°。</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356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净化灯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1、阳极氧化铝材压铸成型边框；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2、纳米扩散导光板导光系数高达90以上，光色纯正、无炫光无暗区；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3、内外结合封闭性高，防止灰尘进入；</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4、高亮LED芯片，亮度高且柔和不刺眼光线舒适；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5、吸顶式安装，规格：30*120cm。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357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电火花计时器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1、单频率：0.02s，火花距离不小于10mm，平均电流不大于0.5mA塑料材质；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2、由外壳、纸带压板，高压脉冲变压器，印制电路板电源开关，高压脉冲输出插口，墨粉纸盘记录纸带，电频调节开关。</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358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电场线演示器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产品由五块电场线演示板组成，分别为单点电极演示板、双点电极演示板、平行板电极演示板、环形电极演示板、尖形导体演示板。</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359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光电效应演示器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光电效应演示器，锌板及铜丝网，固定轴、光源（紫外灯管，日光灯管各一根）</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360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实验桌1</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1、规格：1200mm*600mm*780mm±10mm。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2、台面：采用≥16mm厚一体实芯黑色胚体实验室工业陶瓷台面。表面为实验室专业耐腐蚀、耐污染、抗冲击釉面。坯体一体实芯，釉面和坯体经高温一体烧结而成。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3.台身结构：新型塑铝结构，整体≥1200*600*780。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4.桌腿：采用工字型压铸铝一次成型，材料表面经高压静电喷涂环氧树脂防护层，耐酸碱，耐腐蚀处理。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5.上腿规格：长≥585mm宽≥56mm高≥90mm，壁厚≥3.0mm。下腿规格：长≥540mm宽≥51mm高≥80mm，壁厚≥3.0mm。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立柱：采用≥41×95mm，壁厚≥1.8mm。前横梁采用≥36×25mm，壁厚≥1.3mm。中横梁采用≥34×25mm，壁厚≥1.3mm。后横梁：采用≥43×75mm，壁厚≥1.3mm。加强横支撑件：采用≥30×60mm椭圆管，壁厚≥1.5mm。材料表面经高压静电喷涂环氧树脂防护层，耐酸碱，耐腐蚀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7.书包斗:尺寸为≥480*290*152mm,壁厚≥3.0mm；采用环保型ABS工程塑料一次性注塑成型。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8.整体结构：台面陶瓷板一体成型，桌身由桌腿、立柱、前横梁、中横梁、后横梁及加强横支撑件组成。                 </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418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张</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361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长颈角磨机 </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研磨砂轮直径为50mm，内孔10mm，电压：220V，功率：350W，转速：15,000rpm，长315mm，重量：约560克，</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362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指针式体重计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1、整体以金属件为主，附测体高装置，体重秤最大称量160千克，最小称量5千克，最小分度值0.5千克；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2、体高计由三根不同直径的圆筒组成，最小分度值0.5cm，误差±0.5cm。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363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凹面镜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1、本仪器由凹面镜、镜框、支架、镜座等组成；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2、凹面镜的基片采用普通玻璃制成，在距基片中心三分之二半径范围内，不得有目测到的气泡、结石和条纹；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3、反射膜镀层应均匀，在距中心三分之二半径范围内不得有色斑、擦痕、印迹等疵病，并应有牢固的保护层。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364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活塞</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2、规格：直形；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3、灯工焊接牢固，焊接处玻管内径以不少于芯孔直径；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4、管口烘光不得有缺损块口；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5、活塞芯孔径应与活塞壳孔对正，出现的偏差不得超过有效孔径的1/3为准；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6、活塞芯手柄不得有割手合缝线，尾部磨平，不得有4mm以上的缺口；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7、活塞芯与活塞壳磨合后，芯、肩应与壳肩齐平，其伸出或缩入最大偏差不得超过1mm为准；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365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平行板电容器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直径≥195mm，由两块铝板面一块塑料圆板。</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366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动能势能演示器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半定量实验。根据不同配置可分别演示：物体的动能跟质量和速度的关系；物体的重力势能跟质量和高度的关系以及物体由于发生弹性形变而具有的弹性势能。</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367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机械停表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1、机械计时仪器，金属外壳，不锈钢发条；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2、最小刻度值0.1秒；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3、独立暂停按钮；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4、指针读数准确。</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368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学生多功能电源模块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1、结构参数：学生多功能电源外壳集成交直流低压电源输出和功能性按钮，中间集成总电源保险装置、急停旋钮。电源配有五孔高压插座，中央配有网络接口。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2、技术要求：电源模块外壳采用阻燃级材质，模具一体成型，面纸采用耐磨、耐腐蚀、耐高温的PC亮光薄膜面板，界面文字清晰美观。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3、学生电源信息显示屏，采用≥1.3寸128*64 OLED屏，显示电压，电流，温度，湿度等信息；对比度优于液晶屏，角度广，更具可读性。具体详细参数如下：直流稳压输出：0-16V，额定电流2A；16-30V，额定电流1A。最小调节单元0.1V。交流电压输出：0~18V，额定电流2A；18V-</w:t>
            </w:r>
            <w:r>
              <w:rPr>
                <w:rFonts w:hint="eastAsia" w:ascii="宋体" w:hAnsi="宋体" w:cs="宋体"/>
                <w:color w:val="000000"/>
                <w:sz w:val="20"/>
                <w:szCs w:val="20"/>
                <w:lang w:bidi="ar"/>
              </w:rPr>
              <w:t xml:space="preserve">30V，额定电流1A。最小调节单元1V。交直流电源具有过载保护智能检测功能，显示“OVER”过载短路保护提示。采用按钮复位功能免除反复过载冲击负载，保护功能更优。外壳配有网络模块接口。二次保护：当摇臂升起时，电源盒上还有未断开的线路或水管时，将会有提示，等待线路或水管拔除后，摇臂将再次自动升起，教师端无需二次操作。外壳配有：两组新国标五孔多功能220V安全插座，插口带保护门，额定电流10A。自由编号:可自行按教室划分编号,编号可独立使用，也可统一，独立使用时教师端可进行每台的单独控制而不影响其它电源的使用。</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369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涡旋振荡器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液体、粉剂、小颗粒等振动混合f=2800次/分</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370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化学反应速率实验器</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Style w:val="968"/>
                <w:rFonts w:hint="default"/>
                <w:lang w:bidi="ar"/>
              </w:rPr>
              <w:t xml:space="preserve">一、组成</w:t>
            </w:r>
            <w:r>
              <w:rPr>
                <w:rStyle w:val="968"/>
                <w:rFonts w:hint="default"/>
                <w:lang w:bidi="ar"/>
              </w:rPr>
              <w:br/>
            </w:r>
            <w:r>
              <w:rPr>
                <w:rStyle w:val="968"/>
                <w:rFonts w:hint="default"/>
                <w:lang w:bidi="ar"/>
              </w:rPr>
              <w:t xml:space="preserve">实验器由2只Y型试管、1组支架、2只</w:t>
            </w:r>
            <w:r>
              <w:rPr>
                <w:rStyle w:val="971"/>
                <w:lang w:bidi="ar"/>
              </w:rPr>
              <w:t xml:space="preserve">φ</w:t>
            </w:r>
            <w:r>
              <w:rPr>
                <w:rStyle w:val="968"/>
                <w:rFonts w:hint="default"/>
                <w:lang w:bidi="ar"/>
              </w:rPr>
              <w:t xml:space="preserve">4mm单孔5号橡胶塞、2只等径气管快速接头、2条外径</w:t>
            </w:r>
            <w:r>
              <w:rPr>
                <w:rStyle w:val="971"/>
                <w:lang w:bidi="ar"/>
              </w:rPr>
              <w:t xml:space="preserve">φ</w:t>
            </w:r>
            <w:r>
              <w:rPr>
                <w:rStyle w:val="968"/>
                <w:rFonts w:hint="default"/>
                <w:lang w:bidi="ar"/>
              </w:rPr>
              <w:t xml:space="preserve">4mm软管、2只泄压阀组成。</w:t>
            </w:r>
            <w:r>
              <w:rPr>
                <w:rStyle w:val="968"/>
                <w:rFonts w:hint="default"/>
                <w:lang w:bidi="ar"/>
              </w:rPr>
              <w:br/>
            </w:r>
            <w:r>
              <w:rPr>
                <w:rStyle w:val="968"/>
                <w:rFonts w:hint="default"/>
                <w:lang w:bidi="ar"/>
              </w:rPr>
              <w:t xml:space="preserve">二、功能</w:t>
            </w:r>
            <w:r>
              <w:rPr>
                <w:rStyle w:val="968"/>
                <w:rFonts w:hint="default"/>
                <w:lang w:bidi="ar"/>
              </w:rPr>
              <w:br/>
            </w:r>
            <w:r>
              <w:rPr>
                <w:rStyle w:val="968"/>
                <w:rFonts w:hint="default"/>
                <w:lang w:bidi="ar"/>
              </w:rPr>
              <w:t xml:space="preserve">与传感器配套使用，可完成探究酶的专一性、比较过氧化氢在不同条件下的分解、探究pH对酶活性的影响、探究温度对生物酶活性的影响等相关实验。</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371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正负电荷检验器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符合教学实验要求，可以检验摩擦起电的电荷，电容等带电体的正负，以及演示静电感应。</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372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Y形试管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尺寸：外径 φ20 mm；分叉角度约 60°，两臂内径匹配，底部连通成 Y 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材质：高硼硅玻璃，耐高温（短时明火 / 水浴 200℃+）、耐强酸强碱腐蚀，壁厚均匀不易炸裂；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容量：φ20×180 mm 总容量约 40 mL，每臂常用工作体积 3–8 mL，适合微型实验；；</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373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三轨竟速</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由三个同等高度不同路径的轨道、钢球、控制器等组成。整体有机玻璃制做。</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374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纯水机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1、产水量：10L/h，水质符合GB6682-1992三级；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2、水通量550L，使用水温5-45℃。</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375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共振音叉</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440Hz，木制共鸣箱一对，击锤一个。</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对</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376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广口瓶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2、规格：125mL；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200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377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容量瓶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1、高硼硅玻璃材质，由瓶体和瓶塞组成；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2、规格：250mL。内应力消除：在偏光仪下呈紫色；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3、刻度线清晰耐久，粗细均匀，平行于瓶底平面；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4、瓶口与瓶塞密合性好。</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17</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378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洗眼器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材质：加厚高硼硅玻璃，耐化学腐蚀、可高温灭菌（煮沸 / 干热）；边缘精细打磨，无毛刺不伤眼周；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常用尺寸：容量多为 50mL；壶身直径 50 mm，壶嘴弧形贴合眼窝；部分带底座 / 支架，便于放置防倾倒；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结构：一体玻璃壶，带导流嘴 / 双杯型；有的带橡胶帽密封，防止洗眼液污染；</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379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净化门</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尺寸：2000mm*800mm，50MM厚硅岩净化板.双面贴膜.企口白灰色，表面喷塑密封，平开门成套配件，带玻璃视窗。</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380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尼龙布</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200目 1米*10米</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381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力的合成分解演示器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1、通过共点力的平衡力系来演示说明力的合成和分解；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2、实验可配合专用作图计算纸或坐标计算纸加以验证。</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382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牛肉膏蛋白胨培养基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满足教学实验用</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383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蒸发皿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1、实验用加热仪器60mm，陶瓷制造；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2、口圆整、光滑，不得有缺口，厚薄均匀，底部平整，不凸凹，放置平面不摇晃，器身不扁瘪；</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3、蒸发皿的形状应规整，不得有裂纹和妨碍使用的熔洞、斑点、缺釉等缺陷；</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4、吸水率：不大于0.3%；</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5、釉的耐酸性：带釉蒸发皿内表面釉的损失量不大于0.01mg/cm2；</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6、釉的高温粘结性：将带釉蒸发皿加热至900℃时，不出现釉粘结现象；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7、热稳定性：产品在高于室温230℃至室温的水中热交换一次，不出现裂痕或色斑；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8、按使用温度可分为：带釉蒸发皿和无釉蒸发皿。带釉蒸发皿使用温度不高于1000℃，无釉蒸发皿使用温度不高于1250℃。</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384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实验箱支架车</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1.专为实验箱设计的移动支架车，可实现多个实验箱的迅速移动，省时省力。</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2.承重60kg，可承载多个实验箱。</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3.有4个万向轮，带刹车，移动方便。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4.便于收纳、运输。</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385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称量瓶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瓶身外径：φ25 mm，瓶高：40 mm，容量 10 mL；材质：高硼硅玻璃（耐温、耐化学腐蚀，可烘箱烘干）。</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386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离子交换柱</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含玻璃纤维和离子交换树脂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387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氨合成塔模型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1、产品为氨合成塔缩小模型，模型外形示塔体及顶盖等；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2、外壳剖开，应能看清塔内的环状空间及塔上部的触媒室和塔下部的热交换器等结构，外壳剖面上示其壁厚；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3、触媒室示触媒层的形态，触媒层应置于多空板上；热交换器采用列管式，应表现出其内部立体结构；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4、中心管直径应不小于热交换器列管直径的两倍，中心管上端应高出触媒层；模型必须正确显示气体在塔内的流动路线，并在各个适当位置用箭头标明方向，反映前后气体的流经区域应用不同颜色加以区别；</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5、产品的主要结构应用标签注明，标注应准确、清晰、牢固；各部件应比例适当，位置正确，连接牢固，不得因正常震动、碰触而开裂、松脱。</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388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指针验电器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1、本产品由两只灵敏度相同的指针验电器组成。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2、壳体应连接牢固；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3、导电杆用金属制成，镀铬抛光后，表面应光洁无毛刺。</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对</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389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热熔胶棒7*100mm（12支）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直径：7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长度：100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适配工具：小号热熔胶枪（20W 左右）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材质：EVA 热熔胶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软化点：约 75～85℃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工作温度：120～160℃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颜色：透明 / 乳白色为主</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特点：固化快、粘接强度适中、无毒无异味</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390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透明水槽</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1、用聚苯乙烯压制而成，透明度良好、不易损坏；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2、外表尺寸：方形300mm×300mm×150mm；（圆形270mm×140mm）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3、产品口底部平整，表面无凹凸不平现象，无擦伤、划痕、裂缝等缺陷。</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391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日光灯原理演示器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电感式镇流器，本仪器由演示板、灯管、启辉器、镇流器、触发开关等组成。</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392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细口瓶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2、规格：125mL；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393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实验室专用试剂架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规格：3300*300*750mm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1、铝合金结构，表面喷涂高温固化匀乳白环氧树脂喷涂理处理，具有较强的耐蚀性能，上下带塑胶模具堵头；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2、试剂架立柱截面尺寸：42mm*82mm,型材壁厚1.2mm；试剂架立柱双面升降槽，侧面双面镶嵌另色色条；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3、试剂架托架1.0mm高强度镀锌钢板，一次性冲压成型；试剂架护栏：护栏壁厚1.2mm，单面镶嵌另色色条。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4、立杆牢固固定于C型钢架底端，层板采用8mm厚的钢化玻璃，安装后用户可根据试剂大小上下高低无级调节。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394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弹簧振子振动图像描绘器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自动稳定走纸，由铝合框体、走纸装置、描迹纸、火花描迹器、气垫式弹簧振子、等组成。</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395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简谐振动投影演示器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工作电压:DC6V-8V，由铝合金框架、激光源、振动弹片及入射镜光屏、电机、反射镜及支架等组成。</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396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烘干箱</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1、材质：外壳采用冷轧钢板制造，表面静电喷塑；内胆为优质不锈钢材料制成；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2、电源电压：AC220（50Hz）。</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397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酵母菌装片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1、标本在100x和400x生物显微镜下观察酵母菌的形态；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2、酵母菌为单细胞卵圆形；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3、在不同的染色情况下，能看清细胞壁、细胞质、细胞核和液泡等；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4、在菌体上可看清出芽生殖，分别具一、二或多个芽；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5、标本取材于人工培养的体大的酵母菌；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6、材料应纯净，无杂菌、污物，不密集成团；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7、应符合JY67－82《生物玻片标本通用技术条件》的规定；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8、产品应符合JY79－82《酵母菌装片》的要求。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398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平口钳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JB/T54481-1999高精度机用平口钳,材质：45#高碳钢锻造，规格：80mm。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399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湿度计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1、注塑成型；为指针式，仪表盘上印有湿度标识；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2、湿度范围：0%RH-100%RH，最小标识：2%RH；</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3、测量误差：30-90%RH时＜7%；</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4、工作湿度：-10℃—+50℃；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5、可部分参考QX/T27《毛发湿度计》标准执行。</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400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水溶性颜料组（红、黄、蓝、绿、黑、白）</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规格：单瓶容量 10 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颜色套装：红、黄、蓝、绿、黑、白，共 6 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类型：水溶性、可水洗、水性颜料</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性状：液体状，色彩鲜艳，易稀释、易混合调色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特点：无毒环保，无强刺激性气味，流动性好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溶解特性：可直接与水混溶，不溶于有机溶剂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401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范氏起电机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1、放电距离：&gt;300mm；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2、最大电流：&lt;30ua；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3、力量：~220v；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4、力量：&lt;100w,蓄电球。</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402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尖形布电器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J2307型，产品由尖形导体（包括内锥体）、绝缘支杆、底座三部分组成。</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403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化学实物周期表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1、设备参数：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规格：约3.5*2m（定制）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电源：AC220V/50Hz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功率：500W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部面：主体背板、显示终端、互动软面、亚克力材料、实物模型、组合功能模块、按钮及控制器等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2、功能描述：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展项整体为透明橱柜展示形式，墙面布满化学元素周期表部分实物及展示背景灯箱。将平面的化学元素周期表转换为三维的实物元素周期表，我们将118个化学元素以实物的形式展示在观众眼前，其中81种元素展示了的单个元素样品，由于部分元素的稀有性和放射性，被排除在外。</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元素周期表适合中学课堂使用的化学元素表。其中可将元素按照不同种类分组，可显示同种元素的多种不同模型，可查看每个元素的详细介绍以及详细属性，如发现年份、性状、燃点、沸点等，甚至可以看到关于不同元素各个常见同位素的知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展示元素标本：氢气、氦气、锂、铍、硼、碳、氮气、氧气、氟、氖气、钠、镁、铝、硅、磷、硫、氯、氩气、钾、钙、钪、钛、钒、铬、锰、铁、钴、镍、铜、锌、镓、锗、砷、硒、溴、氪气、铷、锶、钇、锆、铌、钼、钌粉、铑丝、钯、银、镉、铟块、锡、锑、碲、碘、氙气、铯、钡、镧、铈、镨、钕、钐、铕、钆、铽、镝、钬、铒、铥、镱、镥、铪、钽、钨、铼、锇、铱、铂、金、汞、铅、铋，共计80种实物元素，实物样品多达300种，从正面的每个小方格子能看到放有立体实物元素和相关生活用品实物展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未展示元素图文：锝、钷、钋、砹、氡、钫、镭、锕、钍、镤、铀、铊、镎、钚、镅、锔、锫、锎、锿、镄、钔、锘、铹、鈩、钅杜、钅喜、钅波、钅黑、䥑、鐽、錀、鎶、鉨、鈇、钅莫、鉝、石田、气奥，共计38种元素,由于这些元素无法用肉眼观测，属于稀有元素，所以结合图文灯片进行科普展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含一套《化学元素周期表》互动软面，通过视频和图文介绍了118个化学元素，每个元素都有独立介绍视频或图文，结合生活中的应用场景，生活用品以及安全常识展示了每个化学元素独特的属性。引导观众自主学习，将化学应用到生活中，运用化学知识解决生活中遇见的问题。多种多样的展现形式和互动手段可以让学生们在参观体验的过程中领略到科学精神，享受探索与发现所带来的乐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3、操作说明：</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进入体验区，根据指示牌操作，进行科普互动学习。</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404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智能实验记录本</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记录本：</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1、应用技术:无缘无线电磁压感笔技术；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3、压感级别:2048级压感；</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4、读取速率:200点/秒；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5、EMR分辨率:0.01毫米 （2540 ppi）；</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6、使用纸张:任意普通纸张均可使用（最大支持A4尺寸）；</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7、储存:可存储多达20页的书写内容；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8、电池使用时间:存储/实时模式连续不间断书写时间约15小时；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9、电池容量：可充电锂聚合物电池1000mAh；</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10、充电时间: 2.5个小时；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11、待机时间：1个月以上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12、坐标分辨率：29700*21000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10、圆珠笔芯寿命:约1400米 +/- 20%；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11、状态显示屏:有；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12、LED状态灯：有；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13、要求:·支持蓝牙4.0的设备: iPad Pro, iPad mini, iPad 3, iPad Air 或更新(iOS8 或更新); iPhone 4s 或更新(iOS8 或更新);  Android™ 设备 (Android 4.3 或更新)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14、连接：Bluetooth 4.0, USB</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蓝牙适配器：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教师版需搭配USB接收器采用USB连接实现蓝牙4.0连接，信号强，传输稳定，传输距离可达30米，小巧轻便，即插即用。电脑USB接口支持USB2.0及以上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实验微课模块：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1、纸笔书写板书。真实的纸笔书写感受，原笔迹的数字化呈现；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2、电磁笔可以当书写笔使用，亦可以模拟鼠标使用，提供多功能快捷键，不需要操作电脑，即可通过智能书写笔调整画笔颜色和粗细、擦除、翻页等功能实现微课的制作。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3、微课软件能快速高效导入教师所需的素材，对相应的文档资源进行录制讲解。老师只需要将已经制作好的ppt 、word、pdf、图片等文档导入到微课录制界面，使用电磁笔在纸上进行批注书写</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4、附加书写白板。在讲解PPT等文档操作时，软件右侧可点击增加提供额外的书写白板，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5、鼠标书写。支持使用鼠标或触控设备在屏幕或多媒体触控屏上直接书写；</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微课录制完成后，并且可以实现微课的回放和预览，便于教师查看微课录制效果，支持本地导出微课视频，生成MP4通用的流媒体格式文件，方便用户随时随地播放和应用。采用矢量轨迹的记录方式，视频容量大小约1MB/分钟。</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405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网状砂带 </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砂带尺寸：610*30mm；#100（3件装）</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406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温度计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1、感温物质：水银；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2、全长：290mm；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3、测量范围：0－200℃；最小分度值：1℃；允许误差±1℃，</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4、玻璃应光洁透明，不得有裂痕。毛细管不得有明显的弯曲现象，其孔径应均匀，管壁内应清洁无杂质。</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407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携式直流单双臂电桥</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金属外壳,单双臂,电桥的总有效量程,单臂电桥10~1111000欧姆、双臂电桥10-4~1111Ω。</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408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无线色度计&amp;浊度计</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功能模块：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1.测量范围：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浊度：0~400NTU，分度：0.1 NTU；</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透光率：0～100％，分度：0.1%；</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吸光度：0-3，分度：0.001。</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2.测量波长：色度六种波长：650nm（红色）、600nm（橙色）、570nm（黄色）、550nm（绿色）、500nm（蓝色）和450nm（紫色）；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浊度波长：850nm；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 浊度：0-25NTU ≤±2NTU，</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25-400NTU ≤±5% F.S</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4.传感器由高强度塑料外壳封装，采用注塑工艺，材质为黑色ABS。外壳设计M5螺丝孔位，可将传感器固定在多种操作和装置上；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5传感器数据处理电路为双主板设计，采用技术成熟的SMT生产工艺，可保证传感器经久耐用，数据传输稳定、持续；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6.采用智能接口，输出数字信号，接口具有方向性和自锁功能，可以防止传感器在使用过程中脱落，保证数据传输稳定；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7.模块化、可热插拔设计，支持有线通讯、无线通讯和屏幕数据显示三种工作方式；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8.可应用于Windows、Android、iOS、麒麟、统信、鸿蒙操作。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9.可完成检测生物组织中的蛋白质、浓度对化学反应速率的影响、测定有色溶液的浓度等实验。</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409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阿基米德沉浮子</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1、设备参数：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规格：0.9×0.6×1.5m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电源：无需用电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功率：无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展台：采用新型复合材料，经高温模铸压工艺成型。具备优良的电气绝缘性、耐腐蚀性、环保无毒、优异的耐紫外线抗老化性能，阻燃性可达到FVO级，使用寿命长，永不变色的特性。简约时尚的蛋壳造型展台，在满足展示载体的同时，让原本厚重的展台变得更加灵动。场景百搭是它展陈的核心优势，其独特的外观能更好的融入于各种场景空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台面：康贝特板，厚度≧10mm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展台固定脚：碳钢表面电镀钢板厚度≧2mm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部件：有机玻璃管、打气筒等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2、功能描述：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由内装液体的封闭透明容器、打气筒、沉浮子等构成浸在液体内的物体受到液体对它向上的浮力，当重力与所受液体向上的浮力相等时，该物体可浮于液体中或液面，装置在未充气时，浮子只受重力和浮力作用，处于平衡状态，充气后，气压增大，气体对浮子的压力和向下的重力之和大于液体对浮子的浮力，浮子开始下沉。过一会儿气体泄漏，气体对浮子压力减小，浮力大于重力和气体压力之和，浮子开始上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3、操作说明：</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观众按下操作打气筒，往密封容器内打气，使其内部压力增加，液体的浮力发生改变，当压力足够大时会看到沉浮子没入水中。（每操作完一次后请放气）</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410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1号电池</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每组2个～3个</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411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多用电表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数字式，3-1/2位，电压﹑电流﹑电阻﹑温度测试﹑电容﹑二极管测试。</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412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电源储藏模块装置</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Style w:val="968"/>
                <w:rFonts w:hint="default"/>
                <w:lang w:bidi="ar"/>
              </w:rPr>
              <w:t xml:space="preserve">1、电源储藏模块装置：采用内外双层结构设计，外壳规格：400mm*400mm*140mm(±5mm)，内胆规格：380mm*380mm*90mm(±5mm)，材质采用ABS工程塑料模具注塑一次成型，有效提高光源的聚光性和产品的牢固性，</w:t>
            </w:r>
            <w:r>
              <w:rPr>
                <w:rStyle w:val="968"/>
                <w:rFonts w:hint="default"/>
                <w:lang w:bidi="ar"/>
              </w:rPr>
              <w:br/>
            </w:r>
            <w:r>
              <w:rPr>
                <w:rStyle w:val="968"/>
                <w:rFonts w:hint="default"/>
                <w:lang w:bidi="ar"/>
              </w:rPr>
              <w:t xml:space="preserve">2、四周氛围灯：储藏模块内四周氛围LED光源，规格：≥</w:t>
            </w:r>
            <w:r>
              <w:rPr>
                <w:rStyle w:val="971"/>
                <w:lang w:bidi="ar"/>
              </w:rPr>
              <w:t xml:space="preserve">φ</w:t>
            </w:r>
            <w:r>
              <w:rPr>
                <w:rStyle w:val="968"/>
                <w:rFonts w:hint="default"/>
                <w:lang w:bidi="ar"/>
              </w:rPr>
              <w:t xml:space="preserve">366mm高亮度光源和隔离驱动器，灯罩采用双面磨砂≥1.5mmPC散光板，</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413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植物组织培养基试剂盒</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MS培养基，附适用于月季或菊花生根和发芽的相关激素。</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414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数字切片浏览设备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依据国家新课改普教生物教材的教学要求，完整收录现行教材涉及显微镜教学的全套切片，能同时满足教师演示和学生实验的不同需求，切片显示的组织结构典型清晰，图像颜色均匀自然，同时数字切片资源库的图像由教育界名师对切片结构进行标注，并经专家审核，确保切片的专业性和科学性，更有助于学生准确的认识切片中的微观结构，提高实验教学效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2、将传统显微镜与数字切片互动教学和学习，既注重了学生的操作能力，也培养了学习的简便性与兴趣性，既方便教学课件制作，教师可随心所欲的发挥制作空间，灵活方便，方便规划建立精品课程。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3、设备支持C/S、B/S模式部署，可以手机、平板、电脑可以从本地局域网、校园网、Internet等网络上远程自主学习，也可以开展跨地域的远程教学模式，激发探究热情，实现教育方式的多样化。</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4、显微虚拟数字切片与数码显微镜视频实现无缝结合，数码显微镜实时视频上可叠加图形、文字、图片等。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5、使用中无需实物切片，解决了实物切片的丢失、褪色、损坏问题，减少经费投入。</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6、支持模拟显微镜视场进行观察，让学生有身临其境，实时操作之感受；支持模拟显微镜物镜固定倍率观察，四组固定倍率为：2倍、4倍、10倍、20倍、40倍、100倍，支持1X-100X无级缩放。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7、学生可自主学习并对切片内容进行标注、注解、测量长度、周长、面积等。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8、电子地图导航，提供数字切片全图缩略预览，并可快速定位目标区域。</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9、知识点导航，点击知识点可快速定位到数字切片相应的倍数和位置。</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415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漏斗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1、规格：60mm；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2、口边光滑平整，无毛边、快口及崩缺，角度正确，口边不得呈椭圆形及不规则多边形，斗柄应垂直，下口应磨成45º角，并将斜口边倒角不呈缺口；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3、壁厚均匀，内壁光滑，斗柄接头处不允许严重折皱，斗柄垂直偏正不超过3~5mm。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416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井穴板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1、6孔，5mL×6；</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2、附带双导气管的井穴塞。</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417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防割手套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五级防割，材质防割纤维</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418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手套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1、具有较好耐磨防割性能,具有良好的绝缘性和防护能力；</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2、产品为棉衬里丁腈防化手套表面有小圆型纹路。</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双</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419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电子起电机</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1、放电距离应为 5 mm～10 mm，输出电压对地正负对称；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2、输入DC6V，输出电压范围-17.5 kV～+17.5 kV，短路电流不大于500µA。</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420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液体表面张力实验器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由六种不同的几何形状的金属丝线框组成，半球环、双环、棉线环、棉线围环、金属框架、钢丝圈六件组成。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421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移液管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标称容量：10 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分度：无分度单标线吸量管（完全流出式）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精度等级：A 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容量允差：±0.02 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材质：硼硅玻璃</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422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毒害品储存柜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1、尺寸：≥1840mm*900mm*510mm；门类型：双开门；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2、易燃品毒害品储存柜外壳体全部采用≥1.2mm的冷轧钢板，柜体底座采用2.0mm的冷轧钢板,内外表面经酸洗磷化环氧树脂粉末喷涂，烘热固化处理。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易燃品毒害品储存柜体内胆（上，下、左、右内衬板）均采用PP（聚丙烯树脂）板，厚度4mm；柜底部设置≥90*50*145mm进风口，进风口底部有PP（聚丙烯树脂）旋转式可调风阀；柜体的底板中部有≥Φ10mm漏液孔，漏液孔上面盖上不低于60目304*不锈钢网；柜体底部设不低于h=160mm黄沙(防倒）挡板，柜体内部最下层留有可以存放不少于120mm厚黄沙的填埋腔，用于埋放金属钠、黄磷（白磷）等的易燃物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4、柜底装有四个移动尼龙轮，便于易燃品毒害品储存柜移动；前轮后有≥2个手动调节罗杆，方便危化品储存柜定位。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柜中部有≥3个一次成型聚丙烯活动层板，层板四周边缘厚度平均值不小于4.0mm;每层阶梯板外延边有积液槽，积液槽高度平均值不小于3.0mm，最大可能防止液体外溢；每个搁板靠背板处有一排导风口，阶梯高度不小于50mm（包括积液盘的高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柜顶部中间开有≥φ160mm的出风口，柜顶风口内置一个AC220V50HZ0.18A轴流风机，最大风量≥326m³/h，转速≥2550转/min,环境温度（-10-+70）摄氏度，无火花静电，控制开关设置柜体顶部的右上角，当风机开机前要把柜门下面中间的进风口推置打开状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密封件：柜体门与柜体之间应安装防火膨胀密封件，密封件应符合国家相关标准的要求。（柜体门与柜体之间应安装环保热膨胀密封条。当温度为150℃~180℃时密封条局部膨胀，温度达到200℃时密封条全部膨胀，膨胀比例为1:5，以保证储存药品的安全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8、陶瓷纤维棉：柜体应填充具有保温隔热作用的陶瓷纤维棉，陶瓷纤维棉应符合GB/T21114-2019的要求，（密度≥130㎏/m³，厚度:≥40mm）。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9、铰链：铰链应为钢琴式铰链，确保门能开≥180度。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10、电子密码锁：柜体配备电子密码锁和机械锁，实现双人双锁管理，同时锁具具有开锁记录查询功能及隐码功能；天地锁锁舌选用坚韧且有弹性的高分子合成塑料制成，耐磨且抗腐蚀性能极强。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11、环保性能：室内甲醛含量≤0.8mg/m³；苯含量≤0.09mg/m³，甲醛及苯含量符合国家标准要求。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12、电源：符合国家相关标准的要求。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13、通风控制装置：柜体底部应设置进风口及可调风阀，可调风阀旋转灵活，并能控制风量大小。通风管道口径宜采用≥Φ160mm，通风管应耐高温、阻燃、耐腐蚀，符合JGJ/T141-2017的要求。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14、配备接地装置实现完全接地。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15、装箱时柜内外的说明标识：《易燃品毒害品储存柜使用说明书》，《合格证》，《安全储存说明书》，柜门上贴有反光警示标签。</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423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无线数显土壤湿度传感器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显示/无线/存储模块：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1.独立模块化结构，与各种传感器组合使用，具备独立数据显示、数据存储、数据上传功能。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2.接入后自动识别传感器，实时显示传感器测量数据，支持多值传感器数据显示及存储，数据显示屏刷新频率10Hz；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3.1.77寸（±0.1寸）彩屏，采用智能接口与传感器连接，接口具有方向性和自锁功能，可以防止传感器在使用过程中脱落，保证数据传输稳定；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4.屏幕可显示二维码，通过移动终端设备扫描二维码进行无线连接，采用蓝牙4.0传输协议，可将传感器测量数据实时传输到APP。</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5.设有按键开关，工作状态下，可通过调动按键开关切换数据显示和二维码界面；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6.通过移动终端设备可设置数据显示精度以及数据调零，可对数据进行描点绘图处理。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7.可将模块存储的测量数据导出至计算机进行数据分析（兼充电）；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8.支持Android、iOS 、Windows、鸿蒙操作；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9.采用充电锂电供电，电池电压3.7V，容量1100mAh，待机时间10小时，采用microUSB充电接口；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10.数据存储频率5Hz，存储容量最大262,144个数据点。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功能模块：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1.传感器由高强度塑料外壳封装，外壳设计M5螺丝孔位，可将传感器固定在多种操作和装置上；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2.传感器数据处理电路为双主板设计，采用技术成熟的SMT生产工艺，可保证传感器经久耐用，数据传输稳定、持续；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3.采用智能接口，输出数字信号，接口具有方向性和自锁功能，可以防止传感器在使用过程中脱落，保证数据传输稳定；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4.模块化、可热插拔设计，支持有线通讯、无线通讯和屏幕数据显示三种工作方式；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5.可应用于Windows、Android、iOS、麒麟、统信、鸿蒙操作。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6.可用于测量土壤湿度、比较不同深度土壤湿度</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424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阴极射线管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高真空硼硅玻璃管，一端为电子枪组件，中部有可插入的金属挡片 / 十字形遮板，另一端是涂有黄绿荧光粉的荧光屏；电子枪：灯丝、阴极、控制栅极、加速阳极，聚焦成细电子束；</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挡片：金属材质，插入后可在荧光屏上呈现清晰影子；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荧光屏：电子轰击即发光，直观显示射线轨迹。</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425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钢手锯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1、规格：锯架300mm，锯条300mm，由钢锯架、钢锯条组成；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2、产品材料采用钢板制，调节式；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3、前、后固定销与相应孔的配合间隙不得大于0.3mm；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4、安装锯条后，锯条中心平面与锯架中心平面的平行度不得大于2mm；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5、锯架在达到900N拉力历经1min后，不应有永久变形，拉钉不得松动脱落；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6、钢板制锯架在达到900N张力时，侧弯不得超过1.8mm；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7、手柄握捏部位应光滑舒适；采用钢材、塑料、木料及合金等材料；</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8、锯架表面不应有裂纹，锈渍、毛刺、剥落等缺陷，表面处理色泽一致。</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426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作品展示柜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1.规格尺寸：1900*300*2200mm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2.材质:实木多层板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3.制作工艺根据图纸定制</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张</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427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吊装安装支架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采用冷轧钢板经激光切割、数控冲压、数控折弯成型，生产工业采取模块组合，便于安装，外观流线形设计，简洁美观，表面经环氧树脂粉末静电喷涂、高温固化处理，耐腐蚀。#2、升降支架采用冷轧钢板，表面经环氧树脂粉末静电喷涂、高温固化处理，耐腐蚀</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428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雕刻刀组 （5支）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V型刀，大凹槽，小凹槽，平圆和平直刀刃</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429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电容与介电常数测量实验仪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主要实验内容：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1、用充放电法测量电容；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2、用谐振法测量电容；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3、研究极板距离和电容的关系；</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4、研究极板面积大小和电容的关系；</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5、研究介质与电容的关系，测量介质的相对介电常数；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6、根据电容量和电压计算电容存储的电量。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主要技术参数：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1、直流稳压源0-12V可调，稳定度10-5/min；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2、超高阻电压表：带4位半数显电压表，量程12V，输入内阻大于100GΩ；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3、计时器：0-99.999s，1000-999.99s；1000-9999.9s，10000-99999s自动量程，带计时启动、停止开关；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4、高阻单元：输入阻抗10MΩ、100MΩ、1GΩ；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5、标准电容单元：100pF、1nF、10nF、1uF；</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6、电容板材质：3种不同大小的圆形金属，表面光洁度：镜面级，测量范围0-8mm；分辨率0.01mm，调节细度和回差小于0.005mm；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7、谐振电路：频率范围1-100kHz；5位频率计数显；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8、提供两种不同材料的介质，供测量介电常数，更换方便。</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430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声速测量仪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触发器，体积160x125x65mm，电源：220VAC±10%50HZ</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431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防护面罩</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1、产品由透明有机玻璃制成；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2、面罩应清洁透明，应无波纹、无划伤、裂纹。</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432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滤纸</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60*60mm 中速</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张</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433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单面标本柜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1、柜体尺寸：1000（宽）*500（深）*2000mm（高）±10mm。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上柜柜体：1000（宽）*500（深）*1400mm（高）±10mm，上柜柜体由铝合金框架和透明玻璃组装而成，能够完全观其内部陈列标本。柜体框架采用模具成型的专用铝合金方管制作，通过ABS专用连接件组装而成，保证连接牢固。铝合金型材带凹槽，凹槽的宽度应与柜体玻璃相匹配，凹槽的深度应足够，保证柜体玻璃与铝型材之间接缝严密，无晃动现象，不发生脱落。铝合金型材表面需经静电粉沫喷涂处理，整体耐腐蚀、防火、防潮、稳固耐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3、层板托：层板托通过内置三卡锁与上柜框架卡槽固定，可自由调节高度。承重性好，升降方便，解决了原来玻璃层板容易向前倾摔倒的缺点。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4、下柜柜体：1000（宽）*500（深）*600mm（高）±10mm。采用≥16mm厚防潮三聚氰胺双面贴面板，所有板材外露端面采用高质量PVC封边条，利用机械封边机配以热溶胶高温封边。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5、下柜柜门：下部为整体木门，木框和木门材料与衬板相同。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6、层板：设置≥2块可上下升降调节活动搁板，搁板采用活动白玻(厚度≥8mm磨边)。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7、柜脚：采用特制模具ABS注塑脚垫，防水及防潮，有效使设备寿命延长。</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434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螺旋弹簧组</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3N，5N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1、产品由弹簧、指针、挂钩和标度板组成；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2、钢丝绕成的螺旋弹簧。</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435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列管式烘干器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1、上盖、下底、列管、加热器、风扇、电源线组成；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2、金属制作，防锈处理；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3、列管下端为M10螺纹，上端8个、Φ3mm的出风孔；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4、有良好接地装置；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5、性能：工作电压：AC220V、50Hz电机（风扇）：30W加热器：240W干燥气流温度50℃～60℃绝缘电阻大于20MΩ；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6、工作温度：-20℃～40℃相对温度：≤80%。</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436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木锉</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规格：全长 250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类型：木工锉（粗齿 / 中齿，常见扁锉或半圆锉）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材质：高碳工具钢锉身，木质或塑料手柄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齿形：齿距较大，排屑顺畅，适合软质材料</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437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楞次定律演示仪（转环型）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一、整机规格</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1.安装方式：台式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2.外形尺寸：200×200×400mm（长×宽×高）</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二、磁铁：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磁铁类型：N52钕铁硼强磁铁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磁铁尺寸：Φ30mm×200mm长（1根）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磁场强度：≥0.4T</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磁极标识：N/S极清晰标注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三、转环：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转环材质：LY12硬质铝合金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转环直径：Φ100mm×200mm长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四、支撑：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底座材质：45#优质碳素结构钢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底座厚度：15mm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顶针材质：SUS304不锈钢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顶针工艺：镜面抛光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支撑方式：精密轴承支撑</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438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原副线圈</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1、原副线圈由原线圈、副线圈、软铁心三部分组成；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2、原副线圈骨架用黑色塑料或木料制成，表面光洁，副线圈因底座平整，直立于平面时不应晃动。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439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磁力搅拌器</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一、组成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磁力搅拌器由搅拌驱动器、搅拌子、电源适配器构成。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二、功能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最大搅拌量：2L，转速范围：200转/分钟~2000转/分钟；适用于生化实验过程中搅拌低粘稠度的液体或固液混合物。</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440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感应起电机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1、摇柄转速120转／分，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2、在温度为5～30℃范围，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3、起电盘采用有机玻璃板制成。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441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粗齿锯条 14齿（12支）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规格：标准长度 300 mm（12 英寸）</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齿数：14 齿 / 英寸，粗齿型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材质：高碳钢，淬火处理</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442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体视解剖镜</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1、规格参数：目镜：10X/Φ20mm;物镜：0.7X-4.5X连续变倍。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2、放大倍数：7X-45X连续变倍，选配辅助物镜下，放大倍数可达180倍；总放大率误差≤5.88%；成像清晰范围 上下≥73%；左右≥64%,</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3、变倍物镜：双组内置变倍物镜，变倍范围0.7X-4.5X；视场中心分辨力（线对/mm），0.7倍物镜≥67;1倍物镜≥94;2倍物镜≥141;3倍物镜≥178;4倍物镜≥200;4.5倍物镜≥212;</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4、工作距离：物方有效距离100mm，辅助物镜可选：0.3X/WD267mm,0.5X/WD165mm；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5、目镜：高眼点大视野广角目镜WF10X/20mm；目镜可选：WF20X/15mm；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6、观察头：三目观察筒，45度倾斜，可360度旋转，瞳距调节范围54mm-76mm，两目镜筒均可调节，视度调节±5屈光度；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7、底座组:透射底座；调焦托架齿轮齿条升降，调焦行程50mm，松紧可调；透射光源，采用上下高亮度LED光源，亮度可调，照明方向可任意调节；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8、连接方式:C 螺纹接口，输出信号:USB2.0 数字信号，总 像 素: ≥1000 万像素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9、传 感 器: 1/2”，分辨率: ≥2592x1944，信 噪 比:&gt;72dB，动态范围:&gt;40dB，扫描方式:亮度/对比度，色调/饱和度，白平衡，增益，锐度，即插即用 USB2.0/3.0 界面、无需采集卡，高画质、专业显微摄影、带正版 PHMIAS 图像处理软件软件功能，支持全分辨率高清模式实时动态图像预览，随时拍摄(捕获)图像，动态视频录象功能，拍摄图片可任意保存</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10、数码成像系统：2000万像素，CMOS图像传感器，图像分辨率≥3840*2160，USB3.0高清数字信号输出；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10、数码成像：800万像素，CMOS图像传感器，图像分辨率≥3840*2160，USB3.0高清数字信号输出；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11、数据接口：USB3.0高速USB线，测微尺标定。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12、拍照、录像功能：内置一键拍照、一键开始录像功能。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13、测量模式：点坐标、直线、折线（鼠标右键结束）、画圆等操作、径画圆、三点画圆、同心圆、圆心距等操作等；</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443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微型抛光机 </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1、抛光轮直径150mm；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2、电压220V，频率50Hz；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3、转速3000r/min；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4、功率370W。</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444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帽子+围裙+袖套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棉制</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445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具支试管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Style w:val="968"/>
                <w:rFonts w:hint="default"/>
                <w:lang w:bidi="ar"/>
              </w:rPr>
              <w:t xml:space="preserve">1、高硼硅玻璃材质。管口应切平正烘光，底部圆正，厚薄均匀，不得有刺手现象；</w:t>
            </w:r>
            <w:r>
              <w:rPr>
                <w:rStyle w:val="968"/>
                <w:rFonts w:hint="default"/>
                <w:lang w:bidi="ar"/>
              </w:rPr>
              <w:br/>
            </w:r>
            <w:r>
              <w:rPr>
                <w:rStyle w:val="968"/>
                <w:rFonts w:hint="default"/>
                <w:lang w:bidi="ar"/>
              </w:rPr>
              <w:t xml:space="preserve">2、规格：试管外径</w:t>
            </w:r>
            <w:r>
              <w:rPr>
                <w:rStyle w:val="971"/>
                <w:lang w:bidi="ar"/>
              </w:rPr>
              <w:t xml:space="preserve">Φ</w:t>
            </w:r>
            <w:r>
              <w:rPr>
                <w:rStyle w:val="968"/>
                <w:rFonts w:hint="default"/>
                <w:lang w:bidi="ar"/>
              </w:rPr>
              <w:t xml:space="preserve">20mm，试管高200mm，急冷温差＞200℃；</w:t>
            </w:r>
            <w:r>
              <w:rPr>
                <w:rStyle w:val="968"/>
                <w:rFonts w:hint="default"/>
                <w:lang w:bidi="ar"/>
              </w:rPr>
              <w:br/>
            </w:r>
            <w:r>
              <w:rPr>
                <w:rStyle w:val="968"/>
                <w:rFonts w:hint="default"/>
                <w:lang w:bidi="ar"/>
              </w:rPr>
              <w:t xml:space="preserve">3、支管与试管连接处牢固、平滑；</w:t>
            </w:r>
            <w:r>
              <w:rPr>
                <w:rStyle w:val="968"/>
                <w:rFonts w:hint="default"/>
                <w:lang w:bidi="ar"/>
              </w:rPr>
              <w:br/>
            </w:r>
            <w:r>
              <w:rPr>
                <w:rStyle w:val="968"/>
                <w:rFonts w:hint="default"/>
                <w:lang w:bidi="ar"/>
              </w:rPr>
              <w:t xml:space="preserve">4、产品应符合《玻璃仪器通用技术要求》。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446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汽油机模型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1、工作电压：直流1.5V～2V；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2、模型应示汽油机的汽缸体、进汽阀、排汽阀、汽阀弹簧、进汽道、排汽道、活塞、活塞环、连杆、曲轴、飞轮、火花塞、凸轮、水套；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3、模型在演示时，四个冲程工作过程动作准确、前后衔接，并配有指示灯说明。</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447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教师演示台</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1、规格：2400mm*700mm*850mm±10mm。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2、台面：采用≥25mm厚高强度金属树脂理化板。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3、桌身：整体采用≥1.0mm厚优质冷轧钢板，全部钢制件纳米陶瓷镀膜防锈处理。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4、结构：演示台设有储物柜，中间为演示台,设置电源主控、多媒体设备（主机、显示器、中控、功放、交换机）的位置预留。</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5、滑道：抽屉全部采用优质三节承重式滚珠滑道开合十万次不变形。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6、铰链：采用优质铰链，开合十万次不变形。</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张</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448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石棉网</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1、产品为在金属网上涂敷石棉材料而制成；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2、金属网无锈蚀，具备一定的强度。石棉材料涂敷均匀，附着力强。涂敷面不得裸漏金属网面；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3、整体应平整、美观，不翘角。</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449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库仑定律演示器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1、测量范围:摆球偏转距离：0-25cm；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2、偏转角度：0-45°,摆球水平方向偏转力见45°角度时的标示值；</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3、使用范围:空气湿度≤80%可做定性演示；空气湿度＜70%可做库仑定律的验证性。</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450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数字化实验设备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1.专用采用了图形化的设计理念，包含了大量专用实验模板，预设了操作流程，方便学生操作使用，通用具备视频区域。可进行数据处理，满足学科教材与课外探究的要求；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2.传感器插入后能自动识别和运行；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3.须无需设置参数自动检测传感器，并提供仪表、数值、曲线多种显示风格；</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4.具有双组合曲线功能及完整的可对数据图线进行拟合的功能（一次函数、二次函数、三次函数、反比函数、反比平方、对数、正弦函数、指数等），并自动显示拟合的函数表达式；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5.具有中学常用的预设公式，并可根据实验需求自由定义公式；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6.内设可调整采样频率范围是0.1~20K；具有完善的数据处理功能（可对图线中数据进行求导、积分、平均值、绘制包络线、最大值、最小值的计算），可对无效数据图线的数据进行删除或恢复；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7.可以对实验设置进行保存，生成实验模板；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8.具有实验数据采集过程录播、回放功能；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9.可生成实验报告，提供实验报告模板，可导入实验表格数据及插入实验图线并进行分析；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10.学生可发送实验报告；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11.提供实验帮助，可随时查询理化生实验图片及实验说明，方便教学参考使用。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12.具备的功能：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13.同时录制实验操作（录制时间0-30分钟可调）及数据显示、双组合图线、计算表格；</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14.采集器有线、蓝牙无线（显示连接蓝牙ID号）；</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15.采集器支持同时连接不低于12个传感器；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16.坐标系双Y轴，视图模式包含自动翻页、滑动显示、一屏显示。</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451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分液漏斗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1、筒形，250mL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2、漏斗应采用透明的钠钙玻璃或硼硅玻璃制造，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3、漏斗结构应牢固，能保证正常使用要求；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4、旋塞的锥度约为1/10；旋塞应具有良好的密合性；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5、在正常使用时旋塞柄应位于右侧，具有分度线的滴液漏斗其分度线应均匀、平直，并垂直于漏斗的轴心线。</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452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蒸馏水器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1、实验室设备，整体采用全不锈钢金属材质，用于生产蒸馏水；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2、整体结构由蒸发锅、冷凝器、加热部分等组成，蒸发锅采用优质不锈钢薄板，经过滚动、延伸与先进的焊接方法加工而成；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3、出水量：不小于5升/小时。</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453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教师演示台</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1、规格：2400mm*700mm*850mm±10mm。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2、台面：采用≥25mm厚高强度金属树脂理化板。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3、桌身：整体采用≥1.0mm厚优质冷轧钢板，全部钢制件纳米陶瓷镀膜防锈处理。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4、结构：演示台设有储物柜，中间为演示台,设置电源主控、多媒体设备（主机、显示器、中控、功放、交换机）的位置预留。含PP水槽、下水管和溢流管及三联水嘴。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5、滑道：抽屉全部采用优质三节承重式滚珠滑道开合十万次不变形。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铰链：采用优质铰链，开合十万次不变形。三联水嘴：鹅颈式实验室专用优质化验水嘴：要求防酸碱、防锈、防虹吸、防阻塞，表面环氧树脂喷涂。出水嘴为铜质瓷芯，高头，便于多用途使用，可拆卸清洗阻塞。出水嘴可拆卸，内置成型螺纹，便于连接各类水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7、下水管和溢流管：水槽专配型排水管，不锈钢卡扣连接，安装方便不渗漏。</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张</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454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透镜及其应用实验器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由直径50mm凸透镜、支杆、底座组成。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455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伽利略理想斜面演示器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长度1130mm，一端高度可连续升降，连接曲面光滑。</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456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光化学实验演示器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能演示甲烷与氯气的反应。</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457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试剂盒</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MS培养基,细胞分裂激素\生长素,使用说明等。</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458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强力锁紧机械万向磁力表座</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吸附力：50kgf（≈500N），垂直吸附于钢铁表面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臂长 / 工作半径：220mm（主杆 + 关节总伸展）</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锁紧方式：强力机械锁紧（多关节旋钮 / 扳手式），定位后无松动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底座尺寸：约 40×40×40mm（方形强磁底座）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夹持孔径：φ6mm、φ8mm，兼容燕尾槽，适配各类百分表 / 千分表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材质：底座为高导磁钢 + 钕铁硼强磁；支臂为淬火钢（HRC58），耐磨耐用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459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高中学生电源</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1、交流输出：2 V～16 V/3 A，每 2 V 一档；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2、直流稳压输出：2 V～16 V/2 A，每 2 V一档；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3、安全要求：空载时输出电压允许误差±0.3V。输出电流大于3A时自动关断。</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460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电解槽演示器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1、电解槽外形采用立方体，外壳采用透明材料，可以在同一侧面上观察到内部结构和变化；</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2、采用碳板阳极和金属阴极。自正接线柱至碳板对角线顶端的电阻应不大于5Ω；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3、采用透水性适宜的材料（如高丽纸等）做隔膜，隔开阳极室和阴极室；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4、用纯净的饱和食盐水（加入酚酞溶液）做电解液，注入阴极室，透过隔膜渗入阴极室内。两室的液位差应能维持两分钟以上；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各部位应能拆开，以便于清洗；各部件之间需能密封至不漏气，以保证实验进行。拆装应方便，并能在一次实验完了后，很方便的转入开始状态；全部材料都应对电解条件有足够的稳定性；工作电流为4A，工作环境温度为20℃～40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在正常情况下，接通电源两分钟内应在极板上观察到明显的气泡，同时阴极室内的电解液变红；五分钟内阳极室导出的氯气可使容器中不少于10ml的淀粉碘化钾溶液变色，并能在阴极室的导管上用试管收集到可供点燃检验的氢气。</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461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箔片验电器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学生用，尺寸：50*30*50mm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对</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462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直角尺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1、材料:不锈钢，规格:150mm，镜面抛光处理；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2、其他符合GB/T6092-2004《直角尺》标准。</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463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手摇钻</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1、手摇式，不小于300mm,可装0-7mm钻头；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2、其他符合QB/T2210-1996《手摇钻》标准。</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464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实验防护屏</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三片折叠式结构，有机玻璃制。</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465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计数器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1、手持式，钢制外壳；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2、测量范围：1-9999。</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466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玻棒(附丝绸)</w:t>
            </w:r>
            <w:r/>
          </w:p>
        </w:tc>
        <w:tc>
          <w:tcPr>
            <w:tcBorders>
              <w:top w:val="none" w:color="000000" w:sz="4" w:space="0"/>
              <w:left w:val="none" w:color="000000" w:sz="4" w:space="0"/>
              <w:bottom w:val="none" w:color="000000" w:sz="4" w:space="0"/>
              <w:right w:val="non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教师用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1、产品包括：硬质玻棒（或有机玻棒）1根，丝绸1块；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2、玻棒（或有机玻棒）；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3、玻棒表面应无斑痕、气孔，烧制。</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对</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467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三相电机原理演示器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由永磁式旋转磁场演示器和电磁式旋转磁场演器两部分组成。附件磁针为冀形。</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468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滴定管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2、碱式，25mL，内应力消除：在偏光仪下呈紫色；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3、刻度标示清晰、均匀。</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469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网状砂带  3件装</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砂带尺寸：610*30mm；#240（3件装）</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470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惯性演示器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1、产品供中学物理演示物体的惯性；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2、产品由钢球、弹簧钢片、支架、底座、木片或塑料片等组成。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471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验电幡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一面长方形的铜丝网，用三根绝缘支柱支起，绝缘支柱由三部分组成，绝缘部分用有机玻璃制成。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472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漏斗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1、规格：90mm；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2、漏斗口径：90mm±2mm；厚度：约2mm；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3、口边光滑平整，无毛边、缺口及崩缺，角度正确，口边不得呈椭圆形及不规则多边形，斗柄应垂直，下口应磨成45º角，并将斜口边倒角不呈缺口；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4、壁厚均匀，内壁光滑，斗柄接头处不允许严重折皱，斗柄垂直偏正不超过3~5mm。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473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滴水架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1、材质:高密度PP。</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2、尺寸：≥550*400*120mm，≥27支滴水棒。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3、底部托盘中间设有排水孔。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4、可拆卸式滴水棒，方便使用。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474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表面皿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2、规格：60mm；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475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实验无线示教仪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硬件参数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1.连接方式：配专用的无线接收器，不占用大屏的无线网卡；无线接收器与电脑的USB接口连接，免驱即插即用，无需设置，实现示教仪开机智能匹配连接。</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2.金属软管式设计，任意方向可调，可拍大于A2幅面的示教场景，也可以微距显示。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3.影像速率：1080p或4K无线传输速率达到25~30帧/秒。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4.十字定位辅助功能：设备开启图像时，自动加载十字定位线，清晰呈现于画面，辅助用户快速识别画面中心位置。十字定位显示时长约15-20 秒，到达预设时间后自动消失，避免干扰正常图像的查看或操作。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5.底座带4个触摸按键：录像、转90ﾟ、灯光、对焦。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6.触摸底座上的录像按键，可启动软件的录制功能进行示教画面的录像。配专用无线麦克风，TYPE-C接口一拖二领夹麦。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7.示教设备采用可拆卸分离式底座，支持安装桌面底座，紧固夹板、三角支架，便携可移动，满足立体展示过程中的需要，兼顾更多示教场景。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8.配金属便携收纳箱，适合长期保存，也方便携带到不同教室中使用。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1.基础功能：软件全中文图标。可预设笔划粗细及颜色选择，画面可以实时批注，在任意区域内批注书写，支持黑板擦功能；支持对展台成像画面联同批注内容进行缩放、移动、画面旋转、冻结，支持拍照功能。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2.小组对比教学：进入对比教学可添加本地照片，进行同屏比较；支持实时触摸放大缩小、批注、全屏、旋转，删除等操作。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3.屏幕录制：可对课堂的实操过程进行视频录制，提供MP4、AVI、WMV多种视频格式选择，支持全屏、1080P模式录制。</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476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离心机械模型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节速器、干燥器、分离器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477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教学示波器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DC5MHz，扫描范围：10Hz～100kHz</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478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风淋室</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1、外形尺寸（宽×深×高）：1300mm×780mm×2050mm （±20mm）；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2、净化区尺寸（宽×深×高）：700mm×780mm×1950mm（±20mm）；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3、过滤器净化效率：≥0.5um尘埃≥99.99%（钠焰法）；</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4、电 源： 220V-50Hz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5、最大功率：0.55KW；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6、隔板高效过滤器尺寸：600mm×600mm×120mm×1。</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479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空盒气压表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1、多膜盒，读数范围80-106kPa，分度值0.25kPa；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2、空盒表面应光洁，无碰伤、划伤，焊接处无缝隙，漏气等缺陷；空盒中心与拉杆应同轴，多膜盒垂直放置，各膜盒连接牢固、互相平行；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3、刻度盘表面应平整，无划伤，刻线和数字均匀清晰，可见度好；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指针应平直，以轴心孔为支点，二端平衡，指针与刻度盘表面平行；在全量程范围内指针应盖住短线四分之一到四分之三，指针安装在刻度盘中心位置；指针应转动灵活、平稳，不得有跳动现象；指针应有微调机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5、空盒气压计上的玻璃罩或面板，应无色透明，除翻口处外，厚薄均匀，正面无气泡、结石，且不得有影响视线的条纹。</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480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调压变压器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产品为可控硅调压器，调压范围：0-220V，工作电压：220V 50HZ，最大负载：2000W</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481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蒸汽机模型</w:t>
            </w:r>
            <w:r/>
          </w:p>
        </w:tc>
        <w:tc>
          <w:tcPr>
            <w:tcBorders>
              <w:top w:val="none" w:color="000000" w:sz="4" w:space="0"/>
              <w:left w:val="none" w:color="000000" w:sz="4" w:space="0"/>
              <w:bottom w:val="none" w:color="000000" w:sz="4" w:space="0"/>
              <w:right w:val="non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吹动式，产品由气缸活塞、连杆、底板、凸轮、飞轮等组成。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482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试管架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1、塑料制、注塑成型；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2、产品由顶板、底板、插杆组成，6孔。</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483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牛顿第二定律演示仪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1、仪器主要由专用铝合金型材制成轨道；</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2、工程塑料制造小车，设计巧妙的同步释放及暂停装置，以及上下配置的轨道结构；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仪器还设有小车浮获装置、定位标尺等等，使实验极为方便、直观、可靠/轨道长度：2×1000mm/轨度间距：140mm（上、下配置）/小车质量：200±10g/轨道可倾斜方向：前、后、左、右；4、表面光洁度：轮廓平均算术偏差值≤3、2μm/配备块：10g，50g/工作环境：温度：0～40℃/相对湿度：≤85。</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484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验证基因自由组合规律玉米标本</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标本选用父代穗、母代穗、子一代穗、子二代穗及子二代测交穗5穗玉米穗组成，各有不同的基因型。</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485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二氧化氮球</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Style w:val="968"/>
                <w:rFonts w:hint="default"/>
                <w:lang w:bidi="ar"/>
              </w:rPr>
              <w:t xml:space="preserve">双球，内封NO</w:t>
            </w:r>
            <w:r>
              <w:rPr>
                <w:rStyle w:val="969"/>
                <w:rFonts w:hint="default"/>
                <w:lang w:bidi="ar"/>
              </w:rPr>
              <w:t xml:space="preserve">2</w:t>
            </w:r>
            <w:r>
              <w:rPr>
                <w:rStyle w:val="968"/>
                <w:rFonts w:hint="default"/>
                <w:lang w:bidi="ar"/>
              </w:rPr>
              <w:t xml:space="preserve">和N</w:t>
            </w:r>
            <w:r>
              <w:rPr>
                <w:rStyle w:val="969"/>
                <w:rFonts w:hint="default"/>
                <w:lang w:bidi="ar"/>
              </w:rPr>
              <w:t xml:space="preserve">2</w:t>
            </w:r>
            <w:r>
              <w:rPr>
                <w:rStyle w:val="968"/>
                <w:rFonts w:hint="default"/>
                <w:lang w:bidi="ar"/>
              </w:rPr>
              <w:t xml:space="preserve">O</w:t>
            </w:r>
            <w:r>
              <w:rPr>
                <w:rStyle w:val="969"/>
                <w:rFonts w:hint="default"/>
                <w:lang w:bidi="ar"/>
              </w:rPr>
              <w:t xml:space="preserve">4。</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486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智能光照培养箱</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1.容积：280L；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2.控温范围：10-40℃ 控温分辨率0.1℃ 波动度±0.5℃-±1.0℃ 不均匀度±1.5℃；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2.额定光照度:  0-12000LX;</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3.最大可编程段数≥30段；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4.光照级数：无级线性调节；(可调节光照度)；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5.培养箱具有直接输入光照度就可以自动自动调整光源功能；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6.光源为LED植物生长光源,24V供电，安全可靠；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7.具有移时功能,方便时间周期调节；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8.外门聚氨酯发泡门设计，保温效果好，温度波动小，内胆304不锈钢；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人机界面采用自主研发的4.3寸彩色触摸屏智能控制器，温度、光照强度、运行状态等多组数据一屏显示；培养箱自带照明开关，方便黑暗条件下观察培养；控制器安全管理含多级密码保护，分别为管理员、厂商技术人员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10.风道式通风，进口压缩机确保温度均匀，产品质量稳定耐用；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11、内胆尺寸（mm）：540*540*960；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12、外形尺寸（mm）：590*590*1650</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487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台式盘锯机 FET</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1.电压:220V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2.功率:1800W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3.锯片尺寸：210MM*30*2.6，锯片齿数:24齿/100齿；90度时最大切割深度50MM，45度时最大切割深度45MM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4.主台面规格:53CM*43CM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5.工作台可调角度0-45°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6.高度:28.5CM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7.重量:15KG。</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488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铬钒钢锯片 85mm 80齿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210MM*30*2.6，锯片齿数:100齿</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489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钻头磨削机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1.额定电压：220V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2.额定功率：120W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3.重量：9.8KG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4.体积：约310*180*170mm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490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直联泵</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2XZ-1型，单相，有防回油功能。</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491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波动弹簧</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扁钢丝弹簧，外径不小于66mm，圈数不小于180，两端为90°弯折半圆。</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492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伽尔顿板(道尔顿板)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满足教学实验用。由有机玻璃板、阵列钉子、V型槽、插板、狭槽等组成。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493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气液相密封实验器</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与生物化学传感器密闭连接，可完成陆水生植物光合作用、种子萌发、呼吸作用、酶的特性等实验</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494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广口瓶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2、规格：250mL；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495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高中物理系列3选修模块教学挂图</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1、18幅；</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2、纸张规格：纸张不低于105克铜版纸，覆膜；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3、印刷：四色彩色胶印；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4、图形：教学挂图应图像清晰，色泽自然鲜明，位置准确；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图片印刷套印准确，层次分明，轮廓实，电分制版无浮雕印；网点清晰饱满，小点不秃，大点光洁不糊，质感好；墨色均匀厚实，色彩鲜有光泽，肤色正、接版准确，色调深浅一致；文字印刷压力适度，全图前后轻重一致；全图前后墨色一致，浓淡适度符合要求；版面端正，正反套印准确；文字、标点清晰，笔锋挺秀，无缺笔断划，标题黑实不花，小字不糊不瞎；无脏污、破损；无野墨；成品裁切方正，无明显刀花，无连接页、折角、破头；耐碱折正，书面平服，无皱折；</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6、印刷标准：符合GB7705-87《平版装潢印刷品标准》；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7、适用于《全日制义务教育物理课程标准》。</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496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动能发电手电筒</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结构：手压扳机、齿轮增速机构、微型发电机、LED 灯珠、储能电容、外壳。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无需干电池，环保节能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随按随亮，应急使用方便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体积小、重量轻、耐用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497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双面刀片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不锈钢</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498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光的折射全反射实验器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半圆 / 半圆柱光学玻璃砖（直径 80mm，厚度 12mm，光学级玻璃 / 亚克力，n≈1.52）</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可调角度激光笔（红光 / 红绿双色，低压安全电源，避免强光直射眼睛）</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旋转支架 / 指针，可精准读出入射角、折射角；部分磁吸款可快速固定在黑板上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辅助配件：平面镜、遮光罩、备用电池、说明书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材质：光学玻璃 / 高透亚克力 + ABS 工程塑料 + 金属支架；激光为 Class II 低功率，符合教学安全标准</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499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螺旋弹簧组</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0.5N，1N，2N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1、产品由弹簧、指针、挂钩和标度板组成；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2、钢丝绕成的螺旋弹簧。</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洗耳球</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60mL</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合成有机高分子材料标本</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1、包括：聚乙烯，聚丙烯，橡胶，涤纶，晴纶，氯纶、丝线、涤棉线、松香等；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2、每种标本附有标签；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3、优质塑料盒包装。</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盒</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低气压放电管组</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放电管，玻璃6支，支架注塑成型。</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复合材料标本</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不少于5种</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盒</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氢燃料电池实验器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一个质子交换膜电极，膜电极≥15㎜×15㎜，带电流、电压表。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室内风管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1、室内风管采用直径为≥200mm，PVC管路或者采用PP焊接管路</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植物立体水晶标本</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1.约φ10*40cm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主要工艺:主要工艺:高透包埋胶工艺，带背板，新鲜植物保持植物的根、茎、叶、花、果，固色干燥处理后，经过第一次透光树脂材料灌入后，将处理过的饮片标本放入树脂材料中，再次加入树脂包埋原材料，经过真空处理，高压处理，高温加热硬化处理,硬化后简单打磨处理,保证成品硬度及透亮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3.配套:专业标签注解。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数量不少于12种</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项</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气体摩尔体积模型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拆装式，由1气体摩尔体积正方体组成，正方体规格为300mm×300mm×300mm，厚度为3mm的透明有机玻璃，再用专门设计的透明塑料角联结。</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紫外灭菌设备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无菌室闪烁警示灯提醒装置，单独控制，独立线路，含安装。</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演示力矩盘</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圆盘直径≥27厘米，三爪底座，组装后整体高度可调。</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510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室内通风设备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1、主风管：采用具有耐酸碱性能PVC≥Ф315mm、支分管≥Ф200mm，≥Ф75mm。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2、管卡采用碳钢制作，表面经镀铬处理，具有耐腐蚀、防火、防潮等功能。</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项</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511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枕形导体</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1、中学物理教学演示实验；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2、枕形导体有可拆式或不可拆式。外径60mm,表面镀镍的金属空壳；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3、性能、安全、结构、外观应符合JY0001第4、5、6、7的有关要求。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512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脱脂棉</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医用，500g/袋</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袋</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513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强磁针</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高磁能积磁体，底座直径70mm，磁铁长度90mm。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514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放大镜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1、由凸透镜、透镜框及手柄组成；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2、凸透镜放大倍率：5×；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3、透镜应无明显条纹。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4、透镜框应能牢靠地夹持透镜。</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515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感应圈</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1、规格电子开关式、输出高压0~50kV，输出连续可调；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2、在规定的工作电压条件下，放电火花不少于两条；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3、感应圈的温升不大于8℃；</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4、感应圈电路部分的绝缘电阻不小于20MΩ；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5、在工作电压范围内的任一电压。</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516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钢丝钳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材质：45#高碳钢锻造，规格不小于：40mm*80mm。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517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密度计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1、标准温度20℃，温度范围0～70℃；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2、密度范围：1.000～2.000g/cm³；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3、在液体中倾斜度不大于0.2分度值；</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4、密度计各部位无严重内应力集中现象，无影响强度及密度测量的玻璃缺陷。</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518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台式砂带机 </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1、采用定制超静音高速内置风扇电机；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2、主要部件采用电镀工艺或喷墨阳极氧化双工序处理；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3、采用欧标铝材T型内槽；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4、马达转速：12000转/分钟；</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5、输入电压/电流/功率：24V/5A/100W，开关电源的转入电压为110V - 240V；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6、变压器具有过电流，过压，过热保护；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7、砂带尺寸：610*30mm；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8、加工尺寸：85mm*35mm，可选加工角度调节功能；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9、可选无极调速功能；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10、机床尺寸：310**110*210mm；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11、砂带机配合砂带使用，可对各类工件进行打磨加工，适用范围：金属，木材，玉石，亚克力等；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12、配合砂带使用，砂带可根据实际加工需求，选择60#、80#、100#、150#、180#、240#、320#、400#、600#砂带目数。</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519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弹簧振子</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气垫式，由导轨、滑块、弹簧、刻线尺、进气管。</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520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容量瓶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1、高硼硅玻璃材质，由瓶体和瓶塞组成；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2、规格：50mL。内应力消除：在偏光仪下呈紫色；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3、刻度线清晰耐久，粗细均匀，平行于瓶底平面；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4、瓶口与瓶塞密合性好。</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521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可伸缩万向吸风罩</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1、伸缩导管材质：镁硅铝合金，管径≥63mm，，表面做特氟龙表面处理。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2、关节连接杆：304不锈钢双头锁杆。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3、松紧旋钮：高密度PP材质，表面喷塑处理，内嵌不锈钢轴承，与关节连接杆锁合。</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4、固定底座：高密度PVC材质，模具注塑一体成型。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5、拱形集气罩：形状如喇叭口，高密度PC，具有阻燃、耐腐蚀等功效。</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6、集气罩连接帽：连接帽连接紧固，螺纹无滑牙、烂牙等现象。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7、扭簧：扭簧材质弹簧钢表面抗氧化处理、扭簧线径≥4mm。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8、关节：高密度pp材质，表面磨砂处理，可360°旋转调节方向。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9、旋转角度：安装后可调节到三维360度任意转停，集气罩吸气角度360度任意转停。</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27</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522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手摇三相交流发电机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1、手摇三相交直流发电机由发电机、星形负载板和三角形负载板组成采用直流激磁方式手摇发电；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2、当转子激磁电压为6V、转速1500转/分，输出频率为25Hz时；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 3、产品应符合JY23－88《手摇三相交直流发电机》的要求。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523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蚕豆叶下表皮装片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1、标本在80x和200x学生显微镜下观察叶下表皮形态和气孔结构；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2、能看清不规则形的下表皮细胞，及其胞核和分散在下表皮细胞间的气孔；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3、能看清正常开放的气孔形态和新月形的保卫细胞、胞核和叶绿体；</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4、标本取材于新鲜的、气孔开放的蚕豆叶；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5、标本为平铺装片，四周剪切整齐；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6、材料整洁，不附带叶肉等其他组织，保卫细胞不收缩；</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7、闭合气孔不得超过2／3；</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8、胞质着色均匀，胞核明显，细胞界限清晰；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9、应符合JY67－82《生物玻片标本通用技术条件》的规定；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10、产品应符合JY75－82《蚕豆叶下表皮装片》的要求。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524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三线电子开关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1、输入阻抗：300KΩ//40PFA、B、C相同；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2、最大输入耐压：≥200V（DC+AC）；</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3、开关频率：50Hz～50KHz连续可调；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4、放大系数：≥3倍A、B、C相同；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5、最大相对位移：≥4伏；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6、输入通道间隔离比：≥30分贝；</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7、输出极性。</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525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尖嘴钳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1、型号规格：150mm；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2、采用45号高碳钢精工铸造，整体精抛光、热处理，钳口高频淬火，硬度45～48HRC，PVC全新料环保手柄；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3、其它技术要求应符合GB6290夹扭钳和剪切钳通用技术条件的规定。</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526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恒定电场综合实验仪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主要实验内容：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1、电流的测量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2、电流密度的测量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3、电阻的测量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4、电导率与电阻率的测量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5、电场强度的测量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6、验证欧姆定律微分方程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7、测量电量，验证电荷量公式。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主要技术参数：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1、直流恒流源：0-10A连续可调；4位半数显，精确度：0.1%，稳定度：≤5X10-5/min;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2、毫伏电压表：20mV、200mV双量程自动转换，4位半数显，最小分辨率：1uV，一键调零；精确度：0.2%；</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3、被测对象：异质棒、同质棒，等径棒、变径棒；材质：铝、不锈钢、黄铜，可独立或组合测量。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4、测量方式：四线制，连接方式：点接触，对被测材质无损伤，减小测量误差；测量位置可连续移动，位移细度≤1mm；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5、含优质正品螺旋测微计、游标卡尺。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6、电量计：测量范围20mC、200mC、2C，三位半数显，精度0.2%；</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7、时基信号：0-99.999s，5位数显，细度0.001s：测量精度0.1%</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527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玻璃钟罩</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2、Φ150mm×300mm，具上口；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528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研钵</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1、瓷，90mm；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529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化学实验废液处理装置</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本装置有多种实验功能：酸碱废液中和、PH值测试、重金属达标处理、天然水的净化、处理前后水质检测，模拟酸雨危害、模拟酸碱性水环境、对植物生存的影响、对动物生存的影响等；包括试剂瓶、反应槽、搅拌机、水阀、过滤槽、活性炭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2、处理量，不小于20升/次，无极变速双搅拌，附循环泵，普通水要半小时，重金属水稍长时间。</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530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滴管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1、由玻璃滴管和胶头组成；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2、规格：150mm；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531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螺旋皮管夹</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1、产品用钢材制成，应作防锈处理；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2、产品制作应光滑、平整、无缺陷；</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3、产品的夹持范围最大应不小于20mm，夹子的夹持应可靠，吻合好；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4、螺母与螺杆螺纹应吻合好，旋动轻便，不应有卡死现象。</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532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滚摆</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1.滚摆由摆体（摆轮和摆轴）、悬线、支柱、横梁和底座组成。2.产品应符合JY110-82《滚摆》的要求。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533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金属网罩</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由金属网编制而成金属底座</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534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精油提取器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功率500W，功率可调，具有缺水断电功能，最大容积5L。</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535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滴定夹</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1、产品由铝合金制，外型为蝶形夹持，每侧的两夹夹持中心同轴，用螺丝或弹簧控制，可同时在左、右夹持一支滴定管，夹持质量为1KG。确保滴定管夹持后与水平面垂直；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2、各夹头上装有软质护套。</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536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高压电源模块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1、高压电源模块：学生电源操作界面基材工程阻燃ABS塑料；面纸加贴PC膜加贴；界面文字清晰美观。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2、高压电源由教师电源统一供给，新国标五孔多功能220V安全插座四组；插口带保护门；额定电流10A。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3、高压电源保险管；USB插座四组，JR45网络接口二组；</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537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充磁器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1、该仪器由盒体、空芯线圈、整流电路、选择开关及按钮开关等组成；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2、盒体中部有一通孔，属塑料制品；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3、工作电压为交流220V±10%，额定电流3A。</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538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量筒</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1、标称容量：1000mL，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3、底座和口部边缘应做熔光处理，口边应与量筒的轴线垂直；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4、量杯放在上，不应摇晃；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5、当从量杯向外倾倒液体时，液体呈一束细流流出，不应外溢，不应沿壁外流；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6、外表面和内表面不应有破皮气泡和薄皮气泡、密集小气泡和积水条纹存在。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539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凝胶色谱柱</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16mm×500mm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540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渗透研究实验器</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一、组成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U型连通器（含L型管*2、底座、硅胶板、梅花手柄螺丝*4）、导气配件*2、半透膜*6</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二、功能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1.用于初中生物、高中生物研究渗透实验。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实验器应用U型管连通原理，贴合教学需要，配合压强传感器、离子类传感器（如氯离子传感器）、电导率传感器使用，可探究渗透过程中半透膜两侧产生的压力变化或渗透过程中膜两侧离子浓度的变化，在Windows、安卓、iOS终端上实时呈现数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3.装置隔膜位置配有发泡硅胶板及4个梅花手紧螺丝，有效保证密封性，实验环境搭建简单，易操作。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4.可自由更换半透膜种类，根据教学要求拓展探究实验的深度和广度。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5.U型连通器两侧设有刻度标贴，可以观察液面高度的变化。</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6.配套专用实验预设模板，以曲线形式自动记录数据变化情况，实验结果更直观明显。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三、实验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观察渗透现象、测量渗透压等实验</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541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量杯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1、标称容量：250mL；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3、底座和口部边缘应做熔光处理，口边应与量筒的轴线垂直；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4、量杯放在上，不应摇晃；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5、当从量杯向外倾倒液体时，液体呈一束细流流出，不应外溢，不应沿壁外流；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6、外表面和内表面不应有破皮气泡和薄皮气泡、密集小气泡和积水条纹存在。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542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恒温震荡器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1、转速范围:启动~300r/min转速可调；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2、温控范围:室温~50℃；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3、温控精度:±0.5℃；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4、振荡方式:往复；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5、振荡幅度:20mm；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6、定时范围:0-120min(或常开)。</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543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恒温培养箱</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1、自然对流通风式结构，控温仪表安装于箱体上；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2、控温装置：采用调节方式控制加热，并应有控温功能；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3、电源电压：220±22V，50Hz。控温范围：RT+20℃～60℃，±0.5℃。</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544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滴定管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2、酸式，50mL，内应力消除：在偏光仪下呈紫色；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3、刻度标示清晰、均匀。</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545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灵敏电流计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1、由测量结构、测量路线、外壳等组成；测量机构采用磁电系仪表结构、标度盘，机械零位调节臂均固定在支架上；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2、准确度等级：2.5级。</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546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弹簧振子</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水平式和竖式，由底座、支架、弹簧振子组成。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547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防毒口罩</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1、直接式防毒口罩；</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2、口罩能完全罩住口、鼻不漏气；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3、防毒时间不小于1小时；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4、口罩应卫生清洁，不得有灰尘。不得用有毒材料制作。</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548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主架舱体防尘检修板</w:t>
            </w:r>
            <w:r/>
          </w:p>
        </w:tc>
        <w:tc>
          <w:tcPr>
            <w:tcBorders>
              <w:top w:val="non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1、采用≥1.0mm厚SPCC冷轧钢板，钣金折弯成型。CO2保护焊焊接，打磨处理，表面光滑，不易变形，强度高等特点，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2、表面经酸洗磷化处理，静电喷涂环保粉末高温处理工艺，无有害物质，具有防腐性高，造型独特美观，检修方便。</w:t>
            </w:r>
            <w:r/>
          </w:p>
        </w:tc>
        <w:tc>
          <w:tcPr>
            <w:tcBorders>
              <w:top w:val="non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w:t>
            </w:r>
            <w:r/>
          </w:p>
        </w:tc>
        <w:tc>
          <w:tcPr>
            <w:tcBorders>
              <w:top w:val="non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549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电阻定律演示器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1、由底板及铜、铁、镍铬三种金属导线、接线柱、连接片、支撑架等组成；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2、金属导线应精细均匀，在有效长度内不能有弯折、锈蚀现象。</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550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X射线演示仪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由热阴极X射线管、高压电源、防护机箱等组成。</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551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书写白板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900mm×1800mm，双面，带支架。</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552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高温扩散云室</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一、探测器特点探测器有宽阔的观察视场（46cm×46cm）能方便而直接地用肉眼看到所有带电粒子的运动轨迹以及这</w:t>
            </w:r>
            <w:r>
              <w:rPr>
                <w:rFonts w:hint="eastAsia" w:ascii="宋体" w:hAnsi="宋体" w:cs="宋体"/>
                <w:color w:val="000000"/>
                <w:sz w:val="20"/>
                <w:szCs w:val="20"/>
                <w:lang w:bidi="ar"/>
              </w:rPr>
              <w:t xml:space="preserve">些粒子的入射方向。本仪器最大的特点在于能连续不断地显示仪器所在的自然背景辐射及来自宇宙的和来自地球的自然辐射，由于探测器的工作过程是完全自动的，所以操作简单，且耗能低。三、技术参数1、显示粒子径迹的活动层：46cm×46cm×近似1cm2、观察室尺寸：不小于65cm×65cm×20cm3、工作液体：分析纯无水乙醇4、制冷剂：R4045、蒸发槽加热器工作电流：2.5～5A6、电场电压：6kV7、低温板工作温度：-30℃～-40℃8、光源：15W×2（荧光灯）9、电压：AC220V，50Hz10、功耗：1kVA</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553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无线数显双量程光照度传感器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显示/无线/存储模块：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1.独立模块化结构，与各种传感器组合使用，具备独立数据显示、数据存储、数据上传功能。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2.接入后自动识别传感器，实时显示传感器测量数据，支持多值传感器数据显示及存储，数据显示屏刷新频率10Hz；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3.1.77寸（±0.1寸）彩屏，采用智能接口与传感器连接，接口具有方向性和自锁功能，可以防止传感器在使用过程中脱落，保证数据传输稳定；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4.屏幕可显示二维码，通过移动终端设备扫描二维码进行无线连接，采用蓝牙4.0传输协议，可将传感器测量数据实时传输到APP。</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5.设有按键开关，工作状态下，可通过调动按键开关切换数据显示和二维码界面；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6.通过移动终端设备可设置数据显示精度以及数据调零，可对数据进行描点绘图处理。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7.可将模块存储的测量数据导出至计算机进行数据分析（兼充电）；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8.支持Android、iOS 、Windows、鸿蒙操作；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9.采用充电锂电供电，电池电压3.7V，容量1100mAh，待机时间10小时，采用microUSB充电接口；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10.数据存储频率5Hz，存储容量最大262,144个数据点。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功能模块：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1.用于测量光照度。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2.性能：测量范围：0～6000lx～60000lx，分度：1lx；准确度：≤100lx或≤10%（读数的）取大值；最大采样率：5KHz；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3.结构：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传感器由高强度塑料外壳封装，外壳设有M5螺丝孔位，可将传感器固定在多种操作和实验装置上；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4.采用智能接口，输出数字信号，接口具有方向性和自锁功能，可以防止传感器在使用过程中脱落，保证数据传输稳定；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5.模块化、可热插拔设计，支持有线通讯、无线通讯和屏幕数据显示，可6支持蓝牙无线数据传输；</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6.设有量程切换按键，支持硬件切换传感器量程；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7.可应用于Windows、Android、iOS、麒麟、统信、鸿蒙操作。</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554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分析天平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1、最大载荷：200g,分度值：0．0001g；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2、主要技术数据：骑码标尺范围：1～10mg。</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555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半导体热电特性研究实验仪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主要实验内容：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1、研究半导体制冷片的热输运机制，学习制冷原理，验证帕尔贴效应；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 学习半导体发电的原理，验证塞贝克效应；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 用恒流法、伏安法、比较法、内阻法、动态法测量半导体制冷片内阻；</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 测量半导体制冷片的塞贝克电压，计算塞贝克系数；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 测量半导体制冷片的优值系数；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 测量半导体制冷片的热导率和电阻率；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 学习半导体制冷的最大制冷量和最大温差状态的参数设计；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 测量半导体制冷的电流-温度曲线，计算最大极限温差；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9、测量和计算半导体制冷的制冷效率；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10、研究实验：学习半导体热泵的原理，计算制热量和制热效率。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11、研究实验：测量半导体制冷片参数与温度的关系，绘制温度特性曲线；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12、设计实验：按最大制冷效率设计一个实用的制冷，设定各制冷参数。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主要技术参数：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1、半导体制冷片的默认参数：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外部尺寸：40*40*4mm，元件对数 :127。</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内部阻值：2.1~2.4Ω（环境温度23±1℃）。</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致冷功率：Qcmax：40-55W，最大温差：△Tmax：67℃以上。工作电流：Imax=6A，额定电压：12V，最大电压14.5V。工作环境：温度范围 -55℃～200℃，塞贝克电压：温差20℃时，约1V。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1、电阻型加热器：工作电压约15V，加热功率约30W，耐温200℃，加热电压可控温、可关断。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2、温度传感器：两路，用于测量制冷片温度，及用于控制温度。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3、风扇：优质直流风扇，电压12V。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4、黄铜导热块：可由加热器加温至100℃；在制冷片工作时，可获得低于室温的温度，可快速散热；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5、其他被测温度传感器：NTC热敏电阻，PN结温度传感器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6、电气接口有：温度传感器接口，加热器/风扇接口，半导体制冷片接口：电流端和电位端各两个接线柱。可用于测量总阻R，或者接入电流源制冷。</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7、温度表：共2个，可用于测量半导体制冷器冷热端的实时温度。4位数显，显示范围：-50～100℃，分辨率0.1℃，带自动测量和记录数据功能。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8、数字电压表：4位半数显，3个量程；200mV、2V、20V。带自动测量和记录数据功能。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计时装置：5位数显，最小分辨率0.01S。</w:t>
            </w:r>
            <w:r>
              <w:rPr>
                <w:rFonts w:hint="eastAsia" w:ascii="宋体" w:hAnsi="宋体" w:cs="宋体"/>
                <w:color w:val="000000"/>
                <w:sz w:val="20"/>
                <w:szCs w:val="20"/>
                <w:lang w:bidi="ar"/>
              </w:rPr>
              <w:t xml:space="preserve">测量数据可存贮，可查询，测量时带声音提示。默认状态时，按设置键，进入时间间隔设置，计时间隔设置范围：0.1s-600s；再按设置键，进入计时次数设置，计时次数1-166次可调节；再按设置键，进入查询状态，可按上下键依次查询以设定时间间隔测量的时间t、温度TH、温度TC、电压U、电流I。直流恒流源：量程1mA，100mA，10A，大小可连续调节，最大输出6A。4位半数显。开路电压＞15V。输出带通断开关，用于控制电流的通断。标准电阻；阻值1欧，精确度0.5%，额定电流0.1A，允许最大电流0.3A，4端钮连接</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556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锥形瓶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2、规格：锥形，250mL；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3、底部不允许有结石、节瘤存在；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190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557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虚拟电子测试仪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示波器(采样频率48MHz)、信号源(10MHz)、频率计、数字电压表(±80V)、逻辑分析仪等功能。</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558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滴瓶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2、规格：60mL；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3、瓶塞上口应配合橡皮头下管正直；产品应符合《玻璃仪器通用技术要求》。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559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实验台</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规格：3500*1500*800mm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1、台面：采用12.7mm厚实芯理化板制作，切割处正反面去毛刺切口打磨平整。表面有良好的耐腐蚀性及具有良好的承重性能。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2、柜体：全钢结构，上抽下门设计，采用1.0mm高强度镀锌钢板，切割折弯成型焊接打磨平整，表面经环氧树脂喷涂处理。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3、门板及抽面：采用双层结构，组装式设计，保证单层钢板双面都喷涂处理，门板中间填充隔音材料，减少关门时产生的噪音。防撞胶垫：装于抽屉及门板内侧，减缓碰撞，保护柜体。</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4、拉手：采用一字拉手。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5、不锈钢防腐铰链：采用优质不锈钢模具一体成型。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6、防腐三节静音导轨：三节滚珠滑轨，承重性强，滑动顺滑。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7、固定桌脚：采用柜体内置可调ABS调整脚，保证调整脚前后都可以调节高低。</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张</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560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布氏漏斗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1、瓷，80mm；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561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火灾报警器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仪器由发光管,光电管,蜂鸣器,继电器等组成。</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562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细口瓶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2、规格：棕色，1000mL；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563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钨钢齿圆锯片 80mm 36齿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外径：80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齿数：36 齿（中细齿）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刀齿材质：钨钢（硬质合金）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基体：高碳钢 / 锰钢</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564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露点测定器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1、本产品和可测量0～50℃的红液温度计配套使用可测定露点温度；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2、本产品零部件包括容器(一端为起露观察面)，对比面、隔热层、底座、搅拌器等；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3、容器用不易锈蚀的材料制成，不漏水，并有插温度计和投放冷却物的孔；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4、隔热层用绝热性良好的材料制成，无缺边、无毛刺等工艺缺陷；</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5、底座应能保证产品放置平稳；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6、产品组装后应无松动和倾斜现象；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7、本产品经高、低温实验后应无变形、无裂纹、容器不漏水。</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565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蒸馏水瓶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玻璃材质，2.5L。</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566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弦驻波演示仪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知识点：弦驻波现象及其形成的条件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1.台式；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2.外观尺寸：100×20×30cm；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3.机箱材质：Q235优质镀锌钢板 标准板厚1mm；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工艺：恒温280℃喷塑、粉末（防潮、盐雾试验）、等待30分钟凝固而成；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3.信号发生器:电压(0-5v)、频率(10-150HZ)连续可调，功率不小于30W；高清数字面板液晶表头2个，多圈精密电位器两个；</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4.白色弦线，张力连续可调；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5.配黑色背板，增强演示效果；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6.至少可观察到 1——7 个完整、稳定的半波长弦驻波；</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567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光照培养箱</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外形尺寸：171.5*51.5*46.5cm；容积250L；光照强度：0-12000LX，分级可调。</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568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鱼类剥制标本</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鱼类剥制标本，1:1比例自然大，形态自然，美观，亚克力盒子罩封，配套专业标签，显示标本名称、科属等相关信息，不少于50种</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项</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569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电动离心机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1、6×20ml容量0r/min～4000r/min10mL×8；</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2、无刷电机，带电锁。</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570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智慧环境监测主机监测插件</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室内实时监测数据：一些有毒气体、可燃气体、水浸报警器可以根据根据实验性质不同进行配置，以及设备的灵敏度，系统的刷新监测速度配置。环境监测系统监测内容主要包含温度、湿度、烟雾浓度、CO浓度、CO2、PM2.5浓度、甲醛浓度、TVOC、可燃气体、光照强度、氧气、水浸及历史数据变化趋势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2、监测数据统计：主机内置存储卡，支持本地查看温度、湿度、烟雾浓度、CO浓度、CO2、PM2.5浓度、甲醛浓度、TVOC、可燃气体、光照强度、氧气、水浸及历史数据变化趋势图；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3、音量以及灵敏度设置：可以进行音量以及触摸灵敏度参数设置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环境监测预警：可通过显示屏进行预警参数设置，当监测参数达到设定的阀值，进行预警提醒，并且将预警记录实时推送至云进行消息预警，主机可支持预警参数设置、预警间隔提醒时间设置以及历史预警记录查询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5、WIFI连接参数设置：可以支持WIFI参数设置，无线连接、本机IP、本机MAC、DHCP配置；</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571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六角实验桌</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1、规格：1400*1212*740mm±10mm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2、台面：采用一体化12mm±1mm实芯理化板台面，耐强酸碱、耐腐蚀、耐有机溶剂，抗菌、抗污染、防水、防火，并经精密加工、倒角、打磨，呈光滑半圆形，注重人性化设计，美观实用。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桌身结构：桌身采用两种不同结构的部件拼装而成，每个部件各3组，采用榫卯连接结构，第一种桌身设计综合功能柜，桌身柜门尺寸≥385mm*310mm，柜门四边角采用≥30mm圆角设计，安全实用。第二种桌身不带柜门，桌身预留空位便于学生放置脚，组合完成后为六边形结构，边长约270mm，牢固易安装，可接触面部件做圆弧或R角处理，桌身所有部件采用高分子环保ABS塑料结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桌身尺寸：采用双层桌面设计，上部桌面为≥1400*1212mm的≥12.7mm实芯理化板，下部桌身高度：≥720mm，下部每组桌面内边长≥292mm，宽≥293mm，边角采用≥25mm圆角设计防止划伤，6组桌身组成的直径：≥1160mm，台身高度720-725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5、台身颜色：采用白色，蓝色组位交替组合搭配，整体漂亮多变。</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张</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572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图形数据终端</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1、机型：国产处理器商用台式机；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2、处理器：主频≥2.8GHz、核心≥8个、缓存≥16MB，x86架构；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3、主板：与处理器相匹配芯片组主板；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4、内存：≥8GB DDR4 2666MHz 内存，≥4个内存插槽；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5、硬盘：≥256GB SSD，预留3.5英寸SATA硬盘仓位；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6、光驱：内置DVDRW光驱；</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7、显卡：≥2GB显存国产芯片独立显卡，显卡≥1000MHz核心频率、≥DirectX11支持，VGA+HDMI+DP视频输出接口；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8、音频：集成5.1声道高清声卡，≥5个音频接口；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9、网卡：集成千兆网卡；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10、I/O扩展槽：≥4个PCIe标准插槽，其中是少1个PCIe4.0 x16插槽；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11、I/O扩展接口：≥9个USB3.2 Gen1接口、≥1个串口；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12、键盘鼠标：USB接口防泼溅键盘、光电鼠标；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13、电源：≥200W电源；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14、BIOS：国产昆仑固件，支持智能USB接口管理，支持硬盘数据加密及数据安全擦除；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15、机箱：免工具维护纤小型机箱，机箱体积≤10L，配置可拆卸防尘网；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16、操作：预装国产麒麟桌面操作，支持Windows专业版操作；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17、显示器：≥23.8英寸液晶显示器，分辨率≥1920x1080、刷新率≥100Hz、亮度≥300nits、对比度≥4000:1，VGA + HDMI+ DP视频输入接口带原厂数字信号线缆、VESA标准安装孔；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18、一键恢复：独立操作之外的基于BIOS层备份与恢复功能，支持多种介质备份与恢复（本地硬盘、U盘或移动硬盘等），支持多种方式部署（U盘部署、PXE部署和脚本部署等）、支持多种操作备份与恢复（Windows、KyLin或UOS等）；</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17</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573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蓄电池</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1、额定电压：6V；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2、额定容量：15Ah；</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3、蓄电池由3个额定电压为2V的单体蓄电池组成，结构采用阀控密封式结构，阀控式；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4、蓄电池外观不得有裂纹及明显变形，且标志清楚。</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574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专用砂光橡胶轮垫</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基础尺寸：外径50mm；常见厚度 6mm（圆盘）；内孔 / 接口：M8 螺纹、6/8/10mm 直孔；圆柱轮型</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575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烧瓶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2、规格：圆底，250mL；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3、细口球形平底烧瓶放在上不应旋转或摇晃；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4、烧瓶颈应上下粗细一致，不应有明显的弯曲，不允许有严重的条纹存在，不允许有明显的能目测的铁锈、铁屑存在。</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250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576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砂带 #80</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粒度：80 目（P80）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磨粒尺寸：约 160 μm（0.16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磨料：棕刚玉（氧化铝）为主</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基材：强力树脂布基</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577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具支试管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Style w:val="968"/>
                <w:rFonts w:hint="default"/>
                <w:lang w:bidi="ar"/>
              </w:rPr>
              <w:t xml:space="preserve">1、高硼硅玻璃材质。管口应切平正烘光，底部圆正，厚薄均匀，不得有刺手现象；</w:t>
            </w:r>
            <w:r>
              <w:rPr>
                <w:rStyle w:val="968"/>
                <w:rFonts w:hint="default"/>
                <w:lang w:bidi="ar"/>
              </w:rPr>
              <w:br/>
            </w:r>
            <w:r>
              <w:rPr>
                <w:rStyle w:val="968"/>
                <w:rFonts w:hint="default"/>
                <w:lang w:bidi="ar"/>
              </w:rPr>
              <w:t xml:space="preserve">2、规格：试管外径</w:t>
            </w:r>
            <w:r>
              <w:rPr>
                <w:rStyle w:val="971"/>
                <w:lang w:bidi="ar"/>
              </w:rPr>
              <w:t xml:space="preserve">Φ</w:t>
            </w:r>
            <w:r>
              <w:rPr>
                <w:rStyle w:val="968"/>
                <w:rFonts w:hint="default"/>
                <w:lang w:bidi="ar"/>
              </w:rPr>
              <w:t xml:space="preserve">18mm，试管高180mm，急冷温差＞200℃；</w:t>
            </w:r>
            <w:r>
              <w:rPr>
                <w:rStyle w:val="968"/>
                <w:rFonts w:hint="default"/>
                <w:lang w:bidi="ar"/>
              </w:rPr>
              <w:br/>
            </w:r>
            <w:r>
              <w:rPr>
                <w:rStyle w:val="968"/>
                <w:rFonts w:hint="default"/>
                <w:lang w:bidi="ar"/>
              </w:rPr>
              <w:t xml:space="preserve">3、支管与试管连接处牢固、平滑；</w:t>
            </w:r>
            <w:r>
              <w:rPr>
                <w:rStyle w:val="968"/>
                <w:rFonts w:hint="default"/>
                <w:lang w:bidi="ar"/>
              </w:rPr>
              <w:br/>
            </w:r>
            <w:r>
              <w:rPr>
                <w:rStyle w:val="968"/>
                <w:rFonts w:hint="default"/>
                <w:lang w:bidi="ar"/>
              </w:rPr>
              <w:t xml:space="preserve">4、产品应符合《玻璃仪器通用技术要求》。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578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了解三相电机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Style w:val="968"/>
                <w:rFonts w:hint="default"/>
                <w:lang w:bidi="ar"/>
              </w:rPr>
              <w:t xml:space="preserve">规格：460*360*90mm</w:t>
            </w:r>
            <w:r>
              <w:rPr>
                <w:rStyle w:val="968"/>
                <w:rFonts w:hint="default"/>
                <w:lang w:bidi="ar"/>
              </w:rPr>
              <w:br/>
            </w:r>
            <w:r>
              <w:rPr>
                <w:rStyle w:val="968"/>
                <w:rFonts w:hint="default"/>
                <w:lang w:bidi="ar"/>
              </w:rPr>
              <w:t xml:space="preserve">实验目的：了解三相电机。</w:t>
            </w:r>
            <w:r>
              <w:rPr>
                <w:rStyle w:val="968"/>
                <w:rFonts w:hint="default"/>
                <w:lang w:bidi="ar"/>
              </w:rPr>
              <w:br/>
            </w:r>
            <w:r>
              <w:rPr>
                <w:rStyle w:val="968"/>
                <w:rFonts w:hint="default"/>
                <w:lang w:bidi="ar"/>
              </w:rPr>
              <w:t xml:space="preserve">实验器材：三相电机原理演示器、手摇三相交流发电机、导线。</w:t>
            </w:r>
            <w:r>
              <w:rPr>
                <w:rStyle w:val="968"/>
                <w:rFonts w:hint="default"/>
                <w:lang w:bidi="ar"/>
              </w:rPr>
              <w:br/>
            </w:r>
            <w:r>
              <w:rPr>
                <w:rStyle w:val="968"/>
                <w:rFonts w:hint="default"/>
                <w:lang w:bidi="ar"/>
              </w:rPr>
              <w:t xml:space="preserve">实验内容：</w:t>
            </w:r>
            <w:r>
              <w:rPr>
                <w:rStyle w:val="968"/>
                <w:rFonts w:hint="default"/>
                <w:lang w:bidi="ar"/>
              </w:rPr>
              <w:br/>
            </w:r>
            <w:r>
              <w:rPr>
                <w:rStyle w:val="968"/>
                <w:rFonts w:hint="default"/>
                <w:lang w:bidi="ar"/>
              </w:rPr>
              <w:t xml:space="preserve">1.旋动永磁式旋转磁场演示器的蹄形磁铁，就会得到一个旋转磁场。在  蹄形磁铁内部空间放上针座，分别架上磁针、铝框、鼠笼转子，它们都会  随着旋转起来，旋转的方向与磁场旋转方向相同。如果放上塑料框，则不 转动。说明铝框、鼠笼转子的转动，是因感生电流在磁场中受力所致。</w:t>
            </w:r>
            <w:r>
              <w:rPr>
                <w:rStyle w:val="968"/>
                <w:rFonts w:hint="default"/>
                <w:lang w:bidi="ar"/>
              </w:rPr>
              <w:br/>
            </w:r>
            <w:r>
              <w:rPr>
                <w:rStyle w:val="968"/>
                <w:rFonts w:hint="default"/>
                <w:lang w:bidi="ar"/>
              </w:rPr>
              <w:t xml:space="preserve">2.用手摇三相电机作三相电源(Y型接法或使用输出电压10V、电流大于  150mA的其它三相电源、裂相电源)。将三相引线分别接到电磁式旋转演  示器的三个接线柱上，在绕组中间放入针座，并分别架上磁针、铝框、鼠  笼转子，它们都会旋转起来。说明了分别通有不同相位电流的三个线圈，</w:t>
            </w:r>
            <w:r>
              <w:rPr>
                <w:rStyle w:val="968"/>
                <w:rFonts w:hint="default"/>
                <w:lang w:bidi="ar"/>
              </w:rPr>
              <w:br/>
            </w:r>
            <w:r>
              <w:rPr>
                <w:rStyle w:val="968"/>
                <w:rFonts w:hint="default"/>
                <w:lang w:bidi="ar"/>
              </w:rPr>
              <w:t xml:space="preserve">产生了旋转磁场。</w:t>
            </w:r>
            <w:r>
              <w:rPr>
                <w:rStyle w:val="968"/>
                <w:rFonts w:hint="default"/>
                <w:lang w:bidi="ar"/>
              </w:rPr>
              <w:br/>
            </w:r>
            <w:r>
              <w:rPr>
                <w:rStyle w:val="968"/>
                <w:rFonts w:hint="default"/>
                <w:lang w:bidi="ar"/>
              </w:rPr>
              <w:t xml:space="preserve">当在绕组中放入塑料框时，它并不旋转，说明引起铝框、鼠笼转子转 动的原因是感应电流。</w:t>
            </w:r>
            <w:r>
              <w:rPr>
                <w:rStyle w:val="968"/>
                <w:rFonts w:hint="default"/>
                <w:lang w:bidi="ar"/>
              </w:rPr>
              <w:br/>
            </w:r>
            <w:r>
              <w:rPr>
                <w:rStyle w:val="968"/>
                <w:rFonts w:hint="default"/>
                <w:lang w:bidi="ar"/>
              </w:rPr>
              <w:t xml:space="preserve">当任意对换两条电源线时，磁针、铝框、鼠笼转子都会反转，证明其旋 转方向与旋转磁场的方向一致。</w:t>
            </w:r>
            <w:r>
              <w:rPr>
                <w:rStyle w:val="968"/>
                <w:rFonts w:hint="default"/>
                <w:lang w:bidi="ar"/>
              </w:rPr>
              <w:br/>
            </w:r>
            <w:r>
              <w:rPr>
                <w:rFonts w:hint="eastAsia" w:ascii="宋体" w:hAnsi="宋体" w:cs="宋体"/>
                <w:b/>
                <w:bCs/>
                <w:color w:val="000000"/>
                <w:sz w:val="20"/>
                <w:szCs w:val="20"/>
                <w:lang w:bidi="ar"/>
              </w:rPr>
              <w:t xml:space="preserve">备注：选择性必修二-P36</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579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打孔器刮刀</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1、产品由刀架、刀片、刀片定位销钉、刀片张角定位螺钉和手柄组成；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2、刀架应采用金属材料制作，表面作防锈处理。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3、刀片应采用工具钢片，具有足够钢性和硬度，刀刃应锋利、无缺损、变形、卷刃现象，刀体与刀柄连接牢固；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4、手柄表面光洁，大小适当，握持手感舒适；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5、刀片与刀架配合灵活，便于装拆。</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580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剥线钳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1、材质：高碳钢，长度不小于160mm,压接范围：0.5、1、1.5、2.5、4平方毫米；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2、其他符合QB/T2207-1996《剥线钳》标准。</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581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金属晶体结构模型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由堆积、晶胞模型和延展性模型组成，球直径不小于29mm。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582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立体磁感线演示器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1、产品为组合式，主要由上盖1个，下底1个，矩形凹形片，矩形半圆形片，小软铁片。碲形磁铁1个，条形磁铁1个组成；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2、上盖和下底用优质透明塑料制作；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3、矩形片用优质透明塑料制作。</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583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学生电源交换机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1、通讯控制单元：由通讯总线接收总控单元的各种命令，来执行各种动作。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2、摇臂控制单元：采用闭环控制由上、下限检测开关控制。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3、低压供电单元：直流电源采用硬件，软件双重保护。交流电源采用隔离检测保护电路，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4、高压供电单元：漏电保护，急停停止电路。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5、供水控制单元：水位检测来控制电机启停，实时排水。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6、照明控制单元：远程开启关闭。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7、分组控制学生端低压输出，带分组接线口。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8、状态指示单元：各种状态指示，便于安装调试，维修。</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584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乳胶管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1、产品用优质乳胶制造；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2、产品内径为5～6mm，壁厚1mm；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3、产品应符合国标GB1189～81《胶管外观质量》的规定。</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米</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585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高压输变电模拟演示器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发电厂、升压变压器、高压输电线、降压变压器。</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586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DNA结构模型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1、ABS塑料材质，元件之间要能拆开重新组合，各个碱基对的排列位置应能互换；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2、元件的组装应松紧适度，不应自由松脱或滑出；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3、产品应符合JY26-79《教学仪器产品一般质量要求(试行)》中的有关规定。</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587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冲击摆实验器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有平衡锤、弹簧压片、指针、可调丝杆、刻度板、摆动、枪栓、扳机、底座、钢球、入弹孔通棒组成。</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588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台式双速曲线锯机 </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1.无极调速：400-1600rpm；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2.额定电压220~50HZ，额定功率120W；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3.工作台尺寸：400*253mm.机器尺寸：600*260*300mm；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4.咽喉深度：400mm；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5.切割范围：1-50mm；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6.工作台倾斜范围：0-45°；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7.锯条长度：133mm；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8.净重：15Kg，毛重：17Kg；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9.最大切割厚度：木料20mm，软金属2mm，泡沫50mm，塑料30mm。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589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光照培养架</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1、占地尺寸（长*宽*高）124*44*180CM，尺寸偏差偏差±2cm；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2、冷压钢板喷塑架，产品层板为采用冷压钢板，暗式布线，特别适合教学组培使用；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3、铝合金厚度：≥0.7mm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4、光照层共4层，每层配3根LED一体化灯管，采用高亮LED光源，高透光阻燃PC灯罩，18W/根，配国标线缆；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5、带有微电脑独立控时装置，独立编程控时，每天最高可达12组开关模式，适用于-30℃-50℃，记时误±0.5秒/天；</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590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备用百褶过滤环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外径187mm，内径152mm，高118mm。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591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木屑收集装置</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1、功率：≥1200W；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2、钢制壳体，配有可洗布袋及延伸管、延伸杆、两种吸头。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3、容量：≥18L；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4、尺寸：≥300*500mm。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592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滴瓶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2、规格：茶色，30mL；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3、瓶塞上口应配合橡皮头下管正直；产品应符合《玻璃仪器通用技术要求》。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593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木工工具箱</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专用配套工具箱20件套，含18种必备常用工具，工具箱内定点定位，方便</w:t>
            </w:r>
            <w:r>
              <w:rPr>
                <w:rFonts w:hint="eastAsia" w:ascii="宋体" w:hAnsi="宋体" w:cs="宋体"/>
                <w:color w:val="000000"/>
                <w:sz w:val="20"/>
                <w:szCs w:val="20"/>
                <w:lang w:bidi="ar"/>
              </w:rPr>
              <w:t xml:space="preserve">使用和管理。工具包括：木工凿子，1把，3/4”；美工刀，1把，包胶；木工锉，1把，8"半圆；剪刀，1把，多用；羊角锤，1把，0.5KG木柄；鸟刨，1把；手推刨，1把；钢角尺，1把，300mm；螺丝刀，1把，6*125+-铬钒钢，芝麻柄；老虎钳，1把，8"黄黑双色柄；卷尺，1把，3m*12.5mm；G形夹，1把，3"；有机玻璃钩刀，1把，钩刀带两把刀片；木工鸡尾锯，1把，锰钢三面齿，磨齿锯；木工铅笔，1支；小水平尺，1把，S93型，塑料，三水泡，45°、90°、180°；墨斗，1个，新型迷你墨斗；磨刀石一块。</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594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游标卡尺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1、产品为有效量程不小于150mm、测量精度0.02mm的普通游标卡尺；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2、具有内测、外测、深度等测量功能；采用不锈钢材料制造，表面抛光处理；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3、刻度清晰，无断线、缺划。</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把</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595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盖·吕萨克定律演示器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1、演示器由尺度板、玻璃管、橡胶塞、烧瓶、温度计、支脚、胶头滴管等组成；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2、用来实验一定质量的某种气体在压强不变的情况下其体积V与热力学温度T成正比。</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596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液体表面张力演示器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由六种不同的几何形状的金属丝线框组成，半球环、双环、棉线环、棉线围环、金属框架、钢丝圈六件组成。</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597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定性滤纸</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9cm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盒</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598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楞次定律演示器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开口环、闭口环、底座支架组成。</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599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工作虎钳 PM 60，钳口 60 mm</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宽度60mm,夹持范围42mm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通风变频装置</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1、装置采用模块化设计，双CPU控制，是集数字技术、计算机技术、现代自控技术于一体的高科技产品，具有精度高、噪音低、转矩大、性能可靠及高效节能等优点。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2、LED显示：频率指示、转速指示、状态指示、异常指示等；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3、额定输入电压：三相380V，±15%；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4、额定输入频率：50/60HZ；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5、控制方式：空间电压矢量控制；</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组培苗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苗高：2～6 cm（常规组培苗）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茎粗：1.5～3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叶片数：3～6 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根数：3～8 条，根长 2～5 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根系状态：白色、粗壮、无褐化、无畸形根</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轨道小车</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轨道打点式，打点有效距离不小于600mm。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人体导电</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1、设备参数：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规格：0.9×0.6×0.9m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电源：AC220V/50Hz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功率：500W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展台：采用新型复合材料，经高温模铸压工艺成型。具备优良的电气绝缘性、耐腐蚀性、环保无毒、优异的耐紫外线抗老化性能，阻燃性可达到FVO级，使用寿命长，永不变色的特性。简约时尚的蛋壳造型展台，在满足展示载体的同时，让原本厚重的展台变得更加灵动。场景百搭是它展陈的核心优势，其独特的外观能更好的融入于各种场景空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台面：康贝特板，厚度≧10mm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展台固定脚：碳钢表面电镀钢板厚度≧2mm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部件：有机玻璃管、6V低压安全防水按钮等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2、功能描述：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在安全电压及微电流条件下，人体可以用来接通开关进行电路控制。这件展品就是根据这个原理制成的。展品由展台、不锈钢说明牌、金属电极、显示灯组成。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3、操作说明：</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接通电源，观众两只手分别放在两个金属电极上，观看现象。</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钢制黑板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1、尺寸及要求：不小于900mm×600mm，双面，黑板提手在长边边框中间安装牢靠，挂起或提拿时无明显歪斜；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2、钢制双面黑板，书写面为镀锌冷轧钢板制造，两钢板间为人造板，并与金属板粘结牢固；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3、无镜面反光，色泽均匀；</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4、允许用绿白两用书写板代替；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5、使用普通或无尘粉笔时，应手感流畅、充实，笔迹清晰，经反复擦试无明显遗留粉笔痕迹。</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电子天平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1、量程100g，感量0.001g，数字显示6位；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2、以电子元件：称重传感器，放大电路，AD转换电路，单片机电路，显示电路，键盘电路，通讯接口电路，稳压电源电路等电路组成；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3、功能：液晶显示，自动零位跟踪可调，自动故障诊断，自动校准，全量程范围去皮，过载保护等。</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化学分子展示模块配套橱窗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1.尺寸长3m*高1.5m*深0.6m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2.柜体以多层板为基层，展示面选用超白钢化玻璃 ，实现通透无界的视觉效果，同时钢化玻璃的高强度特性，保障标本展示安全</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移液管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高硼硅玻璃25mL</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木工胶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体积：237ml</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电子云杂化轨道模型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S、SP、SP2、SP3、Px、Py、Pz。</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610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原电池实验器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一、组成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原电池实验器由容器（含顶盖和罐体）、电极套装（含铜、铁、锌电极片各2套和碳棒1只）构成。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二、功能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1.与电流、电压传感器配合使用，用于探究中学化学实验中原电池的形成条件、工作原理及影响因素；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2.还可以完成多个原电池串联、并联等电化学实验活动，并可拓展为电解池或电镀池使用。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3.滑动电极柱改变两电极之间的距离，调换电极片上下安装方式可以改变浸入溶液的面积。</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611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玻璃管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2、外径：φ7mm～φ8mm；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3、理化性能：耐水等级：4级，耐碱等级：1～3级，耐酸等级：2～3级；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4、应力：紫红色或扩散状淡蓝；</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5、色泽：无色透明，允许微带黄绿色；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6、玻管厚薄均匀，不能出现大小头。</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千克</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612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细口瓶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2、规格：1000mL；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613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简单机器人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1、物理探究实验用；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2、质量可靠，性能稳定。</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614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玩具赛车</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器材名称：遥控赛车（向心力演示用）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车辆类型：电动无线遥控赛车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配套轨道：圆形 / 圆弧水平轨道（可调节半径）</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615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台式钻床 </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1、功率不小于350w；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2、输入电压220v-50HZ；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3、钻孔直径1.5-13mm；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4、额定转速1400rpm，主轴5级变速；</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5、工作台面尺寸不小于160mmx160mm；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6、底座尺寸不小于170mmx280mm；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7、总高度不小于580mm。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616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单刀开关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1、开关的最高工作电压36V，额定工作电流6A；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2、底板用塑料制作，开关闸刀与接线柱及垫片均为铁件镀铬；</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3、接线柱直径为φ4mm；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4、开关的绝缘强度应能承受1200V，漏电流为5mA，频率50Hz的正弦交流（绿色）。</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617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网状砂带  3件装</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砂带尺寸：610*30mm；#180（3件装）</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w:t>
            </w:r>
            <w:r/>
          </w:p>
        </w:tc>
      </w:tr>
      <w:tr>
        <w:trPr>
          <w:trHeight w:val="6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618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高中物理系列1选修多媒体互动教学配套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实验和相应教材配套，覆盖高中物理系列1选修模块内容，DVD光盘;1碟装。</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619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试管架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产品由顶板、底板、插杆组成，12孔。木制。</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620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微量移液器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500µL～5000µL</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621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等势线描绘实验器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接线柱、白纸、复写纸、导电线、导线，黑色塑料底板组成。</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622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水浴锅</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Style w:val="968"/>
                <w:rFonts w:hint="default"/>
                <w:lang w:bidi="ar"/>
              </w:rPr>
              <w:t xml:space="preserve">1、中学化学实验用的常用仪器，适用于必须使被加热物质均匀受热，而温度不超过100℃时的间接加热；</w:t>
            </w:r>
            <w:r>
              <w:rPr>
                <w:rStyle w:val="968"/>
                <w:rFonts w:hint="default"/>
                <w:lang w:bidi="ar"/>
              </w:rPr>
              <w:br/>
            </w:r>
            <w:r>
              <w:rPr>
                <w:rStyle w:val="968"/>
                <w:rFonts w:hint="default"/>
                <w:lang w:bidi="ar"/>
              </w:rPr>
              <w:t xml:space="preserve">2、结构为紫铜制品，均冲压成形，其规格为</w:t>
            </w:r>
            <w:r>
              <w:rPr>
                <w:rStyle w:val="971"/>
                <w:lang w:bidi="ar"/>
              </w:rPr>
              <w:t xml:space="preserve">Φ</w:t>
            </w:r>
            <w:r>
              <w:rPr>
                <w:rStyle w:val="968"/>
                <w:rFonts w:hint="default"/>
                <w:lang w:bidi="ar"/>
              </w:rPr>
              <w:t xml:space="preserve">140mm×85mm。容积为120ml，盖由从小到大的五层圈组成。</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623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交流电路特性演示器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大电感、小电感，大电容、小电容，电阻。</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624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塑料洗瓶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250mL，密封性好，不漏气。</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205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625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减数分裂中染色体变化模型组件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环保塑料制品，磁性软板，塑料自封袋包装。</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626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量筒</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1、标称容量：10mL，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3、底座和口部边缘应做熔光处理，口边应与量筒的轴线垂直；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4、量杯放在上，不应摇晃；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5、当从量杯向外倾倒液体时，液体呈一束细流流出，不应外溢，不应沿壁外流；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6、外表面和内表面不应有破皮气泡和薄皮气泡、密集小气泡和积水条纹存在。</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627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冷凝器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2、规格：直形，300mm；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628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容量瓶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1、高硼硅玻璃材质，由瓶体和瓶塞组成；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2、规格：25mL。内应力消除：在偏光仪下呈紫色；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3、刻度线清晰耐久，粗细均匀，平行于瓶底平面；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4、瓶口与瓶塞密合性好。</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629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蝗虫精巢减数分裂切片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1、标本在100×和400×生物显微镜下观察蝗虫精巢减数分裂的各期形态；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2、能看清减数分裂过程中的以下时期：减数第一次分裂的前期、中期和后期和减数第二次分裂的前期、中期、后期和末期；</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3、材料应取自蝗虫精巢；切片厚度应为6～8μm。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630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上水装置</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1、用于连接地面水管及水龙头，上水管两端接头采用不低于201不锈钢螺帽铜芯，外管是304钢丝+尼龙丝混编的、内管采用三元内管、角阀是钻石轮（塑料包铁）、阀芯和阀体均为铜制</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180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631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通风柜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1、规格：≥1500*850*2350mm；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2、台面：采用≥12.7mm厚实芯理化板，耐酸碱，耐冲击，耐腐蚀，甲醛达到E1级及以上标准；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主体：左右旁板\前钢板\前立柱\下柜体：采用≥1.0mm厚一级优质镀锌钢板。钢板下料选用优质≥2000W全自动数控激光切割机，板材折边采用全自动数控折弯机一次性一体折弯成型，所有金属表面经环氧树脂粉末静电流水线自动化喷涂及高温固化。</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4、内衬板\导流板\顶板\后背板：标配采用≥5mm厚实芯抗倍特板具有良好的防腐蚀、易清洗，导流板固定件使用PP优质材质制作一体成型。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移动视窗：门玻璃两侧用铝合金夹条包裹，铝合金一体成型拉手，并嵌入≥5mm厚优质钢化玻璃，门开启高度为≥750mm,自由升降，移门上下滑动装置采用垂直升降同步轮结构，无级任意停留，移门导向装置由抗腐蚀的聚氯乙稀材质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6、固定视窗：框架为钢≥1.0mm厚一级优质镀锌钢板经激光切割下料，数控折边制作，环氧树脂粉末静电喷涂高温固化，并框内嵌入≥5mm厚钢化玻璃；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7、排风口：采用与顶板一体成型集气罩，出风口直径≥250mm圆孔，套管连接，减少气体扰流；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8、连接处：所有内部连接装置都隐藏布置和抗腐蚀，没有外露的螺钉，外部连接装置都抗化学腐蚀的不锈钢部件与非金属材料；</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9、水槽：配有一次性成型PP小杯槽，耐酸碱、耐腐蚀，安装于通风柜内台面上；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10、水龙头：七字单口水龙头由黄铜构成并安装在通风柜内台面上；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11、控制面板：采用液晶显示屏面板（可设置快慢自由调节，支持电动风阀6秒快开）≥8个按键电源、设置、确定、照明、备用、风机、风阀+\-键；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12、照明：LED圆筒白光灯快速启动类型，安装置通风柜顶部，使用寿命长；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13、插座：配置不低于四个86型国标五孔多功能插座。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14、线路：通风柜内部线路均使用≥2.5平方铜芯电线；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15、下柜门：标配采用优质≥90度直臂铰链，使用寿命高，拆装方便，并采用了曲面柜门；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16、检修口：下柜背板预留活动检修窗，方便故障检修；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17、其它装置：上柜左右旁板各预留4个直径≥42mm圆孔方便加装考克等设施。</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632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塑料水槽</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1．长方形透明水槽里口尺寸：250×180×100mm，槽壁不得有明显的不平。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2．水槽应不因温度和盛水时重力的影响而发生形变（水温40℃）。3．水槽应能在高度1M处自由下落于水泥地面时不碎裂。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633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游标卡尺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1、产品为有效量程不小于125mm、测量精度0.05mm的普通游标卡尺；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2、具有内测、外测、深度等测量功能；采用不锈钢材料制造，表面抛光处理；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3、刻度清晰，无断线、缺划。</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把</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634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金属酒精灯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不锈钢制灯帽、玻璃缸体。</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635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试管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Style w:val="968"/>
                <w:rFonts w:hint="default"/>
                <w:lang w:bidi="ar"/>
              </w:rPr>
              <w:t xml:space="preserve">1、高硼硅玻璃材质；</w:t>
            </w:r>
            <w:r>
              <w:rPr>
                <w:rStyle w:val="968"/>
                <w:rFonts w:hint="default"/>
                <w:lang w:bidi="ar"/>
              </w:rPr>
              <w:br/>
            </w:r>
            <w:r>
              <w:rPr>
                <w:rStyle w:val="968"/>
                <w:rFonts w:hint="default"/>
                <w:lang w:bidi="ar"/>
              </w:rPr>
              <w:t xml:space="preserve">2、厚薄均匀，不得有刺手现象；规格：试管外径</w:t>
            </w:r>
            <w:r>
              <w:rPr>
                <w:rStyle w:val="971"/>
                <w:lang w:bidi="ar"/>
              </w:rPr>
              <w:t xml:space="preserve">Φ</w:t>
            </w:r>
            <w:r>
              <w:rPr>
                <w:rStyle w:val="968"/>
                <w:rFonts w:hint="default"/>
                <w:lang w:bidi="ar"/>
              </w:rPr>
              <w:t xml:space="preserve">20mm，试管高200mm；</w:t>
            </w:r>
            <w:r>
              <w:rPr>
                <w:rStyle w:val="968"/>
                <w:rFonts w:hint="default"/>
                <w:lang w:bidi="ar"/>
              </w:rPr>
              <w:br/>
            </w:r>
            <w:r>
              <w:rPr>
                <w:rStyle w:val="968"/>
                <w:rFonts w:hint="default"/>
                <w:lang w:bidi="ar"/>
              </w:rPr>
              <w:t xml:space="preserve">3、截面应为适度的圆形；试管口部是熔光的平口；</w:t>
            </w:r>
            <w:r>
              <w:rPr>
                <w:rStyle w:val="968"/>
                <w:rFonts w:hint="default"/>
                <w:lang w:bidi="ar"/>
              </w:rPr>
              <w:br/>
            </w:r>
            <w:r>
              <w:rPr>
                <w:rStyle w:val="968"/>
                <w:rFonts w:hint="default"/>
                <w:lang w:bidi="ar"/>
              </w:rPr>
              <w:t xml:space="preserve">4、管口应平整、光滑，不得有裂口、裂纹存在；试管的底部应基本为半球形。</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200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636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单摆振动图像演示器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有底座、单摆锤、立柱、电磁铁及电机组成。</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637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滴定实验装置</w:t>
            </w:r>
            <w:r/>
          </w:p>
        </w:tc>
        <w:tc>
          <w:tcPr>
            <w:tcBorders>
              <w:top w:val="single" w:color="000000" w:sz="4" w:space="0"/>
              <w:left w:val="single" w:color="000000" w:sz="4" w:space="0"/>
              <w:bottom w:val="single" w:color="000000" w:sz="4" w:space="0"/>
              <w:right w:val="single" w:color="000000" w:sz="4" w:space="0"/>
            </w:tcBorders>
            <w:tcW w:w="6953" w:type="dxa"/>
            <w:vAlign w:val="bottom"/>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滴定实验装置由滴定计数器、支架、针筒、两通阀、十字转接器、铁夹、滴头、塑帽螺栓构成。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能够测量滴定实验过程中试剂通过滴定计数器时的液滴数量。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配合pH传感器、电导率传感器或温度传感器等进行滴定实验，可完成中和滴定实验、冰醋酸的稀释、电导率滴定、检验氢氧化钠溶液的变质程度、中和滴定法测定食醋中的总酸度、饮料中维生素C含量的测定等实验。</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638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高中物理必修模块投影片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17*24cm，40片</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639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砂轮机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1、砂轮直径150mm；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2、电压220V，频率50Hz；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3、转速3000r/min；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4、功率370W。</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640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室外通风设备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1、采用PVC风管，或PP焊接管具有耐酸碱性能。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2、规格：主风管直径≥400mm。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3、管卡采用碳钢制作，表面经镀铬处理，具有耐腐蚀、防火、防潮等功能。</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项</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641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光照培养架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1、实用多层，安装方便，插孔暗式布线，可独立开关，电源插头带漏电保护功能；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2、光照强度3000lx-5000lx-7000lx三档可调。</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642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A字夹</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4寸开口范围0-50mm，总长115mm，夹力10kg</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643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可拆变压器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产品由单相芯式变压器铁芯、变压器线圈及铁芯压紧螺钉装置等组成。</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644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注液器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1、规格：100mL；塑料制成；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2、密封性好，滑动灵活；</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3、刻度标线规整、清晰。</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645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烧杯刷</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由金属丝和绞合在其上的猪鬃毛制成</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646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电流天平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符合教学实验要求，由螺线管线圈、立柱、天平臂、底座等几部分组成。</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647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太阳电池演示器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1、产品由机壳、太阳能电池板、小电机、风叶、蜂鸣器、转换开关等组成；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2、最大开路电压：3.5V；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3、大短路电流：50mA；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4、蜂鸣器工作电压：3V；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5、蜂鸣器工作电流：20mA；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6、风叶电机工作电压：3V，风叶电机工作电流：30mA。</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648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分析天平</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※1、全自动内部校准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2、电磁力传感器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3、LCD 液晶显示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4、全量程去皮、计数、单位转换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5、灵敏度、速度可调，百分比称重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※6、累加功能、峰值保持、上下限检重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※7、一键触发内校或依据内校周期设置，全自动时间触发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8、过载报警、故障报警、水平指示器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9、最大称重：220g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10、精度：0.0001g，最小称重：20mg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11、稳定时间≤3s</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12、秤盘尺寸 80mm（标配）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13、重复性：±0.0001g，线性±0.0001g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14、外形尺寸：300X200X295mm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15、重量：6.0kg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16、、打印功能（波特率设置，连续输出和单点输出切换）RS232C（标配）、 RS485、 USB、Printer(选配）</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649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电荷间作用力演示器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1、传感器分辨率：≤10－5次方牛顿；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2、环境温度：≤26℃；</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3、相对湿度≤50%；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4、大气压力：86～106kPa；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5、实验误差：≤5％；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6、供电电压：220VAC。</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650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电阻箱</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六位99999.9Ω，0.1级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1、教学电阻箱的结构为十进多盘式，电阻处阻值变换方式为开关式；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2、电阻箱参考功率为0.5W，标称使用功率为1W；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3、等级指数0.5%；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4、电阻箱由每个开关触头接触引起的电阻变差不应大于最小步进电阻值允许绝对误差值的50%；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5、在参考条件下，电阻箱的负载功率自参考功率上限值改变到标称使用范围上限值后，在稳定状态下，由自热引起的变差应不超过相应等级指数值。</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651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酒精灯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1、透明钠钙玻璃材质，由灯座、灯塞、灯盖、灯芯组成；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2、规格：150mL；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3、玻璃仪器，正视应无色；或仅有玻璃本身的微浅黄绿色；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4、玻璃仪器的口部都应经圆口（熔光）、卷边或磨砂处理；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5、应力：应力仪观察下呈紫红色或部分扩散状兰色；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6、厚薄均匀，玻璃仪器的底部应平整，放在上不应旋转或摇晃；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7、酒精灯塞子塞不紧是正常的，塞紧了是危险的。</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652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培养皿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2、规格：φ120mm；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653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离心管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10mL，内应力消除：在偏光仪下呈紫红色。</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654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等倾干涉模型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知识点：等倾干涉的光路及其条纹形状的几何模型。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1.台式；  2.外观尺寸：40×40×55cm；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 </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655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无线数显高温传感器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显示/无线/存储模块：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1.独立模块化结构，与各种传感器组合使用，具备独立数据显示、数据存储、数据上传功能。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2.接入后自动识别传感器，实时显示传感器测量数据，支持多值传感器数据显示及存储，数据显示屏刷新频率10Hz；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3.1.77寸（±0.1寸）彩屏，采用智能接口与传感器连接，接口具有方向性和自锁功能，可以防止传感器在使用过程中脱落，保证数据传输稳定；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4.屏幕可显示二维码，通过移动终端设备扫描二维码进行无线连接，采用蓝牙4.0传输协议，可将传感器测量数据实时传输到APP。</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5.设有按键开关，工作状态下，可通过调动按键开关切换数据显示和二维码界面；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6.通过移动终端设备可设置数据显示精度以及数据调零，可对数据进行描点绘图处理。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7.可将模块存储的测量数据导出至计算机进行数据分析（兼充电）；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8.支持Android、iOS 、Windows、鸿蒙操作；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9.采用充电锂电供电，电池电压3.7V，容量1100mAh，待机时间10小时，采用microUSB充电接口；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10.数据存储频率5Hz，存储容量最大262,144个数据点。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功能模块：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用于测量高温如酒精喷灯火焰的温度等；传感器一体化设计，数据传输稳定，可记录火焰的温度和颜色。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性能：测量范围：0~1200℃；分度：1℃；准确度：环境空气中：≤±5℃；远红外加热炉：≤±10℃；最大采样率：5KHz；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原理：传感器的敏感元件为热电偶。当两种不同材质导体的两个接触点存在温差时，两者之间便产生电动势U，通过传感器电路处理后即可转换为温度的变化。</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结构：使用不锈钢探针，可测高温物体或火焰的温度，不锈钢部分：长度为10.5厘米，直径为3.0毫米；探头把手：长度为9.5厘米，直径为1.23厘米。与传感器连接部分采用高精度、耐高温屏蔽线，线长58厘米，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传感器由高强度塑料外壳封装，外壳设有M5螺丝孔位，可将传感器固定在多种操作和实验装置上；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传感器数据处理电路为双主板设计，采用技术成熟的SMT生产工艺，可保证传感器经久耐用，数据传输稳定、持续；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采用智能接口，输出数字信号，接口具有方向性和自锁功能，可以防止传感器在使用过程中脱落，保证数据传输稳定；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模块化、可热插拔设计，支持有线通讯、无线通讯和屏幕数据显示，可支持蓝牙无线数据传输；</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可应用于Windows、Android、iOS、麒麟、统信、鸿蒙操作；</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656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烧杯夹</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1、成型规整、美观，表面无锈蚀，无损伤；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2、具备可靠的强度和夹持能力，便于与实验装置配合、组装；</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3、夹杆直径为10mm±2mm，夹头内侧有软质垫衬。</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657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带网树脂砂轮切断片 80*1.0*10mm</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 80*1.0*10mm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658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化学边柜</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1.尺寸：5000*600*800mm；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2.材质及工艺：1.全钢结构：2.台面：采用12mm厚抗倍特板,倒圆角处理，</w:t>
            </w:r>
            <w:r>
              <w:rPr>
                <w:rFonts w:hint="eastAsia" w:ascii="宋体" w:hAnsi="宋体" w:cs="宋体"/>
                <w:color w:val="000000"/>
                <w:sz w:val="20"/>
                <w:szCs w:val="20"/>
                <w:lang w:bidi="ar"/>
              </w:rPr>
              <w:t xml:space="preserve">防强酸强碱，耐磨耐高温；不含任何有毒物质，无辐射，受热不产生有毒气体和物质；3.柜体：采用1.0mm厚度，表面锌层80g/m2无油无花镀锌钢板 ，漆膜附着力高不变色（烤漆膜厚度平均值≥70μm），无异味，柜体双重防腐保护。4.防撞胶垫：装于门板内侧，减缓碰撞，保护柜体；5.门板及抽面：采用双层结构，组装式设计，保证两层双面都喷涂处理，中间采用隔音材料，保证关门减少噪音；6.连接件：采用ABS专用连接组装件；7.合页：采用优质不锈钢铰链；9.固定桌脚：采用柜体内置可调ABS调整脚，保证调整脚前后都可以调节高低</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659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滚上体</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由滚上体，弹簧秤，木陀螺组成。</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660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新型无机非金属材料标本</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包含：氧化铝陶瓷、氢化硅陶瓷、光导纤维。</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盒</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661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量筒</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1、标称容量：25mL，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3、底座和口部边缘应做熔光处理，口边应与量筒的轴线垂直；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4、量杯放在上，不应摇晃；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5、当从量杯向外倾倒液体时，液体呈一束细流流出，不应外溢，不应沿壁外流；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6、外表面和内表面不应有破皮气泡和薄皮气泡、密集小气泡和积水条纹存在。</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662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尼龙毛刷轮 细毛</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直径50mm  精细</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663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血红蛋白提取及分离试剂盒</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教学用试剂盒，聚丙烯酰胺凝胶由丙烯酰胺(简称 Acr)单体和少量交联剂甲叉双丙烯酰胺(简称 Bis)通过化学催化剂(过硫酸铵)、四甲基乙二胺(TEMED)作为加速</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剂形成三维空间的高聚物；</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规格：3 块凝胶</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664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电子天平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1、量程200g，感量0.01g；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2、以电子元件：称重传感器，放大电路，AD转换电路，单片机电路，显示电路，键盘电路，通讯接口电路，稳压电源电路等电路组成；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3、功能：液晶显示，自动零位跟踪可调，自动故障诊断，自动校准，全量程范围去皮，过载保护等。</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665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吹风机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1、学生实验吹干物品用；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2、本品材质：为ABS、PVC、PP；</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3、有冷热风、高中低三挡。</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666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金属钩码</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1、规格50g×4，200g×2，下卧沟，上下沟面垂直；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2、上、下勾开口方向相互垂直；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3、采用纯度99.6%、粒度≥80＃的铁基粉或其它钢材；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4、钩上、下勾的连线应通过钩码主体的轴线；钩码表面应有防腐镀层。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667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反应板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1、规格：6穴；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668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微型精密立钻架 </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钻架头部最大行程：60mm,立柱尺寸：400*32mm,喉深：150mm,工作台尺寸：250*170mm,夹持直径44mm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669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台式切断机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1、功率:2200W(全铜线)；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2、电压频率:220v/50HZ；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3、转速:5500r/min；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4、吸尘器接口:30mm，有可拆卸集尘袋，方便灰尘收集、打理；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5、锯片直径:255mm，锯片孔径:25.4mm，有锯片切割防护罩；</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6、锯深0-90°，75*305mm；45-90°，45*305mm；0-45°，75*210mm；45°-45°，45*210mm；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7、定位:红外激光；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8、驱动:齿轮驱动；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9、机头角度:单向45°；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10、可切割：铝板、石块、木料、金属材质、PVC管等；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11、净重:16kg；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12、包装尺寸:800*500*410mm。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670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翼形磁针</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1、每组包含翼形磁针2支；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2、磁针体表面喷漆，漆层均匀无脱落；指北极（N）为红色，指南极（S）为白色或蓝色。</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对</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671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酸碱反应热实验器</w:t>
            </w:r>
            <w:r/>
          </w:p>
        </w:tc>
        <w:tc>
          <w:tcPr>
            <w:tcBorders>
              <w:top w:val="single" w:color="000000" w:sz="4" w:space="0"/>
              <w:left w:val="single" w:color="000000" w:sz="4" w:space="0"/>
              <w:bottom w:val="single" w:color="000000" w:sz="4" w:space="0"/>
              <w:right w:val="single" w:color="000000" w:sz="4" w:space="0"/>
            </w:tcBorders>
            <w:tcW w:w="6953" w:type="dxa"/>
            <w:vAlign w:val="bottom"/>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中和热实验器由反应容器、硅胶塞及注液器构成。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配合温度传感器、传感器线、数据采集器、USB通讯线等硬件及中和热专用软件使用，用于测定强酸与强碱反应的中和热实验。</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672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反冲运动演示器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由金属箱橡皮塞小车铝杯组成尺寸95*65*24mm。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673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探究实验耗材包</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tcPr>
          <w:p>
            <w:pP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不锈钢直尖剪刀30把；枪型不锈钢镊子30把；四种规格吸头：吸头5000uL-1包，吸头1000uL-1包，吸头200uL-1包，吸头10uL-1包；四种规格吸头盒各15个；不锈钢防爆酒精灯12个；两面板12个；组培瓶5箱，0.5mL离心管1包；1.5mL离心管1包；封口膜1包；酒精棉球2包，手套200付</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674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纱布</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80*200cm/包（灭菌）</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675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智慧烟感探测终端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1、当发生火灾探测到烟雾时，突发事件应急疏散主机和分机应能够接受烟感探测器的警报信号，并应能触发“发生火灾”警报提示，并上传到突发事件接警云。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功能特性：烟雾探测；火灾预警；声光报警；自检测试；防潮设计；联动突发事件接警云进行报警；分体式设计，烟感与通讯模块无需接线，360度自由旋转安装；内置NB卡设计，避免长时间NB裸露在外灰尘与潮气带来的短路与短路造成不良；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3、性能指标：工作电源：DC3；待机电流：≤12uA；报警方式：LED&amp;蜂鸣器；报警声强：≥85dB；防火等级：不低于V0；</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676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防腐耐酸碱通风设备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包含6#离心风装置≥5.5KW，转速：≥1450r/min，流量：6800-14530m³/h，全压：1150-748Pa，噪声符合国家标准,风机外壳和叶轮均采用模具一次成型。配橡胶减震器用于消除专用通风机引起的震动，配防雨帽，PP材质，主要用于对专用通风机的防护。</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677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玻璃管切割器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适应于细小玻璃管（可切20mm以内的玻璃试管）的切割，环形刀片。</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678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分液漏斗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2、规格：球形，50mL；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679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通风（室内）</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1、主通风管规格：≥φ160mm/200mm，优质PVC成品管道；</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2、支管道规格：≥φ110mm/160mm，优质PVC成品管道；</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3、管道配件：管道三通、弯头、变径、直接；（实际管径视现场情况可适当调整）</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室</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680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容量瓶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1、高硼硅玻璃材质，由瓶体和瓶塞组成；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2、规格：100mL。内应力消除：在偏光仪下呈紫色；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3、刻度线清晰耐久，粗细均匀，平行于瓶底平面；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4、瓶口与瓶塞密合性好。</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681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pH广范围试纸</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1～14，条状，每本80张，每张尺寸不小于1*20mm。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本</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682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验证基因分离规律玉米标本</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标本选用父代穗、母代穗、子一代穗、子二代穗及子二代测交穗5穗玉米穗组成，各有不同的基因型。</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683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高中数字演示电表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直流/交流电压、电流，检流；4-1/2位数码管，不小于5cm。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684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水槽柜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规格：6000*750*730mm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全板结构。</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685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通用工具</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after="200" w:line="360" w:lineRule="auto"/>
              <w:widowControl/>
              <w:rPr>
                <w:rFonts w:ascii="宋体" w:hAnsi="宋体" w:cs="宋体"/>
                <w:color w:val="000000"/>
                <w:sz w:val="20"/>
                <w:szCs w:val="20"/>
              </w:rPr>
            </w:pPr>
            <w:r>
              <w:rPr>
                <w:rStyle w:val="968"/>
                <w:rFonts w:hint="default"/>
                <w:lang w:bidi="ar"/>
              </w:rPr>
              <w:t xml:space="preserve">以《普通高中化学课程标准（</w:t>
            </w:r>
            <w:r>
              <w:rPr>
                <w:rStyle w:val="970"/>
                <w:lang w:bidi="ar"/>
              </w:rPr>
              <w:t xml:space="preserve">2017</w:t>
            </w:r>
            <w:r>
              <w:rPr>
                <w:rStyle w:val="968"/>
                <w:rFonts w:hint="default"/>
                <w:lang w:bidi="ar"/>
              </w:rPr>
              <w:t xml:space="preserve">年版</w:t>
            </w:r>
            <w:r>
              <w:rPr>
                <w:rStyle w:val="970"/>
                <w:lang w:bidi="ar"/>
              </w:rPr>
              <w:t xml:space="preserve">2020</w:t>
            </w:r>
            <w:r>
              <w:rPr>
                <w:rStyle w:val="968"/>
                <w:rFonts w:hint="default"/>
                <w:lang w:bidi="ar"/>
              </w:rPr>
              <w:t xml:space="preserve">年修订）》为依据，结合各大版本高中化学课程教材，满足高中化学课程的所有实验。此箱是专为教师及学生完成教材要求的实验而设计，采用高度集成的方法将需要由串联类、支撑类仪器的使用才能完成的实验所需要用到的仪器分块放置在实验箱里，准备简单，管理方便。每款仪器的配置均符合教材上要求的所有实验，充分提高了实验课堂的授课水平和学习质量。对部分实验仪器做了改进和分类，使实验操作更加方便、快捷。</w:t>
            </w:r>
            <w:r>
              <w:rPr>
                <w:rStyle w:val="968"/>
                <w:rFonts w:hint="default"/>
                <w:lang w:bidi="ar"/>
              </w:rPr>
              <w:br/>
            </w:r>
            <w:r>
              <w:rPr>
                <w:rStyle w:val="968"/>
                <w:rFonts w:hint="default"/>
                <w:lang w:bidi="ar"/>
              </w:rPr>
              <w:t xml:space="preserve">外观尺寸</w:t>
            </w:r>
            <w:r>
              <w:rPr>
                <w:rStyle w:val="970"/>
                <w:lang w:bidi="ar"/>
              </w:rPr>
              <w:t xml:space="preserve">(mm)</w:t>
            </w:r>
            <w:r>
              <w:rPr>
                <w:rStyle w:val="968"/>
                <w:rFonts w:hint="default"/>
                <w:lang w:bidi="ar"/>
              </w:rPr>
              <w:t xml:space="preserve">：</w:t>
            </w:r>
            <w:r>
              <w:rPr>
                <w:rStyle w:val="970"/>
                <w:lang w:bidi="ar"/>
              </w:rPr>
              <w:t xml:space="preserve">485*370*155mm</w:t>
            </w:r>
            <w:r>
              <w:rPr>
                <w:rStyle w:val="970"/>
                <w:lang w:bidi="ar"/>
              </w:rPr>
              <w:br/>
            </w:r>
            <w:r>
              <w:rPr>
                <w:rStyle w:val="968"/>
                <w:rFonts w:hint="default"/>
                <w:lang w:bidi="ar"/>
              </w:rPr>
              <w:t xml:space="preserve">箱体颜色：灰色</w:t>
            </w:r>
            <w:r>
              <w:rPr>
                <w:rStyle w:val="968"/>
                <w:rFonts w:hint="default"/>
                <w:lang w:bidi="ar"/>
              </w:rPr>
              <w:br/>
            </w:r>
            <w:r>
              <w:rPr>
                <w:rStyle w:val="968"/>
                <w:rFonts w:hint="default"/>
                <w:lang w:bidi="ar"/>
              </w:rPr>
              <w:t xml:space="preserve">箱体材料：高密度工程塑料（聚丙烯），使用</w:t>
            </w:r>
            <w:r>
              <w:rPr>
                <w:rStyle w:val="970"/>
                <w:lang w:bidi="ar"/>
              </w:rPr>
              <w:t xml:space="preserve">0.5mm</w:t>
            </w:r>
            <w:r>
              <w:rPr>
                <w:rStyle w:val="968"/>
                <w:rFonts w:hint="default"/>
                <w:lang w:bidi="ar"/>
              </w:rPr>
              <w:t xml:space="preserve">厚的</w:t>
            </w:r>
            <w:r>
              <w:rPr>
                <w:rStyle w:val="970"/>
                <w:lang w:bidi="ar"/>
              </w:rPr>
              <w:t xml:space="preserve">PVC</w:t>
            </w:r>
            <w:r>
              <w:rPr>
                <w:rStyle w:val="968"/>
                <w:rFonts w:hint="default"/>
                <w:lang w:bidi="ar"/>
              </w:rPr>
              <w:t xml:space="preserve">背胶板印刷全套（</w:t>
            </w:r>
            <w:r>
              <w:rPr>
                <w:rStyle w:val="970"/>
                <w:lang w:bidi="ar"/>
              </w:rPr>
              <w:t xml:space="preserve">4</w:t>
            </w:r>
            <w:r>
              <w:rPr>
                <w:rStyle w:val="968"/>
                <w:rFonts w:hint="default"/>
                <w:lang w:bidi="ar"/>
              </w:rPr>
              <w:t xml:space="preserve">张）铭牌，不起皱，不脱落。</w:t>
            </w:r>
            <w:r>
              <w:rPr>
                <w:rStyle w:val="968"/>
                <w:rFonts w:hint="default"/>
                <w:lang w:bidi="ar"/>
              </w:rPr>
              <w:br/>
            </w:r>
            <w:r>
              <w:rPr>
                <w:rStyle w:val="968"/>
                <w:rFonts w:hint="default"/>
                <w:lang w:bidi="ar"/>
              </w:rPr>
              <w:t xml:space="preserve">箱体内部零件固定体：采用高发泡隔离填充材料，内部零件固定体采用双层双色工艺制作，更能凸显零件的立体效果，上层绿色下层黑色，使用不同颜色的材质制造更容易找到相应器材。零件固定体按零件形状数控雕刻成型，每种实验器材有相对应插槽，每种实验器材设有固定位置。</w:t>
            </w:r>
            <w:r>
              <w:rPr>
                <w:rStyle w:val="968"/>
                <w:rFonts w:hint="default"/>
                <w:lang w:bidi="ar"/>
              </w:rPr>
              <w:br/>
            </w:r>
            <w:r>
              <w:rPr>
                <w:rStyle w:val="968"/>
                <w:rFonts w:hint="default"/>
                <w:lang w:bidi="ar"/>
              </w:rPr>
              <w:t xml:space="preserve">实验器材：电子天平、升降台、试管架、铁架台底座、铁架台支杆、通用夹、铁三环等。</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686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离心力铁环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1、物理实验演示弹性圆环在离心力的作用下变扁的物理现象；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2、由电机、转台、铁环、转轴组成。材质；镀锌钢板。</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687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原电池实验器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1、仪器组成：塑料槽一个、铜电极一个、锌电极一个、辅助电极二个、发光二极管一只、导线二极；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2、塑料水槽内共分两格，并由1个塑料板隔起来。</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688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燃烧管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φ25mm×300mm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689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通电平行直导线相互作用演示器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产品由底座、支杆、上支架、直导线铜管、接插线等组成。</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690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试管夹</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1、产品为木质或竹质材料制成；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2、所用木材要求脱脂干燥处理，无裂纹，光滑，锯端面无毛刺，无刺手感；</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3、试管夹所附毡块应粘接牢固，不得脱落；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4、管夹弹簧应有足够弹性，并作防锈处理。夹口张、合松劲强度适宜，便于试管夹持和拿取。</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691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实验规范操作和安全要求</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1、2幅；</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2、纸张规格：纸张不低于105克铜版纸，覆膜；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3、印刷：四色彩色胶印；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4、图形：教学挂图应图像清晰，色泽自然鲜明，位置准确；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图片印刷套印准确，层次分明，轮廓实，电分制版无浮雕印；网点清晰饱满，小点不秃，大点光洁不糊，质感好；墨色均匀厚实，色彩鲜有光泽，肤色正、接版准确，色调深浅一致；文字印刷压力适度，全图前后轻重一致；全图前后墨色一致，浓淡适度符合要求；版面端正，正反套印准确；文字、标点清晰，笔锋挺秀，无缺笔断划，标题黑实不花，小字不糊不瞎；无脏污、破损；无野墨；成品裁切方正，无明显刀花，无连接页、折角、破头；耐碱折正，书面平服，无皱折；</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6、印刷标准：符合GB7705-87《平版装潢印刷品标准》；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7、适用于《全日制义务教育物理课程标准》。</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692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净化板隔断</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钢板EPS氧指数30，50MM厚夹心硅岩净化板，双面贴膜，企口白灰色，表面喷塑密封，净化防尘防菌处理。</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693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离心沉淀器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1、产品为组合式，主要由齿轮变速箱1套，转台1套，试管4个组成；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2、齿轮变速箱：金属制作，变速齿轮比例1:2、下部有固定装置，上部有转轴，正面有手摇装置；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3、转台用金属制作，螺钉固定；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4、等分均匀分布试管环，试管环能360°转动，表面镀锌防锈处理。</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694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PCR仪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1、容量：≥30管；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2、电源输入220±20V，控温范围0℃-99.9℃，最大功率120W，重量2.0kg，使用试管0.2ml。</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695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研钵</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1、瓷，60mm；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696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顶装主体架外壳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结构参数：采用多模块化舱体式结构；外壳左右采用铝合金模具挤压型材，舱体前、尾端采用阻燃ABS注塑模具一次成型堵头封盖，舱体外壳左右中腰部镶铝合金装饰条；舱体外壳下部边缘设有LED照明灯条，所有的金属件表面经环氧树脂粉末喷涂高温固化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技术要求：外壳左右为铝合金挤压型材，采用标准化模块组.模组规格：≥1200mm*525mm*240mm。模块组合成连体吊装，外壳表面经环氧树脂粉末喷涂高温固化处理，具有阻燃性强和耐酸碱、耐腐蚀，光泽度好，美观大方。</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697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烧杯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2、规格：100mL，烧杯上标志应清晰、耐久，造型规范、薄厚均匀、无明显偏斜，底部不允许有结石、节瘤存在；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3、放在上不应旋转或摇晃；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4、当向外倾倒液体时，液体呈一束细流流出，不应外溢，不应沿壁外流。</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320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698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软胶塞</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1、产品用天然橡胶制造，白色；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2、每包软胶塞由0～10号的胶塞组成，要求搭配合理。</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千克</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699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迷你离心机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流线型设计，体积小；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超静音技术，超低噪音运行，安全可靠；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外形精致小巧，一机多用，满足多种实验需求；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独特的转子卡扣设计，方便转子更换和取放；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开盖即停，当盖子打开，转头立即停止运行，可避免因旋转而可能发生的伤害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最高转速4000r/min，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运行噪音低，性能稳定；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按钮控制，无刷电机，开盖即停</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磁力搅拌器</w:t>
            </w:r>
            <w:r/>
          </w:p>
        </w:tc>
        <w:tc>
          <w:tcPr>
            <w:tcBorders>
              <w:top w:val="single" w:color="000000" w:sz="4" w:space="0"/>
              <w:left w:val="single" w:color="000000" w:sz="4" w:space="0"/>
              <w:bottom w:val="single" w:color="000000" w:sz="4" w:space="0"/>
              <w:right w:val="single" w:color="000000" w:sz="4" w:space="0"/>
            </w:tcBorders>
            <w:tcW w:w="6953" w:type="dxa"/>
            <w:vAlign w:val="bottom"/>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由磁力搅拌器、搅拌子（含30mm和20mm的搅拌子各一个）、电源适配器构成。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磁力搅拌器最大搅拌量：2L；转速范围：200转/分钟~2000转/分钟，调节最小幅度为10转/分钟；额定功率10W。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磁力搅拌器的工作台面上设有转速显示屏，正面设有调速旋钮，顺时针旋转转速增大，逆时针旋转转速减小；按下旋钮可实现启动或停止搅拌，背面设有电源接口；磁力搅拌器运转过程中，也可随时进行调节转速，调节完成后，会发出“滴”声提示音。用于各类生化实验，转速快，能快速将溶液搅拌均匀。</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适用于生化实验过程中搅拌低粘稠度的液体或固液混合物，如酸碱中和滴定、探究溶液中离子反应的实质等实验。</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消音器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1、≥φ400*1000mm，PP材质，内置隔音棉等隔音装置，确保通风室外噪音≤50分贝。</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威尔逊云雾室</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杠杆式，整体尺寸205*180*165mm。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实验室水电</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1、含实验室内全部用电器负荷,点位设计；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2、含墙面,顶部,地面电路铺设安装,调试；</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3、优质PPR及管件,远东国标铜芯线和阻燃管铺设；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4、不含水电、强弱电引入现场。</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室</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数字化光电效应实验器</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光电效应实验器由电路展示板、电压传感器（-30V～30V）、光电流传感器（-200μA～200μA）、电压数据显示模块、光电流数据显示模块、光源模块、光电管模块、数据线、电源适配器构成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1.用于光的粒子性实验，探究光电效应现象。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实验器面板印有实验电路图，便于学生理解实验。内置电压、光电流传感器，无需采集器，可直接显示数据，也可连接传感器进行数据显示或无线连接电脑等设备，可实现数据连续记录并以数值、图像等多种形式并在Windows、安卓、iOS终端上实时呈现，解决了传统实验中光电流难以测量的问题，方便演示，大大提升了课堂效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3.内置分压式电路，通过旋钮可调节电压大小，探究光电流随电压增加而增加，达到饱和电流的现象。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 光源模块内置调光器，通过旋钮可调节光强大小，探究光强越大，饱和电流越大的现象。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5.配备3种颜色滤光片，定位卡槽设计，安装方便，可以探究不同频率的光照射下的光电流与电压的关系。</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6.电源方向可调整，可根据实验调节电压的正反方向，探究遏止电压。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 光电管模块采用黑色外壳设计，有效避免其他杂光影响，实验误差小。</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药匙</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1、供中学化学实验和小学教学实验用；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2、药匙材质：塑料。</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把</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教学信号发生器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1、445kHz～1700kHz，误差±5%；中频465kHz，±2%；</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2、低频正弦波、方波、锯齿波信号。</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PCR扩增实验试剂盒</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1、包含所有PCR扩增过程中使用的组分：TagDNA聚合酶、10XPCR缓冲液(含镁离子)、dNIPs、正向引物、正向引物、模板DNA和无菌水。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2、PCR 结束后可进行琼脂糖凝胶电泳，使用方便。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3、规格：20 次</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整流电路实验器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半波整流电路，半波整流电容滤波电路，半波整流π型，滤波电路，全波桥式整流电路。</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滴瓶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2、规格：30mL；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380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710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活动尖嘴砂带机 </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1.额定电压(V~):220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2.额定频率(HZ): 50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3.额定输入功率(W):500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4.砂带速度(M/MIN):300-1680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5.砂带尺寸(MM):9X533</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6.净重(KG):2.1</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711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载玻片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1、玻璃制；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2、通过计量认证。边缘进行打磨处理边缘光滑、无尖角；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3、产品执行JB/T8230.3《载玻片》的标准。</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盒</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712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安全漏斗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2、规格：双球；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3、口部翻边圆整，不得呈波浪形，斗管焊接牢固，不得有内壁缩小现象；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713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实验室地面</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2.0mm厚度塑胶地板，耐磨、耐腐蚀，水泥自流平打底，专用胶粘接，焊接封口，铲平，不得有气泡，含安装。</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714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安全漏斗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2、规格：直形；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3、口部翻边圆整，不得呈波浪形，斗管焊接牢固，不得有内壁缩小现象；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715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液封除毒气集气瓶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2、规格：250mL；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716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无线路由器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无线连接器定制1台：适用频段：2.4GHz；5GHz；2.4GHz+5GHz；传输标准：IEEE 802.11n；IEEE 802.11g；IEEE 802.11b；IEEE 802.11.ac；IEEE 802.11.a；IEEE 802.3；IEEE 802.3u；IEEE 802.3ab网络协议：TCP/IP协议传输率：2184Mbps无线协议：802.11ac支持无线桥接，Qos限速，WPS,防蹭网等功能；无外置天线吸顶式AP；POE/DC供电。包含机器安装调试费</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717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适配头</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用途：用于不同规格接口、轴径、器材之间的转换连接，实现工具、配件、设备间的配套使用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常见类型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螺纹适配头（M6/M8/M10/M14 等互转）</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孔径变径套（钻夹头、砂轮机、打磨机用）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快换接头、转接套筒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气动 / 电动工具转接头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特点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精度高、配合紧密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安装牢固，不打滑、不晃动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盒</w:t>
            </w:r>
            <w:r/>
          </w:p>
        </w:tc>
      </w:tr>
      <w:tr>
        <w:trPr>
          <w:trHeight w:val="6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718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高中物理必修模块多媒体互动教学配套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实验和相应教材配套，覆盖高中物理必修模块内容，DVD光盘;1碟装。</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719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细口瓶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2、规格：棕色，60mL；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170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720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水平尺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三水泡型，水平面工作长度160mm～250mm。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721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盖玻片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1、玻璃制；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2、通过计量认证。0.1mm1/400mm²；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3、产品执行JB/T8230.3《盖玻片》的标准。</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722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气体发生器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2、规格：250mL；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723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注液器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1、规格：50mL；塑料制成；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2、密封性好，滑动灵活；</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3、刻度标线规整、清晰。</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724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晶体和非晶体样品</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石英晶体，食盐晶体，云母片，明矾晶体，硫酸铜晶体；玻璃，松香，蜂蜡，沥青，橡胶。</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725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电磁跳环演示实验</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一、整机规格</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1.外形尺寸：200×250×500mm（长×宽×高）</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2.整机重量：5.8kg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3.安装方式：台式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4.机箱材质：Q235优质镀锌钢板，板厚：1.2mm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5.表面前处理：磷化处理，喷涂：环氧树脂静电粉末喷涂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工艺：280℃恒温，固化防护性能：防潮、防盐雾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二、核心组件规格：</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线圈类型：多层密绕螺线管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线圈材质：大线径无氧铜漆包线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线圈匝数：1500±30匝</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线圈内径：100mm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骨架材质：高强度尼龙</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骨架颜色：工程黑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三、对比实验：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金属环材质：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铝合金环（非磁性材料）1只</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铜合金环（良导体）1只</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不锈钢环（弱磁性材料）1只</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726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尼龙毛刷轮 粗毛</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直径50mm  中等</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727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高压灭菌锅</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手轮平移式快开结构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安全联锁装置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液晶显示工作状态，触摸式按键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自动排放冷空气，灭菌结束自动排放蒸汽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超温、超压自动保护功能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断水保护控制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自涨式密封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灭菌终了蜂鸣器提醒自动停机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操作简单，安全可靠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配有双层网篮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灭菌室有效容积：50L（φ340×525mm）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额定工作压力：0.22Mpa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额定工作温度：134℃</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工作压力：0.22Mpa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热均匀度：≤±1℃</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计时选择范围：0-9999min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温度选择范围：50-134℃</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功率/电源电压：3.5KW/AC220V 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运输体积（mm）：570×570×1300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毛重/净重：64Kg/58Kg</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728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圆盘测力计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1、量程：0～5N；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2、分度值为量程的1／50，零点平均示差不大于1／4分度，任一点的平均示差不大于1个分度，任一点的重复称量的最大示差不大于1／2分度。</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729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细胞的结构</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Style w:val="968"/>
                <w:rFonts w:hint="default"/>
                <w:lang w:bidi="ar"/>
              </w:rPr>
              <w:t xml:space="preserve">以《普通高中生物学教学装备配置标准（</w:t>
            </w:r>
            <w:r>
              <w:rPr>
                <w:rStyle w:val="970"/>
                <w:lang w:bidi="ar"/>
              </w:rPr>
              <w:t xml:space="preserve">2021</w:t>
            </w:r>
            <w:r>
              <w:rPr>
                <w:rStyle w:val="968"/>
                <w:rFonts w:hint="default"/>
                <w:lang w:bidi="ar"/>
              </w:rPr>
              <w:t xml:space="preserve">年版）》为依据，结合各大版本高中生物课程教材，满足高中生物课程的大部分实验。此箱是专为教师及学生完成教材要求的实验而设计，采用高度集成的方法将</w:t>
            </w:r>
            <w:r>
              <w:rPr>
                <w:rStyle w:val="972"/>
                <w:lang w:bidi="ar"/>
              </w:rPr>
              <w:t xml:space="preserve">“</w:t>
            </w:r>
            <w:r>
              <w:rPr>
                <w:rStyle w:val="968"/>
                <w:rFonts w:hint="default"/>
                <w:lang w:bidi="ar"/>
              </w:rPr>
              <w:t xml:space="preserve">细胞的结构</w:t>
            </w:r>
            <w:r>
              <w:rPr>
                <w:rStyle w:val="972"/>
                <w:lang w:bidi="ar"/>
              </w:rPr>
              <w:t xml:space="preserve">”</w:t>
            </w:r>
            <w:r>
              <w:rPr>
                <w:rStyle w:val="968"/>
                <w:rFonts w:hint="default"/>
                <w:lang w:bidi="ar"/>
              </w:rPr>
              <w:t xml:space="preserve">这一知识模块对应的实验需要用到的仪器分块放置在实验箱里，准备简单，管理方便。每款仪器的配置均符合教材上要求的所有实验，充分提高了实验课堂的授课水平和学习质量。对部分实验仪器做了改进和分类，使实验操作更加方便、快捷。</w:t>
            </w:r>
            <w:r>
              <w:rPr>
                <w:rStyle w:val="968"/>
                <w:rFonts w:hint="default"/>
                <w:lang w:bidi="ar"/>
              </w:rPr>
              <w:br/>
            </w:r>
            <w:r>
              <w:rPr>
                <w:rStyle w:val="968"/>
                <w:rFonts w:hint="default"/>
                <w:lang w:bidi="ar"/>
              </w:rPr>
              <w:t xml:space="preserve">外观尺寸</w:t>
            </w:r>
            <w:r>
              <w:rPr>
                <w:rStyle w:val="970"/>
                <w:lang w:bidi="ar"/>
              </w:rPr>
              <w:t xml:space="preserve">(mm)</w:t>
            </w:r>
            <w:r>
              <w:rPr>
                <w:rStyle w:val="968"/>
                <w:rFonts w:hint="default"/>
                <w:lang w:bidi="ar"/>
              </w:rPr>
              <w:t xml:space="preserve">：</w:t>
            </w:r>
            <w:r>
              <w:rPr>
                <w:rStyle w:val="970"/>
                <w:lang w:bidi="ar"/>
              </w:rPr>
              <w:t xml:space="preserve">485*370*155mm</w:t>
            </w:r>
            <w:r>
              <w:rPr>
                <w:rStyle w:val="970"/>
                <w:lang w:bidi="ar"/>
              </w:rPr>
              <w:br/>
            </w:r>
            <w:r>
              <w:rPr>
                <w:rStyle w:val="968"/>
                <w:rFonts w:hint="default"/>
                <w:lang w:bidi="ar"/>
              </w:rPr>
              <w:t xml:space="preserve">箱体颜色：灰色</w:t>
            </w:r>
            <w:r>
              <w:rPr>
                <w:rStyle w:val="968"/>
                <w:rFonts w:hint="default"/>
                <w:lang w:bidi="ar"/>
              </w:rPr>
              <w:br/>
            </w:r>
            <w:r>
              <w:rPr>
                <w:rStyle w:val="968"/>
                <w:rFonts w:hint="default"/>
                <w:lang w:bidi="ar"/>
              </w:rPr>
              <w:t xml:space="preserve">箱体材料：高密度工程塑料（聚丙烯），使用</w:t>
            </w:r>
            <w:r>
              <w:rPr>
                <w:rStyle w:val="970"/>
                <w:lang w:bidi="ar"/>
              </w:rPr>
              <w:t xml:space="preserve">0.5mm</w:t>
            </w:r>
            <w:r>
              <w:rPr>
                <w:rStyle w:val="968"/>
                <w:rFonts w:hint="default"/>
                <w:lang w:bidi="ar"/>
              </w:rPr>
              <w:t xml:space="preserve">厚的</w:t>
            </w:r>
            <w:r>
              <w:rPr>
                <w:rStyle w:val="970"/>
                <w:lang w:bidi="ar"/>
              </w:rPr>
              <w:t xml:space="preserve">PVC</w:t>
            </w:r>
            <w:r>
              <w:rPr>
                <w:rStyle w:val="968"/>
                <w:rFonts w:hint="default"/>
                <w:lang w:bidi="ar"/>
              </w:rPr>
              <w:t xml:space="preserve">背胶板印刷全套（</w:t>
            </w:r>
            <w:r>
              <w:rPr>
                <w:rStyle w:val="970"/>
                <w:lang w:bidi="ar"/>
              </w:rPr>
              <w:t xml:space="preserve">4</w:t>
            </w:r>
            <w:r>
              <w:rPr>
                <w:rStyle w:val="968"/>
                <w:rFonts w:hint="default"/>
                <w:lang w:bidi="ar"/>
              </w:rPr>
              <w:t xml:space="preserve">张）铭牌，不起皱，不脱落。</w:t>
            </w:r>
            <w:r>
              <w:rPr>
                <w:rStyle w:val="968"/>
                <w:rFonts w:hint="default"/>
                <w:lang w:bidi="ar"/>
              </w:rPr>
              <w:br/>
            </w:r>
            <w:r>
              <w:rPr>
                <w:rStyle w:val="968"/>
                <w:rFonts w:hint="default"/>
                <w:lang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Style w:val="968"/>
                <w:rFonts w:hint="default"/>
                <w:lang w:bidi="ar"/>
              </w:rPr>
              <w:br/>
            </w:r>
            <w:r>
              <w:rPr>
                <w:rStyle w:val="968"/>
                <w:rFonts w:hint="default"/>
                <w:lang w:bidi="ar"/>
              </w:rPr>
              <w:t xml:space="preserve">实验器材：玻片标本（</w:t>
            </w:r>
            <w:r>
              <w:rPr>
                <w:rStyle w:val="970"/>
                <w:lang w:bidi="ar"/>
              </w:rPr>
              <w:t xml:space="preserve">100</w:t>
            </w:r>
            <w:r>
              <w:rPr>
                <w:rStyle w:val="968"/>
                <w:rFonts w:hint="default"/>
                <w:lang w:bidi="ar"/>
              </w:rPr>
              <w:t xml:space="preserve">片</w:t>
            </w:r>
            <w:r>
              <w:rPr>
                <w:rStyle w:val="970"/>
                <w:lang w:bidi="ar"/>
              </w:rPr>
              <w:t xml:space="preserve">/</w:t>
            </w:r>
            <w:r>
              <w:rPr>
                <w:rStyle w:val="968"/>
                <w:rFonts w:hint="default"/>
                <w:lang w:bidi="ar"/>
              </w:rPr>
              <w:t xml:space="preserve">盒）、载玻片、盖玻片（</w:t>
            </w:r>
            <w:r>
              <w:rPr>
                <w:rStyle w:val="970"/>
                <w:lang w:bidi="ar"/>
              </w:rPr>
              <w:t xml:space="preserve">100</w:t>
            </w:r>
            <w:r>
              <w:rPr>
                <w:rStyle w:val="968"/>
                <w:rFonts w:hint="default"/>
                <w:lang w:bidi="ar"/>
              </w:rPr>
              <w:t xml:space="preserve">片</w:t>
            </w:r>
            <w:r>
              <w:rPr>
                <w:rStyle w:val="970"/>
                <w:lang w:bidi="ar"/>
              </w:rPr>
              <w:t xml:space="preserve">/</w:t>
            </w:r>
            <w:r>
              <w:rPr>
                <w:rStyle w:val="968"/>
                <w:rFonts w:hint="default"/>
                <w:lang w:bidi="ar"/>
              </w:rPr>
              <w:t xml:space="preserve">盒）、</w:t>
            </w:r>
            <w:r>
              <w:rPr>
                <w:rStyle w:val="970"/>
                <w:lang w:bidi="ar"/>
              </w:rPr>
              <w:t xml:space="preserve">100mL</w:t>
            </w:r>
            <w:r>
              <w:rPr>
                <w:rStyle w:val="968"/>
                <w:rFonts w:hint="default"/>
                <w:lang w:bidi="ar"/>
              </w:rPr>
              <w:t xml:space="preserve">烧杯、镊子、酒精灯、解剖剪刀、解剖针等。</w:t>
            </w:r>
            <w:r>
              <w:rPr>
                <w:rStyle w:val="968"/>
                <w:rFonts w:hint="default"/>
                <w:lang w:bidi="ar"/>
              </w:rPr>
              <w:br/>
            </w:r>
            <w:r>
              <w:rPr>
                <w:rStyle w:val="968"/>
                <w:rFonts w:hint="default"/>
                <w:lang w:bidi="ar"/>
              </w:rPr>
              <w:t xml:space="preserve">可做实验：</w:t>
            </w:r>
            <w:r>
              <w:rPr>
                <w:rStyle w:val="970"/>
                <w:lang w:bidi="ar"/>
              </w:rPr>
              <w:t xml:space="preserve">1</w:t>
            </w:r>
            <w:r>
              <w:rPr>
                <w:rStyle w:val="968"/>
                <w:rFonts w:hint="default"/>
                <w:lang w:bidi="ar"/>
              </w:rPr>
              <w:t xml:space="preserve">、实验</w:t>
            </w:r>
            <w:r>
              <w:rPr>
                <w:rStyle w:val="970"/>
                <w:lang w:bidi="ar"/>
              </w:rPr>
              <w:t xml:space="preserve"> </w:t>
            </w:r>
            <w:r>
              <w:rPr>
                <w:rStyle w:val="968"/>
                <w:rFonts w:hint="default"/>
                <w:lang w:bidi="ar"/>
              </w:rPr>
              <w:t xml:space="preserve">使用高倍显微镜观察几种细胞；</w:t>
            </w:r>
            <w:r>
              <w:rPr>
                <w:rStyle w:val="970"/>
                <w:lang w:bidi="ar"/>
              </w:rPr>
              <w:t xml:space="preserve">2</w:t>
            </w:r>
            <w:r>
              <w:rPr>
                <w:rStyle w:val="968"/>
                <w:rFonts w:hint="default"/>
                <w:lang w:bidi="ar"/>
              </w:rPr>
              <w:t xml:space="preserve">、实验</w:t>
            </w:r>
            <w:r>
              <w:rPr>
                <w:rStyle w:val="970"/>
                <w:lang w:bidi="ar"/>
              </w:rPr>
              <w:t xml:space="preserve"> </w:t>
            </w:r>
            <w:r>
              <w:rPr>
                <w:rStyle w:val="968"/>
                <w:rFonts w:hint="default"/>
                <w:lang w:bidi="ar"/>
              </w:rPr>
              <w:t xml:space="preserve">用高倍显微镜观察叶绿体和细胞质的流动；</w:t>
            </w:r>
            <w:r>
              <w:rPr>
                <w:rStyle w:val="970"/>
                <w:lang w:bidi="ar"/>
              </w:rPr>
              <w:t xml:space="preserve">3</w:t>
            </w:r>
            <w:r>
              <w:rPr>
                <w:rStyle w:val="968"/>
                <w:rFonts w:hint="default"/>
                <w:lang w:bidi="ar"/>
              </w:rPr>
              <w:t xml:space="preserve">、探究</w:t>
            </w:r>
            <w:r>
              <w:rPr>
                <w:rStyle w:val="970"/>
                <w:lang w:bidi="ar"/>
              </w:rPr>
              <w:t xml:space="preserve"> </w:t>
            </w:r>
            <w:r>
              <w:rPr>
                <w:rStyle w:val="968"/>
                <w:rFonts w:hint="default"/>
                <w:lang w:bidi="ar"/>
              </w:rPr>
              <w:t xml:space="preserve">细胞的观察和测量等。</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730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单刀双掷开关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1、开关的最高工作电压36V，额定工作电流6A；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2、底板用塑料制作，开关闸刀与接线柱及垫片均为铁件镀铬；</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3、接线柱直径为φ4mm；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4、开关的绝缘强度应能承受1200V，漏电流为5mA，频率50Hz的正弦交流（绿色）。</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731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滑动变阻器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1、技术规格：电阻50Ω；额定电流1.5A；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2、电阻值误差应小于10％；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3、滑动变阻器绕线应紧密排齐、平整；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4、电阻线绝缘层承受不低于1.5kV的电压不被击穿；滑动变阻器承受1.5kV的电压试验，不应出现飞弧或击穿现象；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5、在额定电流下工作时，温升不应超过300℃，试验后绕线无松动，绝缘层无破损现象；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6、瓷管表面上釉，光滑平整，无裂纹；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7、常温常湿条件下绝缘电阻应大于20MΩ；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8、滑动头与电阻线、滑杆保持良好的弹性接触，触头应圆滑，压力均匀，滑动应顺畅；滑动头在电阻线上滑动时，电阻值应均匀变化，不得有间断跳跃现象。</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732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电加热器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密封式；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1、工作电源：AC220V50Hz；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2、额定功率：1000W；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3、有恒温控制，炉面温度自动控制在330℃～400℃。</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733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高音扩音喇叭</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1、大功率≥50W强音扩音喇叭；</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734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无线数显二氧化碳传感器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显示/无线/存储模块：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1.独立模块化结构，与各种传感器组合使用，具备独立数据显示、数据存储、数据上传功能。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2.接入后自动识别传感器，实时显示传感器测量数据，支持多值传感器数据显示及存储，数据显示屏刷新频率10Hz；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3.1.77寸（±0.1寸）彩屏，采用智能接口与传感器连接，接口具有方向性和自锁功能，可以防止传感器在使用过程中脱落，保证数据传输稳定；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4.屏幕可显示二维码，通过移动终端设备扫描二维码进行无线连接，采用蓝牙4.0传输协议，可将传感器测量数据实时传输到APP。</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5.设有按键开关，工作状态下，可通过调动按键开关切换数据显示和二维码界面；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6.通过移动终端设备可设置数据显示精度以及数据调零，可对数据进行描点绘图处理。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7.可将模块存储的测量数据导出至计算机进行数据分析（兼充电）；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8.支持Android、iOS 、Windows、鸿蒙操作；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9.采用充电锂电供电，电池电压3.7V，容量1100mAh，待机时间10小时，采用microUSB充电接口；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10.数据存储频率5Hz，存储容量最大262,144个数据点。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功能模块：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1.用于测量待测气体中二氧化碳的含量；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2.性能：测量范围：0 mL/m3～100000mL/m3，分度：1mL/m3；准确度：≤±150mL/m3（0mL/m3~1000mL/m3）；±15%（1000mL/m3~10000mL/m3）；最大采样率：5KHz；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3.技术指标：工作温度-10℃～50℃，存储温度-10℃～50℃，工作湿度0～95%RH（无冷凝），响应时间(T90)＜30秒；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4.结构：传感器由高强度塑料外壳封装，外壳设有M5螺丝孔位，可将传感器固定在多种操作和实验装置上；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5.采用智能接口，输出数字信号，接口具有方向性和自锁功能，可以防止传感器在使用过程中脱落，保证数据传输稳定；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6.模块化、可热插拔设计，支持有线通讯、无线通讯和屏幕数据显示三种工作方式；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7.可支持蓝牙无线数据传输；</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8.可应用于Windows、Android、iOS、麒麟、统信、鸿蒙操作。</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735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移液器架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平板式，亚克力材料，5个位置</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736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精密台钳 </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最大开口:64mm，钳座夹厚:62mm，重：1.8kg</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737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滴定管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2、酸式，25mL，内应力消除：在偏光仪下呈紫色；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3、刻度标示清晰、均匀。</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738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电气线路耗材及安装（地面以上部分）</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主线采用≥3*4²铜芯线接到教师电源上，学生端分支采用≥3*2.5mm²铜芯线和≥2*1.5mm²铜芯线，穿入≥φ25mmPVC电线管中，配合直接、管卡、电工胶布等。每个电源接口位置预留电线长度约1000mm，使每个学生桌之间串联起来接入学生电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室</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739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玻璃大视窗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净化全铝型材，5mm白玻1200mm*1000mm。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740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无线采音器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产品参数：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声音采集器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1、智能通信技术架构，超高频段通信：采用 UHF 专业级无线传输频段，构建全域抗干扰通信链路，支持单话筒与任意接收机智能配对，实现无障碍 50 米超距稳定传输与40cm 超广拾音半径，满足多场景复杂环境下的音频采集需求；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2、能效优化与续航，低功耗能源管理：内置≥600mAH 高密度锂聚合物电池，搭载 OLED 量子节能显示屏，结合动态功率调节算法，实现6 小时以上连续作业续航，满足全天候高强度使用需求，构建高效能无线音频生态；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3、专业级音质处理模块，89dB 高信噪比音频链路：构建纯净信号传输通道，有效隔离环境底噪，85dB 宽动态范围采集：精准捕捉声音细节，还原全频段音频动态，64KHz 超高清采样率：实现 CD 级无损音质采集，满足广电级音频处理标准；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4、人体工学佩戴，集成磁吸式智能背夹，支持领夹式、手持握、头戴麦外接及胸前悬挂四种佩戴模式，采用航空级铝合金磁吸配件，实现 0.3 秒快速拆装，兼容各类服装面料的无痕佩戴需求，人体工学弧形设计，单设备重量≤35g，确保长时间使用的无感佩戴体验；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5、双重音频防护，AGC 动态增益控制：搭载自适应音量调节芯片，实时监测输入信号强度，自动维持 85-90dB 安全听音区间，守护用户听力健康，智能反馈抑制算法：集成波束成形抗啸叫技术，通过 200 次 / 秒的声纹识别运算，有效消除 10KHz 以上高频反馈，实现 99.7% 的啸叫抑制率；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6、具有人声还原度处理功能及主动动态反馈抑制功能,最大限度还原人声及有效防止啸叫;</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接收器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1、UHF 频段设计：采用 UHF 频段，精准避开最新手机工作频率，有效降低信号干扰，保障传输稳定性；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2、频率响应：具备 20Hz-20KHz 宽广频率响应范围，完整覆盖人耳可听声域，呈现高保真音质；​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3、输出方式：支持模拟、数字可配置音频输出方式，适配不同音频设备与场景需求。​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4、接口支持：配备 3.5mm 音频输出接口，满足常见音频设备连接， USB 接口输出，适配多样安装形式，USB 接口可按需预置为供电 + 模拟音频或标准 USB 音频输出，免驱动即插即用（此项提供具有CNAS、MA标识检测报告扫描件）；​​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5、OLED 显示屏：配备 OLED 显示屏，清晰显示频道、对频状态、电量及信号强度等信息；​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6、外接显示：支持外接数码管，实现频道信息的拓展显示，满足多方位查看需求。​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7、按键控制：配备两个可设置接收频道的按键，便于快速切换和设置常用频道。​</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8、供电方式：采用 Type-C 接口供电，插拔便捷，性能稳定耐用，广泛兼容各类充电器与移动电源；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741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光导纤维应用演示器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1、高中物理教学演示光导纤维具有传光、传声、传像功能；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2、仪器由机座、控制面板、传声光纤束、传像光纤束、电源线等组成。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742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小型气源</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1、噪音：J2126型不大于65dB，J2126-1型不大于70dB；</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2、温升：连续工作90分钟后外壳温升应不大于35℃；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3、绝缘电阻：电机绕组与外壳绝缘电阻不小于1MΩ；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4、绝缘强度：电机绕组与外壳间应能承受50Hz、1kV的正弦电压（有效值）历时1分钟而不击穿；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5、出气孔：J2126型内径不小于36mm，外径40mm。J2126—1型内径不小于26mm，外径30mm；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6、送气波纹管的长度为1500mm。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743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黑体辐射与吸收演示仪套组</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知识点：黑体的辐射规律与吸收规律。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1.外观尺寸：约30cm×15cm×55cm；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2.机身材质：Q235优质镀锌钢板 标准板厚1mm；工艺：恒温280℃喷塑、粉末（防潮、盐雾试验）、等待30分钟凝固而成；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3.一组两件，分别演示辐射和吸收；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4.配有高温辐射热源、黑白两色接收物以及可开关玻璃质连通器；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5.辐射与吸收的反应时间不大于2分钟、对比红色液柱高度差不小于 10cm；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6.恒温加热盒温度150℃，功率450W。</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 </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744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实验室专用水槽</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1、采用PP一体化成型水槽，易清洁，耐腐蚀特点。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2、实验室专用水槽技术要求满足：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(1)、垂直冲击试验要求：检测条件高度:300mm次数:500 次，a,零部件无断裂、无豁裂;b,零部件未出现严重影响使用功能的磨损和变形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(2)、密度检测结果符合GB/T1033.1-2008方法A，检测条件：(23+2)℃，(50±5)%RH，24h浸渍液；水浸渍液密度:1.0165g'cm3浸渍液温度 22.3℃块状试样</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745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阴极射线演示器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阴极射线管：密封玻璃管（真空度 10⁻⁴~10⁻⁶ Pa，或低气压惰性气体以显光束），含电子枪（加热灯丝 + 阴极 + 控制栅极 + 聚焦 / 加速阳极）、偏转部件（静电偏转板 / 磁偏转线圈）、荧光屏（撞击发光显示轨迹）</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746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条形盒测力计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1、产品为组装式，5N；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2、产品必配部件:壳体1个；弹簧1个；面板1块；带钩指针1个；提手1个；</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3、壳体由塑料制作；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4、弹簧：由金属制成，表面防锈处理；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5、面板：由金属制成，防锈处理。</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747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生化传感器收纳箱</w:t>
            </w:r>
            <w:r/>
          </w:p>
        </w:tc>
        <w:tc>
          <w:tcPr>
            <w:tcBorders>
              <w:top w:val="single" w:color="000000" w:sz="4" w:space="0"/>
              <w:left w:val="single" w:color="000000" w:sz="4" w:space="0"/>
              <w:bottom w:val="single" w:color="000000" w:sz="4" w:space="0"/>
              <w:right w:val="single" w:color="000000" w:sz="4" w:space="0"/>
            </w:tcBorders>
            <w:tcW w:w="6953" w:type="dxa"/>
            <w:vAlign w:val="bottom"/>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尺寸：410*282*180（mm），由铝合金主架、铝塑板面构成，内设隔断海棉内衬，用于收纳传感器和小的实验配件。</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748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运动频闪观测仪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频闪光源25Hz、50Hz，可实时观测运动物体图像。</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749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铣床精密L</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1、电压：220V/50Hz，功率：≥450W；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2、主轴驱动采用两档变速装置，低速档转速L档0-1000rpm，高速挡转速H档0-2500rpm，使用直流电机和同步带传动，具有主轴转速显示器、触摸开关；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3、X轴(横向行程)：≥250mm；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4、Y轴(纵向行程)：≥140mm；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5、Z轴（主轴到工作台距离） 220-300mm；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6、主轴到立柱距离：≥160mm；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7、最大钻孔直径：13mm；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8、端面铣容量：≥16mm；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9、表面铣容量：≥30mm；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10、主轴锥度：MT3；</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11、工作台尺寸：≥480*110mm；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12、T型槽尺寸：≥3*12mm；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13、净重60kg；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14、标配铣夹头以及钻夹头，配套夹持套件以及铣刀2把。</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750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机械虎钳 </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钳口宽度：100mm，夹持范围：115mm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751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大回转轮</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1、由回转轮、悬线、支柱、横梁和底座组成；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2、回转轮面红、白相间数等分色格，轮轴上两个穿线孔。</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752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一般材料</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磁性橡胶片、乒乓球、大头针、回形针、橡胶泥、胶帽、泡沫塑料、透明胶带、小蜡烛、灯芯、火柴、塑料板、木板、玻璃板、毛巾、棉布、橡皮筋、气球、塑料袋、塑料薄膜、纸板、坐标纸、图钉、高泡洗衣粉、钢炭(木炭)粉或痱子粉﹑松香等。</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753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普通吊顶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矿棉板吊顶</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754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单匝线圈电机原理演示器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使用高磁能积磁体，由磁极、开关、电源指示灯、电位器、电源插座、插头线夹、单匝线圈、换向器、底座等组成。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755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电磁波的发送和接收演示器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发射器频率225MHz～250MHz,等幅、调幅；接收器有声、光、电显示。</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756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注液器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1、规格：5mL；塑料制成；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2、密封性好，滑动灵活；</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3、刻度标线规整、清晰。</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757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鼓风干燥箱</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产品特点: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1.产品外壳采用优质冷板加工成型，表面经喷涂工艺处理。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2.工作室为不锈钢加工制造。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3.具有开门断电防过冲保护装置功能，温度定时触发采集记录，具有支持温度记录表格查询及温度数据曲线图展示。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4.4.3寸嵌入式液晶彩色触摸屏控制，具有定时、超温报警指示、温度偏差修正、控温自整定等功能。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5.超大双层钢化玻璃观察窗，具有预约加热功能，可提前开启加热节约实验准备时间。。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6.采用新型合成硅胶密封胶条，外形美观，能长期高温运行，使用寿命更长。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7.热风循环采用低噪音自散热风机，确保风机使用寿命更长，箱内温度更均匀。</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8.设备配有风机调速开关，三档加热（慢、中、快)，风速20档可调。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技术参数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温度范围 ：RT+10-300℃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温度分辨率 ：0.1℃</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温度波动度 ：±1℃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内胆尺寸（长*宽*高）：500mm×530mm×572mm（±20mm）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758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细口瓶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2、规格：棕色，250mL；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759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渗透研究实验器</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一、组成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U型连通器（含L型管*2、底座  ）、导气配件*2、半透膜*6</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二、功能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1.用于初中生物、高中生物研究渗透实验。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实验器应用U型管连通原理，贴合教学需要，配合压强传感器、离子类传感器（如氯离子传感器）、电导率传感器使用，可探究渗透过程中半透膜两侧产生的压力变化或渗透过程中膜两侧离子浓度的变化，在Windows、安卓、iOS终端上实时呈现数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3.装置隔膜位置配有发泡硅胶板及4个梅花手紧螺丝，有效保证密封性，实验环境搭建简单，易操作。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4.可自由更换半透膜种类，根据教学要求拓展探究实验的深度和广度。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5.U型连通器两侧设有刻度标贴，可以观察液面高度的变化。</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6.配套专用实验预设模板，以曲线形式自动记录数据变化情况，实验结果更直观明显。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三、实验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观察渗透现象、测量渗透压等实验</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760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安装辅件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1、含固定支架、连接管、耗材等</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室</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761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电子停表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1、外包装采用防潮、防尘的硬纸盒包装，盒面与盒体采用纽扣式联接。数据可精确到0.1s；</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2、秒表计时带有简易计时、分段计时、两段时间显示，带暂停按钮；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3、秒表具有每小时报时，每日定时响闹及自动重响功能，可显示时间，12及24小时制式，日历、星期、防水，防震结构等功能。符合QB/T1908-93《电子停表》中表1规定的技术要求。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762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渗析实验器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高中化学实验中电渗析实验膜分离法实验仪器。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763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精密手虎钳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 钳口宽约100mm,开口约75mm </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764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自组式光学综合实验装置</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学生可以不收约束地自由设计、探索光学实验，自己挑选相应的光学元件，完成预定的实验，并且可方便地通过增加模块，来拓展、升级实验内容，是一款真正适合竞赛的光学实验设备。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可完成的实验不少于：</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1、用自准法测薄凸透镜焦距；2、用贝塞耳法（两次成像法）测薄凸透镜焦距；3、由物象放大率测目镜焦距；4、由物距－像</w:t>
            </w:r>
            <w:r>
              <w:rPr>
                <w:rFonts w:hint="eastAsia" w:ascii="宋体" w:hAnsi="宋体" w:cs="宋体"/>
                <w:color w:val="000000"/>
                <w:sz w:val="20"/>
                <w:szCs w:val="20"/>
                <w:lang w:bidi="ar"/>
              </w:rPr>
              <w:t xml:space="preserve">距法测凹透镜焦距；5、透镜组节点和焦距的测定；6、自组投影仪；7、测自组望远镜的放大率；8、自组带正像棱镜的望远镜；9、测自组显微镜的放大率；10、杨氏双缝实验；11、菲涅耳双棱镜干涉；12、菲涅耳双镜干涉；13、劳埃德镜干涉；14、牛顿环；15、用干涉法测定空气折射率；16、夫琅禾费单缝衍射；17、夫琅禾费圆孔衍射；18、菲涅耳单缝和圆孔衍射；19、直边菲涅耳衍射；20、光栅衍射；21、光栅单色仪；22、偏振光的产生和检验；23、全息照相；24、制做全息光栅；25、阿贝成像原理和空间滤波；26、θ调制。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主要技术参数：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包含完成以上实验的所有部件、光学元件、配件、光源等；包含但不限于：二维、三维平移底座，升降座，通用底座，二维调节架，干板架，载物台，光源二维架，节点架，多孔架，可调狭缝，测微目镜架，白屏，物屏，透镜，目镜，平面镜，全息干版，激光器架，分束器，各种光栅，偏振片，半波片，三棱镜，分划板，双棱镜，菲涅尔双镜，劳埃德镜，多缝板，可调圆孔光阑，θ调制板，白光源，汞钠灯光源，氦氖激光器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2、含抗振式落地型光学，尺寸不小于1500X900X800mm，平面粗糙度：﹤0.8um，平面度：﹤0.05mm/㎡，隔 振频率：﹤5Hz，振幅：﹤5um，安装方阵：25X25mm，M6螺纹孔；安装方阵：25X25mm，M6螺纹孔；蜂窝结构隔振层面，固有频率低，隔振性能好。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3、含智能光环识别与干涉条纹识别功能，自动计数。</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765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沸腾焙烧炉模型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1、产品为沸腾焙烧炉的缩小模型，装置于底座上，外壳可局部剖开，能看清其内部结构；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2、炉体上侧有炉气出口，下部两侧分别为加料室和出渣口，炉体外侧示水箱；</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3、空气分布板位于炉内下部，板上均匀装有若干个风帽，应正确显示风帽与分布板的结构关系。底座上另置一放大的风帽，示其内部结构；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4、空气分布室呈倒锥形，其底部侧面有空气进口；加料室内空气分布板上部有加料口，下面有空气进口；炉壁剖面示炉壳和耐火砖内衬；</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5、模型高度的最小尺寸500mm，放大风帽的最小尺寸120mm；产品的主要结构应用标签注明，标注应准确、清晰、牢固；各部件应比例适当，位置正确，连接牢固，不得因正常震动、碰触而开裂、松脱。</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766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化学实验装饰挂画</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1.墙布：油画布打印，尺寸长7.3m，高2m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视觉文化展示模块：运用CDR/AI/PS等设计软件根据学校设计要求制定图文排版，主要采用透明背胶、UV印刷等方式。另外还要看安装现场以设计为基础计算每个字的大小、字型、颜色，进行搜字。设计内容要求符合现代中小学生基本审美标准。</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767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核能利用的研究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1、设备参数：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规格：0.9×0.6×1m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电源：AC220V/50Hz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功率：500W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展台：采用新型复合材料，经高温模铸压工艺成型。具备优良的电气绝缘性、耐腐蚀性、环保无毒、优异的耐紫外线抗老化性能，阻燃性可达到FVO级，使用寿命长，永不变色的特性。简约时尚的蛋壳造型展台，在满足展示载体的同时，让原本厚重的展台变得更加灵动。场景百搭是它展陈的核心优势，其独特的外观能更好的融入于各种场景空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台面：康贝特板，厚度≧10mm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展台固定脚：碳钢表面电镀钢板厚度≧2mm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部件：显示终端、控制终端等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2、功能描述：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核能是一种有重要利用价值的新能源，在电力工业中有重要的位置。在中学阶段有关核能的知识虽有介绍，但不作为重点知识，且只在理论上作一些知识性介绍，又无法进行实验，对学生来说是非常抽象的。利用虚拟实验室与众不同的条件，将难以接近的核能原理在软件中充分演示出来，让学生可能用实验的方法改变模拟变量，了解和探究核能是如何产生与被利用的，以及对核能的控制但是如何实现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3、操作说明：观众触摸显示屏的核能相关实验，了解核能的基本知识及其可能的相关应用；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768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干燥器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2、规格：160mL；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769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备用电热丝卷</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规格：长度 30 m，直径 0.2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材质：镍铬合金（Ni-Cr）或铁铬铝合金</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卷</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770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放电反应实验仪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通电两分钟之内即有氮气与氧气反应的现象，消耗功率不大于30W。</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771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智能实验教学录播</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4K高清摄像机(老师)</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1.有效像素：≥800万像素；分辨率：≥4K@30fps</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2.内置教师图像跟踪算法，单镜头可输出全景和特写两个景别；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3.支持特写和全景同时RTSP推流；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4.支持≥1路RJ45接口，支持POE供电及信号传输，支持同时输出多路画面；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5.视频压缩：H.264、H.265；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6.音频压缩：AAC，音频接口：≥1路LINE IN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7.网络协议：支持RTSP、RTMP、SRT、ONVIF等协议；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8.支持≥1路USB接口；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9.为便于操作，支持一键式启动跟踪停止跟踪。支持预置点位调用、设置、支持参数设置，白平衡设置；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10.为防止讲台区域干扰，保证跟踪效果有效性，支持≥4种屏蔽区域、≥4种辅助学生检测区域数字化模块显示设置；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11.支持≥3种跟踪模式设置(包括但不限于实时跟踪模式、电影模式、区域跟踪模式)；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12.支持跟踪调节支持≥2种动作（教师板书动作）调节、方向调节；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13.支持身高自适应与上下讲台检测功能，导播规则使用功能，支持通讯协议自定义切换(包括但不限于UDP、TCP、RS232协议)。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4K高清摄像机（学生）</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1.有效像素：≥800万像素；分辨率：≥4K@30fps</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2.内置学生图像跟踪算法，单镜头可输出全景和特写两个景别；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3.支持特写和全景同时RTSP推流；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4.支持≥1路RJ45接口，支持POE供电及信号传输，支持同时输出多路画面；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5.视频压缩：H.264、H.265；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6.音频压缩：AAC，音频接口：≥1路LINE IN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7.网络协议：支持RTSP、RTMP、SRT、ONVIF等协议；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8.支持≥1路USB接口；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9.为便于操作，支持一键式启动跟踪停止跟踪；支持预置点位调用、设置、支持参数设置，白平衡设置；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10.为防止学生区域干扰，保证跟踪效果有效性，支持≥10种学生检测区域数字化模块显示设置；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11.支持跟踪参数设置，支持前排与后排学生跟踪滑动调节；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12.支持单目标及多目标跟踪动作调节，支持灵敏度检测;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多功能教学终端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1.设备采用嵌入式1U标准设计。支持 7*24 小时工作；支持录制、直播、视频会议、导播管理、存储、中控管理、视音频编码等功能，内置≥1T硬盘；</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2.视频接口：支持≥2路HDMI输入接口；支持≥2路HDMI输出接口，分辨率支持1080P及向下兼容；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3.通讯接口：支持≥1路USB接口，用于外接USB设备，支持≥6路RJ45网口，为方便布线，其中≥4路网口支持POE功能；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多功能教学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1.支持Web远程管理功能，支持录制编码设置、多模式智能导播、视频会议控制、物联管控等功能；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2.支持录制文件管理功能，录制完成可及时查看教学课件回放，可进行批量上传、删除等功能；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3.支持远程画面采集，采集教师客户端画面、支持采集屏幕码流和帧率、支持捕获区域选择；</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4.支持录制后的视频直接在本地磁盘文件访问；老师插入U盘可直接对硬盘内的课件进行拷贝；支持教师远程共享下载视频课件；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5.可同时支持≥4路高清1080P 视频信号+≥1路VGA/HDMI电脑信号输入，支持电影模式、电影+资源模式同时录制，支持4路及以上高清1080p视频文件录制，以满足后期多样化编辑；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6.备播通道图像加载包括但不限于4路摄像机画面和电脑课件画面、教师笔记本、片头、片尾、图片、过场视频动画、互动主流、互动辅流等；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7.支持视频编码设置，码流支持：500kbps～16000kbps 可调，支持TCP/UDP/RTSP/RTMP/H.323/SIP等流媒体协议；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8.支持手动导播与自动导播的无缝切换，支持手动录制。支持自定义导播策略，如触发事件、触发动作等丰富的规则配置，实现导播画面自动切换；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9.为保证视频画面衔接流畅，支持≥8种特效切换功能，支持≥5种多视频叠加模式，可以将多个视频自由叠加在同一个视频窗体中，支持对话模式、画中画、三分屏、四分屏多画面模式等；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10.支持多通道直播，可实现主、子码流直播功能；支持标准RTMP流媒体协议的高清直播和标清直播功能；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11.支持软件调音台功能，支持语音降噪力度门限调节、支持自动增益噪声底线信噪比增益值调节、支持回声抑制噪声调节、支持滤波频率调节；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12.支持视频会议功能，可根据网络情况选择多种分辨率及码流进行互动，支持SIP 协议，H.323协议，支持主动呼叫和被动接听功能；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13.支持网络测试功能，测试网络通讯情况，包括上下行丢包率数据、带宽数据等。支持路由器跟踪测试，用于确定IP数据访问目标设备所经的路径；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15.支持教室物联网管控功能，可以控制麦克风、音箱音量大/小，电动窗帘，多媒体管理等；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16.支持中控管理功能，支持自定义中控的按键名称、按键命令码、按键的位置、按键的跳转页面；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17.支持自动修复功能；课程录制过程中，支持对设备异常断电造成的视频文件损坏进行自动修复；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18.支持自动缓存与教学平台对应的课表数据，支持与教学平台断开连接时也能按照缓存的课表自动录制，待恢复后可自动上传录制的课件资源。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屏幕采集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1.屏幕采集要能够实现对教师授课电脑的单屏幕采集，双屏幕采集和双屏分开同时采集功能。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对于PPT等电脑视频图像画面的录制应该能够根据教师教学习惯（方法）的不同，采用不同的应对策略，须采用软件采集方式采集教师电脑PPT画面，不管教师是操作电脑或者播放动态视频，都能如实获得带有运行轨迹的教学画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3.支持软件采集老师计算机屏幕内容，采集方式支持支持1920x1080分辨率及以上，最大支持3840x1200分辨率，采集帧率达到30帧每秒，最终生成课件老师计算机屏幕部分达到高清，无失真现象。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全向麦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1.内嵌自适应回声消除、自适应噪声抑制和智能混音等数字音频算法；</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2.支持2路麦克风级联输入；</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3.支持1路立体声回声抑制参考信号输入，采用3.5mm标准音频接口；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4.支持2路立体声线性输出，采用3.5mm标准音频接口；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5.支持全频带全双工自适应回声消除技术；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6.全频带动态自适应降噪技术，降噪电平最高≥18dB；</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7.智能混音和话筒优选技术；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8.采样率48kHz，A/D和D/A、24-bit；</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9.输入、输出独立的音量调节旋钮；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10.指向性： 360度全向拾音，拾音半径≥8米。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多功能控制屏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1.整机采用≥9英寸液晶触控屏，支持与录播联动功能。触控屏支持≥3英寸实时导播界面；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2.支持直录播的开启与关闭，教室画面预监跟踪，远程视频互动管理等；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3.支持教师图像、学生图像、教学内容等导播通道快速切换功能；图像显示界面可根据应用习惯进行方向移动；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4.支持≥2路USB接口；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5.支持≥1路网络接口，支持POE供电和网络通讯功能；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6.支持有线网络连接及5GHZ无线网络，支持网络速度自适应；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7.支持≥8G本地存储功能；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8.支持高级配置功能，自定义新建命令按键、按键名称、桌面背景图片等功能；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9.支持可视化界面管理功能，支持普通模式、录播模式、网络课堂呼叫模式；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10.支持功能区内嵌设备管控模块，联动多功能教学终端可对教室内的物联设备进行控制，包括（灯光、空调、窗帘、幕布、音频、投影、大屏等）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设备进行控制；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11.支持教学场景一键式触摸式开始录制，停止录制功能。在录制模式下，支持对投影、幕布、音量大小、师生自动跟踪的控制；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12.支持互动权限功能，通过显示界面，支持互动连接开启关闭功能；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13.支持以一间教室为主讲教室，与多间远程听课教室进行互动，第一次互动连接成功后，无需重新设置教室信息；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14.支持视频会议的发起、管控及关闭等功能。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15.支持微信扫描功能，通过微信扫码可自动把录制课件与老师信息关联上传。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智慧课堂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一、录播管理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1.录播计划：为方便用户对录播计划进行管理，支持列表模式和课表模式的录播计划创建与展示；支持列表模式下编辑、删除等操作；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2.录播设置：支持查看每个录播计划的扫码签到、课堂报告、操作日志等功能；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3.录播通知：支持通过公众号提醒或短信提醒等方式在录播计划开启后向师生推送上课通知；</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4.课程检索：支持按照学科、学期进行录播课程分类；支持按照时间、主讲教师、课程标题进行录播课程资源查看；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5.录播管理：支持教师视频、学生视频、屏幕视频、全景视频链接管理，支持按教室名称查询，支持批量录播管理；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6.录播设置：支持根据个人需求，灵活定制课程录制策略，支持是否开启录制、录制画面选择（教师画面、学生画面、屏幕画面、全景画面），可设定视频评论是否开启，支持课程加密；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7.课时目录：支持显示任课教师的课时目录，可选择同一学期不同课时、不同章节目录进行多课程快速跳转；</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二、直播管理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1.直播课程检索：支持精准查询直播课程，可以按照时间、标题、全部课程查找直播课程进行观看；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2.直播课程排序：支持按照多种维度进行直播课程排序与筛选，如：正在直播、即将开始、直播回放、最热直播课、最新直播课等；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3.直播分享：支持通过二维码、QQ、微博或微信等多种方式一键分享；</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4.直播观看：支持多路视频观看模式，可自由切换四分屏、三分屏、两分屏、单画面模式，可根据观看习惯通过鼠标拖拽画面的方式自定义调整布局；</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5.直播互动：支持弹幕功能，支持观看人数的统计，支持在线签到、查看在线学生名单、在线答题等互动功能；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直播设置：支持自动直播开启功能，可以通过设置课表对某一个教室到时间自动开始直播，同时支持扫描二维码手动开启直播录制，并可设置标题、时长、选择教室、选择录制路数、直播路数等；同一间教室可设置直播视频源不少于3路（老师视频、学生视频、PPT视频），支持高清、标清不同码流直播；直播权限可设置是否公开、是否登录可见、是否发布，可以添加直播密码，并可设置校内直播和云直播，可以设置观看人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7.支持根据服务器承载能力或活动需求设定在线观看直播的最大人数；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三、资源管理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1.资源排序：支持按照时间、点击量、文件大小、时长等维度进行排序；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2.资源属性：为提高资源的有效利用和检索便利性，支持按照教学资源的不同属性进行精细化分类，包括但不限于名师讲座、安全教育、公共课程、精品课程等；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3.状态修改：支持对资源状态进行修改，如公开、不公开等；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4.资源检索：支持按照标题、学期、组织机构、教室、课程、主讲、时间等维度进行查询；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5.视频资源编辑：支持对视频资源进行灵活处理和优化，可进行在线编辑制作，支持剪切、删除、合成、添加片头片尾等功能；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6.文档上传：支持上传txt、doc、docx、xls、xlsx、ppt、zip、rar、wav、jpg、jpeg、png、gif、bmp、mp4、pdf、xml、mp3等格式教学文档，并支持关联对应的视频资源；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7.视频上传：支持上传本地视频、上传第三方视频的地址，支持自动提取视频地址中的资源；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8.上传进度：支持在线查看资源的上传进度；可查看上传失败的资源，支持重新上传；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9.存储阈值：为确保资源在有限存储空间内高效保存，支持设置存储上限阈值，达到设定阈值后自动删除时间最早的视频资源，也可设置定期删除机制；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10.资源下载：可将已公开的视频进行在线下载；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四、组织管理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1.角色管理：支持学校管理员创建本校的角色，并为角色进行权限设定；包含功能操作权限和数据范围权限；支持方便查询角色下的用户列表；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2.用户管理：支持修改用户角色，不同的用户支持不同的权限；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3.教师管理：支持对教师信息的管理维护，如基本信息、登录密码、所属班级、学科、组织结构等信息填写，支持通过Excel导入教师信息；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4.学生管理：支持对学生信息的管理维护，包含基本信息、登录密码、所属年级、班级、院系等信息填写，支持通过Excel导入学生信息；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5.教室管理：支持对教室信息的管理与维护，包含教室名称、所属教学楼及楼层等；支持教室信息的导入功能；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6.班级管理：支持新建班级，包含班级所属年级、院系以及班级的学生名单；</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7.节次管理：维护学校节次名称及开始和结束时间；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8.校区管理：支持新建校区信息，并支持创建所属校区的教学楼，便于按校区管理教室及设备；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9.组织机构管理：支持对院系专业等部门信息创建、修改、编辑、删除等操作；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10.课程管理：支持课程的信息管理维护，包含填写课程名称、年级、课程属性、课程状态等；支持课程封面上传；支持填写课程简介；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11.存储管理：视频资源储存地址信息，对存储的资源进行统一管理，实时查看存储空间剩余容量；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12.评课管理：支持评课权限管理，支持教师评分类别管理；支持学生评分类别管理；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13.公告管理：支持发布公告；创建公告类别，编写公告内容；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14.存储管理：支持存储空间的新建与删除功能，支持将已有的存储服务器进行绑定，可设置存储服务器共享功能；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五、个人空间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1.教师个人空间：为集中呈现教师的教学过程，支持教师个人主页功能，支持查看教师所在的学校、职称、简介、课程、上传的资料、学生信息等相关数据；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课程画像：支持查看每学期不同课程的详细报告，支持查看访问总人数、直录播课程建设、课程完成度统计，支持查看单个学科的师生精准出勤详情、师生行为分析数据、学情分析数据与课程评价统计数据，并以折线图、饼状图、柱状图的形式进行数据展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3.课表信息：支持查看本学期所有课表信息；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4.班级信息：支持查看班级学生名单，支持统计单个学生本学期的直录播观看时长、 考勤次数、互动详情（测验次数、答题次数、讨论数量、弹幕数量）等信息；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成绩设置：能够根据学生在各方面的表现自动核算其综合成绩，支持自动记录和计算每个学生的考勤、直录播课程的完成度，互动详情等数据；教师可根据课程特点与教学目标，自定义设定各项考核指标（如考勤、直录播观看、互动等）在总评成绩中的权重比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6.历史记录：支持按照每学期、标题、课程、主讲等多种维度查看每个学生直录播课程的首次观看时间、最后观看时间、观看进度、总观看时长、观看次数等历史记录；</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六、数据统计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1.直播点播统计：支持查看每个直播、点播观看详情、观看名单、状态时长、观看量等，并支持导出全部统计数据；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2.平台访问统计：支持查看平台访问日志，访问账号、IP、时间等，并且可以导出全部统计数据；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3.教室运行状态：支持显示所有教室的运行状态，支持查看每个教室的直录播时长；支持实时检测教师画面、学生画面、屏幕画面、全景画面的录制状态；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访问统计：支持按照不同时间段查看用户访问的具体数据，包括但不限于登录ID、姓名、IP地址、访问设备类型、每次访问的具体时间与时长等详细信息；所有数据支持以表格形式导出，方便进行进一步的数据分析、存档和报告制作；支持统计用户累计登录次数，以及当日登录次数的数据展示，帮助管理者了解用户活跃度及使用习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5.巡课统计：支持查看教师的累次巡课次数、累计巡课时长、当日巡课次数、当日巡课时长、所用巡课终端等信息；支持查看单个教师的巡课日志；支持导出巡课记录；</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6.评课统计：支持按课时、课程、主讲、院系、评课教师、评课学生等不同维度查看评课数据；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7.院系画像：支持统计不同院系的所有教学数据，并以折线图、雷达图等形式展示直录播课程、课堂互动等数据，以便教师与管理者更直观的查看分析结果；；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8.数据推送：为方便教师及时获取和管理教学数据，支持将各类教学数据通过邮箱、公众号等渠道周期性推送至教师，教师可以随时获取最新的教学数据，有效提升教学质量与效率；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七、数字化数据统计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1.考勤统计：支持按照课时、课程不同维度以视图表的方式显示每节课师生考勤分析内容；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学生考勤：为便于教务人员精准了解学生出勤动态，支持按课表查看学生考勤详情，支持根据课程的应到人数、出勤率、迟到、请假、缺勤等多维度的数据维度进行课程的排序；支持查看单节课的考勤详情；支持以报表的形式导出考勤数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3.教师考勤：为便于学校对教师的日常表现进行量化评价，支持查看每个课程的考勤详情，支持查看教师正常出勤次数、迟到次数、早退次数、未考勤次数等；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4.教学异常预警：支持查看所有教师的出勤状态与得分，支持实时显示每个课程的早退时长与迟到时长；为保证数据的准确性与公正性，支持对课堂进行全程录像存储，并支持便捷的课堂回放功能；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考勤详情；支持多种方式统计学生出勤状态，如：扫码考勤、人脸识别、APP签到、刷卡签到、线上签到、手动签到等方式，考勤结束支持查看学生个人考勤准确时间；人脸识别考勤支持按学生证件图片进行人脸比对；为保证数据公正性，支持留存学生人脸抓拍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6.学情统计：支持以视图表的方式显示每节课学情分析内容或占比，并且可以导出报表；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学情显示：支持显示每个课程的学生应到人数、实到人数、出勤率、前排就座率、课堂抓拍等信息；学情分析结果支持以折线图形式显示，可显示每个时间节点中实到人数和抬头人数统计；支持查看每个时间节点课堂抓拍图片，管理者能够结合图表数据，深入剖析学生在不同时间段的专注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8.行为搜索：支持按照时间、教室、标题等关键字检索不同课程的行为分析结果；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行为分析结果显示：支持统计并呈现学生的行为数据，包括但不限于举手、站立、趴桌子、向后看、玩手机等；支持统计并呈现教师的行为数据，包括点不限于就坐、站立、走动、板书、巡视、互动操作等；所有课程均支持课程回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10.行为统计：支持以视图表的方式显示每节课行为分析内容或占比，并支持导出报表；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八、数据看板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1.整体数据概况需汇聚全方位的教学与运行统计数据：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1)开课数据统计模块，支持实时显示课时总数，对直播、录制、互动课时占比进行动态分析；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2)支持查看当日课时数据实时监控，展示课程使用高峰时教室占比情况；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3)教学内容统计涉及教学资料数量（PPT、Word、图片等）及存储占用容量的实时变化分析；教学实时运行数据，实时计算教师与学生出勤率、学生抬头率、前排就座率占比；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4)平台访问量统计，支持提供当日学生访问量、总访问量占比分析及访问趋势图；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5)支持校级基础数据统计，包括院系数、教师数、学生数及课表总数统计；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6)所有统计结果支持以Excel或文本格式导出；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2.教学考勤：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1)数据对接与录入：支持与各类整合，支持批量导入教师和学生信息；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2)考勤方式多样性：支持教室考勤二维码，学生可通过小程序扫码签到；支持基于人脸识别技术的快速考勤功能；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3)考勤数据同步：支持显示详细的课堂考勤明细，包括应到、实到、缺勤名单；</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4)智能统计分析：支持对学生和教师出勤率进行实时统计与趋势分析，提供按课程、院系、全校范围内的出勤率排行；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5)查询与预警：支持师生通过课表查询考勤记录，并支持缺勤异常预警功能，实时监测课堂出勤状态；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6)数据汇总管理：全面整合全校考勤数据，并支持将各类统计结果以Excel或文本格式导出；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3.学情分析模块：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1)学情动态分析：支持统计并分析最近一周及当日学生抬头率、前排就座率、自习室空座率及其占比变化；</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2)空座率监控：针对教学楼内各教室进行空座位数量统计分析，了解教室资源使用情况；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3)抬头率趋势：支持追踪学生上课注意力集中程度，提供抬头率的趋势性数据分析；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4)就座率走势：支持统计一周及当日前排就座率变化趋势，反映学生听课位置偏好及积极性；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5)教师授课互动度：支持对一周及当日教师授课过程中的抬头率进行排名统计；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6)数据导出：所有统计结果均支持以Excel或文本格式导出；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4.互动统计：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1)互动课堂占比：支持累计统计互动课堂与未互动课堂的总体比例，并提供近期课堂互动状况占比变化详情；</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2)互动课堂：支持量化统计师生在线人数、互动签到人次，以及课堂内的截图数、连麦次数、测验题量等关键指标，并产出详细的课堂报告；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3)教师教学偏好可视化：依据讨论、签到、测验等活动数据，以日期曲线图展现不同教师的教学偏好模式；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4)学生学习偏好五角图展示：基于弹幕、讨论、连麦等互动记录，通过五角图形式呈现学生群体的学习偏好特征；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5)热词排行：根据课堂弹幕互动频次，生成弹幕高频词汇排名列表；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6)学生课堂互动得分排行：支持统计课堂互动得分，公布前几名优秀及后几名待改进的学生互动得分排名；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7)教师课堂互动活跃度排行：支持根据教师在课堂教学中的互动数据表现，列出前几名最活跃与后几名相对较低活跃度的教师排名；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5.巡课与评课综合统计：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1)巡课统计：全面记录巡课人数、总课时数，分别分析网页端与移动端巡课占比情况；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2)评课统计：包括评课专家及学生参与人数统计，支持呈现两者的评课人数占比分布；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3)专家评课排行：提供校级专家评课评分排行榜；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4)学生评课排行：支持学生评课分数的排行榜统计；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5)课程资源点评：支持教师对课程资源进行文字评论，为教师提供课后教学改进意见；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6)测评总结与统计：支持汇总教师和学生的评课总成绩，并统计学校课程总量、课时总数、参与评课教师数、教师测评课时数、学生测评课时数等关键指标，展示测评总平均分及趋势图表；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7)数据导出：所有统计结果均可支持以Excel或文本格式导出；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6.资源统计：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1)开课统计：支持分析直播、互动及完成课时在总课时中的占比；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2)新增资源统计：支持统计资源总数并细分直播、录制和课表资源各自占比；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3)资源建设统计：支持按周和日维度，分析各类资源建设的占比；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4)资源状态统计：支持总计课时数，并按公开、发布、冻结状态统计其占比；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5)文档资源统计：支持统计校级资料库总量，专门分析教学文档资源；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6)学生观看统计：分析学生观看教育资源的热门排行；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7)资源排行：分别统计录播和直播资源的观看次数、点赞情况、收藏数量等维度排行；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7.教室设备运行管理：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1)教室运行统计：支持实时分析有课与无课教室状况；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2)设备总数统计：支持实时统计摄像机、录播设备、服务器等前端教室设备数量；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3)教室运行时段分析：支持根据课程安排分析教室使用时段趋势；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4)设备预警统计：支持监测并分析录播、中控、服务器等设备的预警状况；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5)环境数据监控：支持采集并展示教室的温湿度、PM2.5、甲醛、湿度等环境数据；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6)存储预警监控：支持分析数据资源存储的使用及剩余存储空间；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7)记录分析：支持实时查看设备操作记录和保修记录；</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8)设备统一管理：支持远程监测设备运行状态，支持设备列表查询、详细信息展示，以及运行、离线设备管理；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9)资源预警监测：支持实时检测硬盘存储空间并显示数据；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8.线上教学数据分析：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1)教学趋势分析：支持按日期生成直播节数的趋势图表，呈现教学活动变化；</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2)开课率统计：支持实时计算学校总课时数及其完成情况；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3)视频数据汇总：支持追踪直播观看总量、当日与昨日对比，包括观看人数、直播场次、直播总时长对比；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4)直播互动概览：支持收集并分析弹幕、评论的数量，以及累计观看人数和活跃度指数；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5)出勤与观看排行：支持分别按今日和历史数据对学生出勤率及观看时长进行排名统计；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教室动态统计：支持统计学校所有教室的上课状态，支持查看每间教室位置信息、开课状态、实时课堂人数等数据；所有楼层教室运行状态支持数据滚动显示，支持统计教室数量并以多种状态显示数据占比（包括但不限于上课教室、空闲教室、自修教室等）；支持实时显示所有教室上课总人数，并支持数据滚动显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为保证各模块之间良好兼容性，所有模块均由同厂家生产。</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772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试剂瓶托盘</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1、ABS工程塑料制品；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2、托盘质量应保证不易老化，变脆和开裂等；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3、托盘厚度≥2mm，四周及底面有加强筋，应满足承重要求。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773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高压绝缘凳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绝缘耐受电压不小于120kV。</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774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滴水起电机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工作电压：1.5V左右需配箔片验电器使用。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775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直流电流表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1、误差等级2.5级，量程0.6A、3A；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2、标度盘：标度盘正面为无光白色，色调柔和，刻度线条平直不间断，清晰鲜明，色差明显；表面清洁平整；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3、指针：指针应挺直，涂色与标度盘颜色的色差要明显。</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776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微电流放大器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1、多路输入档。一路为毫伏级，低阻抗输入，放大倍数约一千倍；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2、两路用于传感器，分别为电流型放大输出和电压型放大输出。</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777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升降台</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升降台由上面板、下底板、旋转轴、手轮和升降架组成。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778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实验桌3</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1、规格：2400*1200*760mm±10mm。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2、台面：采用12mm±1mm实芯理化板台面，四周修边倒角处理，边缘光滑无锐角。整体美观协调。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3、台身结构：新型塑铝结构，整体为1200*600*760四张桌架拼接而成。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书包斗：整体尺寸≥480*290*150mm,壁厚≥3.0mm，采用环保型ABS塑料工程一次性注塑成型，在书包斗的前端中心位置注塑出螺孔，通过螺钉将书包斗与中间横梁固定相接，可拆卸易于组装。中间设置内凹圆槽挂凳卡槽，便于收纳、放置实验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5、桌腿：采用工字型压铸铝一次成型，材料表面经高压静电喷涂环氧树脂防护层，耐酸碱，耐腐蚀处理。上腿规格：长≥585mm宽≥56mm高≥90mm，壁厚≥3.0mm。下腿规格：长≥540mm宽≥51mm高≥80mm，壁厚≥3.0mm。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立柱：采用≥41×95mm，壁厚≥1.8mm。前横梁采用≥36×25mm，壁厚≥1.3mm。中横梁采用≥34×25mm，壁厚≥1.3mm。后横梁：采用≥43×26mm，壁厚≥1.3mm。加强横支撑件：采用≥30×60mm椭圆管，壁厚≥1.5mm。材料表面经高压静电喷涂环氧树脂防护层，耐酸碱，耐腐蚀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7、桌腿配有PP脚套装饰盖。</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19</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张</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779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蛙血涂片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1、标本在100×和400×生物显微镜下观察血液中血胞的形态；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2、能看清有核的红细胞；</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3、标本取材于蛙的新鲜血液；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4、血膜应涂布均匀、无污物，血细胞不重叠、无变形和自溶现象；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5、用苏木精、曙红双重染色；染色要均匀血浆不着色。</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780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易燃品储存柜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1、尺寸：≥1840mm*900mm*510mm；门类型：双开门；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2、易燃品毒害品储存柜外壳体全部采用≥1.2mm的冷轧钢板，柜体底座采用2.0mm的冷轧钢板,内外表面经酸洗磷化环氧树脂粉末喷涂，烘热固化处理。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易燃品毒害品储存柜体内胆（上，下、左、右内衬板）均采用PP（聚丙烯树脂）板，厚度4mm；柜底部设置≥90*50*145mm进风口，进风口底部有PP（聚丙烯树脂）旋转式可调风阀；柜体的底板中部有≥Φ10mm漏液孔，漏液孔上面盖上不低于60目304*不锈钢网；柜体底部设不低于h=160mm黄沙(防倒）挡板，柜体内部最下层留有可以存放不少于120mm厚黄沙的填埋腔，用于埋放金属钠、黄磷（白磷）等的易燃物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4、柜底装有四个移动尼龙轮，便于易燃品毒害品储存柜移动；前轮后有≥2个手动调节罗杆，方便危化品储存柜定位。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柜中部有≥3个一次成型聚丙烯活动层板，层板四周边缘厚度平均值不小于4.0mm;每层阶梯板外延边有积液槽，积液槽高度平均值不小于3.0mm，最大可能防止液体外溢；每个搁板靠背板处有一排导风口，阶梯高度不小于50mm（包括积液盘的高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柜顶部中间开有≥φ160mm的出风口，柜顶风口内置一个AC220V50HZ0.18A轴流风机，最大风量≥326m³/h，转速≥2550转/min,环境温度（-10-+70）摄氏度，无火花静电，控制开关设置柜体顶部的右上角，当风机开机前要把柜门下面中间的进风口推置打开状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密封件：柜体门与柜体之间应安装防火膨胀密封件，密封件应符合国家相关标准的要求。（柜体门与柜体之间应安装环保热膨胀密封条。当温度为150℃~180℃时密封条局部膨胀，温度达到200℃时密封条全部膨胀，膨胀比例为1:5，以保证储存药品的安全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8、陶瓷纤维棉：柜体应填充具有保温隔热作用的陶瓷纤维棉，陶瓷纤维棉应符合GB/T21114-2019的要求，（密度≥130㎏/m³，厚度:≥40mm）。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9、铰链：铰链应为钢琴式铰链，确保门能开≥180度。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10、电子密码锁：柜体配备电子密码锁和机械锁，实现双人双锁管理，同时锁具具有开锁记录查询功能及隐码功能；天地锁锁舌选用坚韧且有弹性的高分子合成塑料制成，耐磨且抗腐蚀性能极强。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11、环保性能：室内甲醛含量≤0.8mg/m³；苯含量≤0.09mg/m³，甲醛及苯含量符合国家标准要求。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12、电源：符合国家相关标准的要求。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13、通风控制装置：柜体底部应设置进风口及可调风阀，可调风阀旋转灵活，并能控制风量大小。通风管道口径宜采用≥Φ160mm，通风管应耐高温、阻燃、耐腐蚀，符合JGJ/T141-2017的要求。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14、配备接地装置实现完全接地。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15、装箱时柜内外的说明标识：《易燃品毒害品储存柜使用说明书》，《合格证》，《安全储存说明书》，柜门上贴有反光警示标签。</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781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双向测力计</w:t>
            </w:r>
            <w:r/>
          </w:p>
        </w:tc>
        <w:tc>
          <w:tcPr>
            <w:tcBorders>
              <w:top w:val="none" w:color="000000" w:sz="4" w:space="0"/>
              <w:left w:val="none" w:color="000000" w:sz="4" w:space="0"/>
              <w:bottom w:val="none" w:color="000000" w:sz="4" w:space="0"/>
              <w:right w:val="non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1、产品主要由具有测量性能的耐疲劳弹簧、指针、调节器、分度板等组成；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2、使用时指针在所测力的方向上（无负荷时）必要时对准零位；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3、不在零位时，只要旋动两端的调节器，可使指针移向零位；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4、将测力计固定在支架上或其他能固定的位置上，便可测量拉力或秤物等实验。</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782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口罩</w:t>
            </w:r>
            <w:r/>
          </w:p>
        </w:tc>
        <w:tc>
          <w:tcPr>
            <w:tcBorders>
              <w:top w:val="none" w:color="000000" w:sz="4" w:space="0"/>
              <w:left w:val="none" w:color="000000" w:sz="4" w:space="0"/>
              <w:bottom w:val="none" w:color="000000" w:sz="4" w:space="0"/>
              <w:right w:val="non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一次性医用式</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200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783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教师数码显微镜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1、放大倍数：40X-1000X。</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2、光学部件：无限远色差校正光学部件。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3、目镜：高眼点平场目镜WF10X/22mm，带视度调节。显微镜目镜放大率准确度不超过±1.48%。</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观察筒：铰链式双目观察筒，30°倾斜；瞳距调节范围48-75mm。具有铰链组360°旋转功能，眼点高度375-428.5mm。左右两部件放大率差≤0.05%，双目部件左右两像面光谱色一致，明暗差≤14.3%；双目部件左右部件像面方位差≤25；双目部件左右视场中心偏差:上下≤0.12mm、左右外侧≤0.16mm、左右内侧≤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5、显微镜机身内置一体的内倾式五孔编码物镜转盘，可实现物镜照明记忆功能，自动记忆上次观察的亮度并在下次使用该物镜时自动调出。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6、转换器稳定性≤0.012mm。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7、聚光镜：阿贝式聚光镜，数值孔径N.A.1.25，齿轮齿条垂直升降，带可变孔径光栏，带暗场、相差附件插口。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载物台：双层机械移动平台，采用石墨工艺、强度强、耐腐蚀。低手位X、Y方向同轴调节，线轨传动，X方向无齿条伸出。载物台面积≥200mmX140mm，片夹可同时夹持两块切片，方便对比观察。平台行程≥76mmX50mm，精度≤0.1mm。载物台侧向受5N水平方向作用力的最大位移≤0.016mm， 载物台侧向受5N水平方向作用力的不重复性≤0.004mm。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9、调焦机构：粗微调同轴，粗调行程22mm，微调精度2um，全金属齿轮齿条调焦机构，带可调式平台上限位装置。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10、物镜：物镜放大准确度不超过±1.54%；4X/0.10，W.D.15.5mm；10X/0.25,W.D.7.0mm；20X/0.4; 40X/0.65（弹簧），W.D.0.71mm；100X/1.25（弹簧/油镜）,W.D.0.14mm。成像清晰圆直径：4X成像清晰圆直径≥14.5mm；10X成像清晰圆直径≥15mm，20X成像清晰圆直径≥15mm；40X时成像清晰圆直径≥14.5mm；100X时成像清晰圆直径≥14.5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11、物镜齐焦：10→20X，不超过±0.025mm，10→40X，不超过±0.014mm，40→100X，不超过±0.008mm。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12、照明：3W LED光源，亮度可调；稳定性10 万小时，光衰为初始的 50%。灯的响应时间为纳秒级，光照明亮，色度均匀，色温接近自然光。亮度连续可调，在任何亮度下无屏闪，可满足不同色温的标本观察需要，带有光源的仪器操作部位温度与室温之差不超过11.5度。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13、成像：≥800万像素。传感器尺寸：≥1/1.8”。最大帧率及最大分辨率：≥30fps@3072x2048，逐行扫描，具有自动曝光、自动白平衡功能；USB3.0线纯数码输出。 </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784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集气瓶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1、透明钠钙玻璃材质，由磨口瓶和毛玻璃片组成；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2、规格：500ml；磨砂密合性：盖板与瓶口充分湿润密合后，倒提瓶体，盖板附瓶口上应保持30秒不掉；瓶身光洁圆整，不得有扁瘪现象，瓶底平稳，不允许有旋转缩径和磨光的小缺口；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785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移液管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5mL</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786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容量瓶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1、高硼硅玻璃材质，由瓶体和瓶塞组成；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2、规格：1000mL。内应力消除：在偏光仪下呈紫色；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3、刻度线清晰耐久，粗细均匀，平行于瓶底平面；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4、瓶口与瓶塞密合性好。</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787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细口瓶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2、规格：棕色，3000mL；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788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实验服</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白色,棉布大褂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789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数字测温计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测量范围：-50℃～+200℃，仪器直径140mm，数字显示 尺寸80*26mm。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790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滴定实验装置</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一、组成: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由滴定计数器、专用滴定管、支架、转接器和螺栓组成，用于统计液滴数量、测量液滴体积，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二、实验：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可完成酸碱中和滴定、冰醋酸稀释等实验。</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791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学生信号发生器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1、445kHz～1700kHz，误差±5%；中频465kHz，±2%；</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2、低频500Hz、1kHz、1.5kHz、2kHz、2.5kHz。</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792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试管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Style w:val="968"/>
                <w:rFonts w:hint="default"/>
                <w:lang w:bidi="ar"/>
              </w:rPr>
              <w:t xml:space="preserve">1、高硼硅玻璃材质；</w:t>
            </w:r>
            <w:r>
              <w:rPr>
                <w:rStyle w:val="968"/>
                <w:rFonts w:hint="default"/>
                <w:lang w:bidi="ar"/>
              </w:rPr>
              <w:br/>
            </w:r>
            <w:r>
              <w:rPr>
                <w:rStyle w:val="968"/>
                <w:rFonts w:hint="default"/>
                <w:lang w:bidi="ar"/>
              </w:rPr>
              <w:t xml:space="preserve">2、厚薄均匀，不得有刺手现象；规格：试管外径</w:t>
            </w:r>
            <w:r>
              <w:rPr>
                <w:rStyle w:val="971"/>
                <w:lang w:bidi="ar"/>
              </w:rPr>
              <w:t xml:space="preserve">Φ</w:t>
            </w:r>
            <w:r>
              <w:rPr>
                <w:rStyle w:val="968"/>
                <w:rFonts w:hint="default"/>
                <w:lang w:bidi="ar"/>
              </w:rPr>
              <w:t xml:space="preserve">30mm，试管高200mm；</w:t>
            </w:r>
            <w:r>
              <w:rPr>
                <w:rStyle w:val="968"/>
                <w:rFonts w:hint="default"/>
                <w:lang w:bidi="ar"/>
              </w:rPr>
              <w:br/>
            </w:r>
            <w:r>
              <w:rPr>
                <w:rStyle w:val="968"/>
                <w:rFonts w:hint="default"/>
                <w:lang w:bidi="ar"/>
              </w:rPr>
              <w:t xml:space="preserve">3、截面应为适度的圆形；试管口部是熔光的平口；</w:t>
            </w:r>
            <w:r>
              <w:rPr>
                <w:rStyle w:val="968"/>
                <w:rFonts w:hint="default"/>
                <w:lang w:bidi="ar"/>
              </w:rPr>
              <w:br/>
            </w:r>
            <w:r>
              <w:rPr>
                <w:rStyle w:val="968"/>
                <w:rFonts w:hint="default"/>
                <w:lang w:bidi="ar"/>
              </w:rPr>
              <w:t xml:space="preserve">4、管口应平整、光滑，不得有裂口、裂纹存在；试管的底部应基本为半球形。</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793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电动离心转台</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1、工作电压：220V，50HZ；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2、电机转速：无极调速，产品有机箱、电机、调速器等组成。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794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激光光学演示仪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激光波长：632.8 nm（He-Ne）</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演示屏带角度刻度，精度 1°；</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导轨行程与组件接口统一，方便快速更换光学件。</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795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数字计时器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四位及以上，数据存贮，显示：10个挡光间隔时间、10周振动、n次振动时间总和、加速度计时三个时间、自由落体时间不少于二个、二路光电门分别计二个挡光时间(对碰、追碰)，有光电门接口和电磁铁接口，统一接口。显示对应间隔时间的平均速度、加速度、碰撞计时四个平均速度；电磁铁可调释放延时补偿</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796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高中力学演示板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双向测力计2个、压簧2只、量角器1只、加长杆4支、销钉6只、接线叉2支、接插头2支、接钩2只、力矩盘1个、、车钩4只、大滑轮2只、小滑轮4只、惯性块2块、重锤1只、双向插头2只、滑轮联杆2支、滑轮挂钩2支、调节杆2支、钢丝挂钩10支、钢丝卡环4只等</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797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台虎钳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主体：高强度灰铸铁或铸钢，刚性强、抗震；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钳口：淬火硬化钢，带齿纹防滑；常配可更换软钳口保护精密工件；部分带 V 型槽可夹圆棒 / 管材；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钳口宽度：100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最大开口：100～140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钳口高度 / 夹紧深度：50～84 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798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台式平面刨床</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1.额定电压:220V~50HZ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2.空载转速:12000r/min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3.额定功率:1800 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4.刨削宽度:150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5.刨削深度:0-3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6.产品重量:10.2 kg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7.台面尺寸:580x155 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799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胞间连丝切片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1、标本在400×生物显微镜下观察植物细胞的胞间连丝形态；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2、能看清胚乳的多边形厚壁贮藏细胞，认出细胞壁、胞间层和细胞腔；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3、能看清许多细小的胞间连丝将两个相邻细胞的原生质体连在一起；</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4、标本取材于秋、冬季节的柿或黑枣的种子；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5、切片厚度不超过20μm。材料面积不小于1.5mm²，细胞不倾斜；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6、标本用能显示胞间连丝的方法染色。胞间连丝着色应明显，细胞界限清楚，胞质色淡；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7、有50%以上细胞能显示胞间连丝；</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8、材料四周剪切整齐，无染液的沉淀物；</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9、应符合JY67－82《生物玻片标本通用技术条件》的规定；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10、产品应符合JY235－87《胞间连丝切片》的要求。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800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活塞</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2、规格：T形；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3、灯工焊接牢固，焊接处玻管内径以不少于芯孔直径；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4、管口烘光不得有缺损块口；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5、活塞芯孔径应与活塞壳孔对正，出现的偏差不得超过有效孔径的1/3为准；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6、活塞芯手柄不得有割手合缝线，尾部磨平，不得有4mm以上的缺口；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7、活塞芯与活塞壳磨合后，芯、肩应与壳肩齐平，其伸出或缩入最大偏差不得超过1mm为准；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801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电泳演示器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1、仪器外形结构由底座电源装置，带刻度的U形管、电极插座和开关等组成；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2、主要技术参数：输入电压：AC12V；输出电压大于120V；输出电流80mA。</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802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棉线团</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2mm粗200米/团</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团</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803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水槽台</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规格：4500*650*800mm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1、台面：采用12.7mm厚实芯理化板制作，切割处正反面去毛刺切口打磨平整。表面有良好的耐腐蚀性及具有良好的承重性能。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2、柜体：全钢结构，采用1.0mm高强度镀锌钢板，切割折弯成型焊接打磨平整，表面经环氧树脂喷涂处理。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3、门板：采用双层结构，组装式设计，保证单层钢板双面都喷涂处理，门板中间填充隔音材料，减少关门时产生的噪音。防撞胶垫：门板内侧，减缓碰撞，保护柜体。</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4、拉手：采用一字拉手。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5、不锈钢防腐铰链：采用优质不锈钢模具一体成型。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6、固定桌脚：采用柜体内置可调ABS调整脚，保证调整脚前后都可以调节高低。</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张</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804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果酒果醋发酵装置</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透明，最大容积1L，具水封及气泡限速装置，可进行气泡观察计数。</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805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高频信号发生器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0.4MHz～130MHz分段连续可调，误差±5%</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806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化学晶体展示橱窗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1、设备参数：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规格：3m*1.5m（定制）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电源：AC220V/50Hz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功率：500W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部件：84种矿物标本、按钮及控制器等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2、功能描述：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这是一组矿物标本展示柜，以简洁而专业的设计，构建起地质科普的微观窗口，成为传播矿物知识与地球科学的生动载体。展示柜采用金属框架搭配通透玻璃的结构，冷峻的金属线条勾勒出规整秩序，透明玻璃则消除了观赏阻隔，让矿物之美毫无保留地呈现。内部层板有序划分空间，每组展柜如一个独立的地质小世界，承载着形态各异、色泽斑斓的矿物标本。</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3、操作说明：</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进入体验区，根据指示牌操作，进行科普互动学习。</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807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动物剥制标本</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动物剥制标本,50种左</w:t>
            </w:r>
            <w:r>
              <w:rPr>
                <w:rFonts w:hint="eastAsia" w:ascii="宋体" w:hAnsi="宋体" w:cs="宋体"/>
                <w:color w:val="000000"/>
                <w:sz w:val="20"/>
                <w:szCs w:val="20"/>
                <w:lang w:bidi="ar"/>
              </w:rPr>
              <w:t xml:space="preserve">右，1:1比例自然大，动物形态自然，美观，配套专业标签，显示动物名称、科属等相关信息。包含大不限于八哥、鹌鹑、白颈乌鸦、棕背伯劳、白鹭、白头短脚鹎、斑鸠、虎皮鹦鹉、伯劳、仓鼠、玄凤鹦鹉、刺猬、戴胜、鸡、文鸟、鳄龟、骨顶鸡、玉米蛇、贵妃鸡、荷兰猪、黑卷尾、黑水鸡、噪鹃、黑喜鹊、红嘴蓝鹊、环颈雉-公、环颈雉-母、黄鹂、麻雀、黄雀、灰椋鸟、灰喜鹊、鹧鸪-母、家鼠、小鸭子、金花松鼠、兔子、鹧鸪-公、珍珠鸡、緑头鸭、緑头鸭-公、緑头鸭-母、珍珠鸟、帽子鸡、魔王松鼠、母鸡、牡丹鹦鹉、牛蛙、七彩文鸟、青蛙、岩鸽、山麻雀。</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项</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808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电冰箱</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1、适用范围适用于实验室设备，制取低温物品，保存生化制剂；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2、双门有效容积不小于200L。</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809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实验室演示控制器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1.CPU：双核心、双线程、1.8GHZ、三级缓存 2MB；</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2.RAM：8G；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3.内置存储：128G，可扩充到3TB。</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4.影音接口：1路HDMI输入接口、1路HDMI输出接口、LineIn*1、 LineOut*1。</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5.I/O接口：3个USB接口并支持扩展，3个10/100/1000Mbps以太网RJ45接口；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6.视频输出：最大支持4K高清视频，支持30FPS帧率。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7.扩展：具有“录制”按钮，可一键式录制课程。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8.内置无线AP功能/WiFi支持：智能云盒内置无线AP模块，工作频段：支持2.4G和5G。 支持协议： 802.11 a/b/g/n/ac多种协议模式。最大工作速率： 1300Mbps。网络工作模式支持：无线路由器、无线交换机、终端模式。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产品功能界面应满足：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屏幕工具条：主要是指对设备进行控制操作的功能按钮区域，用户可直接在触控显示屏上触控操作，也可在设备上连接USB鼠标点击工具条上的功能来操作，具有截屏、录制、广播、切屏、布局、批注、白板、互动等功能按钮，并可以看到时间、设备状态等信息。支持用户自主选择工具条显示或隐藏，工具条隐藏后支持一键点击隐藏按钮再次显示工具条，且无操作10秒钟后，工具条可再次自动隐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支持设备的有线接入：设备具有1路HDMI输入接口，支持电脑、摄像机、实物展台等外部设备的有线接入。具有1路HDMI输出接口。可通过USB口直接接入摄像头采集环境画面，支持通过USB口进行鼠标键盘的接入，支持选择U盘中的文档、图片、视频等资料直接打开播放，也可对存储至U盘的资源进行预览、删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3.支持三大类公有传输协议投屏：支持Air Play、Miracast、WIDI投射协议投屏，能够将iOS设备、macOS设备、Android设备、Windows设备不安装任何APP或者插件的前提下直接无线接入智能云盒进行投屏。通过外接USB发射器、扫码、安装App等方式投屏，均不符合要求。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4.音频输入输出接口：设备支持3.5mm音频输入和3.5mm音频输出功能，可实现无线或有线3.5mm音频输入到设备中，通过3.5mm输出给功放、音响等设备。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支持16路投屏终端同步显示：支持4K高清视频播放，能够在显示终端上不少于4屏画面同时播放高清视频，并可自由拖动交换画面位置。支持对投屏终端单个或者全体音频音量控制；多屏画面布局下，支持对单一显示画面静音、翻转、循环播放、全屏或移出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投屏终端选择与切换：自动对有线接入设备和网络摄像机、无线接入设备、各小组的设备、U盘、手写板等设备分类。支持拖拽选择投屏设备的画面，支持对已连接的设备强行从列表中移除、重命名，并可设置常用设备置顶显示模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7.支持对显示画面进行全屏缩放：通过遥控器APP或屏幕工具栏可控制显示终端的投屏画面缩放显示，达到对文字或重点画面逐步放大的效果，能够对单屏或多屏画面进行最大400%放大。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8.支持画面截屏：通过截屏功能，可一键截取当前显示的内容画面，支持通过遥控器APP分享到微信、微博、QQ等第三方应用程序，并支持存储在U盘或本地硬盘上。</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810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帕斯卡球</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1、产品主要由圆管、空心球、活塞、活塞杆、手柄组成；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2、圆管选用金属无缝钢管，端应有连接，空白球的螺纹，另一端有拧盖螺纹、螺纹连接部分应牢靠、表面防锈处理；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3、空心球用不锈钢制作。</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811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无线智能氧化还原传感器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显示/蓝牙/存储功能：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独立模块化结构，与各种传感器组合使用，具备独立数据显示、数据存储、数据上传功能。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接入后自动识别传感器，实时显示传感器测量数据，支持多值传感器数据显示及存储，数据显示屏刷新频率10Hz；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1.77寸（±0.1寸）彩屏，采用智能接口与传感器连接，接口具有方向性和自锁功能，可以防止传感器在使用过程中脱落，保证数据传输稳定；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屏幕可显示二维码，通过移动终端设备扫描二维码进行无线连接，采用蓝牙4.0传输协议，可将传感器测量数据实时传输到APP。</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设有按键开关，工作状态下，可通过调动按键开关切换数据显示和二维码界面；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通过移动终端设备可设置数据显示精度以及数据调零，可对数据进行描点绘图处理。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可将模块存储的测量数据导出至计算机进行数据分析（兼充电）；</w:t>
            </w:r>
            <w:r>
              <w:rPr>
                <w:rFonts w:hint="eastAsia" w:ascii="宋体" w:hAnsi="宋体" w:cs="宋体"/>
                <w:color w:val="000000"/>
                <w:sz w:val="20"/>
                <w:szCs w:val="20"/>
                <w:lang w:bidi="ar"/>
              </w:rPr>
              <w:br/>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采用充电锂电供电，电池电压3.7V，容量1100mAh，待机时间10小时，采用microUSB充电接口；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数据存储频率5Hz，存储容量最大262,144个数据点。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注：续航时间和连接的传感器有关，差别较大。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传感器尺寸：77*41*25（mm）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功能模块：用于测量溶液氧化还原电位的数据；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性能：测量范围：-500mV~+1200mV，分度：1mV；准确度：≤±20mV；最大采样率：5KHz；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技术指标：适用温度5-70℃；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结构：使用BNC连接器方式与电极连接，铂金片外径5mm，露出管口12mm，电极全长150mm。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传感器由高强度塑料外壳封装，外壳设有M5螺丝孔位，可将传感器固定在多种操作和实验装置上；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传感器数据处理电路为双主板设计，采用技术成熟的SMT生产工艺，可保证传感器经久耐用，数据传输稳定、持续；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采用智能接口，输出数字信号，接口具有方向性和自锁功能，可以防止传感器在使用过程中脱落，保证数据传输稳定；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模块化、可热插拔设计，支持有线通讯、无线通讯和屏幕数据显示三种工作方式；可支持蓝牙无线数据传输；</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可应用于Windows、Android、iOS、麒麟、统信、鸿蒙操作。</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812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力矩盘</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圆盘直径≥265mm，圆盘有四个同心圆，均匀分布若干个小孔。</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813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光电效应演示器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带光源和锌板，由高压电源、微电流放大器、锌板和铜丝网，紫外光源等组成。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814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玻璃三角刮刀(涂布器)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玻璃，长约为160mm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815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充电式烙铁</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焊接工具一应俱全，内含电烙铁、烙铁架、斜口钳、吸锡器、剥线钳、防静电镊子、焊锡丝、松香、高温海绵、防静电垫、清洁工具等。不仅是工具包，更是可移动的电子焊接实验室，质量好，能满足学生所有焊接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2、材质：具有海绵定位外包装。</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816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柴油机模型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1、工作电压：直流1.5V～2V；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2、模型应示柴油机的汽缸体、进汽阀、排汽阀、汽阀弹簧、进汽道、排汽道、活塞、活塞环、连杆、曲轴、飞轮、火花塞、凸轮、水套。</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817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粗、细</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818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超重失重演示器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记忆式，移动距离不小于1.5m，超重、失重加速度可调，灵敏测力计示数可见。</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819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量筒</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1、标称容量：100mL，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3、底座和口部边缘应做熔光处理，口边应与量筒的轴线垂直；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4、量杯放在上，不应摇晃；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5、当从量杯向外倾倒液体时，液体呈一束细流流出，不应外溢，不应沿壁外流；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6、外表面和内表面不应有破皮气泡和薄皮气泡、密集小气泡和积水条纹存在。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820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碳化硅砂带#180</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粒度：180 目（P180）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磨料：碳化硅（绿色 / 黑色）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磨粒直径：约 83 μm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基材：树脂布基</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821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各种陀螺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圆周运动、离心运动。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822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APP吊装控制设备</w:t>
            </w:r>
            <w:r/>
          </w:p>
        </w:tc>
        <w:tc>
          <w:tcPr>
            <w:tcBorders>
              <w:top w:val="none" w:color="000000" w:sz="4" w:space="0"/>
              <w:left w:val="none" w:color="000000" w:sz="4" w:space="0"/>
              <w:bottom w:val="none" w:color="000000" w:sz="4" w:space="0"/>
              <w:right w:val="non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1、注册后进入，方便用户找回忘记的密码，升级方便。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APP可控制总电源的开关；可控制学生实验用低压直流电源（0-30V），学生也可自己调节；可显示当前温度、相对湿度及当前时间；同时还可控制水/电/风/灯的开启与关闭等。3、APP移动设备与智能控制设备可以同步操作。</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823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集气瓶</w:t>
            </w:r>
            <w:r/>
          </w:p>
        </w:tc>
        <w:tc>
          <w:tcPr>
            <w:tcBorders>
              <w:top w:val="none" w:color="000000" w:sz="4" w:space="0"/>
              <w:left w:val="none" w:color="000000" w:sz="4" w:space="0"/>
              <w:bottom w:val="none" w:color="000000" w:sz="4" w:space="0"/>
              <w:right w:val="non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2、规格：125mL；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3、磨砂密合性：瓶身光洁圆整，不得有扁瘪现象，瓶底平稳，不允许有旋转缩径和磨光的小缺口；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824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准备台</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1、规格：2100mm*750mm*780mm±1%。</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2、台面：采用≥12.7mm厚实芯理化板，耐高温、耐腐蚀；</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3、整柜体说明：外壳采用≥1.0mm优质冷轧钢板在数控加工中心、剪裁、定位打孔、折弯焊接后成型，酸洗磷化处理后喷涂环氧树脂粉末高温烘烤固化。附着力高、表面硬度耐腐蚀性极强，预留有两个位置。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4、铰链：阻尼铰链；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5、调整脚说明：采用直径≥φ10mm注塑调整脚，防震、防潮、耐腐蚀，可根据室内地坪适当调整柜体高度，最大调节为0-30mm。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6、工艺说明：所有钢板焊接经环氧树脂粉喷图后，目视平整无焊点。所有水、电、气路要求安全、适用，并隐藏式安装。在柜体后背板设维修孔。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7、下部柜体，门板：采用≥1.0mm冷轧钢板（双层），无焊连接，可拆卸带减震垫。经数控加工、剪裁、定位打孔、折弯焊接成型，酸洗磷化后喷涂环氧树脂粉末，高温烘烤固化。</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张</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825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移液管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2mL</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826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水绵装片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1、标本在80×和200×学生显微镜下观察水绵营养时期的结构；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2、能看清丝状体内圆柱形的营养细胞，位于中央的胞核，呈星芒状的原生质、平立的细胞横壁，作螺旋盘绕的叶绿体呈带状，以及纵列于叶绿体上的蛋白核等；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3、应取材于营养时期的水绵材料，细胞不收缩，藻丝不严重堆集或缠绕（不影响观察）；</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4、标本为铁苏木精与固绿双重染色，标本应清洁无污物，不混有其他藻类；</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5、应符合JY67－82《生物玻片标本通用技术条件》的规定。</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827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防盗报警电路器材套件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小永磁体、干簧管、74LS14、2.2kΩ电阻、蜂鸣器(YMD或HMB)</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828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干燥塔</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规格：250 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材质：高硼硅玻璃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用途：装填干燥剂（无水氯化钙、碱石灰、硅胶等），对气体进行干燥、除杂、净化；常用于化学实验气体制备、洗气、尾气处理装置。</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829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细胞膜结构模型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1、产品放大约一千倍的细胞膜结构局部纵切模型。本产品应采用硬塑料或符合材料，不应采用软塑料。环保塑料制品；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2、产品应能适应气温-25℃和40℃的环境条件下运输和贮存；产品应能在距地面1m高处自由下落，不得破裂和变形。</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830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玻璃棒</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2、规格：φ5mm～φ6mm；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3、理化性能：耐水等级：1级，耐碱等级：1级，耐酸等级：2级；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4、应力：在偏光仪中呈蓝色；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5、色泽：无色透明，允许微带黄绿色；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6、玻璃棒要圆、直径均匀、不能粗细不匀，无气泡、无节瘤、无结石。</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千克</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831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玻璃管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2、外径：Φ5mm～Φ6mm；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3、理化性能：耐水等级：4级，耐碱等级：1～3级，耐酸等级：2～3级；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4、应力：紫红色或扩散状淡蓝；</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5、色泽：无色透明，允许微带黄绿色；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6、玻管厚薄均匀，不能出现大小头。</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千克</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832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万向吸风罩</w:t>
            </w:r>
            <w:r/>
          </w:p>
        </w:tc>
        <w:tc>
          <w:tcPr>
            <w:tcBorders>
              <w:top w:val="none" w:color="000000" w:sz="4" w:space="0"/>
              <w:left w:val="none" w:color="000000" w:sz="4" w:space="0"/>
              <w:bottom w:val="none" w:color="000000" w:sz="4" w:space="0"/>
              <w:right w:val="non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1、关节：高密度PP材质表面磨砂，优化了视觉美感和手握触感可360°旋转调节方向。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2、关节密封圈：不易老化之高密度橡胶。在关节之间随着旋钮压力加大而产生阻尼效果。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3、关节连接杆：304不锈钢双头锁杆。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4、关节盖：高密度PP材质表面磨砂。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5、关节松紧选钮：高密度PP材质，内置微形平面推力不锈钢轴承，与关节连接杆锁合。</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6、拱形集气罩：直径≥260mm，高密度PC制成。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7、伸缩导管：4节直径≥63mm的专业抗氧化抗腐蚀的镁硅铝合金，表面做特氟龙表面处理，耐酸、耐碱、耐划痕。</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8、扭簧：使用90度的≥4mm专用弹簧钢抗氧化处理，防止吸风罩整体滑下。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9、安装后可根据使用需要达到三维360度任意转停，集气罩吸气角度360度任意转停。整体美观大方，吻合高水准专业实验室。</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833</w:t>
            </w:r>
            <w:r/>
          </w:p>
        </w:tc>
        <w:tc>
          <w:tcPr>
            <w:tcBorders>
              <w:top w:val="single" w:color="000000" w:sz="8" w:space="0"/>
              <w:left w:val="single" w:color="000000" w:sz="8" w:space="0"/>
              <w:bottom w:val="single" w:color="000000" w:sz="8" w:space="0"/>
              <w:right w:val="single" w:color="000000" w:sz="8"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磁性V型铁</w:t>
            </w:r>
            <w:r/>
          </w:p>
        </w:tc>
        <w:tc>
          <w:tcPr>
            <w:tcBorders>
              <w:top w:val="single" w:color="000000" w:sz="8" w:space="0"/>
              <w:left w:val="none" w:color="000000" w:sz="4" w:space="0"/>
              <w:bottom w:val="single" w:color="000000" w:sz="8" w:space="0"/>
              <w:right w:val="single" w:color="000000" w:sz="8"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适用于机床台面，铸铁台，划线台表面配套测量、60KG 磁力</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834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手持电动工具的保护装置</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塑料制，最大可用工具直径22mm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835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标本展示橱窗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规格：尺寸长28.6m*高2.2m*深0.6m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整墙定制标本橱窗采用 “环保基材 + 超白玻璃 + led照明”的一体化工艺打造：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柜体以多层板为基层，表面经自动化汽车烤漆工艺处理，形成匀净洁白、耐磨损且抗黄变的高光饰面，长期使用仍能保持洁净光泽；展示面选用超白钢化玻璃 ，实现通透无界的视觉效果，同时钢化玻璃的高强度特性，保障标本展示安全；内部 边缘隐藏式 LED 线性灯带提供全域柔和漫射光，弱化阴影以完整呈现标本形态。</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836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小号试管刷</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1、产品由金属丝和绞合在其上的猪鬃毛制成，制成的试管刷要求不散、不脱毛；</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2、整体应平整、美观，猪鬃毛长度均匀。</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837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烧瓶刷</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1、供中学化学实验和小学教学实验用；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2、本品由猪鬃及铁丝两部分组成，猪鬃被铁丝牢牢的夹紧在上面。</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838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钠的吸收光谱演示器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产品由钠管、钠管加热炉、防护散热罩、光源、立柱、底盘等组成。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839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小型阶梯夹组</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夹持能力：最大夹持厚度 35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碳钢淬火；</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不锈钢；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铝合金阳极氧化；</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840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整理箱</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矮型，储存及分发药品用，高度要适中。</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841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电工刀</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不小于180mm,采用3CR-13硬质钢材料制造,刃部硬度大于52HRC,采用胶质手柄,坚固耐磨，其他符合QB/T2208标准。</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842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常用电阻器示教板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定值电阻(碳膜电阻、金属膜电阻、绕线电阻、水泥电阻等)、可变电阻(电位器等)、特殊电阻(热敏电阻、光敏电阻等)。</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843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学生数码显微镜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1、光学部件：独立色差校正光学部件，光学放大倍数：40-1000X。</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2、数码观察镜筒：30°倾斜，铰链三目观察头，带目镜锁紧机构，含标准C型接口。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3、双目部件左右两像面光谱色一致，明暗差≤1.1%，双目部件左右视场像面方位差≤15′；双目部件左右视场中心偏差：上下≤0.15㎜、左右外侧≤0、左右内侧≤0.12㎜。</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4、目镜：大视野平场目镜WF10X/18mm，带指针；双目倾斜，可以360°旋转，当镜筒做360度旋转时，目镜焦平面上像中心的位移≤0.3mm。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5、物镜：消色差物镜4倍、10倍、40倍，100倍,40X，100X物镜采用弹簧镜头，各物镜齐焦；物镜清晰圆直径：4X物镜≥14.5㎜、10X物镜≥15㎜、40X物镜≥14.8㎜、100X物镜≥14.2㎜。</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6、显微镜物镜放大率准确度不超过-0.5%， 显微镜目镜放大率准确度不超过1.08%。</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7、齐焦性：10→4倍≤±0.103㎜、10→40倍≤±0.035㎜、40→100倍≤±0.018mm；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8、转换器：内倾式四孔转换器；转换器稳定性≤0.010mm；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9、物镜变换后像面中心位移：不应该越出现场；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10、机架组：低手位粗微动同轴，微调精度 0.002mm，带松紧调节装置，机械式上限位机构；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11、照明：1 W LED 照明，亮度连续可调，含可充电电池，可在不接通电源线的情况下开机使用；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12、载物台：双层复合式机械移动平台，阿贝聚光镜，数值孔径N.A.=1.25；带可变光阑；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13、智能终端：≥10.5英寸平板，2GB+32GB，WIFI版，分辨率：1920X1200，≥800万像素，支持各种移动终端设备，支持Android、IOS、Windows兼容主流平板电脑配图像分析软件，包含图像采集功能；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14、数据接口：HDMI高清投屏/U盘/Bluetooth蓝牙传输/Wi-Fi无线/RJ45 LAN有线网络；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15、组网功能：显微镜采用WIFI无线网络组网模式和RJ45有线网卡双模式，可以通过无线投屏到笔记本电脑、一体机等智慧终端设备上显示图像，也可以通过RJ45有线网卡组网。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15、图像分析需具有以下主要功能: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15.1.软件可以根据用户需求可以对图像参数做相应设置：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15.1.1、自动曝光：提供手动设置和自动设置两种模式，默认自动模式。15.1.2、白平衡：提供自动和一键两种模式，默认自动模式。（一键模式是在标准色温下镜头对着标准灯光或是白纸后点一键按钮，相机将根据当前状态自动加载参数，达到白平衡准确的目的）15.1.3、曝光:根据需要调节相机的曝光时间 15.1.4、对比度：根据需要调节图像对比度 15.1.5、饱和度：根据需要调节图像饱和度15.1.6、亮度：根据需要调节图像亮度15.1.7、锐度：根据需要调节图像锐度15.1.8、色温：根据需要调节图像色温。</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15.2.标定设置：提供标定模式，按线标定或圆标定两种标定模式可选，点线标定图标后，预览界面会直接显示线段，根据标定尺的位置和长度，鼠标将线段移至标定尺上方与相应刻度重合即可，设置名称、单位、精度、最后点保存图标即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15.3.测量模式：点坐标、直线、折线（鼠标右键结束）、画圆等操作、径画圆、三点画圆、同心圆、圆心距等操作等；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15.4.拍照、录像功能：内置一键拍照、一键开始录像功能。</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844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始祖鸟化石及复原模型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1、产品由始祖鸟化石模型及复原模型组成，分别置于底座上，模型应采用硬塑料或复合材料制作；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2、始祖鸟化石模型，示头骨、脊柱、肋骨、附肢骨和羽毛印迹，各部形态正确清晰，并显示化石裂缝；</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3、骨化石与石块的颜色应有区别。</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4、符合JY0313-1991《始祖鸟化石模型及复原模型》的有关规定。</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845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金工工具箱</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专用配套工具箱55件套，含26种必备常用工具，工具箱内定点定位，方便使用和管理。工具包括：钢丝钳，1把，7"，45#钢；尖嘴钳，1把，6"，45#钢；钢直尺，1把，300mm钢直尺；扁锉刀，1把，200mm尖头；半圆锉刀，1把，200mm半圆；三角锉，1把，200mm三角；圆锉刀，1把，200mm圆锉；划针，1把，200mm；划规，1把，150mm划规；样冲，1把，GP100C-2ΦD2mm，L100mm；什锦锉，6件/</w:t>
            </w:r>
            <w:r>
              <w:rPr>
                <w:rFonts w:hint="eastAsia" w:ascii="宋体" w:hAnsi="宋体" w:cs="宋体"/>
                <w:color w:val="000000"/>
                <w:sz w:val="20"/>
                <w:szCs w:val="20"/>
                <w:lang w:bidi="ar"/>
              </w:rPr>
              <w:t xml:space="preserve">套（轴承钢，半圆锉、三角锉、方锉、圆锉、尖头扁锉、齐头扁锉）；钳工锤，1把，300g木柄；圆头锤，1把，0.45kg木柄圆头；丝锤、扳牙扳手，12件/套；钢卷尺，1把，3m*12.5mmABS；两用扳手，4件/套；内六角扳手，9件/套，1.5-10mm；三叉扳手，1套；螺丝刀，2把，6*100mm+-PH2；螺丝刀，2把，5*75mm+-PH1；活动扳手，1把，8”；钢丝刷，1把，6排木柄；钢锯架，1把，铁皮活动钢锯架；铁皮剪，1把，8”美式铁皮剪；自行车钢丝扳手，1把；三角尺，1把，20*40mm不锈钢。</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846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寒暑表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1、由木质(或塑料)材料镶嵌玻璃棒芯组成；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2、面板标有：摄氏-30℃～50℃；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3、玻璃棒芯感温液，正面放大玻璃液读数；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4、温度准确度：±1℃（0℃～30℃）。</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847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碘升华凝华管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1、产品的造型为密封的T型玻璃瓶；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2、玻璃瓶用95号玻璃制成。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3、玻璃瓶应光洁透明，无波纹和疵病，密封完好无裂缝、砂眼。</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848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离心轨道</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1、离心轨道供中学物理演示物体在竖直的环形轨道上的运动；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2、离心轨道由两个球体（钢球和塑料球）和两根钢丝构成的环形轨道组成；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3、底座无裂缝，无明显翘曲，放置平稳。表面平整光洁，无脱漆漏漆现象；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4、轨道成形规则圆滑。焊接牢固。表面镀铬应光洁，无锈蚀。无松动现象；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5、当球体在轨道上运动时不得有阻滞、跳动或出轨；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6、球体应圆滑，表面光洁无麻点，钢球镀铬无锈蚀和剥落。</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849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酒精灯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1、透明钠钙玻璃材质，由灯座、灯塞、灯盖、灯芯组成；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2、规格：250mL，单头；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3、玻璃仪器，正视应无色；或仅有玻璃本身的微浅黄绿色；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4、玻璃仪器的口部都应经圆口（熔光）、卷边或磨砂处理；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5、应力：应力仪观察下呈紫红色或部分扩散状兰色；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6、厚薄均匀，玻璃仪器的底部应平整，放在上不应旋转或摇晃；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7、酒精灯塞子塞不紧是正常的，塞紧了是危险的。</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850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化工生产</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Style w:val="968"/>
                <w:rFonts w:hint="default"/>
                <w:lang w:bidi="ar"/>
              </w:rPr>
              <w:t xml:space="preserve">以《普通高中化学课程标准（</w:t>
            </w:r>
            <w:r>
              <w:rPr>
                <w:rStyle w:val="970"/>
                <w:lang w:bidi="ar"/>
              </w:rPr>
              <w:t xml:space="preserve">2017</w:t>
            </w:r>
            <w:r>
              <w:rPr>
                <w:rStyle w:val="968"/>
                <w:rFonts w:hint="default"/>
                <w:lang w:bidi="ar"/>
              </w:rPr>
              <w:t xml:space="preserve">年版</w:t>
            </w:r>
            <w:r>
              <w:rPr>
                <w:rStyle w:val="970"/>
                <w:lang w:bidi="ar"/>
              </w:rPr>
              <w:t xml:space="preserve">2020</w:t>
            </w:r>
            <w:r>
              <w:rPr>
                <w:rStyle w:val="968"/>
                <w:rFonts w:hint="default"/>
                <w:lang w:bidi="ar"/>
              </w:rPr>
              <w:t xml:space="preserve">年修订）》为依据，结合各大版本高中化学课程教材，满足高中化学课程的所有实验。此箱是专为教师及学生完成教材要求的实验而设计，采用高度集成的方法将能完成以化工生产为主题的创新实验所使用的仪器分块放置在实验箱里，准备简单，管理方便。每款仪器的配置均符合教材上要求的所有实验，充分提高了实验课堂的授课水平和学习质量。对部分实验仪器做了改进和分类，使实验操作更加方便、快捷。</w:t>
            </w:r>
            <w:r>
              <w:rPr>
                <w:rStyle w:val="968"/>
                <w:rFonts w:hint="default"/>
                <w:lang w:bidi="ar"/>
              </w:rPr>
              <w:br/>
            </w:r>
            <w:r>
              <w:rPr>
                <w:rStyle w:val="968"/>
                <w:rFonts w:hint="default"/>
                <w:lang w:bidi="ar"/>
              </w:rPr>
              <w:t xml:space="preserve">外观尺寸</w:t>
            </w:r>
            <w:r>
              <w:rPr>
                <w:rStyle w:val="970"/>
                <w:lang w:bidi="ar"/>
              </w:rPr>
              <w:t xml:space="preserve">(mm)</w:t>
            </w:r>
            <w:r>
              <w:rPr>
                <w:rStyle w:val="968"/>
                <w:rFonts w:hint="default"/>
                <w:lang w:bidi="ar"/>
              </w:rPr>
              <w:t xml:space="preserve">：</w:t>
            </w:r>
            <w:r>
              <w:rPr>
                <w:rStyle w:val="970"/>
                <w:lang w:bidi="ar"/>
              </w:rPr>
              <w:t xml:space="preserve">485*370*155mm</w:t>
            </w:r>
            <w:r>
              <w:rPr>
                <w:rStyle w:val="970"/>
                <w:lang w:bidi="ar"/>
              </w:rPr>
              <w:br/>
            </w:r>
            <w:r>
              <w:rPr>
                <w:rStyle w:val="968"/>
                <w:rFonts w:hint="default"/>
                <w:lang w:bidi="ar"/>
              </w:rPr>
              <w:t xml:space="preserve">箱体颜色：灰色</w:t>
            </w:r>
            <w:r>
              <w:rPr>
                <w:rStyle w:val="968"/>
                <w:rFonts w:hint="default"/>
                <w:lang w:bidi="ar"/>
              </w:rPr>
              <w:br/>
            </w:r>
            <w:r>
              <w:rPr>
                <w:rStyle w:val="968"/>
                <w:rFonts w:hint="default"/>
                <w:lang w:bidi="ar"/>
              </w:rPr>
              <w:t xml:space="preserve">箱体材料：高密度工程塑料（聚丙烯），使用</w:t>
            </w:r>
            <w:r>
              <w:rPr>
                <w:rStyle w:val="970"/>
                <w:lang w:bidi="ar"/>
              </w:rPr>
              <w:t xml:space="preserve">0.5mm</w:t>
            </w:r>
            <w:r>
              <w:rPr>
                <w:rStyle w:val="968"/>
                <w:rFonts w:hint="default"/>
                <w:lang w:bidi="ar"/>
              </w:rPr>
              <w:t xml:space="preserve">厚的</w:t>
            </w:r>
            <w:r>
              <w:rPr>
                <w:rStyle w:val="970"/>
                <w:lang w:bidi="ar"/>
              </w:rPr>
              <w:t xml:space="preserve">PVC</w:t>
            </w:r>
            <w:r>
              <w:rPr>
                <w:rStyle w:val="968"/>
                <w:rFonts w:hint="default"/>
                <w:lang w:bidi="ar"/>
              </w:rPr>
              <w:t xml:space="preserve">背胶板印刷全套（</w:t>
            </w:r>
            <w:r>
              <w:rPr>
                <w:rStyle w:val="970"/>
                <w:lang w:bidi="ar"/>
              </w:rPr>
              <w:t xml:space="preserve">4</w:t>
            </w:r>
            <w:r>
              <w:rPr>
                <w:rStyle w:val="968"/>
                <w:rFonts w:hint="default"/>
                <w:lang w:bidi="ar"/>
              </w:rPr>
              <w:t xml:space="preserve">张）铭牌，不起皱，不脱落。</w:t>
            </w:r>
            <w:r>
              <w:rPr>
                <w:rStyle w:val="968"/>
                <w:rFonts w:hint="default"/>
                <w:lang w:bidi="ar"/>
              </w:rPr>
              <w:br/>
            </w:r>
            <w:r>
              <w:rPr>
                <w:rStyle w:val="968"/>
                <w:rFonts w:hint="default"/>
                <w:lang w:bidi="ar"/>
              </w:rPr>
              <w:t xml:space="preserve">箱体内部零件固定体：采用高发泡隔离填充材料，内部零件固定体采用双层双色工艺制作，更能凸显零件的立体效果，上层绿色下层黑色，使用不同颜色的材质制造更容易找到相应器材。零件固定体按零件形状数控雕刻成型，每种实验器材有相对应插槽，每种实验器材设有固定位置。</w:t>
            </w:r>
            <w:r>
              <w:rPr>
                <w:rStyle w:val="968"/>
                <w:rFonts w:hint="default"/>
                <w:lang w:bidi="ar"/>
              </w:rPr>
              <w:br/>
            </w:r>
            <w:r>
              <w:rPr>
                <w:rStyle w:val="968"/>
                <w:rFonts w:hint="default"/>
                <w:lang w:bidi="ar"/>
              </w:rPr>
              <w:t xml:space="preserve">实验器材：试管（大）、短直角玻璃管、长直角玻璃管、酒精灯、广口瓶、玻璃导管、试管、硬质玻璃管、药匙、胶头滴管、</w:t>
            </w:r>
            <w:r>
              <w:rPr>
                <w:rStyle w:val="970"/>
                <w:lang w:bidi="ar"/>
              </w:rPr>
              <w:t xml:space="preserve">U</w:t>
            </w:r>
            <w:r>
              <w:rPr>
                <w:rStyle w:val="968"/>
                <w:rFonts w:hint="default"/>
                <w:lang w:bidi="ar"/>
              </w:rPr>
              <w:t xml:space="preserve">形管、</w:t>
            </w:r>
            <w:r>
              <w:rPr>
                <w:rStyle w:val="970"/>
                <w:lang w:bidi="ar"/>
              </w:rPr>
              <w:t xml:space="preserve">250mL</w:t>
            </w:r>
            <w:r>
              <w:rPr>
                <w:rStyle w:val="968"/>
                <w:rFonts w:hint="default"/>
                <w:lang w:bidi="ar"/>
              </w:rPr>
              <w:t xml:space="preserve">烧杯、玻璃棒、</w:t>
            </w:r>
            <w:r>
              <w:rPr>
                <w:rStyle w:val="970"/>
                <w:lang w:bidi="ar"/>
              </w:rPr>
              <w:t xml:space="preserve">250mL</w:t>
            </w:r>
            <w:r>
              <w:rPr>
                <w:rStyle w:val="968"/>
                <w:rFonts w:hint="default"/>
                <w:lang w:bidi="ar"/>
              </w:rPr>
              <w:t xml:space="preserve">锥形瓶、</w:t>
            </w:r>
            <w:r>
              <w:rPr>
                <w:rStyle w:val="970"/>
                <w:lang w:bidi="ar"/>
              </w:rPr>
              <w:t xml:space="preserve">100mL</w:t>
            </w:r>
            <w:r>
              <w:rPr>
                <w:rStyle w:val="968"/>
                <w:rFonts w:hint="default"/>
                <w:lang w:bidi="ar"/>
              </w:rPr>
              <w:t xml:space="preserve">锥形瓶、球型分液漏斗、</w:t>
            </w:r>
            <w:r>
              <w:rPr>
                <w:rStyle w:val="970"/>
                <w:lang w:bidi="ar"/>
              </w:rPr>
              <w:t xml:space="preserve">φ60mm</w:t>
            </w:r>
            <w:r>
              <w:rPr>
                <w:rStyle w:val="968"/>
                <w:rFonts w:hint="default"/>
                <w:lang w:bidi="ar"/>
              </w:rPr>
              <w:t xml:space="preserve">漏斗、表面皿等。</w:t>
            </w:r>
            <w:r>
              <w:rPr>
                <w:rStyle w:val="968"/>
                <w:rFonts w:hint="default"/>
                <w:lang w:bidi="ar"/>
              </w:rPr>
              <w:br/>
            </w:r>
            <w:r>
              <w:rPr>
                <w:rStyle w:val="968"/>
                <w:rFonts w:hint="default"/>
                <w:lang w:bidi="ar"/>
              </w:rPr>
              <w:t xml:space="preserve">可做实验：</w:t>
            </w:r>
            <w:r>
              <w:rPr>
                <w:rStyle w:val="970"/>
                <w:lang w:bidi="ar"/>
              </w:rPr>
              <w:t xml:space="preserve">1</w:t>
            </w:r>
            <w:r>
              <w:rPr>
                <w:rStyle w:val="968"/>
                <w:rFonts w:hint="default"/>
                <w:lang w:bidi="ar"/>
              </w:rPr>
              <w:t xml:space="preserve">、实验</w:t>
            </w:r>
            <w:r>
              <w:rPr>
                <w:rStyle w:val="970"/>
                <w:lang w:bidi="ar"/>
              </w:rPr>
              <w:t xml:space="preserve"> </w:t>
            </w:r>
            <w:r>
              <w:rPr>
                <w:rStyle w:val="968"/>
                <w:rFonts w:hint="default"/>
                <w:lang w:bidi="ar"/>
              </w:rPr>
              <w:t xml:space="preserve">实验室模拟工业合成氨；</w:t>
            </w:r>
            <w:r>
              <w:rPr>
                <w:rStyle w:val="970"/>
                <w:lang w:bidi="ar"/>
              </w:rPr>
              <w:t xml:space="preserve">2</w:t>
            </w:r>
            <w:r>
              <w:rPr>
                <w:rStyle w:val="968"/>
                <w:rFonts w:hint="default"/>
                <w:lang w:bidi="ar"/>
              </w:rPr>
              <w:t xml:space="preserve">、实验</w:t>
            </w:r>
            <w:r>
              <w:rPr>
                <w:rStyle w:val="970"/>
                <w:lang w:bidi="ar"/>
              </w:rPr>
              <w:t xml:space="preserve"> </w:t>
            </w:r>
            <w:r>
              <w:rPr>
                <w:rStyle w:val="968"/>
                <w:rFonts w:hint="default"/>
                <w:lang w:bidi="ar"/>
              </w:rPr>
              <w:t xml:space="preserve">实验室模拟工业制硫酸（接触法）；</w:t>
            </w:r>
            <w:r>
              <w:rPr>
                <w:rStyle w:val="970"/>
                <w:lang w:bidi="ar"/>
              </w:rPr>
              <w:t xml:space="preserve">3</w:t>
            </w:r>
            <w:r>
              <w:rPr>
                <w:rStyle w:val="968"/>
                <w:rFonts w:hint="default"/>
                <w:lang w:bidi="ar"/>
              </w:rPr>
              <w:t xml:space="preserve">、实验</w:t>
            </w:r>
            <w:r>
              <w:rPr>
                <w:rStyle w:val="970"/>
                <w:lang w:bidi="ar"/>
              </w:rPr>
              <w:t xml:space="preserve"> </w:t>
            </w:r>
            <w:r>
              <w:rPr>
                <w:rStyle w:val="968"/>
                <w:rFonts w:hint="default"/>
                <w:lang w:bidi="ar"/>
              </w:rPr>
              <w:t xml:space="preserve">实验室模拟工业制硝酸（氨氧化法）等。</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851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传递窗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外600mm，304嵌入式中空玻璃传递窗（微电脑互锁）</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852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下口瓶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瓶体：主流为高硼硅 3.3 玻璃（透明 / 棕色避光款），耐温、耐酸碱腐蚀（氢氟酸除外）；</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上口：磨砂口配玻璃塞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下口与龙头：瓶身近底处设侧口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容量：标准 5000ml，带刻度便于观察余量。</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853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烙铁架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铸铁座子。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854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台式厚度刨机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1.电压:220-240V~50/60Hz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2.空载转速:10000R/min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3.刨削宽度:330mm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4.单次刨厚:0-3mm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5.单次刨高:10-160mm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6.包装尺寸:575X390X470mm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855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移液管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高硼硅玻璃，1mL</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856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水平电泳槽</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1、聚碳酸脂注塑成型；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2、凝胶托盘带有荧光标尺；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3、具有开盖断电功能，100V。</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857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钳工工作台</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1、桌面板采用防火板，加防静电皮，易于清洁，具有阻燃、耐磨等特点，黑色皮条封边，质感好耐磨性好，耐磨耐烫不变形，主架采用无缝优质方管；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2、支架采用优质无缝优制钢管，表面经过除锈、磷化、静电喷塑、高温固化等工序；具有防水、耐磨、耐高温功能；桌脚配有防护套，防止噪音和地板刮伤；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3、产品具有耐冲击、抗老化、抗氧化等特点，方便清洁、色调鲜明，符合国际环保要求。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858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二维空间—时间描迹仪</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平抛、斜抛、验证向心力、单摆运动图像。高压脉冲频率：20Hz、50Hz、100Hz。</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859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铝合金箱</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由铝合金主架、铝塑板面构成，内设隔断海棉内衬，用于收纳传感器和小的实验配件。</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860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玻璃瓶盖开启器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可开启实验室所有瓶塞瓶盖。</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861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温度计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1、感温物质：红液；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2、全长：290mm；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3、测量范围：0－100℃；最小分度值：1℃；允许误差±1℃；</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4、玻管要直，不得弯曲，不得崩损缺口，红液不得断线。</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862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变压器原理说明器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增加调压变压器功能，供中学物理演示实验中作变压器原理的定量演示用。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863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纤维素分解菌培养及鉴别培养基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用途：用于土壤等样品中纤维素分解菌的富集、分离与鉴别，依据刚果红染色法筛选产纤维素酶菌株</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核心成分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纤维素粉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无机盐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琼脂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刚果红指示剂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864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磁悬浮灯泡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1、设备参数：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规格：0.9×0.6×1.2m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电源：AC220V/50Hz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功率：500W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展台：采用新型复合材料，经高温模铸压工艺成型。具备优良的电气绝缘性、耐腐蚀性、环保无毒、优异的耐紫外线抗老化性能，阻燃性可达到FVO级，使用寿命长，永不变色的特性。简约时尚的蛋壳造型展台，在满足展示载体的同时，让原本厚重的展台变得更加灵动。场景百搭是它展陈的核心优势，其独特的外观能更好的融入于各种场景空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台面：康贝特板，厚度≧10mm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展台固定脚：碳钢表面电镀钢板厚度≧2mm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部件：有机玻璃、灯泡、6V低压安全防水按钮等。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2、功能描述：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为什么灯泡可以悬浮在空中，并隔空点亮？本展品主要向观众展示磁悬浮及无线输电技术。通过新奇、直观的展示效果，使观众在操作、观察中产生兴趣、提出问题、引发思考。展项由环形支架和磁悬浮灯泡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3、操作说明：</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观众按下启动按钮，手动悬浮灯泡，观看演示效果。</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865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通风控制辅材及安装</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1、三相电缆、含线路管道</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室</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866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双刀双掷开关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1、开关的最高工作电压36V，额定工作电流6A；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2、开关闸刀与接线柱及垫片均为铁件镀铬；</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3、开关通额定电流，导电部分允许温升不大于35℃，操作手柄允许温升不大于25℃。</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867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望远镜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1、双筒，规格：7×35，可调焦；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2、倍率：7倍（真实倍率），视角：8度，物镜：35mm，视野范围：1000米处为167米；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3、材质：望远镜专用工程材料，手感细腻、舒适，外观典雅，做工精细；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4、镜片镀膜：完全镀膜；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5、望远镜配有背带和皮夹包，配有说明书。</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868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物理十大经典实验挂图</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1、设备参数：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规格：1*0.55m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部件：实物模型/样品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材质：采用环保性好、易加工、耐腐蚀、防火性能好的雪弗板、亚克力等材料，以及PVCUV侧面烤漆，色彩均衡现象，展示效果好。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2、功能描述：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十大经典物理实验：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（1）埃拉托色尼实验：测量了地球圆周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（2）伽利略的自由落体实验：证明了在同一地点，一切自由下落运动的快慢相同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（3）伽利略的加速度实验：证明了存在重力加速度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（4）牛顿的棱镜分解太阳光实验：证明了光谱的存在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（5）托马斯·杨的光干涉实验：证明了光具有波动性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（6）让·傅科钟摆实验：证明了地球围绕地轴旋转</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（7）罗伯特·密立根油滴实验：证明了最小电荷值就是单个电子的带电量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（8）α粒子散射实验：证明原子的正电荷和质量联系在一起均匀连续分布于原子范围，电子镶嵌在其中，可以在其平衡位置作微小振动，为建立现代原子核理论打下了基础</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（9）托马斯·杨的双缝演示实验：证明了微粒也有波的效应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（10）卡文迪许扭秤实验：测出了万有引力恒量</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869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生物显微镜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1、观察头：铰链式双目观察筒，瞳距调节范围50-75mm。零视度时，左右的目镜端面位置差≤0.08mm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2、目镜：带视度补偿，大视场高眼点目镜PL10X，视场18mm。目镜放大率准确度≤±0.43%，左右视场中心偏差：上下≤0.03mm，左右内侧≤0.02mm，双目左右光轴平行度：水平发散≤8，垂直交叉≤6。</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3、消色差物镜：4倍，成像清晰圆直径≥18.5mm,；10倍，成像清晰圆直径≥18.4mm，10倍物镜景深范围内像面的偏摆≤0.01mm ；40倍（弹簧） 成像清晰圆直径≥18.5mm。100倍（弹簧、油）成像清晰圆直径≥18.3mm，物镜放大率准确度≤±0.5%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4、转换器：四孔物镜转换器，转换器稳定性≤0.002mm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移动平台：复合式机械移动载物台140×132mm，低手位同轴调节。带限位装置，具有切片保护功能。移动范围76mm（X）×50（Y）mm，读数0.1mm，载物台侧向受5N水平方向作用力最大位移≤0.012，不重复性≤0.002.用机械使标本在5mmX5mm范围内移动时离焦量≤0.004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6、聚光镜：阿贝式聚光镜N.A1.25（带光栏），粗微调同轴调节，粗调行程≥25mm微调最小读数值0.002mm，微调空回≤0.003mm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7、电源：宽电压超高亮度3WLED光源，寿命长、功耗小、热量低、亮度强、色温高、操作安全；照明与观察光轴应一致，照明均匀，无一边亮一边暗现象</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56</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870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电学元件黑箱</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三个接点，两个元件(电池、电阻、二极管均可更换)。</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871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密度计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1、标准温度20℃，温度范围10～70℃；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2、密度范围：0.700～1.000g/cm³；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3、在液体中倾斜度不大于0.2分度值；</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4、密度计各部位无严重内应力集中现象，无影响强度及密度测量的玻璃缺陷。</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872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防腐耐酸碱通风设备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1、≥110W 轴流风机。</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873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音叉</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1、256HZ,产品由音叉、共鸣箱、音叉槌组成；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音叉用钢或合金铝加工制造，发音部分呈“U”形，“U”形下方的叉柄能插入并紧固在共鸣箱上。当敲击音叉时，音叉不能松动。音叉表面平整光滑，叉股内侧平面与底部圆弧光滑相切。每支音叉配共鸣箱一个。</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874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烧杯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2、规格：250mL，烧杯上标志应清晰、耐久，造型规范、薄厚均匀、无明显偏斜，底部不允许有结石、节瘤存在；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3、放在上不应旋转或摇晃；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4、当向外倾倒液体时，液体呈一束细流流出，不应外溢，不应沿壁外流。</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264</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875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超重失重演示器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移动距离不小于1.5m，超重、失重加速度可调，灵敏测力计示数可见。</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876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分液漏斗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2、规格：锥(梨)形，100mL；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100</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877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广口瓶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2、规格：棕色，60mL；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100</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878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可燃液体防火安全柜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1、尺寸：≥1650mm*1090mm*460mm；门类型：双开门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2、防火安全柜外壳体全部采用≥1.2mm的冷轧钢板，柜体底座采用≥2.0mm的冷轧钢板,内外表面经酸洗磷化环氧树脂粉末喷涂，烘热固化处理。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3、防火安全柜整体为双层防火钢板构造，两层钢板之间间隔≥40mm空气绝缘层，防火性能优越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4、柜中部配有≥2块独有的镀锌层板，防腐蚀，防液漏，最大可承托400lbs的钢制安全罐。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5、铰链：铰链应为钢琴式铰链，确保门能开≥180度。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6、三点联动式门锁，轻松自如启闭≥180度的柜门配有双钥匙。标有三种语言的高可见度标签，耐腐蚀。</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7、环保性能：室内甲醛含量≤0.8mg/m³；苯含量≤0.09mg/m³，甲醛及苯含量符合国家标准要求。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8、两个可带有防火装置的通风口，分别位于柜身的两侧。可调节垫片若干，确保柜体稳固。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9、配备接地装置实现完全接地。</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122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879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化学科学家资料查询装置</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融合了包括国务院、生态环境部、公安部、应急管理部、教育部等相关方有关实验室安全、合规、健康在内的法律法规及标准规范。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（1）语音智能问答，危险化学品危害查询、防护、存储，应急处理等，实验项目查询，危险性查询；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（2）实验室安全警示教育资源在线播放；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（3）防护装备穿戴引导、监督；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（4）固废物处置引导、监督；</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880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多用电表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1、本品为整流系，轴尖轴承支承式、指针式电表；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2、准确度等级：直流电流、电压、电阻测量档均为2.5级；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3、电压灵敏度：直流为20kΩ/V，交流为9kΩ/V；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4、阻尼时间：不超过4s；绝缘电阻不小于20MΩ；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5、转换开关各档位定位正确，无错位，转动时手感好；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7、电表指针挺直，机械调零时可在零刻度左右移动；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8、产品所附测量表笔及电池应完好有效。</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881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机械传动模型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含齿轮传动、皮带传动、链传动、蜗轮蜗杆传动、摩擦轮传动。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882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备用刨刀片 2片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长度：82mm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883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化学分子展示模块</w:t>
            </w:r>
            <w:r/>
          </w:p>
        </w:tc>
        <w:tc>
          <w:tcPr>
            <w:tcBorders>
              <w:top w:val="single" w:color="000000" w:sz="4" w:space="0"/>
              <w:left w:val="non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1、设备参数：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规格：3m*1.5m（定制）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电源：AC220V/50Hz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功率：500W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部件：球棍模型、亚克力材料等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2、功能描述：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通过标准化球棍模型体系，将抽象的分子结构转化为直观的三维实体，实现化学微观世界的“可视化”教学。采用模块化钣金橱窗设计，集中呈现从基础到前沿的分子结构图谱。系统排列经典有机分子（烷烃/烯烃/醇/羧酸/胺类等），构建结构化知识网络。“让键角诉说反应机理，用空间解码化学语言——从碳原子到生命密码的立体之旅”</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3、操作说明：</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进入体验区，根据指示牌操作，进行科普互动学习。</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884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砂光片 </w:t>
            </w:r>
            <w:r/>
          </w:p>
        </w:tc>
        <w:tc>
          <w:tcPr>
            <w:tcBorders>
              <w:top w:val="none" w:color="000000" w:sz="4" w:space="0"/>
              <w:left w:val="non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150目</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885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智能灯光照明装置</w:t>
            </w:r>
            <w:r/>
          </w:p>
        </w:tc>
        <w:tc>
          <w:tcPr>
            <w:tcBorders>
              <w:top w:val="single" w:color="000000" w:sz="4" w:space="0"/>
              <w:left w:val="non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1、智能照明灯光模块；规格：≥1200*72mm，每组内置2条LED灯带，外罩由铝合金挤压型材，表面经环氧树脂粉末喷涂高温固化处理。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灯板采用PC光扩散板，扩大了发光面，使光线变的柔和，达到匀光而又透光，同时满足各种雾度值和透光率的需求。及在保证高透光率，降低光衰的情况下，有着良好的光源遮蔽性效果，符合视觉工效学原则及室内工作场所照明。模块化安装，维修便捷。所有灯光模组由独立控制软件控制，可以根据实际照明需求进行2个模组单个关闭及开启功能。</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26</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条</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886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表面皿</w:t>
            </w:r>
            <w:r/>
          </w:p>
        </w:tc>
        <w:tc>
          <w:tcPr>
            <w:tcBorders>
              <w:top w:val="single" w:color="000000" w:sz="4" w:space="0"/>
              <w:left w:val="none" w:color="000000" w:sz="4" w:space="0"/>
              <w:bottom w:val="non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2、规格：100mm；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887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电子天平</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1、LCD液晶显示,交直流两用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2、全量程去皮、计数、单位转换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3、最小起称量可调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4、过载报警、故障报警、水平指示器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5、最大称重：3100g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6、精度：0.01g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7、稳定时间≤2s</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8、秤盘尺寸130mm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9、重复性：±0.02g，线性±0.03g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10、外形尺寸：270x195x85mm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11、重量：3kg</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888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平滑肌分离装片</w:t>
            </w:r>
            <w:r/>
          </w:p>
        </w:tc>
        <w:tc>
          <w:tcPr>
            <w:tcBorders>
              <w:top w:val="none" w:color="000000" w:sz="4" w:space="0"/>
              <w:left w:val="none" w:color="000000" w:sz="4" w:space="0"/>
              <w:bottom w:val="non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1、标本在80×和200×学生显微镜下观察平滑肌细胞的形态；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2、能看清大部分被分离成单个的长棱形平滑肌细胞，在细胞中部有被染成深色杆状或椭圆状的细胞核；</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3、标本取材于两栖动物或哺乳动物消化道的肌层，去掉粘膜及粘膜下层后作分离处理；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4、细胞应分离适中、形态正常；材料内不得有污物。</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889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翻转环实验器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1、由底座、支架、金属环、塑料球等组成；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2、材质；不锈钢材质。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3、通过转动金属环科观察统一高度的钢球到达金属环质点的时间，以及金属环上下不同高度上的钢球到达底部时间的现象。证明能的守恒和转化、动能和势能的转化。</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890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移液管架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塑料制品5孔。</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891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T形管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2、规格：直径Φ7－8mm；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3、灯工焊接牢固，口部平整熔光处理；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892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无线数显温度传感器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显示/无线/存储模块：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1.独立模块化结构，与各种传感器组合使用，具备独立数据显示、数据存储、数据上传功能。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2.接入后自动识别传感器，实时显示传感器测量数据，支持多值传感器数据显示及存储，数据显示屏刷新频率10Hz；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3.1.77寸（±0.1寸）彩屏，采用智能接口与传感器连接，接口具有方向性和自锁功能，可以防止传感器在使用过程中脱落，保证数据传输稳定；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4.屏幕可显示二维码，通过移动终端设备扫描二维码进行无线连接，采用蓝牙4.0传输协议，可将传感器测量数据实时传输到APP。</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5.设有按键开关，工作状态下，可通过调动按键开关切换数据显示和二维码界面；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6.通过移动终端设备可设置数据显示精度以及数据调零，可对数据进行描点绘图处理。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7.可将模块存储的测量数据导出至计算机进行数据分析（兼充电）；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8.支持Android、iOS 、Windows、鸿蒙操作；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9.采用充电锂电供电，电池电压3.7V，容量1100mAh，待机时间10小时，采用microUSB充电接口；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10.数据存储频率5Hz，存储容量最大262,144个数据点。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功能模块：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1.用于测量待测物体或溶液的温度；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2.性能：测量范围：-50℃~+200℃；分度：0.1℃；准确度：0.5℃；最大采样率：5KHz；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结构：由传感器数据处理电路和不锈钢探针构成，通过3.5mm同轴音频插头连接，不锈钢部分：长度为10.5厘米，直径为3.0毫米；探头把手：长度为9.5厘米，直径为1.23厘米。与传感器连接部分采用黑色两芯线，线长75厘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4.传感器由高强度塑料外壳封装，采用注塑工艺，材质为蓝色透明PC。外壳设计M5螺丝孔位，可将传感器固定在多种操作和装置上；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6.采用智能接口，输出数字信号，接口具有方向性和自锁功能，可以防止传感器在使用过程中脱落，保证数据传输稳定；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7.模块化、可热插拔设计，支持有线通讯、无线通讯和屏幕数据显示三种工作方式；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8.可应用于Windows、Android、iOS、麒麟、统信、鸿蒙操作；</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18</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893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全室排水管路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1、技术要求：具有防酸、防碱、耐腐蚀功能，全室给水全部模块化设计，每组模块间采用活接式连接，方便安装、检修。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2、排水管：UPVC材质排水管为≥Ф50mm，排水管接头要求螺纹口、PVC胶水等，</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项</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894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移液器架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可放置5支移液器。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895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微型木工车床 </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1、采用定制超静音高速内置风扇电机；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2、机床主要部件采用电镀工艺或喷墨阳极氧化双工序处理；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3、采用欧标铝材T型内槽；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4、马达转速：12000转/分钟；</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5、输入电压/电流/功率：≥12V/5A/60W，开关电源的转入电压为110V - 240V；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6、变压器具有过电流，过压，过热保护；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7、车床加工材料最大直径：50mm；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8、车床加工材料长度：150mm；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9、X轴滑块行程：150mm；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10、夹头：1-6mm；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11、尾座手轮采用3/4半圆结构，具有0.02mm精度的刻度线（刻度线为模具一次成型，非粘贴），增加机床加工工件的精确度；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12、中心高25mm，中心距150mm；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13、机床尺寸：310mm*100mm*150mm，底板尺寸：315mm*200mm*17mm。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14、用锣刀进行车削加工，加工范围：木料、软金属（铜、铝等）、有机玻璃、塑胶等；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15、机床的夹头采用六角螺母固定设计，增加夹紧刀具（比如钻头、铣刀、木车床驱动器）的紧固度；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16、防止孔内螺丝滑动，连接块使用四方螺母，提高连接块的稳定性和使用寿命；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17、连接块采用燕尾型结构，与机床零件的每个槽位相匹配，提高机床的稳定性和加工精度；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18、主轴箱（主轴箱后面有协助紧固孔）及马达箱为金属结构、手轮、齿轮、小滑块、刀架、连接块、皮带保护盖、尾架等都采用全金属结构、机身无塑料件；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19、机床采用安全圆角处理技术，预防金属件划伤皮肤。</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896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蹄形强磁体</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磁感应强度≥0.8T</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897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手剪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1、材料：优质钢，铁皮剪刀——规格为10寸（250mm长）；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2、手柄为沾塑手柄，防滑性好。</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898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滴瓶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2、规格：茶色，60mL；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320</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899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草履虫分裂生殖装片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1、标本在50×和100×生物显微镜下，观察草履虫分裂时的形态；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2、能分别认出：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a、未分裂草履虫的形态；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b、大核变长，小核分裂为二；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c、虫体中部出现缢痕，大核中间变细或断开，小核远离；</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d、虫体沿中部横裂变细，尚未断开，大核缩短；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3、标本取材为人工培养的处于分裂时期的大草履虫（ParameciumCauda-tum）；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4、标本为整体装片，每张玻片上应按1.2条的要求，依次排列成一行，并在50×镜下的同一视野内观察到各期的形态；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5、标本用洋红或苏木精染色，分色适当；</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6、虫体形态正常，无收缩，膨胀、压碎、断裂等现象；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7、应符合JY67－82《生物玻片标本通用技术条件》的规定；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8、产品应符合JY255－87《草履虫分裂生殖装片》的要求。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900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滚动的方轮</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本仪器有金属喷塑制成，内有弧形轨道，方轮支架组成。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901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燃烧匙</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1、产品由半圆面和金属丝结合制成；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2、半圆面为铜材制造，直径Φ为20mm左右。要求光滑无毛剌、圆润；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3、金属丝用Φ2㎜的钢丝制造，长度为200mm左右；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4、半圆面与金属丝结合应牢固可靠，耐高温。</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902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广口瓶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2、规格：棕色，250mL；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903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传感器器材</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各种温度传感器(双金属片、热电偶、铂电阻、铜电阻、热敏电阻、半导体、感温铁氧体)、光敏电阻、硅光电池、光电二极管、湿敏电阻、干簧管、霍尔元件、气体压强传感器、酒精气体传感器等。</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904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常用电容器示教板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电解电容器、云母电容器、陶瓷电容器、薄膜电容器、贴片电容器、微调电容器、可变电容器等。</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905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防腐耐酸碱通风设备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1、材料：PP板材料。</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2、电机功率：三相≥5.5KW。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3、技术要求：风量:≥12700m³/h；全压:≥800Pa；功率：≥5.5kW；转速：≥1440r/min，噪声符合国家标准。</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906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铁的吸氧腐蚀实验器</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一、组成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平口圆底试管 、橡胶塞、宝塔头、硅胶堵头*2</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二、功能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1.用于铁的吸氧腐蚀实验的探究，通过测量反应过程中温度、压强、氧气含量的变化，探究铁的吸氧腐蚀现象。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2.实验器具有匹配不同传感器探头的孔径，密封性良好，配合温度传感器、 绝对压强传感器测量铁在吸氧腐蚀过程中温度、氧气含量、压强的变化，并在Windows、安卓、iOS终端上实时呈现数据。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3.试管体积足够大，增加反应物的接触面积，能使反应物在试管内部充分反应，实验效果明显。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4.透明瓶体设计，便于观察实验现象，可从多维度了解实验。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5.与传感器适配性好，轻松搭建密封的实验环境，可拓展完成多种化学实验。减轻准备器材的负担，轻松满足演示及分组实验，让课堂教学更高效。</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三、实验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探究铁的吸氧腐蚀现象等实验</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907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锉刀(平板)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1、平面锉刀，规格为150mm长，单支装，沾塑手柄；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2、其他符合GB/T13321-1991检验标准。</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908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赫兹实验演示器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符合教学实验要求，由感应圈立杆、带电球、发射天线杆、感应圈（自备）、接收支杆、氖泡、接收天线杆、底座等组成。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909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两用气筒</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两用气筒（手持式）、管用工程塑料材质制成，直径28mm,长335mm。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910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科学巨匠挂图</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1、设备参数：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规格：1*0.55m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材质：采用环保性好、易加工、耐腐蚀、防火性能好的雪弗板、亚克力等材料，以及PVCUV侧面烤漆，色彩均衡现象，展示效果好。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2、功能描述：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世界十大最著名的物理学家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（1）伽利略·伽利雷，1564年～1642年，意大利天文学家、物理学家和工程师、欧洲近代自然科学的创始人。伽利略被称为“观测天文学之父”、“现代物理学之父”、“科学方法之父”、“现代科学之父”。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（2）艾萨克·牛顿，1643年—1727年，英国皇家学会会长、英国著名的物理学家，被誉为“物理学之父”。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（3）阿尔伯特·爱因斯坦，1879年—1955年，现代最著名的物理学家，开创了现代科学技术新纪元，被公认为是继伽利略、牛顿之后最伟大的物理学家。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（4）詹姆斯·克拉克·麦克斯韦，18311879，英国物理学家、数学家。经典电动力学的创始人，被普遍认为是对物理学最有影响力的物理学家之一，统计物理学的奠基人之一。</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（5）马克斯·卡尔·恩斯特·路德维希·普朗克1858年—1947年，德国著名物理学家、量子力学的重要创始人之一。</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（6）理查德·菲利普斯·费曼，1918年—1988年，美籍犹太裔物理学家，1965年诺贝尔物理奖得主，被认为是爱因斯坦之后最睿智的理论物理学家，也是第一位提出纳米概念的人。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（7）尼尔斯·亨利克·戴维·玻尔，1885年—1962年，丹麦物理学家，丹麦皇家科学院院士，1922年获得诺贝尔物理学奖。</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迈克尔·法拉第，1791年～1867年，英国物理学家、化学家，也是著名的自学成才的科学家。他作出了关于电力场的关键性突破，永远改变了人类文明。由于他在电磁学方面做出了伟大贡献，被称为“电学之父”和“交流电之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杨振宁，1922年生于安徽合肥，世界上著名物的理学家，中国科学院院士、美国国家科学院外籍院士、英国皇家学会外籍院士、台湾“中央研究院”院士、香港科学院荣誉院士、俄罗斯科学院院士，1957年获诺贝尔物理学奖。</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（10）保罗·狄拉克，1902年－1984年，英国理论物理学家，量子力学的奠基者之一，并对量子电动力学早期的发展作出重要贡献。</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911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智能机械能</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由底座总成（含底座、回收装置及3只M5×12mm塑帽螺栓）、智能刻度板（含释放与收纳装置、控制电路）、智能挡光片（含触摸键及指示灯电路）、立柱、光电门传感器、摆锤、摆杆、固定螺栓构成；分度：2μs；精度：±20us；采样率不低于：20K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2.记录摆锤从高处落下过程中不同位置的动能、重力势能数据；从最高点到最低点最少有15个智能挡光片（含触摸键及指示灯电路）及位置；软件对动能、势能、机械能进行展示、分析，以验证机械能守恒定律。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3.能够自动识别挡光片的安装位置并记入软件，不需要手动输入或人工选择挡光片竖直高度位置；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4.智能挡光片上的感应装置可与软件交互联动，通过触摸挡光片即可关联对应数据，直观观察机械能转化过程，实现数据实时分析与动态演示；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5.摆锤内置光电门传感器，固定装置内置数据采集电路，可通过USB数据线直接接入计算机进行通讯，支持蓝牙无线数据传输；至少支持Windows、Android、iOS、麒麟、统信、鸿蒙操作；</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912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坩埚</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规格：30 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常见材质：瓷质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913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玻意耳定律演示器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有带刻度气室，压力表，放气阀，底座组成，符合教学实验要求。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914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音叉</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1、512Hz,产品由音叉、共鸣箱、音叉槌组成；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音叉用钢或合金铝加工制造，发音部分呈“U”形，“U”形下方的叉柄能插入并紧固在共鸣箱上。当敲击音叉时，音叉不能松动。音叉表面平整光滑，叉股内侧平面与底部圆弧光滑相切。每支音叉配共鸣箱一个。</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915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炼铁高炉模型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1、产品为炼铁高炉缩小模型，装置于底座上，模型高度的最小尺寸：620mm；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2、模型应能正确显示高炉“腰粗、喉细”的整体特征，并应显示炉喉、炉身、炉腰、炉腹、炉缸等各部分结构；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3、模型应能正确显示小料钟、小料斗、大料钟、大料斗及煤气出口的结构和位置，并可演示在加料过程中各有关部件间的相互关系；</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4、产品的主要结构应用标签注明，标注应准确、清晰、牢固；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5、各部件应比例适当，位置正确，连接牢固，不得因正常震动、碰触而开裂、松脱。</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916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元素周期表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1、全开，布制，带轴；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2、图形：教学挂图应图像清晰，色泽自然鲜明，位置准确；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图片印刷套印准确，层次分明，轮廓实，电分制版无浮雕印；网点清晰饱满，小点不秃，大点光洁不糊，质感好；墨色均匀厚实，色彩鲜有光泽，肤色正、接版准确，色调深浅一致；文字印刷压力适度，全图前后轻重一致；全图前后墨色一致，浓淡适度符合要求；版面端正，正反套印准确；文字、标点、清晰，笔锋挺秀，无缺笔断划，标题黑实不花，小字不糊不瞎；无脏污、破损；无野墨；成品裁切方正，无明显刀花，无连接页、折角、破头；书面平服，无皱折；</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4、印刷标准:符合GB7705～87《平版装潢印刷品标准》；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5、适用于《全日制义务教育化学课程标准》。</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917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密立根油滴仪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平均相对误差：≤3%；板极电压：0~900VDC；电子分划板刻度：油滴下落距离2mm。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918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纵横波演示器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满足教学实验用，既可以演示横波的形成和传播，又可以演示纵波的形成和传播，演示仪采用金属支杆悬挂弹簧形式。由机架、连接杆、吊弹簧、小铁圈、反光白布、固定橡筋、乒乓球。</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919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频闪光源</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1、基本要求25Hz，50Hz，100Hz，精度（+/-）2%；</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2、建议配备新型数码连续可调0～9999Hz，LED光源；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3、连续工作时间：25Hz、50Hz小于1秒，其他允许大于2秒；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4、同步开关输入本机提供二个（并联）常开触点输入（触点闭合时间即为闪光时间）。</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920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透明盛液筒</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1、透明盛液筒体用聚苯乙烯压制而成，透明度良好、不易损坏；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2、筒的外经Φ≥100mm，高度≥300mm；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3、筒体表面用丝网漏印法印制表示深度的标尺和刻度标志，呈红色或蓝色；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4、筒体底部安放平稳、牢固，造型美观；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5、产品口部圆正，底部平整，表面无凹凸不平现象，无擦伤、划痕、裂缝等缺陷。</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921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手电钻</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1、此产品输入功率不小于:320W；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2、具有调速正反转功能，可装卸螺丝螺母，适用于线路板、金属和木材等钻孔作业，其他符合GB/T5580-1999《电钻》标准。</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922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PP药品柜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1、规格：≥1000mm*500mm*2050mm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2、材质：PP材质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3、柜体：侧板，顶板及底板采用增强型PP材质，一次注塑成型。表面做磨砂处理，结构紧密，耐腐蚀性强。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4、上柜门：采用增强型PP材质一次注塑成型，外嵌≥4mm厚钢化烤漆玻璃，中间烤漆镂空制作透明可视。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5、下柜门：采用增强型PP材质一次注塑成型，外嵌≥4mm钢化烤漆玻璃。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6、层板：配三块活动层板（上柜二块，下柜一块），每块层板尺寸为增强型PP材质一次注塑成型，承重不低于20公斤。层板可以抽取，自由组合各层空间。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7、门铰链：用增强型PP材质一次注塑成型，内嵌隐藏安装方便，耐腐蚀。</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8、柜体预留通风孔，可以与通风管路连接。</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47</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923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多普勒效应及声速综合演示仪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知识点：声波的多普勒效应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1.台式；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2.导轨材质：铸铝；长度 ：100cm；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3.专用信号源；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4.频率计；测频范围：100～6000 Hz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5.步进电机驱动；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6.定量数显；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7.配双通道数字示波器模拟带宽：50Msa/s，单次采样率 500MSa/s；7英寸显示终端、分辨率800×480p、1600万色；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8.可观察多普勒效应、可显示声速</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 </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924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木工锯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材质：锰钢，长度不小于500mm，锯路宽4mm。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925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钨钢齿圆锯片 80mm 36齿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210MM*30*2.6，锯片齿数:36齿</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926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安培力实验器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由底座，力传感器固定架，矩形线圈 连接固定杆组成,连接力传感器使用，也可接入电流传感器。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927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蒸汽轮机模型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吹动式，有机玻璃制作。</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928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发波水槽</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投影式，由主机箱电源变压器屏幕折射镜有机玻璃制做。</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929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井穴板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1、9孔，0.7mL×9，井穴的孔穴容积为0.7mL；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2、采用能耐酸、碱、盐的塑料制成。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930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法拉第电笼</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需求：导体壳带电时的电荷分布、静电屏蔽及其原理、特斯拉线圈演示高压放电、模拟雷电。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1.落地式；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2.硬件配置：由特斯拉线圈、控制台、屏蔽笼三部分组成。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3.屏蔽笼为半圆柱型全封闭金属笼，高度不低于260cm，直径不小于160cm，进深不小于80cm， 笼体骨架壁厚不小于1.6mm，笼网壁丝径不小于0.6mm；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4.特斯拉线圈外观尺寸不小于80×80×176cm；；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5.控制台外观尺寸不小于40×50×120cm，材质： 镀锌钢板 标准板≥1.2mm；工艺：恒温280℃喷塑、粉末（防潮、盐雾试验）、等待30分钟凝固而成；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6.最大电压约150KV AC，电弧长度不小于50cm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7.环境要求：实验室高度不低于 2.9 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8.配备安全围栏，高度约1 米，栏杆座间用可伸缩尼龙带连接，尼龙带总长度不小于 5 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9.仪器外侧注有高压危险标识。</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931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生物实验装置背景板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1.75型轻钢龙骨、3*3*2.5mm方管加固，双侧15mm阻燃版+9.5mm石膏,2道腻子+基膜，5CM高铝合金踢脚线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2.16m2</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932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正常人染色体装片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1、标本在200X和400X生物显微镜下，观察46条人染色体;每组两片，男性、女性各1片；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2、应能认出每条染色体含有两条染色单体，借着一个着丝粒彼此连接；</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3、能认出着丝粒向两端伸展的染色体臂以及区别长臂与短臂，并在此基础上认出中央着丝粒、亚中着丝粒、近端着丝粒染色体；</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4、标本取材于人工培养的正常淋巴；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5、吉姆萨（Giemsa）染液或醋酸洋红染色。</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933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高中物理系列1选修模块教学挂图</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1、6幅；</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2、纸张规格：纸张不低于105克铜版纸，覆膜；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3、印刷：四色彩色胶印；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4、图形：教学挂图应图像清晰，色泽自然鲜明，位置准确；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图片印刷套印准确，层次分明，轮廓实，电分制版无浮雕印；网点清晰饱满，小点不秃，大点光洁不糊，质感好；墨色均匀厚实，色彩鲜有光泽，肤色正、接版准确，色调深浅一致；文字印刷压力适度，全图前后轻重一致；全图前后墨色一致，浓淡适度符合要求；版面端正，正反套印准确；文字、标点清晰，笔锋挺秀，无缺笔断划，标题黑实不花，小字不糊不瞎；无脏污、破损；无野墨；成品裁切方正，无明显刀花，无连接页、折角、破头；耐碱折正，书面平服，无皱折；</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6、印刷标准：符合GB7705-87《平版装潢印刷品标准》；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7、适用于《全日制义务教育物理课程标准》。</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934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微型热风枪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1、规格;700w,30-400℃无极调温，气流量50-300L/min，含20根pp焊条；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2、材质：镍铬丝发热芯，加厚防烫把手。</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把</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935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打孔器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1、产品为手持式打孔器，要求用优质钢材制造，刀刃硬度不低于HRC55；四件套；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2、空心结构，一端带柄，一端有刃，刃口平整、锋利；</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3、空管与手柄焊接牢固，使用中不得脱柄。</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936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玻璃砖</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1、玻璃砖为非等腰梯形，两底角分别为60°和45°；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2、玻璃砖用光学玻璃或普通玻璃磨制，其折射率应在1.0～1.55范围内；</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3、可以用脱脂棉、纱布清洁。</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937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碳-60结构模型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1、模型由黑色塑料球60个和管状塑料单键和管状塑料Φ5双键（绿色）组成，演示用；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2、球与键的表面应光滑无划痕；键与球的结合应松紧恰当。</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938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氯化钠晶体结构模型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演示用，由14个Φ29mm绿色塑料球与15个Φ20mm灰色塑料球组成。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939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广口瓶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2、规格：500mL；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940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演示原副线圈</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1、演示原副线圈由原线圈、副线圈、软铁芯三部分组成。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2、演示原副线圈骨架用黑色塑料制成，表面光洁，演示副线因底座平整，直立于平面时不应晃动。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941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9件套金工套装</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1.2000-1005 数显卡尺 0-150mm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2.4111-8105 千分尺 0-25mm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3.9111-1115 90°角尺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4.1012-1005 工业分角器 80*120mm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5.1501-1024 24片 螺纹规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6.1351-0005 R规 17 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7.1820-0100 20片 塞尺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8.2875-4005 划线尺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9.9000-3100 钢直尺 150mm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942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高中物理系列2选修模块教学挂图</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1、12幅；</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2、纸张规格：纸张不低于105克铜版纸，覆膜；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3、印刷：四色彩色胶印；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4、图形：教学挂图应图像清晰，色泽自然鲜明，位置准确；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图片印刷套印准确，层次分明，轮廓实，电分制版无浮雕印；网点清晰饱满，小点不秃，大点光洁不糊，质感好；墨色均匀厚实，色彩鲜有光泽，肤色正、接版准确，色调深浅一致；文字印刷压力适度，全图前后轻重一致；全图前后墨色一致，浓淡适度符合要求；版面端正，正反套印准确；文字、标点清晰，笔锋挺秀，无缺笔断划，标题黑实不花，小字不糊不瞎；无脏污、破损；无野墨；成品裁切方正，无明显刀花，无连接页、折角、破头；耐碱折正，书面平服，无皱折；</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6、印刷标准：符合GB7705-87《平版装潢印刷品标准》；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7、适用于《全日制义务教育物理课程标准》。</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943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给排水耗材</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给水主管采用≥φ20mm热熔PPR管,给水支、立管管采用≥φ20mm热熔PPR管每个出水口配有≥φ15mm铜质阀门1个并配有≥φ15mm外丝接头，排水管采用直径≥50mmU-PVC排水专用管,给排水管需预留长度高出地面≥300mm，安装完后需高出地面≥300mm，配合弯头、直接、三通、外丝管套、生料带、PVC管胶水等完成布线。</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室</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944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仪器车</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1、规格：650mm*400mm*900mm±10mm。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2、仪器车应分为2层，层间距不小于300mm。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3、车架用直径不小于20*20mm方管制成、壁厚不小于0.5mm的不锈钢管制成，架高不低于800mm。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4、车架脚安装有不小于φ50mm、厚≥15mm转动灵活的万向轮。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5、车隔板为不薄于0.5mm的不锈钢制成。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6、整车安装好后应载重≥50Kg，应运行平稳，不得变形、摇晃、松动。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辆</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945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电极材料</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石墨、铜、锌、镁、铁、锡等电极。</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946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鱼洗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规格:中号盆外直径≥26cm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947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双缝干涉实验仪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1、主要部件有遮光管、照明、双缝、观察筒及测量头。照明包括光源灯泡、透镜、遮光板、光源单缝及滤色片；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2、双缝有两块，观察筒由筒体、毛玻璃屏及目镜组成。测量头上有游标尺、分划板、滑座、滑块、目镜、手轮等；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3、光源的供电电压12伏，功率为15～24瓦。</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948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模拟环形回旋加速器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Style w:val="968"/>
                <w:rFonts w:hint="default"/>
                <w:lang w:bidi="ar"/>
              </w:rPr>
              <w:t xml:space="preserve">规格：460*360*90mm</w:t>
            </w:r>
            <w:r>
              <w:rPr>
                <w:rStyle w:val="968"/>
                <w:rFonts w:hint="default"/>
                <w:lang w:bidi="ar"/>
              </w:rPr>
              <w:br/>
            </w:r>
            <w:r>
              <w:rPr>
                <w:rStyle w:val="968"/>
                <w:rFonts w:hint="default"/>
                <w:lang w:bidi="ar"/>
              </w:rPr>
              <w:t xml:space="preserve">实验目的：模拟环形回旋加速。</w:t>
            </w:r>
            <w:r>
              <w:rPr>
                <w:rStyle w:val="968"/>
                <w:rFonts w:hint="default"/>
                <w:lang w:bidi="ar"/>
              </w:rPr>
              <w:br/>
            </w:r>
            <w:r>
              <w:rPr>
                <w:rStyle w:val="968"/>
                <w:rFonts w:hint="default"/>
                <w:lang w:bidi="ar"/>
              </w:rPr>
              <w:t xml:space="preserve">实验器材：环形回旋加速器(由底座、线圈、铁球、钢球轨道等组成)、 教学电源、导线。</w:t>
            </w:r>
            <w:r>
              <w:rPr>
                <w:rStyle w:val="968"/>
                <w:rFonts w:hint="default"/>
                <w:lang w:bidi="ar"/>
              </w:rPr>
              <w:br/>
            </w:r>
            <w:r>
              <w:rPr>
                <w:rStyle w:val="968"/>
                <w:rFonts w:hint="default"/>
                <w:lang w:bidi="ar"/>
              </w:rPr>
              <w:t xml:space="preserve">实验原理：在线圈的一端有红外感应器，当感应器感应到小球按近 线圈时，线圈立刻通电，通电线圈具有磁场，对钢球具有吸引力。被 吸引的钢球穿过线圈，当穿过线圈后立刻断电，铁球因为惯性滚向 下一个线圈。这样周而复始循环加速，速度会越来越快，线圈越多就 会加速越快，直到一个饱和速度。</w:t>
            </w:r>
            <w:r>
              <w:rPr>
                <w:rStyle w:val="968"/>
                <w:rFonts w:hint="default"/>
                <w:lang w:bidi="ar"/>
              </w:rPr>
              <w:br/>
            </w:r>
            <w:r>
              <w:rPr>
                <w:rStyle w:val="968"/>
                <w:rFonts w:hint="default"/>
                <w:lang w:bidi="ar"/>
              </w:rPr>
              <w:t xml:space="preserve">实验内容：</w:t>
            </w:r>
            <w:r>
              <w:rPr>
                <w:rStyle w:val="968"/>
                <w:rFonts w:hint="default"/>
                <w:lang w:bidi="ar"/>
              </w:rPr>
              <w:br/>
            </w:r>
            <w:r>
              <w:rPr>
                <w:rStyle w:val="968"/>
                <w:rFonts w:hint="default"/>
                <w:lang w:bidi="ar"/>
              </w:rPr>
              <w:t xml:space="preserve">1.将仪器水平放置，并接上12V的电源，打开仪器开关。 2.将钢球置于轨道上，使钢球滚动起来。</w:t>
            </w:r>
            <w:r>
              <w:rPr>
                <w:rStyle w:val="968"/>
                <w:rFonts w:hint="default"/>
                <w:lang w:bidi="ar"/>
              </w:rPr>
              <w:br/>
            </w:r>
            <w:r>
              <w:rPr>
                <w:rStyle w:val="968"/>
                <w:rFonts w:hint="default"/>
                <w:lang w:bidi="ar"/>
              </w:rPr>
              <w:t xml:space="preserve">3.钢球在磁力的吸引下做加速运动，直到达到饱和速度。</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949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自粘式三角砂光纸  25片装</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80目</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950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液压机模型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1、由大缸体、小缸体、角式截止阀、底座和压力弹簧构成。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2、产品应符合JY43-79《液压机模型》的要求.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6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951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高中物理系列3选修多媒体互动教学配套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实验和相应教材配套，覆盖高中物理系列3选修模块内容，DVD光盘;1碟装。</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952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偏心夹紧装置 </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偏心行程 1.5 mm。钳口宽 70 毫米。钳口高度 15 毫米。</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953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硬质玻璃管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1、高硼硅玻璃材质，硬质；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2、规格：外径Φ15mm，长150mm；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954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十字螺丝刀</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1、规格150mm；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2、旋杆材料采用45#钢，工作部长度内硬度HRC48～54；手柄采用绝缘材质，外形根据人体工程学设计，手感舒适；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3、旋杆应经镀铬防锈处理；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4、旋柄为硬质塑料制成，表面光洁无毛刺，无缩迹，与旋杆接合牢固；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5、其它技术要求按GB10635的规定执行。</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955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接种器具灭菌器</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1.本产品适用组培、微生物实验中镊子、剪刀、涂布棒灭菌消毒,清洁卫生，安全、方便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2.工作时不消耗氧，可以用于厌氧室中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3.灭菌彻底，膛内温度可达到近200℃；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4.仪器主体全部采用不锈钢，美观、易清洁, 体积小，重量轻</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5.先进的智能化控温技术，控温精度高，避免加热元件满负荷工作，使用寿命长，节能安全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1、铸铝内胆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2、自动恒温，带开关及指示灯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3、消毒腔体:≥φ45mm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5、外型尺寸：约160mm*160mm*130mm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6、加热温度：0-200°C</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7、电源: 220V/50Hz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8、额定功率:100W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9、重量：600g</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17</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956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电磁感应</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1、设备参数：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规格：0.9×0.6×1m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电源：无需用电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功率：无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展台：采用新型复合材料，经高温模铸压工艺成型。具备优良的电气绝缘性、耐腐蚀性、环保无毒、优异的耐紫外线抗老化性能，阻燃性可达到FVO级，使用寿命长，永不变色的特性。简约时尚的蛋壳造型展台，在满足展示载体的同时，让原本厚重的展台变得更加灵动。场景百搭是它展陈的核心优势，其独特的外观能更好的融入于各种场景空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台面：康贝特板，厚度≧10mm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展台固定脚：碳钢表面电镀钢板厚度≧2mm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部件：线圈、磁铁等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2、功能描述：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电磁感应现象是指放在变化磁通量中的导体，会产生电动势。此电动势称为感应电动势或感生电动势，若将此导体闭合成一回路，则该电动势会驱使电子流动，形成感应电流（感生电流）。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3、操作说明：</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观众推动磁铁装置，观看演示效果。</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957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斜面小车</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1、车拖纸带打点式，打点有效距离不小于600mm；2、轨道采用铝合金型材制作；3、符合JY0001-2003《教学仪器产品一般质量要求》中相关规定。</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958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带网强化切断砂轮片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尺寸标注为 外径 50 mm、厚度 1 mm、内孔 10 mm；带网强化结构，防止高速切割时碎裂飞溅。</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959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气垫导轨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1、气垫导轨由导轨、滑行器及有关实验附件组成；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2、轨身采用五边形空心铝合金器材，导轨工作面：长度1200mm。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960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贮气装置</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1、产品为组合式，主要由出水管、注水室、导气阀、贮气室、底座、乳胶管组成。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2、贮气装置用优质透明塑料和ABS工程塑料注塑成型、表面清晰、无划痕、气泡、飞边等现象。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3、各焊接部位应焊接牢固、密封、无漏气现象。</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961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分子结构模型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演示用，氢原子球直径不小于23mm，其他原子球直径不小于30mm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962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多用滴管架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产品选用聚丙烯塑料注塑而成，无毒、环保、性能好。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1、多用滴管架由支架2个，横杆3根组成；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2、支架为塑料制作；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3、横杆为塑料制作；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4、支架与横杆插装后应摆放平稳。</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963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干燥管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2、规格：U形，具支，Φ15mm×150mm；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3、U形管弯度圆正，不得过分扁瘪歪斜，两管成水平，其高低差不大于5mm；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964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培养皿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2、规格：φ60mm；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965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观察电子束在磁场中的偏转</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仪器采用亥姆霍兹线圈产生的磁场，控制洛仑兹力管中电子的运动，测定电子比荷的；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由洛仑兹力管、亥姆霍兹线圈、供电电源和读数标尺等部分组成，整个安装在木制暗箱内，便于观察、测量、携带和贮存；</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洛仑兹力管（又称威尔尼管）直径153mm，充惰性气体，转动角度&gt;180º,有刻度指示；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亥姆霍兹线圈 等效半径0.14m，单个线圈140匝；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阳极电压 0～250V连续可调，电压值数字电压表显示；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带输出接口，便于用更高精度电流表准确测量；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线圈电流 0～2A连续可调，电流值指数字电压表显示，有指示灯指示电流方向；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带输出接口，便于用更高精度电流表准确测量；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电子荷质比测量误差优于5%</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966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突发事件应急演练预警分机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1、分机采用≥3.5寸LED显示屏触摸控制以及显示，屏幕上分区域显示当前工作模式、设备编号、防区位置、时间以及联动报警信息；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2、功能按键：≥5个按键，分别为暴力、火灾、地震、空袭、取消报警；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3、12V电源输出：1路12V/1A的直流电源输出；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4、后备电池：待机时间≥10小时，工作时间≥10分钟；</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5、通讯：局域网通讯，通讯距离不受限制，内置天线；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6、报警响应时间：≤3秒；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7、电源：AC220V±10%；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8、功耗：≤72W；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9、整机尺寸：≥220*220*60mm；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10、工作温度：-20～60℃(主电工作)；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11、存储温度：-40～80℃；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12、相对湿度：5～95%RH，无凝露；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13、具有“暴力、火灾、地震、空袭”四大突发事件报警功能，可通过对应的功能按键触发警报，支持与突发事件接警云对接。</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14、分机触发火灾警报按钮及警示语音提示：火灾警报声+（语音：“发生火灾，大家不要惊慌，请捂鼻猫腰，迅速按演习路线有序疏</w:t>
            </w:r>
            <w:r>
              <w:rPr>
                <w:rFonts w:hint="eastAsia" w:ascii="宋体" w:hAnsi="宋体" w:cs="宋体"/>
                <w:color w:val="000000"/>
                <w:sz w:val="20"/>
                <w:szCs w:val="20"/>
                <w:lang w:bidi="ar"/>
              </w:rPr>
              <w:t xml:space="preserve">散到安全区域，不要推挤踩踏”）+火灾警报声；分机触发暴力袭击警报按钮及警示语音提示：110警报声+（语音：“发生暴力袭击，大家不要惊慌，请关好门窗躲避到安全区域．安保人员紧急到岗处理”）+110警报声；分机触发地震警报按钮及警示语音提示：地震警报声+（语音：“地震警报”，大家不要惊慌，请先实施紧急避险，再按演习路线有序疏散到安全区域不要推挤踩踏”）+地震警报声；分机触发空袭警报按钮及警示语音提示：空袭警报声+（语音：“空袭警报”，大家不要惊慌，迅速按演习路线有序疏散到安全区域．不要推挤踩踏”）+空袭警报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15、分机可通过屏幕设置当前防区信息，分机可接收并响应主机设置的报警模式；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16、分机可接收并响应主机和其他分机触发的突发事件报警；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17、可联动声光报警器进行联动报警输出；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18、可联动多功能智慧语言提示屏进行联动报警输出；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19、具有警报声、语音疏散引导、文字显示警情和上报地点等警示功能；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20、具有消音复位功能，可通过触摸“取消报警”键复位并消除当前的警报信息；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21、支持智慧烟感探测终端联动报警输入，可触发警报并显示报警信息和位置，可选择自动触发火灾报警；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22、具有备电功能，支持停电运行；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23、具有内置扬声器；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24、具有音频功放输出，可外接大功率扬声器；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25、具有12V直流电源输出，可驱动外部警报设备；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26、具有设备自检、定期巡检功能，保障设备正常运行；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27、突发事件应急演练预警分机频率容限：≤20ppm、频率范围：2400-2483.5MHz、发射功率：≤20dBm(EIRP)、占用带宽：≤40MHz、杂散发射限制：≤-30dBm；主机通过中国国家无线电管理委员会(SRRC)强制认证，型号符合中华人民共和国无线电管理规定和技术标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28、突发事件应急演练预警分机符合GB/T26125-2011《电子电气产品六种限用物质(铅、汞、镉、六价铬、多溴联苯和多溴二苯醚)》、GB/T26572-2011《电子电气产品中限用物质的限量要求》、《电器电子产品有害物质限制使用自愿性认证实施规则》、《达标管理目录限用物质应用例外清单》标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29、突发事件应急演练预警分机符合下列要求：GB/T30148-2013《安全防范报警)设备电磁兼容抗扰度要求和试验方法》，电源电压暂降和短时中断抗扰度、静电放电抗扰度、射频电磁场辐射抗扰度、射频场感应的传导骚扰抗扰度、电快速瞬变脉冲群抗扰度、浪涌(冲击)抗扰度</w:t>
            </w:r>
            <w:r>
              <w:rPr>
                <w:rFonts w:hint="eastAsia" w:ascii="宋体" w:hAnsi="宋体" w:cs="宋体"/>
                <w:color w:val="000000"/>
                <w:sz w:val="20"/>
                <w:szCs w:val="20"/>
                <w:lang w:bidi="ar"/>
              </w:rPr>
              <w:t xml:space="preserve">；工频磁场；GB/T2423.1-2008《电子电工产品环境试验第2部分:试验方法项A:低温试验》，耐低温性能；GB/T2423.2-2008《电工电子产品环境试验第2部分:试验方法项B:高温》，耐高温性能；GB/T2423.3-2016《环境试验第2部分:试验方法试验Cab:恒定湿热项》，耐湿热工作性能；GB/T2423.10-2019《环境试验第2部分:试验方法 试验Fc:振动(正弦)》；GB/T2423.7-2018《环境试验 第2部分:试验方法 试验Ec:粗率操作造成的冲击（主要用于设备型样品）》。</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967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集成电路实验板(面包板)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1、尺寸：16*11mm；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2、间距：0.65mm；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3、材质：FR-4表面处理：双面喷锡。</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968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气体实验微型装置</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以微型玻璃为主，能完成氧气、氢气、二氧化碳、一氧化碳、氯气、氨气、二氧化硫、硫化氢、一氧化氮、二氧化氮等十几种气体的制备和性质实验，反应容器一般不超过30mL。</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969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风机配件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风机减震器：功能：离心风机弹簧减震器，弹簧材料为不低于60Si2Mn弹簧钢线，耐疲劳，强度高，承载力大，使用寿命长等特点。可直接将ZD型减振器置放于设备的机座下。工作环境：在-40℃-110℃环境下正常工作，上下座分别设有螺栓与地基螺栓孔，可上下固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2、风机消音器：规格：外径≥Ф600mm，内径≥Ф400mm、高度≥1000mm，圆形。材料：PP材质，内置隔音棉等隔音装置。技术要求：消声频率30-60（Hz），耐温特性≥60（℃），防腐蚀、耐酸碱</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风机进出口软连接：进风口：采用PVC柔性材料制作，规格：Ф600-Ф400mm，因风机震动引起的消除震音传递和消除微量错位对风机的影响。出风口：材料PP，规格方转圆地方风机接口；技术要求：抗撞强度≥500（MP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4、风机出风口接头：出风口：材料PP，规格方转圆地方风机接口。技术要求：抗撞强度≥500（MPa）；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5、风机出风口防雨帽：≥Ф600mm伞型结构。</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970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备用微尘过滤纸袋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连接口45mm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971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废水自动排水</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1、废水储水箱：规格≥450*280*165mm，采用材料PE聚乙烯，注塑模具一次成型，无臭无毒、耐强酸碱、抗老化。废水储存箱配有内置防臭芯，防止废气与废水倒灌。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2、废水箱内装防腐水位控制器液位开关，传感器检测到放水水位是会自动开启排水功能。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耐酸碱环保增压水泵：外壳材料：PPS+PA66，功率≥40W，工作电压24V，流量≥10L/MIN，最大静态扬程≥8M；噪音≤40dB；无毒、无味、无重金属，符合饮用水标准，具有缺水保护、空转保护、堵转保护、卡死保护、防漏电、防腐蚀、防空转，自带止回阀等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4、自动冲洗：为防止污水桶在长期使用后，内部产生沉淀和污垢附中，可由教师自行设置是否开启自动冲洗模式，开启后可延长设备的使用寿命。</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972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分子结构模型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分组用，球棍模型，直径不小于15mm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973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三联高低位龙头</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鹅颈式实验室专用优质化验水嘴：主体采用铜质，表面环氧树脂喷涂。阀芯采用陶瓷阀芯，配置一个高位水龙头，两个低位水龙头，便于多用途使用。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974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磁感线演示板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可投影，产品主要由上下盖板各1块，多孔板1块。条形磁铁1个及铁针组成。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975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多用电表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1、本品为整流系，轴尖轴承支承式、指针式电表；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2、准确度等级：直流电流、电压、电阻测量档均为2.5级，交流电压测量档、直流电压0～2500V为5.0级；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3、电压灵敏度：直流为20kΩ/V，交流为9kΩ/V；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4、阻尼时间：不超过4s；绝缘电阻不小于20MΩ；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5、转换开关各档位定位正确，无错位，转动时手感好；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7、电表指针挺直，机械调零时可在零刻度左右移动；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8、产品所附测量表笔及电池应完好有效。</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976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数字测温计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集成温度传感器，-50C~+140°C,分辨率0.1°C</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977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二连球</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由橡皮手捏充气球和橡皮贮气球及橡胶导气管相连接而成。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978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数显游标卡尺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1、规格：150mm，0.01mm（误差±0.03mm）；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2、具有测量内径、外径等功能；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3、采用不锈钢或优质碳素钢材料；</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4、产品符合GB/T21389标准，数字直读，清晰方便，主尺、尺框整体热处理，测量面淬硬。</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把</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979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智慧环境监测管理模块</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1、可对监测设备总数统计，包括设备在线率、设备总数、在线设备、离线设备、报警设备、预警数量以及监测时长等数据展示。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2、设备在线列表：可展示监测设备所在空间名称、设备编号、设备名称、设备在线/离线状态以及上一次在线时间等信息。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3、可采用云服务器部署方式，支持广域网操作和管理，学校用户支持通过电脑端或手机端完成所有的管理操作，方便学校进行账户管理；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4、学校基础数据管理：应可以对学校、组织机构、监测楼栋以及监测空间进行管理操作功能。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用户权限管理：应可以刷新、新增、修改、删除以及查询用户等相应的操作，并给指定的用户赋予不同的角色，也可以给用户直接赋予不同的功能授权，支持自定义角色与权限，满足学校多样化的管理需求，学校可自行分配角色给校内教职工对设备进行管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监测参数管理：应可以刷新，新增、修改、删除以及查询设备可监测的监测参数，监测参数内容包含参数编号、参数名称、单位、监测计算公式、排序码、监测展示图标以及四级预警参数值，其他联动预警的作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7、监测设备管理：应可以刷新，新增、修改、删除以及查询监测设备数据，并可以配置每个监测设备的通道监测参数。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8、监测历史数据：应可以按照空间字段、参数字段、时间字段分类查询，查询出来的数据以列表和曲线的方式进行呈现。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9、24小时监测分析：应可以按照空间进行统计分析所有的监测参数、温湿度24小时变化趋势、温湿度分布比例区间以及各个环境参数24小时趋势图；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监测统计数据：应可以按照空间字段、参数字段、时间字段进行分类查询，可按照小时统计查询最大监测值、最小监测值、平均监测值以及按照日统计查询最大监测值、最小监测值、平均监测值，查询统计出来的数据以列表和曲线的方式进行呈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11、监测预警数据查询：应可以按照空间字段、时间字段进行分类查询，可查询当前监测空间内的监测参数预警值；</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12、独立报警设置：可对环境监测设备独立报警进行管理，设置环境监测设备报警的报警推送次数、报警时间、推送的方式、推送人。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13、联动报警配置：可联动应急突发事件联动报警配置进行设置，选择设置报警推送次数、报警时间、推送的方式、推送人。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14、报警联系人：可对报警联系人进行管理，包含添加、编辑联系人邮箱/微信，实现报警推送功能。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15、多报警输出：可实现短信、大屏联动报警输出。</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980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T形管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2、规格：直径Φ7－8mm，直通管长度100mm，垂直管长度50mm；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3、灯工焊接牢固，口部平整熔光处理；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981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Y形管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1、采用透明玻璃制造，全长100±5mm，支长50±5mm，直径7-8mm，壁厚1.5mm；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2、产品应符合GB/T12414-1995《药用玻璃管》的标准。</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982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试管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Style w:val="968"/>
                <w:rFonts w:hint="default"/>
                <w:lang w:bidi="ar"/>
              </w:rPr>
              <w:t xml:space="preserve">1、高硼硅玻璃材质；</w:t>
            </w:r>
            <w:r>
              <w:rPr>
                <w:rStyle w:val="968"/>
                <w:rFonts w:hint="default"/>
                <w:lang w:bidi="ar"/>
              </w:rPr>
              <w:br/>
            </w:r>
            <w:r>
              <w:rPr>
                <w:rStyle w:val="968"/>
                <w:rFonts w:hint="default"/>
                <w:lang w:bidi="ar"/>
              </w:rPr>
              <w:t xml:space="preserve">2、厚薄均匀，不得有刺手现象；规格：试管外径</w:t>
            </w:r>
            <w:r>
              <w:rPr>
                <w:rStyle w:val="971"/>
                <w:lang w:bidi="ar"/>
              </w:rPr>
              <w:t xml:space="preserve">Φ</w:t>
            </w:r>
            <w:r>
              <w:rPr>
                <w:rStyle w:val="968"/>
                <w:rFonts w:hint="default"/>
                <w:lang w:bidi="ar"/>
              </w:rPr>
              <w:t xml:space="preserve">18mm，试管高180mm；</w:t>
            </w:r>
            <w:r>
              <w:rPr>
                <w:rStyle w:val="968"/>
                <w:rFonts w:hint="default"/>
                <w:lang w:bidi="ar"/>
              </w:rPr>
              <w:br/>
            </w:r>
            <w:r>
              <w:rPr>
                <w:rStyle w:val="968"/>
                <w:rFonts w:hint="default"/>
                <w:lang w:bidi="ar"/>
              </w:rPr>
              <w:t xml:space="preserve">3、截面应为适度的圆形；试管口部是熔光的平口；</w:t>
            </w:r>
            <w:r>
              <w:rPr>
                <w:rStyle w:val="968"/>
                <w:rFonts w:hint="default"/>
                <w:lang w:bidi="ar"/>
              </w:rPr>
              <w:br/>
            </w:r>
            <w:r>
              <w:rPr>
                <w:rStyle w:val="968"/>
                <w:rFonts w:hint="default"/>
                <w:lang w:bidi="ar"/>
              </w:rPr>
              <w:t xml:space="preserve">4、管口应平整、光滑，不得有裂口、裂纹存在；试管的底部应基本为半球形。</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200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983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表皮细胞装片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1、适用于小学科学教学观察；</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2、标本取材为两栖动物的表皮，四周剪切整齐，标本应平铺装片染色；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3、标本在80×和200×显微镜下可观察到形状不很规则的呈多角形的细胞膜和着色较深的细胞核。</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984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橡胶管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1、产品用优质天然橡胶制造；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2、产品内径为7～8mm，壁厚1mm；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3、产品应符合国标GB1189～81《胶管外观质量》的规定。</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千克</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985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教师低背椅</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1、尺寸：W440mm*D440mm*H550mm±1%</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2、结构：工字形钢架，科学支撑，钢架前端有踏脚垫，磨砂界面；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3、座面规格：采用PP塑料一体注塑成型，椅背提手设计，提拉方便。人性化圆角设计（坐垫、钢架），有效防止磕碰撞伤。座椅底部可悬挂功能设计，不用时，可悬挂桌面之上，方便打扫，节省空间。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4、材质：座椅面有内弧造型，表面防滑不发光，座椅面镶嵌TPR灰色软性材料，并采用包胶工艺与凳面组合，且表面平整、无凹凸，注塑包胶成型。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5、工艺：钢管直径≥18mm，壁厚≥1.5mm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6、脚垫：有效防滑，防刮伤，脚垫材质为PP塑料材质。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条</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986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酒精灯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1、透明钠钙玻璃材质，由灯座、灯塞、灯盖、灯芯组成；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2、规格：250mL，双头；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3、玻璃仪器，正视应无色；或仅有玻璃本身的微浅黄绿色；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4、玻璃仪器的口部都应经圆口（熔光）、卷边或磨砂处理；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5、应力：应力仪观察下呈紫红色或部分扩散状兰色；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6、厚薄均匀，玻璃仪器的底部应平整，放在上不应旋转或摇晃；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7、酒精灯塞子塞不紧是正常的，塞紧了是危险的。</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987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小灯座</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1、仪器由底板、冷冲接插件、接线柱组成；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2、接线柱为螺丝式；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3、底板用优质PVC工程塑料制作。</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988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光的干涉衍射偏振演示器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光源单缝缝宽a=0.025,a=0.11,牛顿环直径32mm，偏振片直径32mm，投影透镜直径30mm,符合教学实验要求。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989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结晶皿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2、规格：80mm；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990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植物种子标本</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玻璃瓶装种子标本，瓶身直径3cm，高度5cm，瓶子容量20ml，配套种子名称，不少于100个品种。</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991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手摇交直流发电机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1．本机两个电刷放在</w:t>
            </w:r>
            <w:r>
              <w:rPr>
                <w:rFonts w:hint="eastAsia" w:ascii="宋体" w:hAnsi="宋体" w:cs="宋体"/>
                <w:color w:val="000000"/>
                <w:sz w:val="20"/>
                <w:szCs w:val="20"/>
                <w:lang w:bidi="ar"/>
              </w:rPr>
              <w:t xml:space="preserve">整流子两端时，输出为交流电，放在整流子中间时，输出为直流电。2．转子线圈用Ф0.47～0.49mm高强度漆包线，平绕440匝，误差±5%，转子外表刷绝缘清漆。3．磁铁两极应有明确的表示色,红色为N极,蓝色为S极。4．电枢转轴,由元钢制成,电枢支架上两轴孔的不同轴度≤0.1mm,转手与极靴的距离≤1.5mm,无碰撞和磨擦。5.本机底座平面无变形,裂缝,四脚平放,不晃动,漆面应光洁,均匀,美观大方。6.底板上各紧固件不得松动,转动部分应灵活,均匀,杂音小。7.产品应符合JY21－79《手摇交直流发电机》的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992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彩色透光片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红、绿、蓝</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993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细口瓶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2、规格：3000mL；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994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滴定台</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产品由底座、立杆及附件组成。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1、支架由大理石制成；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2、立杆表面镀铬，立杆与方座组装后应垂直；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3、滴定夹的高度应能方便调整且紧固可靠；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4、整套产品有足够的平稳度，底座耐碱。采用钢材，防锈处理及表面环保油漆涂层精制而成。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995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发酵技术的应用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Style w:val="968"/>
                <w:rFonts w:hint="default"/>
                <w:lang w:bidi="ar"/>
              </w:rPr>
              <w:t xml:space="preserve">以《普通高中生物学教学装备配置标准（</w:t>
            </w:r>
            <w:r>
              <w:rPr>
                <w:rStyle w:val="970"/>
                <w:lang w:bidi="ar"/>
              </w:rPr>
              <w:t xml:space="preserve">2021</w:t>
            </w:r>
            <w:r>
              <w:rPr>
                <w:rStyle w:val="968"/>
                <w:rFonts w:hint="default"/>
                <w:lang w:bidi="ar"/>
              </w:rPr>
              <w:t xml:space="preserve">年版）》为依据，结合各大版本高中生物课程教材，满足高中生物课程的大部分实验。此箱是专为教师及学生完成教材要求的实验而设计，采用高度集成的方法将</w:t>
            </w:r>
            <w:r>
              <w:rPr>
                <w:rStyle w:val="972"/>
                <w:lang w:bidi="ar"/>
              </w:rPr>
              <w:t xml:space="preserve">“</w:t>
            </w:r>
            <w:r>
              <w:rPr>
                <w:rStyle w:val="968"/>
                <w:rFonts w:hint="default"/>
                <w:lang w:bidi="ar"/>
              </w:rPr>
              <w:t xml:space="preserve">发酵技术的应用</w:t>
            </w:r>
            <w:r>
              <w:rPr>
                <w:rStyle w:val="972"/>
                <w:lang w:bidi="ar"/>
              </w:rPr>
              <w:t xml:space="preserve">”</w:t>
            </w:r>
            <w:r>
              <w:rPr>
                <w:rStyle w:val="968"/>
                <w:rFonts w:hint="default"/>
                <w:lang w:bidi="ar"/>
              </w:rPr>
              <w:t xml:space="preserve">这一知识模块对应的实验需要用到的仪器分块放置在实验箱里，准备简单，管理方便。每款仪器的配置均符合教材上要求的所有实验，充分提高了实验课堂的授课水平和学习质量。对部分实验仪器做了改进和分类，使实验操作更加方便、快捷。</w:t>
            </w:r>
            <w:r>
              <w:rPr>
                <w:rStyle w:val="968"/>
                <w:rFonts w:hint="default"/>
                <w:lang w:bidi="ar"/>
              </w:rPr>
              <w:br/>
            </w:r>
            <w:r>
              <w:rPr>
                <w:rStyle w:val="968"/>
                <w:rFonts w:hint="default"/>
                <w:lang w:bidi="ar"/>
              </w:rPr>
              <w:t xml:space="preserve">外观尺寸</w:t>
            </w:r>
            <w:r>
              <w:rPr>
                <w:rStyle w:val="970"/>
                <w:lang w:bidi="ar"/>
              </w:rPr>
              <w:t xml:space="preserve">(mm)</w:t>
            </w:r>
            <w:r>
              <w:rPr>
                <w:rStyle w:val="968"/>
                <w:rFonts w:hint="default"/>
                <w:lang w:bidi="ar"/>
              </w:rPr>
              <w:t xml:space="preserve">：</w:t>
            </w:r>
            <w:r>
              <w:rPr>
                <w:rStyle w:val="970"/>
                <w:lang w:bidi="ar"/>
              </w:rPr>
              <w:t xml:space="preserve">485*370*155mm</w:t>
            </w:r>
            <w:r>
              <w:rPr>
                <w:rStyle w:val="970"/>
                <w:lang w:bidi="ar"/>
              </w:rPr>
              <w:br/>
            </w:r>
            <w:r>
              <w:rPr>
                <w:rStyle w:val="968"/>
                <w:rFonts w:hint="default"/>
                <w:lang w:bidi="ar"/>
              </w:rPr>
              <w:t xml:space="preserve">箱体颜色：灰色</w:t>
            </w:r>
            <w:r>
              <w:rPr>
                <w:rStyle w:val="968"/>
                <w:rFonts w:hint="default"/>
                <w:lang w:bidi="ar"/>
              </w:rPr>
              <w:br/>
            </w:r>
            <w:r>
              <w:rPr>
                <w:rStyle w:val="968"/>
                <w:rFonts w:hint="default"/>
                <w:lang w:bidi="ar"/>
              </w:rPr>
              <w:t xml:space="preserve">箱体材料：高密度工程塑料（聚丙烯），使用</w:t>
            </w:r>
            <w:r>
              <w:rPr>
                <w:rStyle w:val="970"/>
                <w:lang w:bidi="ar"/>
              </w:rPr>
              <w:t xml:space="preserve">0.5mm</w:t>
            </w:r>
            <w:r>
              <w:rPr>
                <w:rStyle w:val="968"/>
                <w:rFonts w:hint="default"/>
                <w:lang w:bidi="ar"/>
              </w:rPr>
              <w:t xml:space="preserve">厚的</w:t>
            </w:r>
            <w:r>
              <w:rPr>
                <w:rStyle w:val="970"/>
                <w:lang w:bidi="ar"/>
              </w:rPr>
              <w:t xml:space="preserve">PVC</w:t>
            </w:r>
            <w:r>
              <w:rPr>
                <w:rStyle w:val="968"/>
                <w:rFonts w:hint="default"/>
                <w:lang w:bidi="ar"/>
              </w:rPr>
              <w:t xml:space="preserve">背胶板印刷全套（</w:t>
            </w:r>
            <w:r>
              <w:rPr>
                <w:rStyle w:val="970"/>
                <w:lang w:bidi="ar"/>
              </w:rPr>
              <w:t xml:space="preserve">4</w:t>
            </w:r>
            <w:r>
              <w:rPr>
                <w:rStyle w:val="968"/>
                <w:rFonts w:hint="default"/>
                <w:lang w:bidi="ar"/>
              </w:rPr>
              <w:t xml:space="preserve">张）铭牌，不起皱，不脱落。</w:t>
            </w:r>
            <w:r>
              <w:rPr>
                <w:rStyle w:val="968"/>
                <w:rFonts w:hint="default"/>
                <w:lang w:bidi="ar"/>
              </w:rPr>
              <w:br/>
            </w:r>
            <w:r>
              <w:rPr>
                <w:rStyle w:val="968"/>
                <w:rFonts w:hint="default"/>
                <w:lang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Style w:val="968"/>
                <w:rFonts w:hint="default"/>
                <w:lang w:bidi="ar"/>
              </w:rPr>
              <w:br/>
            </w:r>
            <w:r>
              <w:rPr>
                <w:rStyle w:val="968"/>
                <w:rFonts w:hint="default"/>
                <w:lang w:bidi="ar"/>
              </w:rPr>
              <w:t xml:space="preserve">实验器材：</w:t>
            </w:r>
            <w:r>
              <w:rPr>
                <w:rStyle w:val="970"/>
                <w:lang w:bidi="ar"/>
              </w:rPr>
              <w:t xml:space="preserve">250mL</w:t>
            </w:r>
            <w:r>
              <w:rPr>
                <w:rStyle w:val="968"/>
                <w:rFonts w:hint="default"/>
                <w:lang w:bidi="ar"/>
              </w:rPr>
              <w:t xml:space="preserve">锥形瓶、</w:t>
            </w:r>
            <w:r>
              <w:rPr>
                <w:rStyle w:val="970"/>
                <w:lang w:bidi="ar"/>
              </w:rPr>
              <w:t xml:space="preserve">250ml</w:t>
            </w:r>
            <w:r>
              <w:rPr>
                <w:rStyle w:val="968"/>
                <w:rFonts w:hint="default"/>
                <w:lang w:bidi="ar"/>
              </w:rPr>
              <w:t xml:space="preserve">烧杯、电子秤、载玻片、盖玻片（</w:t>
            </w:r>
            <w:r>
              <w:rPr>
                <w:rStyle w:val="970"/>
                <w:lang w:bidi="ar"/>
              </w:rPr>
              <w:t xml:space="preserve">100</w:t>
            </w:r>
            <w:r>
              <w:rPr>
                <w:rStyle w:val="968"/>
                <w:rFonts w:hint="default"/>
                <w:lang w:bidi="ar"/>
              </w:rPr>
              <w:t xml:space="preserve">片</w:t>
            </w:r>
            <w:r>
              <w:rPr>
                <w:rStyle w:val="970"/>
                <w:lang w:bidi="ar"/>
              </w:rPr>
              <w:t xml:space="preserve">/</w:t>
            </w:r>
            <w:r>
              <w:rPr>
                <w:rStyle w:val="968"/>
                <w:rFonts w:hint="default"/>
                <w:lang w:bidi="ar"/>
              </w:rPr>
              <w:t xml:space="preserve">盒）、</w:t>
            </w:r>
            <w:r>
              <w:rPr>
                <w:rStyle w:val="970"/>
                <w:lang w:bidi="ar"/>
              </w:rPr>
              <w:t xml:space="preserve">150mm</w:t>
            </w:r>
            <w:r>
              <w:rPr>
                <w:rStyle w:val="968"/>
                <w:rFonts w:hint="default"/>
                <w:lang w:bidi="ar"/>
              </w:rPr>
              <w:t xml:space="preserve">试管、</w:t>
            </w:r>
            <w:r>
              <w:rPr>
                <w:rStyle w:val="970"/>
                <w:lang w:bidi="ar"/>
              </w:rPr>
              <w:t xml:space="preserve">200mm</w:t>
            </w:r>
            <w:r>
              <w:rPr>
                <w:rStyle w:val="968"/>
                <w:rFonts w:hint="default"/>
                <w:lang w:bidi="ar"/>
              </w:rPr>
              <w:t xml:space="preserve">玻璃棒、直角玻璃管（</w:t>
            </w:r>
            <w:r>
              <w:rPr>
                <w:rStyle w:val="970"/>
                <w:lang w:bidi="ar"/>
              </w:rPr>
              <w:t xml:space="preserve">50*100mm</w:t>
            </w:r>
            <w:r>
              <w:rPr>
                <w:rStyle w:val="968"/>
                <w:rFonts w:hint="default"/>
                <w:lang w:bidi="ar"/>
              </w:rPr>
              <w:t xml:space="preserve">）、直角玻璃管（</w:t>
            </w:r>
            <w:r>
              <w:rPr>
                <w:rStyle w:val="970"/>
                <w:lang w:bidi="ar"/>
              </w:rPr>
              <w:t xml:space="preserve">50*200mm</w:t>
            </w:r>
            <w:r>
              <w:rPr>
                <w:rStyle w:val="968"/>
                <w:rFonts w:hint="default"/>
                <w:lang w:bidi="ar"/>
              </w:rPr>
              <w:t xml:space="preserve">）等。</w:t>
            </w:r>
            <w:r>
              <w:rPr>
                <w:rStyle w:val="968"/>
                <w:rFonts w:hint="default"/>
                <w:lang w:bidi="ar"/>
              </w:rPr>
              <w:br/>
            </w:r>
            <w:r>
              <w:rPr>
                <w:rStyle w:val="968"/>
                <w:rFonts w:hint="default"/>
                <w:lang w:bidi="ar"/>
              </w:rPr>
              <w:t xml:space="preserve">可做实验：</w:t>
            </w:r>
            <w:r>
              <w:rPr>
                <w:rStyle w:val="970"/>
                <w:lang w:bidi="ar"/>
              </w:rPr>
              <w:t xml:space="preserve">1</w:t>
            </w:r>
            <w:r>
              <w:rPr>
                <w:rStyle w:val="968"/>
                <w:rFonts w:hint="default"/>
                <w:lang w:bidi="ar"/>
              </w:rPr>
              <w:t xml:space="preserve">、实验</w:t>
            </w:r>
            <w:r>
              <w:rPr>
                <w:rStyle w:val="970"/>
                <w:lang w:bidi="ar"/>
              </w:rPr>
              <w:t xml:space="preserve"> </w:t>
            </w:r>
            <w:r>
              <w:rPr>
                <w:rStyle w:val="968"/>
                <w:rFonts w:hint="default"/>
                <w:lang w:bidi="ar"/>
              </w:rPr>
              <w:t xml:space="preserve">制作传统发酵食品；</w:t>
            </w:r>
            <w:r>
              <w:rPr>
                <w:rStyle w:val="970"/>
                <w:lang w:bidi="ar"/>
              </w:rPr>
              <w:t xml:space="preserve">2</w:t>
            </w:r>
            <w:r>
              <w:rPr>
                <w:rStyle w:val="968"/>
                <w:rFonts w:hint="default"/>
                <w:lang w:bidi="ar"/>
              </w:rPr>
              <w:t xml:space="preserve">、探究</w:t>
            </w:r>
            <w:r>
              <w:rPr>
                <w:rStyle w:val="970"/>
                <w:lang w:bidi="ar"/>
              </w:rPr>
              <w:t xml:space="preserve"> </w:t>
            </w:r>
            <w:r>
              <w:rPr>
                <w:rStyle w:val="968"/>
                <w:rFonts w:hint="default"/>
                <w:lang w:bidi="ar"/>
              </w:rPr>
              <w:t xml:space="preserve">腐乳的制作等。</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996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带锯机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1、规格：≥680*375*252mm；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2、功率：≥550W；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3、切高89mm可调；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4、锯条周长≥1511mm，宽6-13mm；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5、空载≥1400转；</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6、喉深≥232mm；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7、LED照明，激光对刀；</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8、可切割：木材、铝型材、硬泡沫、亚克力。</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997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试管架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32孔，铝合金制作，Φ16mm孔径，三层结构。</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998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化学实验室安全守则</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1、1幅，对开开本,纸张不低于105克铜版纸；</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2、印刷：四色彩色胶印；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3、图形：教学挂图应图像清晰，色泽自然鲜明；</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4、图片印刷套印准确，层次分明，轮廓实，电分制版无浮雕印；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5、网点清晰饱满，小点不秃，大点光洁不糊，质感好；墨色均匀厚实，色彩鲜有光泽，肤色正、接版准确，色调深浅一致；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文字印刷压力适度，全图前后轻重一致；全图前后墨色一致，浓淡适度符合要求；版面端正，正反套印准确；文字、标点清晰，笔锋挺秀，无缺笔断划，标题黑实不花，小字不糊不瞎；无脏污、破损；无野墨；成品裁切方正，无明显刀花，无连接页、折角、破头；耐碱折正，书面平服，无皱折。</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张</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999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护目镜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聚碳酸酯镜片</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简明化学发展史挂图</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1、2幅，对开开本,纸张不低于105克铜版纸；</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2、印刷：四色彩色胶印；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3、图形：教学挂图应图像清晰，色泽自然鲜明；</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4、图片印刷套印准确，层次分明，轮廓实，电分制版无浮雕印；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网点清晰饱满，小点不秃，大点光洁不糊，质感好；墨色均匀厚实，色彩鲜有光泽，肤色正、接版准确，色调深浅一致；文字印刷压力适度，全图前后轻重一致；全图前后墨色一致，浓淡适度符合要求；版面端正，正反套印准确；文字、标点清晰，笔锋挺秀，无缺笔断划，标题黑实不花，小字不糊不瞎；无脏污、破损；无野墨；成品裁切方正，无明显刀花，无连接页、折角、破头；耐碱折正，书面平服，无皱折。</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1001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滴瓶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2、规格：茶色，30mL；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200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1002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多功能实验支架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产品为组合，有由支座、支块、滑道、等块组成。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1003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砂带1</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180目</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1004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电场中带电粒子运动模拟演示器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模拟电场中带电粒子加速、偏转</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1005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洗眼器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1、主体：高度≥320mm，不低于加厚H59铜质,符合YS/T910-2013黄铜中铜量的测定碘量法,铜含量；铜含量≥59.3%。</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2、涂层：高亮度超厚电镀层，耐腐蚀、耐热，防紫外线辐射；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3、洗眼头：模注一体成型，软性橡胶并带有缓冲滤网，出水经缓压处理呈泡沫柱状，可持续均匀柔和,去除水中杂质，避免水束冲伤眼睛流量≥11.4升/分钟并维持冲洗至少15分钟</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4、防尘盖：PP材质，设置防尘盖,使用时自动被水冲开；</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5、开关：采用杠杆结构，铜质按压阀通过塑料手柄操作，水流在1秒钟内快速启动，启闭方便；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6、控水阀：止逆阀，其阀门可自动关闭；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7、软管：供水软管长度≥1.4米，软性PVC管外覆不锈钢网,外层包裹PE管，有效防止生锈、磨损、划手；</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19</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1006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镊子</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1、不锈钢，圆嘴；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2、符合GB4747.1—1989《医用镊通用技术条件》的有关规定。</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1007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氯化铯晶体结构模型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模型组成：氯原子、铯原子、塑料杆组成，球直径不小于29mm。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1008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简明物理学史挂图</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1、2幅；</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2、纸张规格：纸张不低于105克铜版纸，覆膜；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3、印刷：四色彩色胶印；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4、图形：教学挂图应图像清晰，色泽自然鲜明，位置准确；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图片印刷套印准确，层次分明，轮廓实，电分制版无浮雕印；网点清晰饱满，小点不秃，大点光洁不糊，质感好；墨色均匀厚实，色彩鲜有光泽，肤色正、接版准确，色调深浅一致；文字印刷压力适度，全图前后轻重一致；全图前后墨色一致，浓淡适度符合要求；版面端正，正反套印准确；文字、标点清晰，笔锋挺秀，无缺笔断划，标题黑实不花，小字不糊不瞎；无脏污、破损；无野墨；成品裁切方正，无明显刀花，无连接页、折角、破头；耐碱折正，书面平服，无皱折；</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6、印刷标准：符合GB7705-87《平版装潢印刷品标准》；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7、适用于《全日制义务教育物理课程标准》。</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1009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电磁感应演示器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1、主要由微电流放大器、磁针、直导体、滚动导体、连接导线、蹄形磁钢、底座、水平支架等组成；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2、微电流放大器电源电压：DC6V，放大倍数：≥600倍，输入电流：0.5～10uA；磁针采用长140mm，宽8mm的翼形磁针。</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1010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双目立体显微镜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1、底座、镜臂、齿条、物镜和目镜等制成；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2、总放大倍数：20-40倍；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3、目镜:WF10X；</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4、物镜：变倍筒物镜:2X-4X分档变倍物镜组；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5、调焦范围: 40mm；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6、行程范围:90mm；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7、照明：自然光；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8、符合GB/T2985-1995《生物显微镜》。</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1011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量筒</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1、标称容量：50mL；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3、底座和口部边缘应做熔光处理，口边应与量筒的轴线垂直；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4、量杯放在上，不应摇晃；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5、当从量杯向外倾倒液体时，液体呈一束细流流出，不应外溢，不应沿壁外流；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6、外表面和内表面不应有破皮气泡和薄皮气泡、密集小气泡和积水条纹存在。</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微量移液器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1µL～10µL</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1013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牛顿第二定律实验仪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1、仪器主要由专用铝合金型材制成轨道；</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2、工程塑料制造小车，设计巧妙的同步释放及暂停装置，以及上下配置的轨道结构；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仪器还设有小车浮获装置、定位标尺等等，使实验极为方便、直观、可靠/轨道长度：2×1000mm/轨度间距：140mm（上、下配置）/小车质量：200±10g/轨道可倾斜方向：前、后、左、右；4、表面光洁度：轮廓平均算术偏差值≤3、2μm/配备块：10g，50g/工作环境：温度：0～40℃/相对湿度：≤85。</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1014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接种环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1、产品由镍铬丝和金属棒杆、塑料柄等组成；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2、金属棒杆直径约Φ4mm，一端开口配有透孔紧固螺母，另一端有塑料手柄；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3、配有Φ0.5mm镍铬丝。</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1015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砂带2</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120目</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1016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运动合成分解演示器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1、可做匀速-匀速、匀速-匀加速运动合成；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2、由小车、画板、画笔、X向传动装置，Y向传动装置，控制部分。</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1017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抽气筒</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1、供中学物理实验中作抽气、打气使用；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2、极限抽气压力≤6.7×103Pa（50mmHg）；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3、最低打气压力≥2.9×105Pa；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4、气筒长200mm，内径Φ22.5mm；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5、活塞碗要求材质挺实，碗外表面较柔软，耐磨密封性良好。</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1018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白金丝</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φ0.5mm×50mm；具金属柄，可拆卸。</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1019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准备台</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Style w:val="968"/>
                <w:rFonts w:hint="default"/>
                <w:lang w:bidi="ar"/>
              </w:rPr>
              <w:t xml:space="preserve">1、规格：3000mm*1200mm*760mm±1%。</w:t>
            </w:r>
            <w:r>
              <w:rPr>
                <w:rStyle w:val="968"/>
                <w:rFonts w:hint="default"/>
                <w:lang w:bidi="ar"/>
              </w:rPr>
              <w:br/>
            </w:r>
            <w:r>
              <w:rPr>
                <w:rStyle w:val="968"/>
                <w:rFonts w:hint="default"/>
                <w:lang w:bidi="ar"/>
              </w:rPr>
              <w:t xml:space="preserve">2、台面：采用≥12.7mm厚实芯理化板，耐高温、耐腐蚀；</w:t>
            </w:r>
            <w:r>
              <w:rPr>
                <w:rStyle w:val="968"/>
                <w:rFonts w:hint="default"/>
                <w:lang w:bidi="ar"/>
              </w:rPr>
              <w:br/>
            </w:r>
            <w:r>
              <w:rPr>
                <w:rStyle w:val="968"/>
                <w:rFonts w:hint="default"/>
                <w:lang w:bidi="ar"/>
              </w:rPr>
              <w:t xml:space="preserve">3、整柜体说明：外壳采用≥1.0mm优质冷轧钢板在数控加工中心、剪裁、定位打孔、折弯焊接后成型，酸洗磷化处理后喷涂环氧树脂粉末高温烘烤固化。附着力高、表面硬度耐腐蚀性极强，预留有两个位置。</w:t>
            </w:r>
            <w:r>
              <w:rPr>
                <w:rStyle w:val="968"/>
                <w:rFonts w:hint="default"/>
                <w:lang w:bidi="ar"/>
              </w:rPr>
              <w:br/>
            </w:r>
            <w:r>
              <w:rPr>
                <w:rStyle w:val="968"/>
                <w:rFonts w:hint="default"/>
                <w:lang w:bidi="ar"/>
              </w:rPr>
              <w:t xml:space="preserve">4、铰链：阻尼铰链；</w:t>
            </w:r>
            <w:r>
              <w:rPr>
                <w:rStyle w:val="968"/>
                <w:rFonts w:hint="default"/>
                <w:lang w:bidi="ar"/>
              </w:rPr>
              <w:br/>
            </w:r>
            <w:r>
              <w:rPr>
                <w:rStyle w:val="968"/>
                <w:rFonts w:hint="default"/>
                <w:lang w:bidi="ar"/>
              </w:rPr>
              <w:t xml:space="preserve">5、调整脚说明：采用直径≥</w:t>
            </w:r>
            <w:r>
              <w:rPr>
                <w:rStyle w:val="971"/>
                <w:lang w:bidi="ar"/>
              </w:rPr>
              <w:t xml:space="preserve">φ</w:t>
            </w:r>
            <w:r>
              <w:rPr>
                <w:rStyle w:val="968"/>
                <w:rFonts w:hint="default"/>
                <w:lang w:bidi="ar"/>
              </w:rPr>
              <w:t xml:space="preserve">10mm注塑调整脚，防震、防潮、耐腐蚀，可根据室内地坪适当调整柜体高度，最大调节为0-30mm。</w:t>
            </w:r>
            <w:r>
              <w:rPr>
                <w:rStyle w:val="968"/>
                <w:rFonts w:hint="default"/>
                <w:lang w:bidi="ar"/>
              </w:rPr>
              <w:br/>
            </w:r>
            <w:r>
              <w:rPr>
                <w:rStyle w:val="968"/>
                <w:rFonts w:hint="default"/>
                <w:lang w:bidi="ar"/>
              </w:rPr>
              <w:t xml:space="preserve">6、工艺说明：所有钢板焊接经环氧树脂粉喷图后，目视平整无焊点。所有水、电、气路要求安全、适用，并隐藏式安装。在柜体后背板设维修孔。</w:t>
            </w:r>
            <w:r>
              <w:rPr>
                <w:rStyle w:val="968"/>
                <w:rFonts w:hint="default"/>
                <w:lang w:bidi="ar"/>
              </w:rPr>
              <w:br/>
            </w:r>
            <w:r>
              <w:rPr>
                <w:rStyle w:val="968"/>
                <w:rFonts w:hint="default"/>
                <w:lang w:bidi="ar"/>
              </w:rPr>
              <w:t xml:space="preserve">7、下部柜体，门板：采用≥1.0mm冷轧钢板（双层），无焊连接，可拆卸带减震垫。经数控加工、剪裁、定位打孔、折弯焊接成型，酸洗磷化后喷涂环氧树脂粉末，高温烘烤固化。</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张</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1020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钻头组</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柄径：0.3-0.5-0.8-1.0-1.2-1.5-2.0-2.5-3.0-3.2mm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1021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植物半包埋标本</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1.规格：约400x500mm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2.主要工艺：标本植物主要取材于常见植物。采用冻干保色技术 对标本进行专业处理后加专业 UV 打 印背板进行树脂包埋胶进行包膜固 定，保证标本的颜色、根茎花果等 特征。原木色实木相框裱装。</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3.配套：专业标签注解。</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幅</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1022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微量移液器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100µL～1000µL</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1023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滑动变阻器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1、技术规格：电阻200Ω；额定电流1.25A；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3、滑动变阻器要有4个接线端；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4、电阻线绝缘层承受不低于1.5KV的电压不被击穿；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5、在额定电流下工作时，温升不应超过300℃，试验后绕线无松动，绝缘层无破损现象；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6、瓷管表面上釉，光滑平整，无裂纹；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7、常温常湿条件下绝缘电阻应大于20MΩ。</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1024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烧杯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2、规格：50mL，烧杯上标志应清晰、耐久，造型规范、薄厚均匀、无明显偏斜，底部不允许有结石、节瘤存在；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3、放在上不应旋转或摇晃；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4、当向外倾倒液体时，液体呈一束细流流出，不应外溢，不应沿壁外流。</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480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1025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自粘圆盘树脂金刚砂纸</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250mm #320（5片）</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1026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组合式支架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支座2个、滑道2根、滑块6个、金属杆3根、万向夹1个、烧瓶类1个、铁环1个、托盘1个、托盘支杆1根、吊钩4个、绝缘环2个、定滑轮1个。</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1027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电烙铁</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60W，20W，橡胶线。</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1028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静电乒乓</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1、设备参数：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规格：0.9×0.6×1.2m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电源：AC220V/50Hz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功率：500W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展台：采用新型复合材料，经高温模铸压工艺成型。具备优良的电气绝缘性、耐腐蚀性、环保无毒、优异的耐紫外线抗老化性能，阻燃性可达到FVO级，使用寿命长，永不变色的特性。简约时尚的蛋壳造型展台，在满足展示载体的同时，让原本厚重的展台变得更加灵动。场景百搭是它展陈的核心优势，其独特的外观能更好的融入于各种场景空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台面：康贝特板，厚度≧10mm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展台固定脚：碳钢表面电镀钢板厚度≧2mm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部件：有机玻璃罩、不锈钢球、高压线路、6V低压安全防水按钮等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2、功能描述：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静电发生装置产生高压静电，由于静电感应，吊挂的金属球被感应上电荷，当电荷积累到一定量时，带有电荷的极板就与金属球发生作用，首先异性电荷相吸引。这时金属球被吸引到极板上，电荷中和、释放，金属球又被感应上电荷与另一个极板上的电荷相排斥，金属球被推过去，如此金属球左右摆动，并能发出乒乓、乒乓的声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3、操作说明：</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观众按下启动按钮，观众即可看到小球来回摆动。</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1029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发波水槽</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电动波源带同步频闪光源，直投式，水槽升降杆振动源盒频闪光源盒。</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1030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化学实验操作规范和安全要求</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1、2幅，对开开本,纸张不低于</w:t>
            </w:r>
            <w:r>
              <w:rPr>
                <w:rFonts w:hint="eastAsia" w:ascii="宋体" w:hAnsi="宋体" w:cs="宋体"/>
                <w:color w:val="000000"/>
                <w:sz w:val="20"/>
                <w:szCs w:val="20"/>
                <w:lang w:bidi="ar"/>
              </w:rPr>
              <w:t xml:space="preserve">105克铜版纸；2、印刷：四色彩色胶印；3、图形：教学挂图应图像清晰，色泽自然鲜明；4、图片印刷套印准确，层次分明，轮廓实，电分制版无浮雕印；5、网点清晰饱满，小点不秃，大点光洁不糊，质感好；墨色均匀厚实，色彩鲜有光泽，肤色正、接版准确，色调深浅一致；文字印刷压力适度，全图前后轻重一致；全图前后墨色一致，浓淡适度符合要求；版面端正，正反套印准确；文字、标点清晰，笔锋挺秀，无缺笔断划，标题黑实不花，小字不糊不瞎；无脏污、破损；无野墨；成品裁切方正，无明显刀花，无连接页、折角、破头；耐碱折正，书面平服，无皱折。</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1031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学生凳</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1、学生凳面：采用环保型ABS改性塑料一次性注塑成型，面板直径295mm±5mm，表面细纹咬花，防滑不发光。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2、脚钢架：椭圆形无缝钢管，脚钢架尺寸：≥16mm*32mm*1.2mm，焊接完成，结构牢固，经高温粉体烤漆处理，长时间使用也不会产生表面烤漆剥落现象。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3、脚垫：材质：采用PP加耐磨纤维质塑料，实心倒勾式一体射出成型。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4、凳子可通过旋转螺杆来升降凳子高度。</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1316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条</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1032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备用刨刀片2片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长度82mm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1033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线粒体切片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1、适用于小学科学课显微镜观察用；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2、标本在50×和100×显微镜下观察线粒体结构；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3、符合JY/T0067-2011《生物玻片标本通用要求》的规定。</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1034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电泳仪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1、四组输出，输出电压：2V～200V；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2、输出电流：2mA～200mA，额定输出功率（1-40W)；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3、静约3.2kg；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4、环境温度：5℃-40℃，输入功率，约85VA。</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1035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打孔夹板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1．产品由左夹板、右夹板、螺钉及紧固蝴蝶螺母等组成。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2．产品长250mm，宽40mm。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3．左、右夹板应由木质制成。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4．上夹板有直径为6mm、8mm、10mm、12mm直穿孔4个。</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5．紧固螺钉与下夹板坚固为一体，紧固螺钉长度60mm。上夹板上下高度可调，由蝴蝶螺母定位。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6．上夹板、下夹板厚度12mm，具有足够强度。</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1036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耐腐蚀品储存柜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1、尺寸：≥1840mm*900mm*510mm；门类型：双开门；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2、易燃品毒害品储存柜外壳体全部采用≥1.2mm的冷轧钢板，柜体底座采用2.0mm的冷轧钢板,内外表面经酸洗磷化环氧树脂粉末喷涂，烘热固化处理。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易燃品毒害品储存柜体内胆（上，下、左、右内衬板）均采用PP（聚丙烯树脂）板，厚度4mm；柜底部设置≥90*50*145mm进风口，进风口底部有PP（聚丙烯树脂）旋转式可调风阀；柜体的底板中部有≥Φ10mm漏液孔，漏液孔上面盖上不低于60目304*不锈钢网；柜体底部设不低于h=160mm黄沙(防倒）挡板，柜体内部最下层留有可以存放不少于120mm厚黄沙的填埋腔，用于埋放金属钠、黄磷（白磷）等的易燃物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4、柜底装有四个移动尼龙轮，便于易燃品毒害品储存柜移动；前轮后有≥2个手动调节罗杆，方便危化品储存柜定位。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柜中部有≥3个一次成型聚丙烯活动层板，层板四周边缘厚度平均值不小于4.0mm;每层阶梯板外延边有积液槽，积液槽高度平均值不小于3.0mm，最大可能防止液体外溢；每个搁板靠背板处有一排导风口，阶梯高度不小于50mm（包括积液盘的高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柜顶部中间开有≥φ160mm的出风口，柜顶风口内置一个AC220V50HZ0.18A轴流风机，最大风量≥326m³/h，转速≥2550转/min,环境温度（-10-+70）摄氏度，无火花静电，控制开关设置柜体顶部的右上角，当风机开机前要把柜门下面中间的进风口推置打开状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密封件：柜体门与柜体之间应安装防火膨胀密封件，密封件应符合国家相关标准的要求。（柜体门与柜体之间应安装环保热膨胀密封条。当温度为150℃~180℃时密封条局部膨胀，温度达到200℃时密封条全部膨胀，膨胀比例为1:5，以保证储存药品的安全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8、陶瓷纤维棉：柜体应填充具有保温隔热作用的陶瓷纤维棉，陶瓷纤维棉应符合GB/T21114-2019的要求，（密度≥130㎏/m³，厚度:≥40mm）。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9、铰链：铰链应为钢琴式铰链，确保门能开≥180度。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10、电子密码锁：柜体配备电子密码锁和机械锁，实现双人双锁管理，同时锁具具有开锁记录查询功能及隐码功能；天地锁锁舌选用坚韧且有弹性的高分子合成塑料制成，耐磨且抗腐蚀性能极强。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11、环保性能：室内甲醛含量≤0.8mg/m³；苯含量≤0.09mg/m³，甲醛及苯含量符合国家标准要求。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12、电源：符合国家相关标准的要求。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13、通风控制装置：柜体底部应设置进风口及可调风阀，可调风阀旋转灵活，并能控制风量大小。通风管道口径宜采用≥Φ160mm，通风管应耐高温、阻燃、耐腐蚀，符合JGJ/T141-2017的要求。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14、配备接地装置实现完全接地。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15、装箱时柜内外的说明标识：《易燃品毒害品储存柜使用说明书》，《合格证》，《安全储存说明书》，柜门上贴有反光警示标签。</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1037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棱镜分光镜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结构：三棱镜色散型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棱镜材质：光学玻璃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适用波段：可见光区 400～760 nm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载物台调节：3 个调平螺丝，可放置棱镜、光栅</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刻度盘：360° 圆周刻度，带游标读数</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1038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灯光</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1、外壳材料：工程塑料。</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2、功率：≥7W。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3、灯管：LED发光。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4、投射角度：≥180度。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5、额定功率：AC 220V。</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1039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教师电源监测管理模块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1、电源配置教师电源监测管理云，用于教师端对教师电源进行设备管理，实验数据监测管理，异常信息监测管理。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2、用户管理：应可以刷新、新增、修改、删除以及查询用户等相应的操作，并给指定的用户赋予不同的角色，也可以给用户直接赋予不同的功能授权。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3、角色管理：应可以刷新、新增、修改、删除以及查询角色等相应的操作，并给不同的角色赋予不同的功能授权。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4、空间管理：应可以刷新、新增学校区域、修改学校区域、删除学校区域以及搜索学校区域等相应的操作。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5、主控电源管理：应可以刷新，新增、修改、删除以及查询主控电源数据。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6、异常告警管理：应可以查看主控电源异常情况（短路或者过载），并支持Excel数据导出。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7、操作日志管理：应可以查看教师在实验教学过程中的操作过程，便于数据异常的操作追溯，并支持Excel数据导出。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8、教师电源数据管理：应可以查看实验教学过程中的教学电源数据（教师电流和电压），便于实验教学数据的整理，并支持Excel数据导出。</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1040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钢卷尺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1、由尺带、尺盒组成；量程为0mm～5000mm；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2、最小刻度值为1mm，每厘米处的刻线是毫米刻线长的2倍并标有相应数字；刻线均匀、清晰；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3、1m长示值允差±0.8mm，0.001m长示值允差±0.3nm；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4、尺带由不锈钢制成，弹性适宜，进出灵活，有止动装置；尺盒可为塑料制成；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5、符合QB/T2443-1999《钢卷尺》。</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盒</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1041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静电实验箱</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避雷针原理、静电屏蔽、静电除尘、静电植绒、静电乒乓、静电转轮等。</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1042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条形强磁体</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磁感应强度≥0.8T</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1043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手术剪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12.5cm 直尖</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1044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实验桌2</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1、规格：1200*1200*760mm±10mm。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2、台面：采用一体化12mm±1mm实芯理化板台面，耐强酸碱、耐腐蚀、耐有机溶剂，抗菌、抗污染、防水、防火，并经精密加工、倒角、打磨，呈光滑半圆形，注重人性化设计，美观实用。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3、台身结构：新型塑铝结构，整体尺寸为≥1200*600*760mm，两张桌架拼接而成。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书包斗：整体尺寸≥480*290*150mm,壁厚≥3.0mm，采用环保型ABS塑料工程一次性注塑成型，在书包斗的前端中心位置注塑出螺孔，通过螺钉将书包斗与中间横梁固定相接，可拆卸易于组装。中间设置内凹圆槽挂凳卡槽，便于收纳、放置实验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5、桌腿：采用工字型压铸铝一次成型，材料表面经高压静电喷涂环氧树脂防护层，耐酸碱，耐腐蚀处理。上腿规格：长≥585mm宽≥56mm高≥90mm，壁厚≥3.0mm。下腿规格：长≥540mm宽≥51mm高≥80mm，壁厚≥3.0mm。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立柱：采用≥41×95mm，壁厚≥1.8mm。前横梁采用≥36×25mm，壁厚≥1.3mm。中横梁采用≥34×25mm，壁厚≥1.3mm。后横梁：采用≥43×26mm，壁厚≥1.3mm。加强横支撑件：采用≥30×60mm椭圆管，壁厚≥1.5mm。材料表面经高压静电喷涂环氧树脂防护层，耐酸碱，耐腐蚀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7、下腿：下腿设有孔位，可通过螺丝与地面固定。桌脚配有PP脚套装饰盖。</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张</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1045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高中学生电源</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1、双路0V～12V稳压连续可调，1.5A，两路可串联使用，过载保护；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2、交流一路，0V～15V，3A，连续可调正弦波。带不低于2.5级电压表，过载保护。</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1046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绝缘电阻表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1、用于测量各种电机、电缆、变压器、电讯元器件、家用电器和其他电气设备的绝缘电阻；</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2、额定电压：500V，允差±10%；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3、准确度：10级。</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1047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单摆组</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由5个大小不一的摆球组成。</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1048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电源适配器 </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最大电流2A</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1049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砂光片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80目</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1050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室外风管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1、室外风管采用直径为≥400mm，PVC管路或者采用PP焊接管路</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1051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跳舞的回形针</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1、设备参数：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规格：0.9×0.6×1.2m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电源：AC220V/50Hz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功率：500W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展台：采用新型复合材料，经高温模铸压工艺成型。具备优良的电气绝缘性、耐腐蚀性、环保无毒、优异的耐紫外线抗老化性能，阻燃性可达到FVO级，使用寿命长，永不变色的特性。简约时尚的蛋壳造型展台，在满足展示载体的同时，让原本厚重的展台变得更加灵动。场景百搭是它展陈的核心优势，其独特的外观能更好的融入于各种场景空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台面：康贝特板，厚度≧10mm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展台固定脚：碳钢表面电镀钢板厚度≧2mm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3.线圈直径60cm，高度20cm，3800匝，磁场强度可调，音乐可以自由变换。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4.FZ8421编程板，12组控制端子，自动变换。安全电压供电12伏，电流30A。56型标准音乐播放版，内存2G,自动切换。透明防护罩，厚度10毫米，高度260毫米。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回形针舞台之下其实暗藏着电磁线圈，线圈通电时产生磁场。当线圈两端随着音乐节奏不断变化时，磁场的强弱也随之变化。而回形针是含有原磁体的铁制成的，处于磁场中就会被磁化，使得回形针直接能够互相吸引。于是，多个回形针相连站立起来，并随着音乐节奏跳起舞来。</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1052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阴极射线管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类型：静电偏转型阴极射线管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偏转方式：两对垂直静电偏转板</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1053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直流电压表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1、等级指数2.5级，量程3V、15V；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2、标度盘：标度盘正面为无光白色，色调柔和，刻度线条平直不间断，清晰鲜明，色差明显；表面清洁平整；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3、指针：指针应挺直，涂色与标度盘颜色的色差要明显。</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1054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电工工具箱</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专用配套工具箱34件套，含22种必备常用工具，工具箱内定点定位，方便使用和管理。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工具包括：电工胶布，1卷，5mPVC电工胶布；芝麻柄螺丝批，2把，6*100mmPH2# 十字一字各一支；芝麻柄螺丝批，2把，5*75mmPH1#，十字一字各一支；芝麻柄螺丝批，2把，3*150mmPH0# 十字一字各一支；钢卷尺，1把，3m*12.5mm公制白色涂脂尺带；吸锡</w:t>
            </w:r>
            <w:r>
              <w:rPr>
                <w:rFonts w:hint="eastAsia" w:ascii="宋体" w:hAnsi="宋体" w:cs="宋体"/>
                <w:color w:val="000000"/>
                <w:sz w:val="20"/>
                <w:szCs w:val="20"/>
                <w:lang w:bidi="ar"/>
              </w:rPr>
              <w:t xml:space="preserve">器，1个，铝塑吸锡泵；剥线钳，1把，磨齿剥线钳、剥线经0.6-2.6mm、后面切线功能；刷子，1把，软毛刷；焊锡丝，1卷，1.0mm FLNX 2.0%；小钢锯，1把，配一根锯条；测电笔，1支，氖管；活动扳手，1把，8”；羊角锤，1把，0.25KG钢管柄；钢丝钳，1把，7”；尖嘴钳，1把，6"；斜口钳，1把，7"；数显万用表，1台，T830B数字；精密螺丝批，6把/套，PH00 PH0 -3.0 -2.0 -1.2；电烙铁，1把，220V50Hz60W；美工刀，1把，单发包胶；烙铁架，1付，内六角扳手1套。</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1055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电磁打点计时器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1、产品组成：电磁打点计时器由计时器主机、固定G形夹、重锤、纸带、复写纸片等组成；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2、6V50HZ黑色塑料材质。</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1056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7mm钻头</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φ7mm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根</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1057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物理实验装饰挂画</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1.墙布：油画布打印，尺寸长5.9m，高2m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视觉文化展示模块：运用CDR/AI/PS等设计软件根据学校设计要求制定图文排版，主要采用透明背胶、UV印刷等方式。另外还要看安装现场以设计为基础计算每个字的大小、字型、颜色，进行搜字。设计内容要求符合现代中小学生基本审美标准。</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项</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1058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绳波演示器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横波、行波、驻波、模拟偏振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工作电源：AC 220V / 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振动频率：1～10Hz 连续可调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驱动方式：电动偏心轮 / 电磁振动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绳长：约 1.5～2.0 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振幅调节：0～20mm 可调</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1059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元素及其化合物</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Style w:val="968"/>
                <w:rFonts w:hint="default"/>
                <w:lang w:bidi="ar"/>
              </w:rPr>
              <w:t xml:space="preserve">以《普通高中化学课程标准（</w:t>
            </w:r>
            <w:r>
              <w:rPr>
                <w:rStyle w:val="970"/>
                <w:lang w:bidi="ar"/>
              </w:rPr>
              <w:t xml:space="preserve">2017</w:t>
            </w:r>
            <w:r>
              <w:rPr>
                <w:rStyle w:val="968"/>
                <w:rFonts w:hint="default"/>
                <w:lang w:bidi="ar"/>
              </w:rPr>
              <w:t xml:space="preserve">年版</w:t>
            </w:r>
            <w:r>
              <w:rPr>
                <w:rStyle w:val="970"/>
                <w:lang w:bidi="ar"/>
              </w:rPr>
              <w:t xml:space="preserve">2020</w:t>
            </w:r>
            <w:r>
              <w:rPr>
                <w:rStyle w:val="968"/>
                <w:rFonts w:hint="default"/>
                <w:lang w:bidi="ar"/>
              </w:rPr>
              <w:t xml:space="preserve">年修订）》为依据，结合各大版本高中化学课程教材，满足高中化学课程的所有实验。此箱是专为教师及学生完成教材要求的实验而设计，采用高度集成的方法将</w:t>
            </w:r>
            <w:r>
              <w:rPr>
                <w:rStyle w:val="970"/>
                <w:lang w:bidi="ar"/>
              </w:rPr>
              <w:t xml:space="preserve">“</w:t>
            </w:r>
            <w:r>
              <w:rPr>
                <w:rStyle w:val="968"/>
                <w:rFonts w:hint="default"/>
                <w:lang w:bidi="ar"/>
              </w:rPr>
              <w:t xml:space="preserve">元素及其化合物</w:t>
            </w:r>
            <w:r>
              <w:rPr>
                <w:rStyle w:val="970"/>
                <w:lang w:bidi="ar"/>
              </w:rPr>
              <w:t xml:space="preserve">”</w:t>
            </w:r>
            <w:r>
              <w:rPr>
                <w:rStyle w:val="968"/>
                <w:rFonts w:hint="default"/>
                <w:lang w:bidi="ar"/>
              </w:rPr>
              <w:t xml:space="preserve">这一知识模块对应的实验需要用到的仪器分块放置在实验箱里，准备简单，管理方便。每款仪器的配置均符合教材上要求的所有实验，充分提高了实验课堂的授课水平和学习质量。对部分实验仪器做了改进和分类，使实验操作更加方便、快捷。</w:t>
            </w:r>
            <w:r>
              <w:rPr>
                <w:rStyle w:val="968"/>
                <w:rFonts w:hint="default"/>
                <w:lang w:bidi="ar"/>
              </w:rPr>
              <w:br/>
            </w:r>
            <w:r>
              <w:rPr>
                <w:rStyle w:val="968"/>
                <w:rFonts w:hint="default"/>
                <w:lang w:bidi="ar"/>
              </w:rPr>
              <w:t xml:space="preserve">外观尺寸</w:t>
            </w:r>
            <w:r>
              <w:rPr>
                <w:rStyle w:val="970"/>
                <w:lang w:bidi="ar"/>
              </w:rPr>
              <w:t xml:space="preserve">(mm)</w:t>
            </w:r>
            <w:r>
              <w:rPr>
                <w:rStyle w:val="968"/>
                <w:rFonts w:hint="default"/>
                <w:lang w:bidi="ar"/>
              </w:rPr>
              <w:t xml:space="preserve">：</w:t>
            </w:r>
            <w:r>
              <w:rPr>
                <w:rStyle w:val="970"/>
                <w:lang w:bidi="ar"/>
              </w:rPr>
              <w:t xml:space="preserve">485*370*155mm</w:t>
            </w:r>
            <w:r>
              <w:rPr>
                <w:rStyle w:val="970"/>
                <w:lang w:bidi="ar"/>
              </w:rPr>
              <w:br/>
            </w:r>
            <w:r>
              <w:rPr>
                <w:rStyle w:val="968"/>
                <w:rFonts w:hint="default"/>
                <w:lang w:bidi="ar"/>
              </w:rPr>
              <w:t xml:space="preserve">箱体颜色：灰色</w:t>
            </w:r>
            <w:r>
              <w:rPr>
                <w:rStyle w:val="968"/>
                <w:rFonts w:hint="default"/>
                <w:lang w:bidi="ar"/>
              </w:rPr>
              <w:br/>
            </w:r>
            <w:r>
              <w:rPr>
                <w:rStyle w:val="968"/>
                <w:rFonts w:hint="default"/>
                <w:lang w:bidi="ar"/>
              </w:rPr>
              <w:t xml:space="preserve">箱体材料：高密度工程塑料（聚丙烯），使用</w:t>
            </w:r>
            <w:r>
              <w:rPr>
                <w:rStyle w:val="970"/>
                <w:lang w:bidi="ar"/>
              </w:rPr>
              <w:t xml:space="preserve">0.5mm</w:t>
            </w:r>
            <w:r>
              <w:rPr>
                <w:rStyle w:val="968"/>
                <w:rFonts w:hint="default"/>
                <w:lang w:bidi="ar"/>
              </w:rPr>
              <w:t xml:space="preserve">厚的</w:t>
            </w:r>
            <w:r>
              <w:rPr>
                <w:rStyle w:val="970"/>
                <w:lang w:bidi="ar"/>
              </w:rPr>
              <w:t xml:space="preserve">PVC</w:t>
            </w:r>
            <w:r>
              <w:rPr>
                <w:rStyle w:val="968"/>
                <w:rFonts w:hint="default"/>
                <w:lang w:bidi="ar"/>
              </w:rPr>
              <w:t xml:space="preserve">背胶板印刷全套（</w:t>
            </w:r>
            <w:r>
              <w:rPr>
                <w:rStyle w:val="970"/>
                <w:lang w:bidi="ar"/>
              </w:rPr>
              <w:t xml:space="preserve">4</w:t>
            </w:r>
            <w:r>
              <w:rPr>
                <w:rStyle w:val="968"/>
                <w:rFonts w:hint="default"/>
                <w:lang w:bidi="ar"/>
              </w:rPr>
              <w:t xml:space="preserve">张）铭牌，不起皱，不脱落。</w:t>
            </w:r>
            <w:r>
              <w:rPr>
                <w:rStyle w:val="968"/>
                <w:rFonts w:hint="default"/>
                <w:lang w:bidi="ar"/>
              </w:rPr>
              <w:br/>
            </w:r>
            <w:r>
              <w:rPr>
                <w:rStyle w:val="968"/>
                <w:rFonts w:hint="default"/>
                <w:lang w:bidi="ar"/>
              </w:rPr>
              <w:t xml:space="preserve">箱体内部零件固定体：采用高发泡隔离填充材料，内部零件固定体采用双层双色工艺制作，更能凸显零件的立体效果，上层绿色下层黑色，使用不同颜色的材质制造更容易找到相应器材。零件固定体按零件形状数控雕刻成型，每种实验器材有相对应插槽，每种实验器材设有固定位置。</w:t>
            </w:r>
            <w:r>
              <w:rPr>
                <w:rStyle w:val="968"/>
                <w:rFonts w:hint="default"/>
                <w:lang w:bidi="ar"/>
              </w:rPr>
              <w:br/>
            </w:r>
            <w:r>
              <w:rPr>
                <w:rStyle w:val="968"/>
                <w:rFonts w:hint="default"/>
                <w:lang w:bidi="ar"/>
              </w:rPr>
              <w:t xml:space="preserve">实验器材：镊子、表面皿、泥三角、坩埚、酒精灯、</w:t>
            </w:r>
            <w:r>
              <w:rPr>
                <w:rStyle w:val="970"/>
                <w:lang w:bidi="ar"/>
              </w:rPr>
              <w:t xml:space="preserve">250mL</w:t>
            </w:r>
            <w:r>
              <w:rPr>
                <w:rStyle w:val="968"/>
                <w:rFonts w:hint="default"/>
                <w:lang w:bidi="ar"/>
              </w:rPr>
              <w:t xml:space="preserve">烧杯、</w:t>
            </w:r>
            <w:r>
              <w:rPr>
                <w:rStyle w:val="970"/>
                <w:lang w:bidi="ar"/>
              </w:rPr>
              <w:t xml:space="preserve">100mL</w:t>
            </w:r>
            <w:r>
              <w:rPr>
                <w:rStyle w:val="968"/>
                <w:rFonts w:hint="default"/>
                <w:lang w:bidi="ar"/>
              </w:rPr>
              <w:t xml:space="preserve">烧杯、胶头滴管、试管（小）、玻璃棒、药匙、红液温度计、试管夹、试管（大）、</w:t>
            </w:r>
            <w:r>
              <w:rPr>
                <w:rStyle w:val="970"/>
                <w:lang w:bidi="ar"/>
              </w:rPr>
              <w:t xml:space="preserve">120°</w:t>
            </w:r>
            <w:r>
              <w:rPr>
                <w:rStyle w:val="968"/>
                <w:rFonts w:hint="default"/>
                <w:lang w:bidi="ar"/>
              </w:rPr>
              <w:t xml:space="preserve">弯管、长直角玻璃管、口部具支试管、短直角玻璃管、止水皮管夹、玻璃导管、圆底烧瓶、</w:t>
            </w:r>
            <w:r>
              <w:rPr>
                <w:rStyle w:val="970"/>
                <w:lang w:bidi="ar"/>
              </w:rPr>
              <w:t xml:space="preserve">10mL</w:t>
            </w:r>
            <w:r>
              <w:rPr>
                <w:rStyle w:val="968"/>
                <w:rFonts w:hint="default"/>
                <w:lang w:bidi="ar"/>
              </w:rPr>
              <w:t xml:space="preserve">量筒、石棉网、漏斗、蒸发皿、坩埚钳等。</w:t>
            </w:r>
            <w:r>
              <w:rPr>
                <w:rStyle w:val="968"/>
                <w:rFonts w:hint="default"/>
                <w:lang w:bidi="ar"/>
              </w:rPr>
              <w:br/>
            </w:r>
            <w:r>
              <w:rPr>
                <w:rStyle w:val="968"/>
                <w:rFonts w:hint="default"/>
                <w:lang w:bidi="ar"/>
              </w:rPr>
              <w:t xml:space="preserve">可做实验：</w:t>
            </w:r>
            <w:r>
              <w:rPr>
                <w:rStyle w:val="970"/>
                <w:lang w:bidi="ar"/>
              </w:rPr>
              <w:t xml:space="preserve">1</w:t>
            </w:r>
            <w:r>
              <w:rPr>
                <w:rStyle w:val="968"/>
                <w:rFonts w:hint="default"/>
                <w:lang w:bidi="ar"/>
              </w:rPr>
              <w:t xml:space="preserve">、观察钠；</w:t>
            </w:r>
            <w:r>
              <w:rPr>
                <w:rStyle w:val="970"/>
                <w:lang w:bidi="ar"/>
              </w:rPr>
              <w:t xml:space="preserve">2</w:t>
            </w:r>
            <w:r>
              <w:rPr>
                <w:rStyle w:val="968"/>
                <w:rFonts w:hint="default"/>
                <w:lang w:bidi="ar"/>
              </w:rPr>
              <w:t xml:space="preserve">、钠在空气中加热；</w:t>
            </w:r>
            <w:r>
              <w:rPr>
                <w:rStyle w:val="970"/>
                <w:lang w:bidi="ar"/>
              </w:rPr>
              <w:t xml:space="preserve">3</w:t>
            </w:r>
            <w:r>
              <w:rPr>
                <w:rStyle w:val="968"/>
                <w:rFonts w:hint="default"/>
                <w:lang w:bidi="ar"/>
              </w:rPr>
              <w:t xml:space="preserve">、钠与水的反应；</w:t>
            </w:r>
            <w:r>
              <w:rPr>
                <w:rStyle w:val="970"/>
                <w:lang w:bidi="ar"/>
              </w:rPr>
              <w:t xml:space="preserve">4</w:t>
            </w:r>
            <w:r>
              <w:rPr>
                <w:rStyle w:val="968"/>
                <w:rFonts w:hint="default"/>
                <w:lang w:bidi="ar"/>
              </w:rPr>
              <w:t xml:space="preserve">、过氧化钠与水的反应；</w:t>
            </w:r>
            <w:r>
              <w:rPr>
                <w:rStyle w:val="970"/>
                <w:lang w:bidi="ar"/>
              </w:rPr>
              <w:t xml:space="preserve">5</w:t>
            </w:r>
            <w:r>
              <w:rPr>
                <w:rStyle w:val="968"/>
                <w:rFonts w:hint="default"/>
                <w:lang w:bidi="ar"/>
              </w:rPr>
              <w:t xml:space="preserve">、观察碳酸钠和碳酸氢钠；</w:t>
            </w:r>
            <w:r>
              <w:rPr>
                <w:rStyle w:val="970"/>
                <w:lang w:bidi="ar"/>
              </w:rPr>
              <w:t xml:space="preserve">6</w:t>
            </w:r>
            <w:r>
              <w:rPr>
                <w:rStyle w:val="968"/>
                <w:rFonts w:hint="default"/>
                <w:lang w:bidi="ar"/>
              </w:rPr>
              <w:t xml:space="preserve">、加热碳酸钠和碳酸氢钠；</w:t>
            </w:r>
            <w:r>
              <w:rPr>
                <w:rStyle w:val="970"/>
                <w:lang w:bidi="ar"/>
              </w:rPr>
              <w:t xml:space="preserve">7</w:t>
            </w:r>
            <w:r>
              <w:rPr>
                <w:rStyle w:val="968"/>
                <w:rFonts w:hint="default"/>
                <w:lang w:bidi="ar"/>
              </w:rPr>
              <w:t xml:space="preserve">、氢气在氯气中燃烧；</w:t>
            </w:r>
            <w:r>
              <w:rPr>
                <w:rStyle w:val="970"/>
                <w:lang w:bidi="ar"/>
              </w:rPr>
              <w:t xml:space="preserve">8</w:t>
            </w:r>
            <w:r>
              <w:rPr>
                <w:rStyle w:val="968"/>
                <w:rFonts w:hint="default"/>
                <w:lang w:bidi="ar"/>
              </w:rPr>
              <w:t xml:space="preserve">、探究次氯酸的漂白性；</w:t>
            </w:r>
            <w:r>
              <w:rPr>
                <w:rStyle w:val="970"/>
                <w:lang w:bidi="ar"/>
              </w:rPr>
              <w:t xml:space="preserve">9</w:t>
            </w:r>
            <w:r>
              <w:rPr>
                <w:rStyle w:val="968"/>
                <w:rFonts w:hint="default"/>
                <w:lang w:bidi="ar"/>
              </w:rPr>
              <w:t xml:space="preserve">、氯离子的检验；</w:t>
            </w:r>
            <w:r>
              <w:rPr>
                <w:rStyle w:val="970"/>
                <w:lang w:bidi="ar"/>
              </w:rPr>
              <w:t xml:space="preserve">10</w:t>
            </w:r>
            <w:r>
              <w:rPr>
                <w:rStyle w:val="968"/>
                <w:rFonts w:hint="default"/>
                <w:lang w:bidi="ar"/>
              </w:rPr>
              <w:t xml:space="preserve">、探究氢氧化铁和氢氧化亚铁的性质；</w:t>
            </w:r>
            <w:r>
              <w:rPr>
                <w:rStyle w:val="970"/>
                <w:lang w:bidi="ar"/>
              </w:rPr>
              <w:t xml:space="preserve">11</w:t>
            </w:r>
            <w:r>
              <w:rPr>
                <w:rStyle w:val="968"/>
                <w:rFonts w:hint="default"/>
                <w:lang w:bidi="ar"/>
              </w:rPr>
              <w:t xml:space="preserve">、铁离子的检验；</w:t>
            </w:r>
            <w:r>
              <w:rPr>
                <w:rStyle w:val="970"/>
                <w:lang w:bidi="ar"/>
              </w:rPr>
              <w:t xml:space="preserve">12</w:t>
            </w:r>
            <w:r>
              <w:rPr>
                <w:rStyle w:val="968"/>
                <w:rFonts w:hint="default"/>
                <w:lang w:bidi="ar"/>
              </w:rPr>
              <w:t xml:space="preserve">、铁离子与亚铁离子之间的相互转化；</w:t>
            </w:r>
            <w:r>
              <w:rPr>
                <w:rStyle w:val="970"/>
                <w:lang w:bidi="ar"/>
              </w:rPr>
              <w:t xml:space="preserve">13</w:t>
            </w:r>
            <w:r>
              <w:rPr>
                <w:rStyle w:val="968"/>
                <w:rFonts w:hint="default"/>
                <w:lang w:bidi="ar"/>
              </w:rPr>
              <w:t xml:space="preserve">、利用覆铜板制作图案；</w:t>
            </w:r>
            <w:r>
              <w:rPr>
                <w:rStyle w:val="970"/>
                <w:lang w:bidi="ar"/>
              </w:rPr>
              <w:t xml:space="preserve">14</w:t>
            </w:r>
            <w:r>
              <w:rPr>
                <w:rStyle w:val="968"/>
                <w:rFonts w:hint="default"/>
                <w:lang w:bidi="ar"/>
              </w:rPr>
              <w:t xml:space="preserve">、检验食品中的铁元素等。</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1060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电磁定位设备</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一、组成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1.电磁定位板由支架、电磁定位板、纵横向保护槽、信号源、弹射器、附件组成。定位范围：578mm×330mm。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2.材质：铝合金+亚克力</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3.工艺：表面亚光黑色氧化</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二、功能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1.最高采样频率：200Hz/s；</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2.定位精度：≤1mm。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3.通过实时定位，检测跟踪信号源在定位板上的位置，研究物体在二维平面内运动规律。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三、实验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标配实验配件为三速弹射器，用于抛射信号源，可完成平抛运动/斜抛运动的相关实验研究。可以选配其它实验配件，完成单摆、自由落体运动、机械能守恒定律、阻尼振动、离心运动、运动的合成、圆周运动物体的投影及速度方向等十几个相关实验。</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1061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移液器</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1、五种规格为一套，量程分别为：0.5-10μL、10-100μL、20-200μL、100-1000μL、1000-5000μL。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2.轻触式吸头脱卸与调数锁定装置一体化集成，避免误操作及手部疲劳。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3.4位大数字显示，更加精确易读。</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4.颜色识别：方便快速识别量程和适配吸头。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5.采用张力钢琴弹簧技术，按压力轻。</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6.内置密度调节装置，可根据不同液体密度进行微调，提高移液器准确性和精确性。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7.TRTG数码轮微调装置，可以单手独立操作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8.移液杆可高温高压灭菌和紫外线灭菌，操作更安全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9.小量程移液器活塞功能增强设计，确保强吹出能力。</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1062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集气瓶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1、透明钠钙玻璃材质，由磨口瓶和玻片组成；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2、规格：250mL；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3、磨砂密合性：盖板与瓶口充分湿润密合后，倒提瓶体，盖板附瓶口上应保持30秒不掉；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4、瓶身光洁圆整，不得有扁瘪现象，瓶底平稳，不允许有旋转缩径和磨光的小缺口；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1063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虎钳固定块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螺纹规格：M6×1 细牙 / 标准牙</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定位 / 重复精度：≤0.02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夹紧方式：单向 / 双向斜楔式（OK 夹具），静电 / 机械锁紧</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1064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日常备用包</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尼龙包、绷带、弹性绷带、纸胶带、安全剐针、剪刀、口对口人工呼吸器、止血铁、湿巾纸、纱布、刨口贴。</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1065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专业钻磨机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转速：6,000 ~ 34,000 rpm,电压：220V,功率400W,长度：268mm,重量：约980g,夹紧范围：0.6~6.5mm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1066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血球计数板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材质：优质厚玻璃制成；0.01MM，1\400MM2。</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1067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学生多功能电源模块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1、教师主控型，学生低压电源都可接收主控电源发送的锁定信号，在锁定指示灯点亮后，学生接收老师输送的设定电源电压，教师锁定时,学生自己无法操作，这样可避免学生的误操作。可以分组或独立控制；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2、学生电源采用耐磨、耐腐蚀、耐高温的PC亮光薄膜面板，学生电源的控制采用按钮式按键，可以随意设置电压，贴片元件生产技术，微电脑控制，采用大于4寸液晶显示电源学生交直流电压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3、学生交流电源通过上下键0～30V电压，最小调节单元可达1V,额定电流2.5A；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4、学生直流电源也是通过上下键选取，调节范围为0V～30V，分辨率可达0.1V,额定电流2A。                                                                          5、一个吊舱有2个网络接口，方便随时能上网。</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1068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实验用品提篮</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可固定试管、试剂瓶等仪器，木质成型,厚度不小于1cm,配备提手，提手高度不小于38cm。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1069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电动木工雕刻刀 </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1.夹持范围：0.5-3.2mm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2.功率：72W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3.转速范围：8000-30000r/min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4.输入电压：220V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5.机身尺寸：162x47mm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1070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组织捣碎匀浆机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1、0r/min～1200r/min，无级调速；</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2、最大容量：1L；210*260*430mm；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3、工作电压为220V。</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1071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炼苗架</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1、占地尺寸（长*宽*高）124*44*180CM，尺寸偏差偏差±2cm；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2、冷压钢板喷塑架，产品层板为采用冷压钢板，暗式布线，特别适合教学组培使用；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3、铝合金厚度：≥0.7mm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4、光照层共4层，每层配3根植物生长灯灯管，采用高亮LED光源，高透光阻燃PC灯罩，18W/根，配国标线缆；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5、带有微电脑独立控时装置，独立编程控时，每天最高可达12组开关模式，适用于-30℃-50℃，记时误±0.5秒/天；</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1072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交流电流表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1、采用磁电系表头，适于做低压交流电流的测量，电表采取半波整流及滤波，表身为光亮黑色有机玻璃壳，设有防震装置和磁短路片；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2、测量范围：单刻度：双量程、100MA和500MA；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3、准确度等级：2.5级；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4、工作位置：表面与合面成45度角；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5、阻尼时间：不大于4秒。</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1073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波动演示器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外形尺寸：约 1000×400×80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单杆长度：约 280～320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摆动幅度：±30° 可调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驱动方式：手动摇柄 / 电动同步驱动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演示波形：横波、纵波、驻波、波的反射、干涉、衍射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材质：金属连杆 + 塑料摆片，底座钢制</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1074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冲子</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规格范围：直径 φ2mm – φ20mm，按整数尺寸分级配备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材质：高碳钢 / 铬钒合金钢，整体淬火处理</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1075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无线数显钾离子传感器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显示模块：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独立模块化结构，与各种传感器组合使用，具备独立数据显示、数据存储、数据上传功能。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接入后自动识别传感器，实时显示传感器测量数据，支持多值传感器数据显示及存储，数据显示屏刷新频率10Hz；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1.77寸（±0.1寸）彩屏，采用智能接口与传感器连接，接口具有方向性和自锁功能，可以防止传感器在使用过程中脱落，保证数据传输稳定；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屏幕可显示二维码，通过移动终端设备扫描二维码进行无线连接，采用蓝牙4.0传输协议，可将传感器测量数据实时传输到APP。</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设有按键开关，工作状态下，可通过调动按键开关切换数据显示和二维码界面；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通过移动终端设备可设置数据显示精度以及数据调零，可对数据进行描点绘图处理。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可将模块存储的测量数据导出至计算机进行数据分析（兼充电）；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采用充电锂电供电，电池电压3.7V，容量1100mAh，待机时间10小时，采用microUSB充电接口；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数据存储频率5Hz，存储容量最大262,144个数据点。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注：续航时间和连接的传感器有关，差别较大。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传感器尺寸：77*41*25（mm）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功能模块用于测量溶液中钾离子的含量；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性能：测量范围：0～1mol/L；分度：10-5mol/L；最大采样率：5KHz；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技术指标：pH范围：2～12，温度范围：0～50℃，电极电阻：10～20MΩ，再现性：±2%；</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结构：使用BNC连接器方式与电极连接，电极长度155mm，壳体直径12mm，帽盖直径16mm，导线长度100cm；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传感器尺寸：80*40*25(mm)，由高强度塑料外壳封装，采用注塑工艺，材质为蓝色透明PC。外壳设计M5螺丝孔位，可将传感器固定在多种操作和装置上；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传感器数据处理电路为双主板设计，采用技术成熟的SMT生产工艺，可保证传感器经久耐用，数据传输稳定、持续；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采用智能接口，输出数字信号，接口具有方向性和自锁功能，可以防止传感器在使用过程中脱落，保证数据传输稳定；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模块化、可热插拔设计，支持有线通讯、无线通讯和屏幕数据显示三种工作方式；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可应用于Windows、Android、iOS、麒麟、统信、鸿蒙操作。</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6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1076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高中物理系列2选修多媒体互动教学配套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实验和相应教材配套，覆盖高中物理系列2选修模块内容，DVD光盘;1碟装。</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1077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锥形瓶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2、规格：锥形，100mL；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3、底部不允许有结石、节瘤存在；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1078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黑藻叶装片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观察材料：黑藻幼嫩叶片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观察结构：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细胞质流动（胞质环流）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叶绿体形态与分布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叶片表皮细胞结构</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1079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电子温度计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1、测量温度范围：32.00～42.00℃；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2、分辨力：0.01℃；</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3、精度：0.05℃。</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1080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磁性参数实验仪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主要实验内容：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1、学习磁滞回线的物理概念和测量原理，用示波器观察动态磁滞回线；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2、测量动态磁滞回线，并计算Br、Bs、Hc等值；</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3、不同频率的动态磁滞回线的区别。</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主要技术参数：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1、内置专用低阻信号源：幅度0～2Vrms连续可调；频率25～200Hz连续可调，不受市电影响，磁滞回线的图形稳定、准确；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2、两种磁性材料：罗兰环铁氧体、EI型硅钢片；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3、四位频率表：测量范围20～1000Hz，最小分辨率：0.01Hz；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4、可调标准RC元件：测量H电阻R1：0～2Ω可调，测量B电阻R2：1K～110KΩ可调，精度0.5%；标准电容C：0.1μF、1μF、20μF，精度0.5%；可用示波器直接测量出一定频率下的Br、Bs、Hc等值，无需定标。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5、含100MHz双踪数字示波器</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1081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学生端图像分析</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1、可以根据用户需求可以对参数做相应设置：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1）自动曝光：提供手动设置和自动设置两种模式，默认自动模式。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2）白平衡：提供自动和一键两种模式，默认自动模式。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3）曝光:根据需要调节曝光时间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4）对比度：根据需要调节图像对比度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5）饱和度：根据需要调节图像饱和度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6）亮度：根据需要调节图像亮度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7）锐度：根据需要调节图像锐度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8）色温：根据需要调节图像色温</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标定设置：提供标定模式，按线标定或圆标定两种标定模式可选，点线标定图标后，预览界面会直接显示线段，根据标定尺的位置和长度，鼠标将线段移至标定尺上方与相应刻度重合即可，设置名称、单位、精度、最后点保存图标即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3、测量模式：点坐标、直线、折线（鼠标右键结束）、画圆等操作、径画圆、三点画圆、同心圆、圆心距等操作等；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4、拍照、录像功能：内置一键拍照、一键开始录像功能。</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1082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测电笔</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1、全长不小于152mm，由测电头、绝缘手柄组成，测量范围：交流12V-220V；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2、刀杆材料选用优质CR-V钢，全硬热处理，达到CE标准；手柄绝缘性能良好；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3、安全、结构、外观应符合JY0001第5、6、7的有关要求执行。</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1083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智能分光光度</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1.硬件包含智能分光光度计主机1台、比色皿10个、数据线1条、充电头1个；器材尺寸：150×90×60mm。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2.主机包含标有序号的4个比色皿卡槽，可同时放入4个比色皿，内置传动装置，可自动切换4个样品，通过软件选择任意一个需要测量的样品，进行吸光据测量。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3.可输出8个波段（8个波段分别为405nm-425nm、435nm-455nm、470nm-490nm、505nm-525nm、545nm-565nm、580nm-600nm、620nm-640nm、670nm-690nm。）的测量数据；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4.主机有电源开关按键、充电指示灯、USB数据通讯指示灯、蓝牙通讯指示灯、type-c数据和充电二合一接口；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5.测量透射率范围0~100%，分度0.1%；</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6.主机充电中和充满后有指示灯反馈；</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7.可通过蓝牙无线或者有线方式与计算机通讯；可应用于Windows，安卓，Linux、ios、麒麟、统信、鸿蒙。</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8.蓝牙无线通讯时，蓝牙指示灯会亮起；有线通讯时，USB数据通讯指示灯会亮起；</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9.包含原理介绍，能够借助硬件和软件自动联动，同时呈现出仪器的工作过程和实验数据。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10.产品经过高低温试验（产品经低温-20℃、高温55℃贮存72小时后，能正常工作）、恒定湿热试验（产品经温度50℃、湿度90%RH，贮存72小时后，能正常工作。）合格。</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1084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托盘天平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1、最大称量100g，分度值0.1g；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2、称量允许误差为±0.5d(分度值)；</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3、砝码组合的总质量（包括标尺计量值）应不小于天平的最大秤量；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4、冲压件及铸件表面应光洁平整，不应有毛刺、锋棱、裂纹和显见砂眼。</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1085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DNA电泳图谱观察仪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1、非紫外光源，观察凝胶面积＞100mm×100mm；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2、工作电流0.6A，输出电压220V，工作电压12V。</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1086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带柄铣刀组 2-5mm (4支组)</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铣刀直径2-3-4-5mm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盒</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1087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錾子</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规格为20mmx12mmx200mm，优质全锋钢刀口，火头硬，可用作錾铁，钢筋，水泥等。</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1088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小型医疗箱</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内含：医用纱布块（大号）*10，医用弹性绷带*6，自黏式弹性绷带*1，创可贴*10，医用透气胶带*1，碘伏消毒液*20，医用敷贴（中号）*2，弹力帽*1，三角绷带*1，卡扣式止血带*1，玻璃体温计*1，瞬冷冰袋*1，医用酒精棉片*10，医用烧伤敷料（烫伤膏）*1，急救毯*1，呼吸面罩*1，自吸过滤式防颗粒物口罩*2，圆头剪刀*1，敷料镊子*1，安全别针*10，高频救生哨*1，急救手册*1，健康急救卡*1，售后服务卡*1，急救知识光盘*1，ZE-L-006A外箱*1，配置清单*1</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1089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下水装置</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1、规格:直径≥35mm*长度≥500mm水槽专配型排水管，不锈钢卡扣连接，安装方便不渗漏</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180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1090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观察通电导线周围的磁场分布</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Style w:val="968"/>
                <w:rFonts w:hint="default"/>
                <w:lang w:bidi="ar"/>
              </w:rPr>
              <w:t xml:space="preserve">一、整体规格：</w:t>
            </w:r>
            <w:r>
              <w:rPr>
                <w:rStyle w:val="968"/>
                <w:rFonts w:hint="default"/>
                <w:lang w:bidi="ar"/>
              </w:rPr>
              <w:br/>
            </w:r>
            <w:r>
              <w:rPr>
                <w:rStyle w:val="968"/>
                <w:rFonts w:hint="default"/>
                <w:lang w:bidi="ar"/>
              </w:rPr>
              <w:t xml:space="preserve">1.安装方式：台式</w:t>
            </w:r>
            <w:r>
              <w:rPr>
                <w:rStyle w:val="968"/>
                <w:rFonts w:hint="default"/>
                <w:lang w:bidi="ar"/>
              </w:rPr>
              <w:br/>
            </w:r>
            <w:r>
              <w:rPr>
                <w:rStyle w:val="968"/>
                <w:rFonts w:hint="default"/>
                <w:lang w:bidi="ar"/>
              </w:rPr>
              <w:t xml:space="preserve">2.外观尺寸：300×200×300mm(长×宽×高)</w:t>
            </w:r>
            <w:r>
              <w:rPr>
                <w:rStyle w:val="968"/>
                <w:rFonts w:hint="default"/>
                <w:lang w:bidi="ar"/>
              </w:rPr>
              <w:br/>
            </w:r>
            <w:r>
              <w:rPr>
                <w:rStyle w:val="968"/>
                <w:rFonts w:hint="default"/>
                <w:lang w:bidi="ar"/>
              </w:rPr>
              <w:t xml:space="preserve">3.机身材质：Q235优质镀锌钢板，标准板厚1mm；经恒温280℃喷塑处理，涂层坚固，防潮、防腐蚀，并通过盐雾试验，确保长期耐用。</w:t>
            </w:r>
            <w:r>
              <w:rPr>
                <w:rStyle w:val="968"/>
                <w:rFonts w:hint="default"/>
                <w:lang w:bidi="ar"/>
              </w:rPr>
              <w:br/>
            </w:r>
            <w:r>
              <w:rPr>
                <w:rStyle w:val="968"/>
                <w:rFonts w:hint="default"/>
                <w:lang w:bidi="ar"/>
              </w:rPr>
              <w:t xml:space="preserve">二、线圈：</w:t>
            </w:r>
            <w:r>
              <w:rPr>
                <w:rStyle w:val="968"/>
                <w:rFonts w:hint="default"/>
                <w:lang w:bidi="ar"/>
              </w:rPr>
              <w:br/>
            </w:r>
            <w:r>
              <w:rPr>
                <w:rStyle w:val="968"/>
                <w:rFonts w:hint="default"/>
                <w:lang w:bidi="ar"/>
              </w:rPr>
              <w:t xml:space="preserve">1.骨架：高透明度亚克力材质，尺寸为外径</w:t>
            </w:r>
            <w:r>
              <w:rPr>
                <w:rStyle w:val="971"/>
                <w:lang w:bidi="ar"/>
              </w:rPr>
              <w:t xml:space="preserve">φ</w:t>
            </w:r>
            <w:r>
              <w:rPr>
                <w:rStyle w:val="968"/>
                <w:rFonts w:hint="default"/>
                <w:lang w:bidi="ar"/>
              </w:rPr>
              <w:t xml:space="preserve">180mm×厚度20mm，便于观察线圈绕向与结构。</w:t>
            </w:r>
            <w:r>
              <w:rPr>
                <w:rStyle w:val="968"/>
                <w:rFonts w:hint="default"/>
                <w:lang w:bidi="ar"/>
              </w:rPr>
              <w:br/>
            </w:r>
            <w:r>
              <w:rPr>
                <w:rStyle w:val="968"/>
                <w:rFonts w:hint="default"/>
                <w:lang w:bidi="ar"/>
              </w:rPr>
              <w:t xml:space="preserve">2.线圈：采用大线径漆包线绕制，匝数精确匹配，确保通入大电流时能产生足够强的磁场和相互作用力，现象明显。</w:t>
            </w:r>
            <w:r>
              <w:rPr>
                <w:rStyle w:val="968"/>
                <w:rFonts w:hint="default"/>
                <w:lang w:bidi="ar"/>
              </w:rPr>
              <w:br/>
            </w:r>
            <w:r>
              <w:rPr>
                <w:rStyle w:val="968"/>
                <w:rFonts w:hint="default"/>
                <w:lang w:bidi="ar"/>
              </w:rPr>
              <w:t xml:space="preserve">3.接线方式： 配备4根带彩色橡胶插头的优质导线（红黑各两根），插接牢固，并可方便地交换正负极，从而改变线圈中的电流方向，演示不同的力（吸引/排斥）。</w:t>
            </w:r>
            <w:r>
              <w:rPr>
                <w:rStyle w:val="968"/>
                <w:rFonts w:hint="default"/>
                <w:lang w:bidi="ar"/>
              </w:rPr>
              <w:br/>
            </w:r>
            <w:r>
              <w:rPr>
                <w:rStyle w:val="968"/>
                <w:rFonts w:hint="default"/>
                <w:lang w:bidi="ar"/>
              </w:rPr>
              <w:t xml:space="preserve">三、环形电源变压器参数：</w:t>
            </w:r>
            <w:r>
              <w:rPr>
                <w:rStyle w:val="968"/>
                <w:rFonts w:hint="default"/>
                <w:lang w:bidi="ar"/>
              </w:rPr>
              <w:br/>
            </w:r>
            <w:r>
              <w:rPr>
                <w:rStyle w:val="968"/>
                <w:rFonts w:hint="default"/>
                <w:lang w:bidi="ar"/>
              </w:rPr>
              <w:t xml:space="preserve">线圈：优质纯铜线绕制，双层绝缘，确保大电流下的安全与稳定性。</w:t>
            </w:r>
            <w:r>
              <w:rPr>
                <w:rStyle w:val="968"/>
                <w:rFonts w:hint="default"/>
                <w:lang w:bidi="ar"/>
              </w:rPr>
              <w:br/>
            </w:r>
            <w:r>
              <w:rPr>
                <w:rStyle w:val="968"/>
                <w:rFonts w:hint="default"/>
                <w:lang w:bidi="ar"/>
              </w:rPr>
              <w:t xml:space="preserve">铁芯：优质高磁导率硅钢片，损耗低，效率高。</w:t>
            </w:r>
            <w:r>
              <w:rPr>
                <w:rStyle w:val="968"/>
                <w:rFonts w:hint="default"/>
                <w:lang w:bidi="ar"/>
              </w:rPr>
              <w:br/>
            </w:r>
            <w:r>
              <w:rPr>
                <w:rStyle w:val="968"/>
                <w:rFonts w:hint="default"/>
                <w:lang w:bidi="ar"/>
              </w:rPr>
              <w:t xml:space="preserve">功率：200VA，能提供强大的瞬时电流，保证演示的震撼效果。</w:t>
            </w:r>
            <w:r>
              <w:rPr>
                <w:rStyle w:val="968"/>
                <w:rFonts w:hint="default"/>
                <w:lang w:bidi="ar"/>
              </w:rPr>
              <w:br/>
            </w:r>
            <w:r>
              <w:rPr>
                <w:rStyle w:val="968"/>
                <w:rFonts w:hint="default"/>
                <w:lang w:bidi="ar"/>
              </w:rPr>
              <w:t xml:space="preserve">输入：AC 220V / 50Hz</w:t>
            </w:r>
            <w:r>
              <w:rPr>
                <w:rStyle w:val="968"/>
                <w:rFonts w:hint="default"/>
                <w:lang w:bidi="ar"/>
              </w:rPr>
              <w:br/>
            </w:r>
            <w:r>
              <w:rPr>
                <w:rStyle w:val="968"/>
                <w:rFonts w:hint="default"/>
                <w:lang w:bidi="ar"/>
              </w:rPr>
              <w:t xml:space="preserve">输出：低电压、大电流交流输出。</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1091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模拟常见电场的电场线分布</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Style w:val="968"/>
                <w:rFonts w:hint="default"/>
                <w:lang w:bidi="ar"/>
              </w:rPr>
            </w:pPr>
            <w:r>
              <w:rPr>
                <w:rStyle w:val="968"/>
                <w:rFonts w:hint="default"/>
                <w:lang w:bidi="ar"/>
              </w:rPr>
              <w:t xml:space="preserve">规格：460*360*90mm</w:t>
            </w:r>
            <w:r>
              <w:rPr>
                <w:rStyle w:val="968"/>
                <w:rFonts w:hint="default"/>
                <w:lang w:bidi="ar"/>
              </w:rPr>
              <w:br/>
            </w:r>
            <w:r>
              <w:rPr>
                <w:rStyle w:val="968"/>
                <w:rFonts w:hint="default"/>
                <w:lang w:bidi="ar"/>
              </w:rPr>
              <w:t xml:space="preserve">实验目的： 演示常见电场的电场线分布。</w:t>
            </w:r>
            <w:r>
              <w:rPr>
                <w:rStyle w:val="968"/>
                <w:rFonts w:hint="default"/>
                <w:lang w:bidi="ar"/>
              </w:rPr>
              <w:br/>
            </w:r>
            <w:r>
              <w:rPr>
                <w:rStyle w:val="968"/>
                <w:rFonts w:hint="default"/>
                <w:lang w:bidi="ar"/>
              </w:rPr>
              <w:t xml:space="preserve">实验器材： 电场线演示器、起电机、导线。</w:t>
            </w:r>
            <w:r>
              <w:rPr>
                <w:rStyle w:val="968"/>
                <w:rFonts w:hint="default"/>
                <w:lang w:bidi="ar"/>
              </w:rPr>
              <w:br/>
            </w:r>
            <w:r>
              <w:rPr>
                <w:rStyle w:val="968"/>
                <w:rFonts w:hint="default"/>
                <w:lang w:bidi="ar"/>
              </w:rPr>
              <w:t xml:space="preserve">实验内容：</w:t>
            </w:r>
            <w:r>
              <w:rPr>
                <w:rStyle w:val="968"/>
                <w:rFonts w:hint="default"/>
                <w:lang w:bidi="ar"/>
              </w:rPr>
              <w:br/>
            </w:r>
            <w:r>
              <w:rPr>
                <w:rStyle w:val="968"/>
                <w:rFonts w:hint="default"/>
                <w:lang w:bidi="ar"/>
              </w:rPr>
              <w:t xml:space="preserve">摇换演示器，使发屑均匀分布，然后把演示器平放在桌面上，用导线 将电极与起电机的放电球连接，让起电机起电，即可得到电力线的形状。</w:t>
            </w:r>
            <w:r>
              <w:rPr>
                <w:rStyle w:val="968"/>
                <w:rFonts w:hint="default"/>
                <w:lang w:bidi="ar"/>
              </w:rPr>
              <w:br/>
            </w:r>
            <w:r>
              <w:rPr>
                <w:rStyle w:val="968"/>
                <w:rFonts w:hint="default"/>
                <w:lang w:bidi="ar"/>
              </w:rPr>
              <w:t xml:space="preserve">1.一个点电极的电场。</w:t>
            </w:r>
            <w:r>
              <w:rPr>
                <w:rStyle w:val="968"/>
                <w:rFonts w:hint="default"/>
                <w:lang w:bidi="ar"/>
              </w:rPr>
              <w:br/>
            </w:r>
            <w:r>
              <w:rPr>
                <w:rStyle w:val="968"/>
                <w:rFonts w:hint="default"/>
                <w:lang w:bidi="ar"/>
              </w:rPr>
              <w:t xml:space="preserve">2.两个异性点电极的电场。</w:t>
            </w:r>
            <w:r/>
          </w:p>
          <w:p>
            <w:pPr>
              <w:numPr>
                <w:ilvl w:val="0"/>
                <w:numId w:val="6"/>
              </w:numPr>
              <w:jc w:val="left"/>
              <w:spacing w:line="360" w:lineRule="auto"/>
              <w:widowControl/>
              <w:rPr>
                <w:rStyle w:val="968"/>
                <w:rFonts w:hint="default"/>
                <w:lang w:bidi="ar"/>
              </w:rPr>
            </w:pPr>
            <w:r>
              <w:rPr>
                <w:rStyle w:val="968"/>
                <w:rFonts w:hint="default"/>
                <w:lang w:bidi="ar"/>
              </w:rPr>
              <w:t xml:space="preserve">两个同性点电极的电场。 </w:t>
            </w:r>
            <w:r/>
          </w:p>
          <w:p>
            <w:pPr>
              <w:numPr>
                <w:ilvl w:val="0"/>
                <w:numId w:val="6"/>
              </w:numPr>
              <w:jc w:val="left"/>
              <w:spacing w:line="360" w:lineRule="auto"/>
              <w:widowControl/>
              <w:rPr>
                <w:rFonts w:ascii="宋体" w:hAnsi="宋体" w:cs="宋体"/>
                <w:color w:val="000000"/>
                <w:sz w:val="20"/>
                <w:szCs w:val="20"/>
              </w:rPr>
            </w:pPr>
            <w:r>
              <w:rPr>
                <w:rStyle w:val="968"/>
                <w:rFonts w:hint="default"/>
                <w:lang w:bidi="ar"/>
              </w:rPr>
              <w:t xml:space="preserve">平行板间的匀强电场。</w:t>
            </w:r>
            <w:r>
              <w:rPr>
                <w:rStyle w:val="968"/>
                <w:rFonts w:hint="default"/>
                <w:lang w:bidi="ar"/>
              </w:rPr>
              <w:br/>
            </w:r>
            <w:r>
              <w:rPr>
                <w:rStyle w:val="968"/>
                <w:rFonts w:hint="default"/>
                <w:lang w:bidi="ar"/>
              </w:rPr>
              <w:t xml:space="preserve">5.金属环不接地时，受环内电场的感应，环内外均有电力线。 </w:t>
            </w:r>
            <w:r/>
          </w:p>
          <w:p>
            <w:pPr>
              <w:jc w:val="left"/>
              <w:spacing w:line="360" w:lineRule="auto"/>
              <w:widowControl/>
              <w:rPr>
                <w:rFonts w:ascii="宋体" w:hAnsi="宋体" w:cs="宋体"/>
                <w:color w:val="000000"/>
                <w:sz w:val="20"/>
                <w:szCs w:val="20"/>
              </w:rPr>
            </w:pPr>
            <w:r>
              <w:rPr>
                <w:rStyle w:val="968"/>
                <w:rFonts w:hint="default"/>
                <w:lang w:bidi="ar"/>
              </w:rPr>
              <w:t xml:space="preserve">6.金属环接地后，只在环内有电力线，表明有屏蔽作用。</w:t>
            </w:r>
            <w:r>
              <w:rPr>
                <w:rStyle w:val="968"/>
                <w:rFonts w:hint="default"/>
                <w:lang w:bidi="ar"/>
              </w:rPr>
              <w:br/>
            </w:r>
            <w:r>
              <w:rPr>
                <w:rStyle w:val="968"/>
                <w:rFonts w:hint="default"/>
                <w:lang w:bidi="ar"/>
              </w:rPr>
              <w:t xml:space="preserve">7.用尖形导体当电极时，导体外的电力线的分布受曲率影响，曲率越大 的地方分布越密。</w:t>
            </w:r>
            <w:r>
              <w:rPr>
                <w:rStyle w:val="968"/>
                <w:rFonts w:hint="default"/>
                <w:lang w:bidi="ar"/>
              </w:rPr>
              <w:br/>
            </w:r>
            <w:r>
              <w:rPr>
                <w:rStyle w:val="968"/>
                <w:rFonts w:hint="default"/>
                <w:lang w:bidi="ar"/>
              </w:rPr>
              <w:t xml:space="preserve">实验原理： 当演示器的电极上加高压静电时，电 极周围的空间中将形成电场。在真空中，电场强 度越大，在某些油之类的电介质中，电场强度要 比真空中的小。处于油中的发屑本身也是一种电 介质，它在电场中将发生极化现象，使发屑两端  出现等量异种电荷。其在电场中将受到电场力， 电场力使发屑沿电力线的方向分布，由此展现出 电场中的电力线的形状。</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1092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动物细胞有丝分裂(马蛔虫受精卵切片)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1、标本在100×和400×生物显微镜下观察动物细胞有丝分裂的各期形态；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2、能看清细胞分裂过程中的三个时期：前期、中期和后期或中期、后期和末期；</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3、能看清分裂前的细胞核和分裂各期的中心体（中期和后期显著）、染色体以及卵壳、子宫壁等，纺锤体隐约可见；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4、标本取材于马蛔虫子宫，作子宫的纵切片，材料长度不小于10mm，每张玻片横放材料一片；也可作子宫的横切片，每张玻片放不同部位的横切片2～4片，以保证观察到细胞分裂的各个时期；</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5、切片厚度为6～8um；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6、卵和卵壳基本呈圆形，子宫内卵应饱满，卵不得脱出卵壳外，胞核、染色体、中心体着色明显，子官壁完整。</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1093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二氧化硅晶体结构模型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硅原子、氧原子、连接杆组成，球直径不小于25mm。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1094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演示电桥</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主要结构条件：电阻丝、刻度尺、滑键、支架。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工作条件：环境温度-10～+40°C，相对湿度不大于85%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使用本电桥测电阻阻值误差≤2%</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1095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无线数显多量程电压传感器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显示/蓝牙/存储功能：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独立模块化结构，与各种传感器组合使用，具备独立数据显示、数据存储、数据上传功能。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接入后自动识别传感器，实时显示传感器测量数据，支持多值传感器数据显示及存储，数据显示屏刷新频率10Hz；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1.77寸（±0.1寸）彩屏，采用智能接口与传感器连接，接口具有方向性和自锁功能，可以防止传感器在使用过程中脱落，保证数据传输稳定；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屏幕可显示二维码，通过移动终端设备扫描二维码进行无线连接，采用蓝牙4.0传输协议，可将传感器测量数据实时传输到APP。</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设有按键开关，工作状态下，可通过调动按键开关切换数据显示和二维码界面；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通过移动终端设备可设置数据显示精度以及数据调零，可对数据进行描点绘图处理。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可将模块存储的测量数据导出至计算机进行数据分析（兼充电）；</w:t>
            </w:r>
            <w:r>
              <w:rPr>
                <w:rFonts w:hint="eastAsia" w:ascii="宋体" w:hAnsi="宋体" w:cs="宋体"/>
                <w:color w:val="000000"/>
                <w:sz w:val="20"/>
                <w:szCs w:val="20"/>
                <w:lang w:bidi="ar"/>
              </w:rPr>
              <w:br/>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采用充电锂电供电，电池电压3.7V，容量1100mAh，待机时间10小时，采用microUSB充电接口；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数据存储频率5Hz，存储容量最大262,144个数据点。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注：续航时间和连接的传感器有关，差别较大。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传感器尺寸：77*41*25（mm）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功能模块：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用于测量电路中的电压数据。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性能：测量范围：-20V~+20V；分度：0.01V；测量范围：-2V~+2V；分度：0.001V；测量范围：-0.2V~+0.2V；分度：0.1mV；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准确度：±20V档：≤±0.04V；±2.0V档：≤±0.01V；±0.2V档：≤±1.5mV；最大采样率：5KHz；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原理：输入电压U，经过电路放大和转换，输出相应的电压值。</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技术指标：容抗：202pF，阻抗：1MΩ；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结构：带AVR0.75平的红黑鳄鱼夹线，长度0.6m。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传感器由高强度塑料外壳封装，外壳设有M5螺丝孔位，可将传感器固定在多种操作和实验装置上；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传感器数据处理电路为双主板设计，采用技术成熟的SMT生产工艺，可保证传感器经久耐用，数据传输稳定、持续；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采用智能接口，输出数字信号，接口具有方向性和自锁功能，可以防止传感器在使用过程中脱落，保证数据传输稳定；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模块化、可热插拔设计，支持有线通讯、无线通讯和屏幕数据显示，可支持蓝牙无线数据传输；</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设有调零按键，支持硬件数据调零和软件数据调零；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设有量程切换按键，支持硬件切换传感器量程；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可应用于Windows、Android、iOS、麒麟、统信、鸿蒙。</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1096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验电器连接杆</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材质：金属,塑料</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单体长度：20cm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连接杆长度：30厘米左右</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1097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手持直视分光镜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类型：手持直视棱镜分光镜）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适用波段：可见光区 400～760 nm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观测方式：直视观测，无需转动角度</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1098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演示线路实验板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工作电源：直流 3～12 V，交流 6～12 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面板材质：阻燃绝缘环氧板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连接方式：香蕉插头式接线柱</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演示内容：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串、并联电路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欧姆定律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闭合电路欧姆定律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电功、电热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电磁感应等高中电路实验</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1099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半导体致冷器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致冷、发电两用，半导体制冷片1片，散热片1只。</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1100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剪刀</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1、产品表面处理为电镀剪；</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2、剪刀刃口硬度不低于HRC52；</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3、两片刃口对应点硬度差不大于HRC4；</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4、全长不小于150mm。剪刀性能应手感轻松、均匀、剪布锋利、不咬口、崩口、变形；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5、其它应符合《QB/T1966-1994民用剪刀》</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把</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1101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器材架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1、整体规格：L2000mm*D600mm*H2000mm±10mm（节/组的尺寸），≥4层双面存取。每层架间距离可均匀调整。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2、材料：层板由优质钢板折弯冲压制成，立柱为货架专用C型钢材，尺寸：≥40mm*60mm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3、生产工艺：喷塑前经脱脂、酸洗、磷化。表面喷涂环保塑粉。喷塑冲击力≥4N/m，附着力不低于2级要求。载荷；搁板每层承重≥200Kg，每架≥800Kg，层距可调。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4、整体要求：组件连接紧密牢固，无松动摇晃，边缘光滑，无毛刺，书架底脚无尖锐棱角，表面喷涂均匀。</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1102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圆柱切割附件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加工圆柱规格：Ø min = 20mm; Ø max = 250mm; 高度max = 80mm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加工圆锥规格：Ø min = 22mm; Ø max = 250mm; 高度max = 80mm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进给齿轮比：1:3</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1103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光的偏振观察器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类型：偏振片观察器（起偏器 + 检偏器组合）</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主要元件：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起偏镜：偏振片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检偏镜：可旋转偏振片，带角度刻度盘</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刻度范围：0°～360°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最小刻度：5° 或 10°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旋转方式：检偏器可 360° 自由旋转</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1104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电势演示仪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工作电源：DC 0～12V 连续可调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演示方式：静电场模拟式，采用导电纸模拟静电场分布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探测部件：高灵敏度探测针、等势点探针、电压表显示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显示方式：指针式直流电压表显示电势高低</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电极配置：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点电荷电极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等量异种电荷电极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等量同种电荷电极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平行板电容器电极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演示内容：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静电场中等势面与电场线分布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电势高低比较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等势点寻找与等势面描绘</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1105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顶装摇臂动力装置</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结构参数：顶装摇臂动力装置底座采用铝合金材料，经压铸一次成型。底座连接推杆电机，推杆行程端配有轴承，扣装在传动机构上，带动升降臂杆。动力机构在接收到控制信号后开始工作，升降驱动静音工作、运行稳定、牢固耐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技术要求：推杆动力电源，24V直流低压稳定运作。升降臂杆采用铝合金型材，管内水、电隔离设计。臂杆表面和管内经环氧树脂粉末静电喷涂，高效节能、环保耐用、防腐耐磨。摇臂联动学生多功能电源盒，实现二者同时升降，亦可收纳进吊装舱体内。摇臂具有防夹功能，在升降过程中，若受到外部持续性阻力，摇臂将自动结束当前升降动作，需等待教师二次检查。</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1106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学生天平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1、最大称量200g，感量0.02g；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2、制动机构的支承螺钉、托架，应能保证升降平稳，以保持横梁的再现性；天平开启或停动后，吊耳悬挂不得倾斜、晃动；梁体不得有扭动，指针不得有前后跳针和带针现象；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3、横梁应具有足够的刚性和硬度，表面应进行防腐蚀处理，但不允许涂调和漆。</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1107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共振演示器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1、弹簧振子，电动机驱动，由弹簧振子、受偏心负载的变速箱装置；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2、能摆动的有机玻璃面板、画板、画笔以及底座、导轨控制等部分组成。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1108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台式电热丝切割机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1、整体规格：≥385mm×270mm；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2、组成部分： L 型电热丝固定架；电热丝盘固定旋钮；电热丝；电热丝固定器；电热丝锁紧钮；调压旋钮；电源开关；电压表；电热丝倾角锁紧钮；电热丝角度刻度板；摆臂；弹簧导线（带绝缘橡胶套）；横梁；电热丝盘；电源插座；底座；电源线。整机采用塑料定位包装，可切割各类可塑性发泡材料(聚苯乙烯泡沫塑料、EPS 发泡塑料、海绵、芙蓉板等),切割方式有直线切割、45 度切割、任意形状切割；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3、供电电压 220V。</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1109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什锦锉</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六件套什锦锉，包含（半圆锉/平头扁锉/尖头扁锉/三角锉/方锉/圆锉）。</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1110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小型变压器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1、额定功率：0.5W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2、输入电压：220V；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3、输出电压：9V；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4、频率特性：50-60赫兹；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5、防潮方式：开放式；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6、冷却方式：自然冷却。</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bl>
    <w:p>
      <w:pPr>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ascii="宋体" w:hAnsi="宋体"/>
          <w:bCs/>
          <w:sz w:val="24"/>
        </w:rPr>
        <w:br w:type="page" w:clear="all"/>
      </w:r>
      <w:r>
        <w:rPr>
          <w:rFonts w:hint="eastAsia" w:ascii="宋体" w:hAnsi="宋体"/>
          <w:b/>
          <w:sz w:val="30"/>
          <w:szCs w:val="30"/>
        </w:rPr>
        <w:t xml:space="preserve">第三部分  政府采购政策（包括但不限于下列具体政策要求）</w:t>
      </w:r>
      <w:r/>
    </w:p>
    <w:p>
      <w:pPr>
        <w:numPr>
          <w:ilvl w:val="1"/>
          <w:numId w:val="7"/>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7"/>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7"/>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7"/>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7"/>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7"/>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sz w:val="24"/>
          <w:szCs w:val="24"/>
          <w:lang w:eastAsia="zh-CN"/>
        </w:rPr>
        <w:t xml:space="preserve">，</w:t>
      </w:r>
      <w:r>
        <w:rPr>
          <w:rFonts w:hint="eastAsia" w:ascii="宋体"/>
          <w:bCs/>
          <w:sz w:val="24"/>
          <w:szCs w:val="24"/>
        </w:rPr>
        <w:t xml:space="preserve">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7"/>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7"/>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numPr>
          <w:ilvl w:val="1"/>
          <w:numId w:val="7"/>
        </w:numPr>
        <w:ind w:left="0" w:firstLine="480"/>
        <w:spacing w:line="360" w:lineRule="auto"/>
        <w:tabs>
          <w:tab w:val="left" w:pos="525"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7"/>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w:t>
      </w:r>
      <w:bookmarkStart w:id="191" w:name="OLE_LINK2"/>
      <w:r/>
      <w:bookmarkStart w:id="192" w:name="OLE_LINK1"/>
      <w:r>
        <w:rPr>
          <w:rFonts w:hint="eastAsia" w:ascii="宋体"/>
          <w:bCs/>
          <w:sz w:val="24"/>
          <w:szCs w:val="24"/>
        </w:rPr>
        <w:t xml:space="preserve">《保障中小企业款项支付条例》（中华人民共和国国务院令第802号）</w:t>
      </w:r>
      <w:bookmarkEnd w:id="191"/>
      <w:r/>
      <w:bookmarkEnd w:id="192"/>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lang w:val="en"/>
        </w:rPr>
        <w:t xml:space="preserve">机关、事业单位和大型企业采购货物、工程、服务支付中小企业款项，应当遵守</w:t>
      </w:r>
      <w:r>
        <w:rPr>
          <w:rFonts w:hint="eastAsia" w:ascii="宋体"/>
          <w:bCs/>
          <w:sz w:val="24"/>
          <w:szCs w:val="24"/>
          <w:highlight w:val="none"/>
          <w:lang w:val="en"/>
        </w:rPr>
        <w:t xml:space="preserve">《保障中小企业款项支付条例》（中华人民共和国国务院令第802号）。</w:t>
      </w:r>
      <w:r/>
    </w:p>
    <w:p>
      <w:pPr>
        <w:numPr>
          <w:ilvl w:val="1"/>
          <w:numId w:val="7"/>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根据《关于推动解决政府采购异常低价问题的通知》（财库〔2026〕2号）要求，</w:t>
      </w:r>
      <w:r>
        <w:rPr>
          <w:rFonts w:hint="eastAsia" w:ascii="宋体"/>
          <w:bCs/>
          <w:color w:val="000000" w:themeColor="text1"/>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numPr>
          <w:ilvl w:val="1"/>
          <w:numId w:val="7"/>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2"/>
        <w:spacing w:line="360" w:lineRule="auto"/>
        <w:tabs>
          <w:tab w:val="left" w:pos="525" w:leader="none"/>
          <w:tab w:val="left" w:pos="630" w:leader="none"/>
          <w:tab w:val="left" w:pos="735" w:leader="none"/>
          <w:tab w:val="left" w:pos="945" w:leader="none"/>
          <w:tab w:val="left" w:pos="1080" w:leader="none"/>
        </w:tabs>
        <w:rPr>
          <w:rFonts w:hint="eastAsia" w:ascii="宋体"/>
          <w:b/>
          <w:bCs w:val="0"/>
          <w:sz w:val="24"/>
          <w:szCs w:val="24"/>
          <w:highlight w:val="none"/>
          <w:lang w:val="en"/>
        </w:rPr>
      </w:pPr>
      <w:r>
        <w:rPr>
          <w:rFonts w:hint="eastAsia" w:ascii="宋体"/>
          <w:b/>
          <w:bCs w:val="0"/>
          <w:sz w:val="24"/>
          <w:szCs w:val="24"/>
          <w:highlight w:val="none"/>
          <w:lang w:val="en"/>
        </w:rPr>
      </w:r>
      <w:r/>
    </w:p>
    <w:p>
      <w:pPr>
        <w:jc w:val="center"/>
        <w:spacing w:line="360" w:lineRule="auto"/>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3" w:name="_Toc120614281"/>
      <w:r>
        <w:rPr>
          <w:rFonts w:hint="eastAsia" w:ascii="黑体" w:hAnsi="黑体" w:eastAsia="黑体"/>
          <w:sz w:val="36"/>
          <w:szCs w:val="36"/>
        </w:rPr>
        <w:t xml:space="preserve">第五章  评标方法与评标标准</w:t>
      </w:r>
      <w:r/>
    </w:p>
    <w:p>
      <w:pPr>
        <w:pStyle w:val="939"/>
        <w:ind w:firstLine="602"/>
        <w:spacing w:before="0" w:after="0" w:line="360" w:lineRule="auto"/>
        <w:rPr>
          <w:rFonts w:hint="eastAsia" w:cs="Arial"/>
          <w:b/>
          <w:sz w:val="30"/>
          <w:szCs w:val="30"/>
        </w:rPr>
      </w:pPr>
      <w:r>
        <w:rPr>
          <w:rFonts w:hint="eastAsia" w:cs="Arial"/>
          <w:b/>
          <w:sz w:val="30"/>
          <w:szCs w:val="30"/>
        </w:rPr>
        <w:t xml:space="preserve">第一部分  评标方法</w:t>
      </w:r>
      <w:r/>
    </w:p>
    <w:p>
      <w:pPr>
        <w:pStyle w:val="939"/>
        <w:spacing w:before="0" w:after="0" w:line="360" w:lineRule="auto"/>
        <w:rPr>
          <w:rFonts w:hint="eastAsia" w:cs="Arial"/>
        </w:rPr>
      </w:pPr>
      <w:r>
        <w:rPr>
          <w:rFonts w:hint="eastAsia" w:cs="Arial"/>
        </w:rPr>
        <w:t xml:space="preserve">投标人通过初审的，方可进入比较与评价程序。</w:t>
      </w:r>
      <w:r/>
    </w:p>
    <w:p>
      <w:pPr>
        <w:pStyle w:val="939"/>
        <w:spacing w:before="0" w:after="0" w:line="360" w:lineRule="auto"/>
        <w:rPr>
          <w:rFonts w:hint="eastAsia" w:cs="Arial"/>
        </w:rPr>
      </w:pPr>
      <w:r>
        <w:rPr>
          <w:rFonts w:hint="eastAsia" w:cs="Arial"/>
        </w:rPr>
        <w:t xml:space="preserve">比较与评价采用综合评分法。</w:t>
      </w:r>
      <w:r/>
    </w:p>
    <w:p>
      <w:pPr>
        <w:pStyle w:val="939"/>
        <w:spacing w:before="0" w:after="0" w:line="360" w:lineRule="auto"/>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939"/>
        <w:spacing w:before="0" w:after="0" w:line="360" w:lineRule="auto"/>
        <w:rPr>
          <w:rFonts w:hint="eastAsia" w:ascii="宋体" w:hAnsi="宋体"/>
          <w:bCs/>
        </w:rPr>
      </w:pPr>
      <w:r>
        <w:rPr>
          <w:rFonts w:hint="eastAsia" w:ascii="宋体" w:hAnsi="宋体"/>
          <w:b/>
          <w:bCs w:val="0"/>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39"/>
        <w:spacing w:before="0" w:after="0" w:line="360" w:lineRule="auto"/>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p>
    <w:p>
      <w:pPr>
        <w:pStyle w:val="939"/>
        <w:ind w:firstLine="562"/>
        <w:spacing w:before="0" w:after="0" w:line="360" w:lineRule="auto"/>
        <w:rPr>
          <w:rFonts w:hint="eastAsia" w:ascii="宋体" w:hAnsi="宋体"/>
          <w:b/>
          <w:sz w:val="28"/>
          <w:szCs w:val="28"/>
        </w:rPr>
      </w:pPr>
      <w:r>
        <w:rPr>
          <w:rFonts w:hint="eastAsia" w:ascii="宋体" w:hAnsi="宋体"/>
          <w:b/>
          <w:sz w:val="28"/>
          <w:szCs w:val="28"/>
        </w:rPr>
        <w:t xml:space="preserve">一、落实政府采购政策的价格调整</w:t>
      </w:r>
      <w:r/>
    </w:p>
    <w:p>
      <w:pPr>
        <w:ind w:firstLine="482"/>
        <w:jc w:val="left"/>
        <w:spacing w:line="360" w:lineRule="auto"/>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1.小微型企业价格扣除：本项目或采购包“落实政府采购政策需满足的资格要求”中的“中小企业政策”如为专门面向中小企业的，本项目或采购包不再享受小微型企业价格扣除政策。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1.1对小型和微型企业产品的价格给予10</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none"/>
        </w:rPr>
        <w:t xml:space="preserve">（财库﹝2020﹞46 号）</w:t>
      </w:r>
      <w:r>
        <w:rPr>
          <w:rFonts w:hint="eastAsia" w:ascii="宋体" w:hAnsi="宋体"/>
          <w:bCs/>
          <w:color w:val="000000" w:themeColor="text1"/>
          <w:sz w:val="24"/>
          <w:szCs w:val="24"/>
          <w:highlight w:val="none"/>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none"/>
        </w:rPr>
        <w:t xml:space="preserve">2011</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300</w:t>
      </w:r>
      <w:r>
        <w:rPr>
          <w:rFonts w:hint="eastAsia" w:ascii="宋体" w:hAnsi="宋体"/>
          <w:bCs/>
          <w:color w:val="000000" w:themeColor="text1"/>
          <w:sz w:val="24"/>
          <w:szCs w:val="24"/>
          <w:highlight w:val="none"/>
        </w:rPr>
        <w:t xml:space="preserve">号）。</w:t>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1.2监狱企业视同小型、微型企业，对其产品价格给予10%的扣除，用扣除后的价格参与评审。参加投标的监狱企业，应当按照《关于政府采购支持监狱企业发展有关问题的通知》（财库〔</w:t>
      </w:r>
      <w:r>
        <w:rPr>
          <w:rFonts w:ascii="宋体" w:hAnsi="宋体"/>
          <w:bCs/>
          <w:color w:val="000000" w:themeColor="text1"/>
          <w:sz w:val="24"/>
          <w:szCs w:val="24"/>
          <w:highlight w:val="none"/>
        </w:rPr>
        <w:t xml:space="preserve">201</w:t>
      </w:r>
      <w:r>
        <w:rPr>
          <w:rFonts w:hint="eastAsia" w:ascii="宋体" w:hAnsi="宋体"/>
          <w:bCs/>
          <w:color w:val="000000" w:themeColor="text1"/>
          <w:sz w:val="24"/>
          <w:szCs w:val="24"/>
          <w:highlight w:val="none"/>
        </w:rPr>
        <w:t xml:space="preserve">4〕68号）的规定提供由省级以上监狱管理局、戒毒管理局（含新疆生产建设兵团）出具的属于监狱企业的证明文件复印件。</w:t>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1.4残疾人福利单位、监狱企业属于小型、微型企业的，不重复享受政策。</w:t>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1.5如允许联合体投标的项目，且存在联合投标的</w:t>
      </w:r>
      <w:r>
        <w:rPr>
          <w:rFonts w:ascii="宋体" w:hAnsi="宋体"/>
          <w:bCs/>
          <w:color w:val="000000" w:themeColor="text1"/>
          <w:sz w:val="24"/>
          <w:szCs w:val="24"/>
          <w:highlight w:val="none"/>
        </w:rPr>
        <w:t xml:space="preserve">，联合协议中约定，小型、微型企业（</w:t>
      </w:r>
      <w:r>
        <w:rPr>
          <w:rFonts w:hint="eastAsia" w:ascii="宋体" w:hAnsi="宋体"/>
          <w:bCs/>
          <w:color w:val="000000" w:themeColor="text1"/>
          <w:sz w:val="24"/>
          <w:szCs w:val="24"/>
          <w:highlight w:val="none"/>
        </w:rPr>
        <w:t xml:space="preserve">监狱</w:t>
      </w:r>
      <w:r>
        <w:rPr>
          <w:rFonts w:ascii="宋体" w:hAnsi="宋体"/>
          <w:bCs/>
          <w:color w:val="000000" w:themeColor="text1"/>
          <w:sz w:val="24"/>
          <w:szCs w:val="24"/>
          <w:highlight w:val="none"/>
        </w:rPr>
        <w:t xml:space="preserve">企业、残疾人福利性单位视同小型、微型企业，下同）</w:t>
      </w:r>
      <w:r>
        <w:rPr>
          <w:rFonts w:hint="eastAsia" w:ascii="宋体" w:hAnsi="宋体"/>
          <w:bCs/>
          <w:color w:val="000000" w:themeColor="text1"/>
          <w:sz w:val="24"/>
          <w:szCs w:val="24"/>
          <w:highlight w:val="none"/>
        </w:rPr>
        <w:t xml:space="preserve">的</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合同</w:t>
      </w:r>
      <w:r>
        <w:rPr>
          <w:rFonts w:ascii="宋体" w:hAnsi="宋体"/>
          <w:bCs/>
          <w:color w:val="000000" w:themeColor="text1"/>
          <w:sz w:val="24"/>
          <w:szCs w:val="24"/>
          <w:highlight w:val="none"/>
        </w:rPr>
        <w:t xml:space="preserve">金额占到联合体协议合同总金额</w:t>
      </w:r>
      <w:r>
        <w:rPr>
          <w:rFonts w:hint="eastAsia" w:ascii="宋体" w:hAnsi="宋体"/>
          <w:bCs/>
          <w:color w:val="000000" w:themeColor="text1"/>
          <w:sz w:val="24"/>
          <w:szCs w:val="24"/>
          <w:highlight w:val="none"/>
        </w:rPr>
        <w:t xml:space="preserve">30</w:t>
      </w:r>
      <w:r>
        <w:rPr>
          <w:rFonts w:ascii="宋体" w:hAnsi="宋体"/>
          <w:bCs/>
          <w:color w:val="000000" w:themeColor="text1"/>
          <w:sz w:val="24"/>
          <w:szCs w:val="24"/>
          <w:highlight w:val="none"/>
        </w:rPr>
        <w:t xml:space="preserve">%以上的，可给予联合体</w:t>
      </w: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%的价格扣除，</w:t>
      </w:r>
      <w:r>
        <w:rPr>
          <w:rFonts w:hint="eastAsia" w:ascii="宋体" w:hAnsi="宋体"/>
          <w:bCs/>
          <w:color w:val="000000" w:themeColor="text1"/>
          <w:sz w:val="24"/>
          <w:szCs w:val="24"/>
          <w:highlight w:val="none"/>
        </w:rPr>
        <w:t xml:space="preserve">用扣除后的价格参与评审。投标人须在《联合</w:t>
      </w:r>
      <w:r>
        <w:rPr>
          <w:rFonts w:ascii="宋体" w:hAnsi="宋体"/>
          <w:bCs/>
          <w:color w:val="000000" w:themeColor="text1"/>
          <w:sz w:val="24"/>
          <w:szCs w:val="24"/>
          <w:highlight w:val="none"/>
        </w:rPr>
        <w:t xml:space="preserve">体各方共同</w:t>
      </w:r>
      <w:r>
        <w:rPr>
          <w:rFonts w:hint="eastAsia" w:ascii="宋体" w:hAnsi="宋体"/>
          <w:bCs/>
          <w:color w:val="000000" w:themeColor="text1"/>
          <w:sz w:val="24"/>
          <w:szCs w:val="24"/>
          <w:highlight w:val="none"/>
        </w:rPr>
        <w:t xml:space="preserve">投标</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》中明确，否则不得享受价格扣除。</w:t>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联合体</w:t>
      </w:r>
      <w:r>
        <w:rPr>
          <w:rFonts w:ascii="宋体" w:hAnsi="宋体"/>
          <w:bCs/>
          <w:color w:val="000000" w:themeColor="text1"/>
          <w:sz w:val="24"/>
          <w:szCs w:val="24"/>
          <w:highlight w:val="none"/>
        </w:rPr>
        <w:t xml:space="preserve">各方均为小型、微型企业的，联合体视同为小型、微型企业按规定享受价格扣除</w:t>
      </w:r>
      <w:r>
        <w:rPr>
          <w:rFonts w:hint="eastAsia" w:ascii="宋体" w:hAnsi="宋体"/>
          <w:bCs/>
          <w:color w:val="000000" w:themeColor="text1"/>
          <w:sz w:val="24"/>
          <w:szCs w:val="24"/>
          <w:highlight w:val="none"/>
        </w:rPr>
        <w:t xml:space="preserve">。</w:t>
      </w:r>
      <w:r/>
    </w:p>
    <w:p>
      <w:pPr>
        <w:ind w:firstLine="480"/>
        <w:jc w:val="left"/>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组成联合体的小微企业与联合体内其他企业之间存在直接控股、管理关系的，不享受价格扣除。组成</w:t>
      </w:r>
      <w:r>
        <w:rPr>
          <w:rFonts w:ascii="宋体" w:hAnsi="宋体"/>
          <w:bCs/>
          <w:color w:val="000000" w:themeColor="text1"/>
          <w:sz w:val="24"/>
          <w:szCs w:val="24"/>
          <w:highlight w:val="none"/>
        </w:rPr>
        <w:t xml:space="preserve">联合体的法人与参加联合体的小型、微型企业之间存在投资关系的，不得享受价格扣除</w:t>
      </w:r>
      <w:r>
        <w:rPr>
          <w:rFonts w:hint="eastAsia" w:ascii="宋体" w:hAnsi="宋体"/>
          <w:bCs/>
          <w:color w:val="000000" w:themeColor="text1"/>
          <w:sz w:val="24"/>
          <w:szCs w:val="24"/>
          <w:highlight w:val="none"/>
        </w:rPr>
        <w:t xml:space="preserve">。投标人</w:t>
      </w:r>
      <w:r>
        <w:rPr>
          <w:rFonts w:ascii="宋体" w:hAnsi="宋体"/>
          <w:bCs/>
          <w:color w:val="000000" w:themeColor="text1"/>
          <w:sz w:val="24"/>
          <w:szCs w:val="24"/>
          <w:highlight w:val="none"/>
        </w:rPr>
        <w:t xml:space="preserve">须在</w:t>
      </w:r>
      <w:r>
        <w:rPr>
          <w:rFonts w:hint="eastAsia" w:ascii="宋体" w:hAnsi="宋体"/>
          <w:bCs/>
          <w:color w:val="000000" w:themeColor="text1"/>
          <w:sz w:val="24"/>
          <w:szCs w:val="24"/>
          <w:highlight w:val="none"/>
        </w:rPr>
        <w:t xml:space="preserve">《联合</w:t>
      </w:r>
      <w:r>
        <w:rPr>
          <w:rFonts w:ascii="宋体" w:hAnsi="宋体"/>
          <w:bCs/>
          <w:color w:val="000000" w:themeColor="text1"/>
          <w:sz w:val="24"/>
          <w:szCs w:val="24"/>
          <w:highlight w:val="none"/>
        </w:rPr>
        <w:t xml:space="preserve">体各方共同</w:t>
      </w:r>
      <w:r>
        <w:rPr>
          <w:rFonts w:hint="eastAsia" w:ascii="宋体" w:hAnsi="宋体"/>
          <w:bCs/>
          <w:color w:val="000000" w:themeColor="text1"/>
          <w:sz w:val="24"/>
          <w:szCs w:val="24"/>
          <w:highlight w:val="none"/>
        </w:rPr>
        <w:t xml:space="preserve">投标</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》中</w:t>
      </w:r>
      <w:r>
        <w:rPr>
          <w:rFonts w:ascii="宋体" w:hAnsi="宋体"/>
          <w:bCs/>
          <w:color w:val="000000" w:themeColor="text1"/>
          <w:sz w:val="24"/>
          <w:szCs w:val="24"/>
          <w:highlight w:val="none"/>
        </w:rPr>
        <w:t xml:space="preserve">明确联合体各方是否存在</w:t>
      </w:r>
      <w:r>
        <w:rPr>
          <w:rFonts w:hint="eastAsia" w:ascii="宋体" w:hAnsi="宋体"/>
          <w:bCs/>
          <w:color w:val="000000" w:themeColor="text1"/>
          <w:sz w:val="24"/>
          <w:szCs w:val="24"/>
          <w:highlight w:val="none"/>
        </w:rPr>
        <w:t xml:space="preserve">上述</w:t>
      </w:r>
      <w:r>
        <w:rPr>
          <w:rFonts w:ascii="宋体" w:hAnsi="宋体"/>
          <w:bCs/>
          <w:color w:val="000000" w:themeColor="text1"/>
          <w:sz w:val="24"/>
          <w:szCs w:val="24"/>
          <w:highlight w:val="none"/>
        </w:rPr>
        <w:t xml:space="preserve">关系，如未进行明确的亦不得享受价格扣除</w:t>
      </w:r>
      <w:r>
        <w:rPr>
          <w:rFonts w:hint="eastAsia" w:ascii="宋体" w:hAnsi="宋体"/>
          <w:bCs/>
          <w:color w:val="000000" w:themeColor="text1"/>
          <w:sz w:val="24"/>
          <w:szCs w:val="24"/>
          <w:highlight w:val="none"/>
        </w:rPr>
        <w:t xml:space="preserve">。</w:t>
      </w:r>
      <w:r/>
    </w:p>
    <w:p>
      <w:pPr>
        <w:ind w:firstLine="482"/>
        <w:jc w:val="left"/>
        <w:spacing w:line="360" w:lineRule="auto"/>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2.对本国产品的支持政策：根据</w:t>
      </w:r>
      <w:r>
        <w:rPr>
          <w:rFonts w:hint="eastAsia" w:ascii="宋体"/>
          <w:b/>
          <w:bCs/>
          <w:color w:val="000000" w:themeColor="text1"/>
          <w:sz w:val="24"/>
          <w:szCs w:val="24"/>
          <w:highlight w:val="none"/>
        </w:rPr>
        <w:t xml:space="preserve">《国务院办公厅关于在政府采购中实施本国产品标准及相关政策的通知》（国办发〔2025〕34号）要求，</w:t>
      </w:r>
      <w:r>
        <w:rPr>
          <w:rFonts w:hint="eastAsia" w:ascii="宋体" w:hAnsi="宋体"/>
          <w:b/>
          <w:bCs/>
          <w:color w:val="000000" w:themeColor="text1"/>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p>
    <w:p>
      <w:pPr>
        <w:ind w:firstLine="480"/>
        <w:jc w:val="left"/>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2.1本国产品价格扣除政策</w:t>
      </w:r>
      <w:r/>
    </w:p>
    <w:p>
      <w:pPr>
        <w:ind w:firstLine="480"/>
        <w:jc w:val="left"/>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360" w:lineRule="auto"/>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themeColor="text1"/>
          <w:sz w:val="24"/>
          <w:szCs w:val="24"/>
          <w:highlight w:val="none"/>
          <w:u w:val="single"/>
        </w:rPr>
        <w:t xml:space="preserve">对于仅有本国产品参与竞争的政府采购项目或采购包，本国产品不享受价格扣除评审优惠。</w:t>
      </w:r>
      <w:r/>
    </w:p>
    <w:p>
      <w:pPr>
        <w:ind w:firstLine="480"/>
        <w:jc w:val="left"/>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2.2注意事项</w:t>
      </w:r>
      <w:r/>
    </w:p>
    <w:p>
      <w:pPr>
        <w:ind w:firstLine="480"/>
        <w:jc w:val="left"/>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（1）提供本国产品进行投标（报价）的供应商需在其投</w:t>
      </w:r>
      <w:r>
        <w:rPr>
          <w:rFonts w:hint="eastAsia" w:ascii="宋体" w:hAnsi="宋体"/>
          <w:bCs/>
          <w:color w:val="000000" w:themeColor="text1"/>
          <w:sz w:val="24"/>
          <w:szCs w:val="24"/>
          <w:highlight w:val="none"/>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其中，“符合本国产品标准的产品成本之和”是指本项目或采购包中符合本国产品标准的</w:t>
      </w:r>
      <w:r>
        <w:rPr>
          <w:rFonts w:hint="eastAsia" w:ascii="宋体" w:hAnsi="宋体"/>
          <w:b/>
          <w:bCs/>
          <w:color w:val="000000" w:themeColor="text1"/>
          <w:sz w:val="24"/>
          <w:szCs w:val="24"/>
          <w:highlight w:val="none"/>
        </w:rPr>
        <w:t xml:space="preserve">货物成本之和</w:t>
      </w:r>
      <w:r>
        <w:rPr>
          <w:rFonts w:hint="eastAsia" w:ascii="宋体" w:hAnsi="宋体"/>
          <w:bCs/>
          <w:color w:val="000000" w:themeColor="text1"/>
          <w:sz w:val="24"/>
          <w:szCs w:val="24"/>
          <w:highlight w:val="none"/>
        </w:rPr>
        <w:t xml:space="preserve">；“全部产品成本之和”是指货物或服务项目（或者采购包）中包含的</w:t>
      </w:r>
      <w:r>
        <w:rPr>
          <w:rFonts w:hint="eastAsia" w:ascii="宋体" w:hAnsi="宋体"/>
          <w:b/>
          <w:bCs/>
          <w:color w:val="000000" w:themeColor="text1"/>
          <w:sz w:val="24"/>
          <w:szCs w:val="24"/>
          <w:highlight w:val="none"/>
        </w:rPr>
        <w:t xml:space="preserve">全部货物、服务产品的成本之和</w:t>
      </w:r>
      <w:r>
        <w:rPr>
          <w:rFonts w:hint="eastAsia" w:ascii="宋体" w:hAnsi="宋体"/>
          <w:bCs/>
          <w:color w:val="000000" w:themeColor="text1"/>
          <w:sz w:val="24"/>
          <w:szCs w:val="24"/>
          <w:highlight w:val="none"/>
        </w:rPr>
        <w:t xml:space="preserve">。</w:t>
      </w:r>
      <w:r/>
    </w:p>
    <w:p>
      <w:pPr>
        <w:ind w:firstLine="480"/>
        <w:jc w:val="left"/>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即，当小微型企业价格扣除政策和本国产品价格扣除政策同时享受时，按以下计算方式进行计算：</w:t>
      </w:r>
      <w:r/>
    </w:p>
    <w:p>
      <w:pPr>
        <w:ind w:firstLine="480"/>
        <w:jc w:val="left"/>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供应商参与评审的报价=供应商投标总报价×[1-（小微型企业价格扣除+本国产品价格扣除）]</w:t>
      </w:r>
      <w:r/>
    </w:p>
    <w:p>
      <w:pPr>
        <w:ind w:firstLine="480"/>
        <w:jc w:val="left"/>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例如，供应商总报价1000000元，经认定可以享受小微型企业价格扣除政策以及本国产品价格扣除政策的，则该供应商参与评审的报价为：</w:t>
      </w:r>
      <w:r/>
    </w:p>
    <w:p>
      <w:pPr>
        <w:ind w:firstLine="480"/>
        <w:jc w:val="left"/>
        <w:spacing w:line="360" w:lineRule="auto"/>
        <w:rPr>
          <w:color w:val="000000" w:themeColor="text1"/>
          <w:highlight w:val="none"/>
        </w:rPr>
      </w:pPr>
      <w:r>
        <w:rPr>
          <w:rFonts w:hint="eastAsia" w:ascii="宋体" w:hAnsi="宋体"/>
          <w:bCs/>
          <w:color w:val="000000" w:themeColor="text1"/>
          <w:sz w:val="24"/>
          <w:szCs w:val="24"/>
          <w:highlight w:val="none"/>
        </w:rPr>
        <w:t xml:space="preserve">1000000×[1-（10%+20%）]=700000元</w:t>
      </w:r>
      <w:r/>
    </w:p>
    <w:p>
      <w:pPr>
        <w:pStyle w:val="939"/>
        <w:numPr>
          <w:ilvl w:val="0"/>
          <w:numId w:val="8"/>
        </w:numPr>
        <w:ind w:firstLine="360"/>
        <w:spacing w:before="0" w:after="0" w:line="360" w:lineRule="auto"/>
        <w:rPr>
          <w:rFonts w:hint="eastAsia" w:ascii="宋体" w:hAnsi="宋体"/>
          <w:b/>
          <w:sz w:val="28"/>
          <w:szCs w:val="28"/>
        </w:rPr>
      </w:pPr>
      <w:r>
        <w:rPr>
          <w:rFonts w:ascii="宋体" w:hAnsi="宋体"/>
          <w:shd w:val="clear" w:color="ffffff" w:fill="d9d9d9"/>
        </w:rPr>
        <w:br w:type="page" w:clear="all"/>
      </w:r>
      <w:r>
        <w:rPr>
          <w:rFonts w:hint="eastAsia" w:ascii="宋体" w:hAnsi="宋体"/>
          <w:b/>
          <w:sz w:val="28"/>
          <w:szCs w:val="28"/>
        </w:rPr>
        <w:t xml:space="preserve">评分标准</w:t>
      </w:r>
      <w:r/>
    </w:p>
    <w:p>
      <w:pPr>
        <w:pStyle w:val="939"/>
        <w:numPr>
          <w:ilvl w:val="0"/>
          <w:numId w:val="0"/>
        </w:numPr>
        <w:spacing w:before="0" w:after="0" w:line="360" w:lineRule="auto"/>
        <w:rPr>
          <w:rFonts w:hint="eastAsia" w:ascii="宋体" w:hAnsi="宋体"/>
          <w:b/>
          <w:sz w:val="28"/>
          <w:szCs w:val="28"/>
          <w:highlight w:val="none"/>
        </w:rPr>
      </w:pPr>
      <w:r>
        <w:rPr>
          <w:rFonts w:hint="eastAsia" w:ascii="宋体" w:hAnsi="宋体"/>
          <w:b/>
          <w:sz w:val="28"/>
          <w:szCs w:val="28"/>
          <w:highlight w:val="none"/>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p>
    <w:p>
      <w:pPr>
        <w:ind w:firstLine="120"/>
        <w:spacing w:line="360" w:lineRule="auto"/>
        <w:rPr>
          <w:rFonts w:cs="宋体" w:asciiTheme="minorEastAsia" w:hAnsiTheme="minorEastAsia"/>
          <w:sz w:val="24"/>
        </w:rPr>
      </w:pPr>
      <w:r/>
      <w:bookmarkStart w:id="194" w:name="_Hlk165208115"/>
      <w:r>
        <w:rPr>
          <w:rFonts w:hint="eastAsia" w:cs="宋体" w:asciiTheme="minorEastAsia" w:hAnsiTheme="minorEastAsia"/>
          <w:sz w:val="24"/>
        </w:rPr>
        <w:t xml:space="preserve">（一）评分项目及总分（总分100分）</w:t>
      </w:r>
      <w:bookmarkEnd w:id="194"/>
      <w:r/>
    </w:p>
    <w:p>
      <w:pPr>
        <w:spacing w:line="360" w:lineRule="auto"/>
        <w:rPr>
          <w:rFonts w:ascii="宋体" w:hAnsi="宋体" w:cs="宋体"/>
          <w:sz w:val="24"/>
        </w:rPr>
      </w:pPr>
      <w:r>
        <w:rPr>
          <w:rFonts w:hint="eastAsia" w:ascii="宋体" w:hAnsi="宋体" w:cs="宋体"/>
          <w:b/>
          <w:bCs/>
          <w:sz w:val="24"/>
        </w:rPr>
        <w:t xml:space="preserve"> 一、商务部分</w:t>
      </w:r>
      <w:r/>
    </w:p>
    <w:p>
      <w:pPr>
        <w:ind w:firstLine="718"/>
        <w:spacing w:line="360" w:lineRule="auto"/>
        <w:rPr>
          <w:rFonts w:ascii="宋体" w:hAnsi="宋体" w:cs="宋体"/>
          <w:b/>
          <w:sz w:val="24"/>
        </w:rPr>
      </w:pPr>
      <w:r>
        <w:rPr>
          <w:rFonts w:hint="eastAsia" w:ascii="宋体" w:hAnsi="宋体" w:cs="宋体"/>
          <w:b/>
          <w:sz w:val="24"/>
        </w:rPr>
        <w:t xml:space="preserve">1、报价                        30分</w:t>
      </w:r>
      <w:r/>
    </w:p>
    <w:p>
      <w:pPr>
        <w:ind w:firstLine="723"/>
        <w:spacing w:line="360" w:lineRule="auto"/>
        <w:rPr>
          <w:rFonts w:ascii="宋体" w:hAnsi="宋体" w:cs="宋体"/>
          <w:b/>
          <w:sz w:val="24"/>
        </w:rPr>
        <w:outlineLvl w:val="0"/>
      </w:pPr>
      <w:r>
        <w:rPr>
          <w:rFonts w:hint="eastAsia" w:ascii="宋体" w:hAnsi="宋体" w:cs="宋体"/>
          <w:b/>
          <w:sz w:val="24"/>
        </w:rPr>
        <w:t xml:space="preserve">2、投标供应商综合评价           </w:t>
      </w:r>
      <w:r>
        <w:rPr>
          <w:rFonts w:hint="eastAsia" w:ascii="宋体" w:hAnsi="宋体" w:cs="宋体"/>
          <w:b/>
          <w:sz w:val="24"/>
          <w:lang w:val="en-US" w:eastAsia="zh-CN"/>
        </w:rPr>
        <w:t xml:space="preserve">6</w:t>
      </w:r>
      <w:r>
        <w:rPr>
          <w:rFonts w:hint="eastAsia" w:ascii="宋体" w:hAnsi="宋体" w:cs="宋体"/>
          <w:b/>
          <w:sz w:val="24"/>
        </w:rPr>
        <w:t xml:space="preserve">分</w:t>
      </w:r>
      <w:r/>
    </w:p>
    <w:p>
      <w:pPr>
        <w:ind w:firstLine="718"/>
        <w:spacing w:line="360" w:lineRule="auto"/>
        <w:rPr>
          <w:rFonts w:ascii="宋体" w:hAnsi="宋体" w:cs="宋体"/>
          <w:b/>
          <w:sz w:val="24"/>
        </w:rPr>
      </w:pPr>
      <w:r>
        <w:rPr>
          <w:rFonts w:hint="eastAsia" w:ascii="宋体" w:hAnsi="宋体" w:cs="宋体"/>
          <w:b/>
          <w:sz w:val="24"/>
        </w:rPr>
        <w:t xml:space="preserve">3、</w:t>
      </w:r>
      <w:r>
        <w:rPr>
          <w:rFonts w:hint="eastAsia" w:ascii="宋体" w:hAnsi="宋体" w:cs="宋体"/>
          <w:b/>
          <w:sz w:val="24"/>
          <w:szCs w:val="24"/>
        </w:rPr>
        <w:t xml:space="preserve">技术配置                    13</w:t>
      </w:r>
      <w:r>
        <w:rPr>
          <w:rFonts w:hint="eastAsia" w:ascii="宋体" w:hAnsi="宋体" w:cs="宋体"/>
          <w:b/>
          <w:bCs/>
          <w:sz w:val="24"/>
        </w:rPr>
        <w:t xml:space="preserve">分</w:t>
      </w:r>
      <w:r/>
    </w:p>
    <w:p>
      <w:pPr>
        <w:ind w:firstLine="718"/>
        <w:spacing w:line="360" w:lineRule="auto"/>
        <w:rPr>
          <w:rFonts w:ascii="宋体" w:hAnsi="宋体" w:cs="宋体"/>
          <w:b/>
          <w:sz w:val="24"/>
        </w:rPr>
      </w:pPr>
      <w:r>
        <w:rPr>
          <w:rFonts w:hint="eastAsia" w:ascii="宋体" w:hAnsi="宋体" w:cs="宋体"/>
          <w:b/>
          <w:sz w:val="24"/>
        </w:rPr>
        <w:t xml:space="preserve">4、演示                        10分</w:t>
      </w:r>
      <w:r/>
    </w:p>
    <w:p>
      <w:pPr>
        <w:ind w:firstLine="718"/>
        <w:spacing w:line="360" w:lineRule="auto"/>
        <w:rPr>
          <w:rFonts w:ascii="宋体" w:hAnsi="宋体" w:cs="宋体"/>
          <w:b/>
          <w:sz w:val="24"/>
        </w:rPr>
      </w:pPr>
      <w:r>
        <w:rPr>
          <w:rFonts w:hint="eastAsia" w:ascii="宋体" w:hAnsi="宋体" w:cs="宋体"/>
          <w:b/>
          <w:sz w:val="24"/>
        </w:rPr>
        <w:t xml:space="preserve">5、</w:t>
      </w:r>
      <w:r>
        <w:rPr>
          <w:rFonts w:hint="eastAsia" w:ascii="宋体" w:hAnsi="宋体"/>
          <w:b/>
          <w:bCs/>
          <w:sz w:val="24"/>
        </w:rPr>
        <w:t xml:space="preserve">节能环保                     1分</w:t>
      </w:r>
      <w:r/>
    </w:p>
    <w:p>
      <w:pPr>
        <w:ind w:firstLine="718"/>
        <w:spacing w:line="360" w:lineRule="auto"/>
        <w:rPr>
          <w:rFonts w:ascii="宋体" w:hAnsi="宋体" w:cs="宋体"/>
          <w:b/>
          <w:sz w:val="24"/>
        </w:rPr>
      </w:pPr>
      <w:r>
        <w:rPr>
          <w:rFonts w:hint="eastAsia" w:ascii="宋体" w:hAnsi="宋体" w:cs="宋体"/>
          <w:b/>
          <w:sz w:val="24"/>
        </w:rPr>
        <w:t xml:space="preserve">二、暗标部分</w:t>
      </w:r>
      <w:r/>
    </w:p>
    <w:p>
      <w:pPr>
        <w:ind w:firstLine="718"/>
        <w:spacing w:line="360" w:lineRule="auto"/>
        <w:rPr>
          <w:rFonts w:ascii="宋体" w:hAnsi="宋体" w:cs="宋体"/>
          <w:b/>
          <w:sz w:val="24"/>
        </w:rPr>
      </w:pPr>
      <w:r>
        <w:rPr>
          <w:rFonts w:hint="eastAsia" w:ascii="宋体" w:hAnsi="宋体" w:cs="宋体"/>
          <w:b/>
          <w:sz w:val="24"/>
        </w:rPr>
        <w:t xml:space="preserve">6、</w:t>
      </w:r>
      <w:r>
        <w:rPr>
          <w:rFonts w:hint="eastAsia" w:ascii="宋体" w:hAnsi="宋体" w:cs="宋体"/>
          <w:b/>
          <w:sz w:val="24"/>
          <w:szCs w:val="24"/>
        </w:rPr>
        <w:t xml:space="preserve">服务方案                    </w:t>
      </w:r>
      <w:r>
        <w:rPr>
          <w:rFonts w:hint="eastAsia" w:ascii="宋体" w:hAnsi="宋体" w:cs="宋体"/>
          <w:b/>
          <w:sz w:val="24"/>
          <w:szCs w:val="24"/>
          <w:lang w:val="en-US" w:eastAsia="zh-CN"/>
        </w:rPr>
        <w:t xml:space="preserve">40</w:t>
      </w:r>
      <w:r>
        <w:rPr>
          <w:rFonts w:hint="eastAsia" w:ascii="宋体" w:hAnsi="宋体"/>
          <w:b/>
          <w:bCs/>
          <w:sz w:val="24"/>
        </w:rPr>
        <w:t xml:space="preserve">分</w:t>
      </w:r>
      <w:r/>
    </w:p>
    <w:p>
      <w:pPr>
        <w:ind w:firstLine="240"/>
        <w:spacing w:line="360" w:lineRule="auto"/>
        <w:rPr>
          <w:rFonts w:hint="eastAsia" w:ascii="Arial" w:hAnsi="Arial" w:cs="宋体"/>
          <w:sz w:val="24"/>
        </w:rPr>
      </w:pPr>
      <w:r>
        <w:rPr>
          <w:rFonts w:hint="eastAsia" w:ascii="Arial" w:hAnsi="Arial" w:cs="宋体"/>
          <w:sz w:val="24"/>
        </w:rPr>
        <w:t xml:space="preserve">（二）各项目评分标准</w:t>
      </w:r>
      <w:r/>
    </w:p>
    <w:p>
      <w:pPr>
        <w:pStyle w:val="939"/>
        <w:ind w:firstLine="422"/>
        <w:spacing w:before="0" w:after="0" w:line="360" w:lineRule="auto"/>
        <w:rPr>
          <w:rFonts w:hint="eastAsia" w:cs="宋体"/>
        </w:rPr>
      </w:pPr>
      <w:r>
        <w:rPr>
          <w:rFonts w:hint="eastAsia" w:ascii="宋体" w:hAnsi="宋体"/>
          <w:b/>
          <w:sz w:val="28"/>
          <w:szCs w:val="28"/>
        </w:rPr>
        <w:t xml:space="preserve">（一）商务部分（ 6</w:t>
      </w:r>
      <w:r>
        <w:rPr>
          <w:rFonts w:hint="eastAsia" w:ascii="宋体" w:hAnsi="宋体"/>
          <w:b/>
          <w:sz w:val="28"/>
          <w:szCs w:val="28"/>
          <w:lang w:val="en-US" w:eastAsia="zh-CN"/>
        </w:rPr>
        <w:t xml:space="preserve">0</w:t>
      </w:r>
      <w:r>
        <w:rPr>
          <w:rFonts w:hint="eastAsia" w:ascii="宋体" w:hAnsi="宋体"/>
          <w:b/>
          <w:sz w:val="28"/>
          <w:szCs w:val="28"/>
        </w:rPr>
        <w:t xml:space="preserve">分）</w:t>
      </w:r>
      <w:r/>
    </w:p>
    <w:p>
      <w:pPr>
        <w:numPr>
          <w:ilvl w:val="4"/>
          <w:numId w:val="0"/>
        </w:numPr>
        <w:ind w:firstLine="482"/>
        <w:spacing w:line="360" w:lineRule="auto"/>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1、价格（30分）：</w:t>
      </w:r>
      <w:r/>
    </w:p>
    <w:p>
      <w:pPr>
        <w:ind w:firstLine="480"/>
        <w:spacing w:line="360" w:lineRule="auto"/>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（评标基准价／投标报价）×价格权值×</w:t>
      </w:r>
      <w:r>
        <w:rPr>
          <w:rFonts w:ascii="宋体" w:hAnsi="宋体"/>
          <w:bCs/>
          <w:color w:val="000000"/>
          <w:sz w:val="24"/>
          <w:szCs w:val="24"/>
        </w:rPr>
        <w:t xml:space="preserve">100</w:t>
      </w:r>
      <w:r>
        <w:rPr>
          <w:rFonts w:hint="eastAsia" w:ascii="宋体" w:hAnsi="宋体"/>
          <w:bCs/>
          <w:color w:val="000000"/>
          <w:sz w:val="24"/>
          <w:szCs w:val="24"/>
        </w:rPr>
        <w:t xml:space="preserve">。</w:t>
      </w:r>
      <w:r/>
    </w:p>
    <w:p>
      <w:pPr>
        <w:ind w:firstLine="480"/>
        <w:jc w:val="left"/>
        <w:spacing w:line="360" w:lineRule="auto"/>
        <w:rPr>
          <w:rFonts w:hint="eastAsia" w:ascii="宋体" w:hAnsi="宋体"/>
          <w:bCs/>
          <w:color w:val="000000"/>
          <w:sz w:val="24"/>
          <w:szCs w:val="24"/>
        </w:rPr>
      </w:pPr>
      <w:r>
        <w:rPr>
          <w:rFonts w:hint="eastAsia" w:ascii="宋体" w:hAnsi="宋体"/>
          <w:bCs/>
          <w:sz w:val="24"/>
          <w:szCs w:val="24"/>
        </w:rPr>
        <w:t xml:space="preserve">关于价格扣除详见本章第二部分“一、落实政府采购政策的价格调整”。</w:t>
      </w:r>
      <w:r/>
    </w:p>
    <w:p>
      <w:pPr>
        <w:pStyle w:val="684"/>
        <w:spacing w:line="360" w:lineRule="auto"/>
        <w:rPr>
          <w:rFonts w:ascii="宋体" w:hAnsi="宋体" w:cs="宋体"/>
          <w:spacing w:val="-1"/>
          <w:sz w:val="24"/>
          <w:szCs w:val="24"/>
        </w:rPr>
      </w:pPr>
      <w:r>
        <w:rPr>
          <w:rFonts w:hint="eastAsia" w:ascii="宋体" w:hAnsi="宋体" w:cs="宋体"/>
          <w:spacing w:val="-1"/>
          <w:sz w:val="24"/>
          <w:szCs w:val="24"/>
        </w:rPr>
        <w:t xml:space="preserve">（一）政府采购评审中出现下列情形之一的，评审委员会应当启动异常低价投标（响应）审查程序： </w:t>
      </w:r>
      <w:r/>
    </w:p>
    <w:p>
      <w:pPr>
        <w:pStyle w:val="684"/>
        <w:spacing w:line="360" w:lineRule="auto"/>
        <w:rPr>
          <w:rFonts w:ascii="宋体" w:hAnsi="宋体" w:cs="宋体"/>
          <w:spacing w:val="-1"/>
          <w:sz w:val="24"/>
          <w:szCs w:val="24"/>
        </w:rPr>
      </w:pPr>
      <w:r>
        <w:rPr>
          <w:rFonts w:hint="eastAsia" w:ascii="宋体" w:hAnsi="宋体" w:cs="宋体"/>
          <w:spacing w:val="-1"/>
          <w:sz w:val="24"/>
          <w:szCs w:val="24"/>
        </w:rPr>
        <w:t xml:space="preserve">1.投标（响应）报价低于全部通过符合性审查供应商投标（响应）报价平均值50%的，即投标（响应）报价〈全部通过符合性审查供应商投标（响应）报价平均值×50%； </w:t>
      </w:r>
      <w:r/>
    </w:p>
    <w:p>
      <w:pPr>
        <w:pStyle w:val="684"/>
        <w:spacing w:line="360" w:lineRule="auto"/>
        <w:rPr>
          <w:rFonts w:ascii="宋体" w:hAnsi="宋体" w:cs="宋体"/>
          <w:spacing w:val="-1"/>
          <w:sz w:val="24"/>
          <w:szCs w:val="24"/>
        </w:rPr>
      </w:pPr>
      <w:r>
        <w:rPr>
          <w:rFonts w:hint="eastAsia" w:ascii="宋体" w:hAnsi="宋体" w:cs="宋体"/>
          <w:spacing w:val="-1"/>
          <w:sz w:val="24"/>
          <w:szCs w:val="24"/>
        </w:rPr>
        <w:t xml:space="preserve">2.投标（响应）报价低于通过符合性审查的次低报价供应商投标（响应）报价50%的，即投标（响应）报价〈通过符合性审查的次低报价供应商投标（响应）报价×50%； </w:t>
      </w:r>
      <w:r/>
    </w:p>
    <w:p>
      <w:pPr>
        <w:pStyle w:val="684"/>
        <w:spacing w:line="360" w:lineRule="auto"/>
        <w:rPr>
          <w:rFonts w:ascii="宋体" w:hAnsi="宋体" w:cs="宋体"/>
          <w:spacing w:val="-1"/>
          <w:sz w:val="24"/>
          <w:szCs w:val="24"/>
        </w:rPr>
      </w:pPr>
      <w:r>
        <w:rPr>
          <w:rFonts w:hint="eastAsia" w:ascii="宋体" w:hAnsi="宋体" w:cs="宋体"/>
          <w:spacing w:val="-1"/>
          <w:sz w:val="24"/>
          <w:szCs w:val="24"/>
        </w:rPr>
        <w:t xml:space="preserve">3.投标（响应）报价低于采购项目最高限价45%的，即投标（响应）报价〈采购项目最高限价×45%； </w:t>
      </w:r>
      <w:r/>
    </w:p>
    <w:p>
      <w:pPr>
        <w:pStyle w:val="684"/>
        <w:spacing w:line="360" w:lineRule="auto"/>
        <w:rPr>
          <w:rFonts w:ascii="宋体" w:hAnsi="宋体" w:cs="宋体"/>
          <w:spacing w:val="-1"/>
          <w:sz w:val="24"/>
          <w:szCs w:val="24"/>
        </w:rPr>
      </w:pPr>
      <w:r>
        <w:rPr>
          <w:rFonts w:hint="eastAsia" w:ascii="宋体" w:hAnsi="宋体" w:cs="宋体"/>
          <w:spacing w:val="-1"/>
          <w:sz w:val="24"/>
          <w:szCs w:val="24"/>
        </w:rPr>
        <w:t xml:space="preserve">4.评审委员会基于专业判断，认为供应商报价过低，有可能影响产品质量或者不能诚信履约的其他情形。</w:t>
      </w:r>
      <w:r/>
    </w:p>
    <w:p>
      <w:pPr>
        <w:pStyle w:val="684"/>
        <w:spacing w:line="360" w:lineRule="auto"/>
        <w:rPr>
          <w:rFonts w:ascii="宋体" w:hAnsi="宋体" w:cs="宋体"/>
          <w:spacing w:val="-1"/>
          <w:sz w:val="24"/>
          <w:szCs w:val="24"/>
        </w:rPr>
      </w:pPr>
      <w:r>
        <w:rPr>
          <w:rFonts w:hint="eastAsia" w:ascii="宋体" w:hAnsi="宋体" w:cs="宋体"/>
          <w:spacing w:val="-1"/>
          <w:sz w:val="24"/>
          <w:szCs w:val="24"/>
        </w:rPr>
        <w:t xml:space="preserve">（二）评审委员会启动异常低价投标（响应）审查后，属于前述第1项至第4项情形的，应当要求相关供应商在评审现场合理的时间（40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w:t>
      </w:r>
      <w:r/>
    </w:p>
    <w:p>
      <w:pPr>
        <w:ind w:left="482"/>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b/>
          <w:bCs/>
          <w:spacing w:val="-1"/>
          <w:sz w:val="24"/>
          <w:szCs w:val="24"/>
        </w:rPr>
        <w:t xml:space="preserve">2、投标供应商综合评价（</w:t>
      </w:r>
      <w:r>
        <w:rPr>
          <w:rFonts w:hint="eastAsia" w:ascii="宋体" w:hAnsi="宋体" w:cs="宋体"/>
          <w:b/>
          <w:bCs/>
          <w:spacing w:val="-1"/>
          <w:sz w:val="24"/>
          <w:szCs w:val="24"/>
          <w:lang w:val="en-US" w:eastAsia="zh-CN"/>
        </w:rPr>
        <w:t xml:space="preserve">6</w:t>
      </w:r>
      <w:r>
        <w:rPr>
          <w:rFonts w:hint="eastAsia" w:ascii="宋体" w:hAnsi="宋体" w:cs="宋体"/>
          <w:b/>
          <w:bCs/>
          <w:spacing w:val="-1"/>
          <w:sz w:val="24"/>
          <w:szCs w:val="24"/>
        </w:rPr>
        <w:t xml:space="preserve">分）</w:t>
      </w:r>
      <w:r/>
    </w:p>
    <w:p>
      <w:pPr>
        <w:ind w:left="482"/>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2.1投标人业绩（</w:t>
      </w:r>
      <w:r>
        <w:rPr>
          <w:rFonts w:hint="eastAsia" w:ascii="宋体" w:hAnsi="宋体" w:cs="宋体"/>
          <w:spacing w:val="-1"/>
          <w:sz w:val="24"/>
          <w:szCs w:val="24"/>
          <w:lang w:val="en-US" w:eastAsia="zh-CN"/>
        </w:rPr>
        <w:t xml:space="preserve">1</w:t>
      </w:r>
      <w:r>
        <w:rPr>
          <w:rFonts w:hint="eastAsia" w:ascii="宋体" w:hAnsi="宋体" w:cs="宋体"/>
          <w:spacing w:val="-1"/>
          <w:sz w:val="24"/>
          <w:szCs w:val="24"/>
        </w:rPr>
        <w:t xml:space="preserve">分）</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投标人自2023年1月1日以来（以合同签订日期为准）具有与本项目同类的案例，每提供一份有效合同得</w:t>
      </w:r>
      <w:r>
        <w:rPr>
          <w:rFonts w:hint="eastAsia" w:ascii="宋体" w:hAnsi="宋体" w:cs="宋体"/>
          <w:spacing w:val="-1"/>
          <w:sz w:val="24"/>
          <w:szCs w:val="24"/>
          <w:lang w:val="en-US" w:eastAsia="zh-CN"/>
        </w:rPr>
        <w:t xml:space="preserve">0.5</w:t>
      </w:r>
      <w:r>
        <w:rPr>
          <w:rFonts w:hint="eastAsia" w:ascii="宋体" w:hAnsi="宋体" w:cs="宋体"/>
          <w:spacing w:val="-1"/>
          <w:sz w:val="24"/>
          <w:szCs w:val="24"/>
        </w:rPr>
        <w:t xml:space="preserve">分，本项最高得</w:t>
      </w:r>
      <w:r>
        <w:rPr>
          <w:rFonts w:hint="eastAsia" w:ascii="宋体" w:hAnsi="宋体" w:cs="宋体"/>
          <w:spacing w:val="-1"/>
          <w:sz w:val="24"/>
          <w:szCs w:val="24"/>
          <w:lang w:val="en-US" w:eastAsia="zh-CN"/>
        </w:rPr>
        <w:t xml:space="preserve">1</w:t>
      </w:r>
      <w:r>
        <w:rPr>
          <w:rFonts w:hint="eastAsia" w:ascii="宋体" w:hAnsi="宋体" w:cs="宋体"/>
          <w:spacing w:val="-1"/>
          <w:sz w:val="24"/>
          <w:szCs w:val="24"/>
        </w:rPr>
        <w:t xml:space="preserve">分。（投标时须提供有效合同原件扫描件并加盖投标人公章上传至投标系统，不提供不得分）。</w:t>
      </w:r>
      <w:r/>
    </w:p>
    <w:p>
      <w:pPr>
        <w:ind w:left="482"/>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2.2人员资质（5分）</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①项目负责人（3分）：投标人为本项目配备一名项目负责人，该项目负责人具有：高级工程师证书的得1分、具有建筑电工证书的得1分、具有中级注册安全工程师（其他安全）证书的得1分，本项最高得3分。（投标时须提供相应有效证书扫描件及投标人为其缴纳的近六个月的社保证明并加盖投标人公章上传至投标系统，不提供不得分）。</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②技术负责人（2分）：投标人为本项目配备一名技术负责人（与项目负责人不能是同一人），该技术负责人具有：特种作业操作证（低压电工）的得1分、工程师证书的得1分，本项最高得2分（投标时须提供相应有效证书扫描件及投标人为其缴纳的近六个月的社保证明并加盖投标人公章上传至投标系统，不提供不得分）。</w:t>
      </w:r>
      <w:r/>
    </w:p>
    <w:p>
      <w:pPr>
        <w:ind w:left="482"/>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b/>
          <w:bCs/>
          <w:spacing w:val="-1"/>
          <w:sz w:val="24"/>
          <w:szCs w:val="24"/>
        </w:rPr>
        <w:t xml:space="preserve">3、技术配置（13分）</w:t>
      </w:r>
      <w:r/>
    </w:p>
    <w:p>
      <w:pPr>
        <w:ind w:left="482"/>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3.1 所投“水槽柜”（1分）</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水槽柜依据GB/T 24820-2024《实验室家具通用技术条件》标准，力学性能强度和耐久性、稳定性符合以下规定:</w:t>
      </w:r>
      <w:r/>
    </w:p>
    <w:p>
      <w:pPr>
        <w:ind w:left="482"/>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a)活动实验台底柜不应移动；</w:t>
      </w:r>
      <w:r/>
    </w:p>
    <w:p>
      <w:pPr>
        <w:ind w:left="482"/>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b)零部件应无断裂或豁裂；</w:t>
      </w:r>
      <w:r/>
    </w:p>
    <w:p>
      <w:pPr>
        <w:ind w:left="482"/>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c)应为牢固的部件应无永久性松动；</w:t>
      </w:r>
      <w:r/>
    </w:p>
    <w:p>
      <w:pPr>
        <w:ind w:left="482"/>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d)应无严重影响使用功能的磨损或变形；</w:t>
      </w:r>
      <w:r/>
    </w:p>
    <w:p>
      <w:pPr>
        <w:ind w:left="482"/>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e)活动部件的活动应灵活；</w:t>
      </w:r>
      <w:r/>
    </w:p>
    <w:p>
      <w:pPr>
        <w:ind w:left="482"/>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f)主体结构和底架位移值应小于15mm；</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g) 顶板和底板持续加载试验时,顶板和底板的最大变形量不应超过搁板跨度的0.55%；</w:t>
      </w:r>
      <w:r/>
    </w:p>
    <w:p>
      <w:pPr>
        <w:ind w:left="482"/>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h) 搁板弯曲试验时,搁板的最大变形量不应超过搁板跨度的0.55%；</w:t>
      </w:r>
      <w:r/>
    </w:p>
    <w:p>
      <w:pPr>
        <w:ind w:left="482"/>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i) 挂衣棍强度试验时,挂衣棍的最大变形量不应超过挂衣棍跨度的0.4%；</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j) 固定储物柜进行活动部件、搁板支撑件、顶板和底板试验,静载荷试验和侧向分离试验时,应保持与建筑物墙/天花板)相连,并承载试验载荷；</w:t>
      </w:r>
      <w:r/>
    </w:p>
    <w:p>
      <w:pPr>
        <w:ind w:left="482"/>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k) 固定储物柜进行脱离试验和侧向分离试验时，不应分离和脱落；</w:t>
      </w:r>
      <w:r/>
    </w:p>
    <w:p>
      <w:pPr>
        <w:ind w:left="482"/>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l) 稳定性试验时,不应倾翻。</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lang w:val="en-US" w:eastAsia="zh-CN"/>
        </w:rPr>
        <w:t xml:space="preserve">以上</w:t>
      </w:r>
      <w:r>
        <w:rPr>
          <w:rFonts w:hint="eastAsia" w:ascii="宋体" w:hAnsi="宋体" w:cs="宋体"/>
          <w:spacing w:val="-1"/>
          <w:sz w:val="24"/>
          <w:szCs w:val="24"/>
        </w:rPr>
        <w:t xml:space="preserve">检测合格的得1分</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（投标时须提供带有CMA标识的检测报告扫描件并加盖投标人公章上传至投标系统，不提供不得分</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w:t>
      </w:r>
      <w:r/>
    </w:p>
    <w:p>
      <w:pPr>
        <w:ind w:left="482"/>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3.2所投“教师演示台”（1分）</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教师演示台台面表面耐污染性能要求：符合第三方检测机构耐污染性能测试，至少通过45项化学试剂测试，检验结果均为无明显变化，分级结果为“5级”。检测：1、盐酸（37%）；2、硝酸（65%）；3、氢氧化钠（40%）；4、硫酸（98%）；5、氢氟酸（40%）；6、氨水（28%）；7、甲醛（37%）；8、双氧水（3%）；9、苯酚；10、四氯化碳等45种及以上试剂</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检测合格的得1分</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（投标时须提供带有CMA标识的检测报告扫描件并加盖投标人公章上传至投标系统，不提供不得分</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w:t>
      </w:r>
      <w:r/>
    </w:p>
    <w:p>
      <w:pPr>
        <w:ind w:left="482"/>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3.3所投“实验无线示教仪”（2分）</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自带2个13</w:t>
      </w:r>
      <w:r>
        <w:rPr>
          <w:rFonts w:hint="eastAsia" w:ascii="宋体" w:hAnsi="宋体" w:cs="宋体"/>
          <w:spacing w:val="-1"/>
          <w:sz w:val="24"/>
          <w:szCs w:val="24"/>
        </w:rPr>
        <w:t xml:space="preserve">00万像素自动对焦摄像头。摄像头在调整高度和角度后会自动对焦1次。轻触底座上的转90°按键，即可在摄像头横向展示与竖向展示的场景间灵活切换。设备背面带有Type-C充电口，可边充边使用，支持电量指示灯。配备2个大容量可拆卸电池。配移动快充电池仓，双电池位，带屏指示功能，有电池电量符号与电量百分比、电流模式显示，内置独立的充电控制系统，可自动识别电池电压，并进行智能控制充电，防止过充，为设备持续运行保驾护航。得2分（投标时须提供能体现此功能的实物图片及带有CMA标识的检测报告并加盖投标人公章，不全部提供不得分</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w:t>
      </w:r>
      <w:r/>
    </w:p>
    <w:p>
      <w:pPr>
        <w:ind w:left="482"/>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3.4所投“无线采音器”（3分）</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①声音采集器具有精准对频与抗干扰设计，主动式 NFC 近场耦合技术：创新集成智能近场感应配对系统，通过毫米级距离识别算法，确保 100% 杜绝跨区域信号串扰，实现0.5 秒极速无感对频，为多设备协同场景提供零差错的信号匹配保障。支持先进的 "一发多收" 分布式工作架构，单话筒可同步连接≥32 台接收机（需定制扩展），构建全方位音频覆盖网络，适用于大型会议、舞台演出等多终端协同场景。得2分</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（投标时须提供带有CMA标识的检测报告扫描件并加盖投标人公章上传至投标系统，不提供不得分</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②接收器集成 PPT 翻页接收模块功能，免驱动设计，轻松适配主流翻页笔，为会议、教学演示提供便利。得1分</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（投标时须提供带有CMA标识的检测报告扫描件并加盖投标人公章上传至投标系统，不提供不得分</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w:t>
      </w:r>
      <w:r/>
    </w:p>
    <w:p>
      <w:pPr>
        <w:ind w:left="482"/>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3.5所投“实验室演示控制器”（2分）</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①软件遥控器：互动控制系统无需硬件遥控器或USB切换器，用户只需扫码下载遥控器APP，即可将移动终端作为控制端，支持Windows、Android、iOS系统安装控制端软件。遥控器APP可支持批注、录制、截屏、切换设备、切换布局模式等功能；使用遥控器APP可拍摄多达8张照片或录制多达8段短视频上传至屏幕显示，亦可将遥控器（手机/平板/电脑端）本地的多达8个文件，上传至屏幕分屏显示。得1分</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（投标时须提供能体现此功能的实物图片或功能截图并加盖投标人公章上传至投标系统，不提供不得分</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②多种画面布局显示：支持不少于16个投屏设备同时接入智能云盒，不少</w:t>
      </w:r>
      <w:r>
        <w:rPr>
          <w:rFonts w:hint="eastAsia" w:ascii="宋体" w:hAnsi="宋体" w:cs="宋体"/>
          <w:spacing w:val="-1"/>
          <w:sz w:val="24"/>
          <w:szCs w:val="24"/>
        </w:rPr>
        <w:t xml:space="preserve">于同时8个画面显示，且支持Auto（自适应）画面、1画面、2画面、3画面、4画面、6画面、8画面切换模式，不少于8种默认画面布局方式，画面支持多种对比模式（如均分屏幕、一大一小、一大两小、一大三小、画中画等）；只需一键点击，即可选择相应的布局。布局内显示的投屏设备具有设备画面记忆功能，切换后各布局内的设备画面不会自动更改。界面布局支持：全屏模式、工具条显示模式、研讨模式等。研讨模式下，已连接的设备、文件资料能够自动罗列显示出来，让教师所见即所得。布局还有：布局快照、清除主屏、清除副屏等功能按钮的选择。得1分</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（投标时须提供能体现此功能的实物图片或功能截图并加盖投标人公章上传至投标系统，不提供不得分</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w:t>
      </w:r>
      <w:r/>
    </w:p>
    <w:p>
      <w:pPr>
        <w:ind w:left="482"/>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3.6所投“智能实验教学录播”（4分）</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①多功能教学终端模块音频接口：支持≥8路MIC-IN输入，支持48V幻象供电和≥2路3.5mm LINE-IN线性输入</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支持≥2路LINE-OUT输出，可根据系统功能模式自由混音输出</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得1分</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（投标时须提供带有CMA标识的检测报告扫描件并加盖投标人公章上传至投标系统，不提供不得分</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②多功能教学终端模块控制接口：为方便控制教室设备及后续扩展需求，支持外接控制面板、云台摄像机、电子时钟等设备，支持≥8路本地RS232接口，≥1路GPIO接口</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支持＞10路备播通道图像加载</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得2分（投标时须提供带有CMA标识的检测报告扫描件并加盖投标人公章上传至投标系统，不提供不得分</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③智慧课堂云平台模块数据看板多维度对比：支持多个教师、课程、院系、学生之间进行数据的多维度对比，支持同个课程不同师生之间的课堂数据对比，课堂数据包括但不限于直播录制节次、教学资源、师生出勤率、师生课堂行为分析、教师信息化应用统计等数据</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所有数据支持导出</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得1分（投标时须提供带有CMA标识的检测报告扫描件并加盖投标人公章上传至投标系统，不提供不得分</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highlight w:val="none"/>
        </w:rPr>
        <w:t xml:space="preserve">产品技术配置加分项中所涉及到的证明材料，中标供应商须在中标后三日内提供原件及实物样品给采购人</w:t>
      </w:r>
      <w:r>
        <w:rPr>
          <w:rFonts w:hint="eastAsia" w:ascii="宋体" w:hAnsi="宋体" w:cs="宋体"/>
          <w:spacing w:val="-1"/>
          <w:sz w:val="24"/>
          <w:szCs w:val="24"/>
        </w:rPr>
        <w:t xml:space="preserve">审核，无误后方可签订合同。</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中标单位于中标后3日内向使用单位提供部分产品的样品进行测试，具体测试产品清单由使用单位抽取，若产品测试不合格，采购人有权取消该中标单位中标资格。</w:t>
      </w:r>
      <w:r/>
    </w:p>
    <w:p>
      <w:pPr>
        <w:ind w:left="482"/>
        <w:spacing w:line="360" w:lineRule="auto"/>
        <w:tabs>
          <w:tab w:val="left" w:pos="525" w:leader="none"/>
          <w:tab w:val="left" w:pos="945" w:leader="none"/>
          <w:tab w:val="left" w:pos="1155" w:leader="none"/>
          <w:tab w:val="left" w:pos="3823" w:leader="none"/>
        </w:tabs>
        <w:rPr>
          <w:rFonts w:hint="eastAsia" w:ascii="宋体" w:hAnsi="宋体" w:cs="宋体"/>
          <w:b/>
          <w:bCs/>
          <w:spacing w:val="-1"/>
          <w:sz w:val="24"/>
          <w:szCs w:val="24"/>
        </w:rPr>
      </w:pPr>
      <w:r>
        <w:rPr>
          <w:rFonts w:hint="eastAsia" w:ascii="宋体" w:hAnsi="宋体" w:cs="宋体"/>
          <w:b/>
          <w:bCs/>
          <w:spacing w:val="-1"/>
          <w:sz w:val="24"/>
          <w:szCs w:val="24"/>
        </w:rPr>
        <w:t xml:space="preserve">4、演示（10分）</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投标人需对“智能实验记录本”，“风洞实验套装”，“力学综合实验平台套装”，“实验室物联控制套装”功能进行演示并制作成演示视频上</w:t>
      </w:r>
      <w:r>
        <w:rPr>
          <w:rFonts w:hint="eastAsia" w:ascii="宋体" w:hAnsi="宋体" w:cs="宋体"/>
          <w:spacing w:val="-1"/>
          <w:sz w:val="24"/>
          <w:szCs w:val="24"/>
        </w:rPr>
        <w:t xml:space="preserve">传至投标系统中。视频文件的格式为*.mp4或*.avi，投标供应商须将视频文件分段压缩为*.zip文件上传（单个文件不得大于50M，所有文件总共不得大于300M）。文件上传方式见《操作手册》规定，上传的演示视频将作为投标文件的组成部分，视频时长总计不超过15分钟。根据投标供应商视频演示情况和以下功能得分点进行打分，投标人每组视频录制时必须采用一镜到底的方式，不允许剪辑，否则不得分。未按要求进行演示视频或使用其他方式（如软件Demo、PPT 演示、图片原型或方案等）演示不得分。中标供应商与采购人签订合同前，需</w:t>
      </w:r>
      <w:r>
        <w:rPr>
          <w:rFonts w:hint="eastAsia" w:ascii="宋体" w:hAnsi="宋体" w:cs="宋体"/>
          <w:spacing w:val="-1"/>
          <w:sz w:val="24"/>
          <w:szCs w:val="24"/>
          <w:lang w:val="en-US" w:eastAsia="zh-CN"/>
        </w:rPr>
        <w:t xml:space="preserve">到</w:t>
      </w:r>
      <w:r>
        <w:rPr>
          <w:rFonts w:hint="eastAsia" w:ascii="宋体" w:hAnsi="宋体" w:cs="宋体"/>
          <w:spacing w:val="-1"/>
          <w:sz w:val="24"/>
          <w:szCs w:val="24"/>
        </w:rPr>
        <w:t xml:space="preserve">采购人实际使用现场演示确认。具体要求如下：</w:t>
      </w:r>
      <w:r/>
    </w:p>
    <w:p>
      <w:pPr>
        <w:ind w:left="482"/>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4.1所投“智能实验记录本”  （3.5分）</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①演示书写介质为普通纸张，不能是特定的专用的纸张；纸张上留下笔迹，保持原有手写习惯且笔迹书写同步显示在电脑端，笔芯可更换。得1分。（演示成功得对应分值，不演示或者演示失败不得分）</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②演示所投智能实验记录本具有蓝牙连接状态、电池电量状态显示屏。得1分（演示成功得对应分值，不演示或者演示失败不得分）</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③演示引用教学资源录课方式，将已经制作好的ppt 、word、pdf、图片等文档导入到微课录制界面，使用电磁笔在纸上进行批注书写且笔迹书写同步显示在电脑端。得0.5分（演示成功得对应分值，不演示或者演示失败不得分）</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④演示微课录制完成后，并且可以实现微课的回放和预览，便于教师查看微课录制效果，支持本地以MP4格式导出微课视频。得0.5分（演示成功得对应分值，不演示或者演示失败不得分）</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⑤演示成品微课，通用的流媒体格式文件，系统采用矢量笔迹轨迹的记录方式。得0.5分（演示成功得对应分值，不演示或者演示失败不得分）</w:t>
      </w:r>
      <w:r/>
    </w:p>
    <w:p>
      <w:pPr>
        <w:ind w:left="482"/>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4.2所投“风洞实验套装”（1分）</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数据记录仪里带有嵌入式软件，可以链接电脑后，不用安装程序，直接执行自带软件。得1分。（演示成功得对应分值，不演示或者演示失败不得分）</w:t>
      </w:r>
      <w:r/>
    </w:p>
    <w:p>
      <w:pPr>
        <w:ind w:left="482"/>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4.3所投“力学综合实验套装”（1分）</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无线运动滑块内含气浮装置，形成气垫，提供移动无摩擦环境，可在移动中打点。配备控制器，可设置打点时间间隔。得1分。（演示成功得对应分值，不演示或者演示失败不得分）</w:t>
      </w:r>
      <w:r/>
    </w:p>
    <w:p>
      <w:pPr>
        <w:ind w:left="482"/>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4.4所投“实验室物联控制套装”（4.5分）</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①集成语音广播音频硬解码模块，无需另加其他设备，在不开启智能融合信息终端情况下接收服务器预设的MP3格式音频进行自动播放，可以对教室实现实时语音广播、定时广播以及手动广播接收与播放功能，语音广播支持0-99级广播级别和强制接受选择。得1分。（演示成功得对应分值，不演示或者演示失败不得分</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②内置配置界面，支持本地配置网络时钟参数、录播配置、电脑配置、音频参数等。得0.5分。（演示成功得对应分值，不演示或者演示失败不得分</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③支持集中管理软件及微信小程序远程对灯光的控制进行手动、定时集控管理（如禁用，灯光通电、断电等）。得0.5分。（演示成功得对应分值，不演示或者演示失败不得分</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④支持集中管理软件及微信小程序远程对空调的控制进行手动、定时集控管理。得0.5分。（演示成功得对应分值，不演示或者演示失败不得分）</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⑤支持集中管理软件及微信小程序远程对电脑电源的控制进行手动、定时集控管理。得0.5分。（演示成功得对应分值，不演示或者演示失败不得分）</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⑥支持集中管理软件对于电子班牌的参数配置。得0.5分。（演示成功得对应分值，不演示或者演示失败不得分</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⑦支持集中管理软件及微信小程序远程对教学一体机的控制进行手动、定时集控管理。得0.5分。（演示成功得对应分值，不演示或者演示失败不得分</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⑧支持集中管理软件及微信小程序远程对窗帘的控制进行手动、定时集控管理。得0.5分。（演示成功得对应分值，不演示或者演示失败不得分）</w:t>
      </w:r>
      <w:r/>
    </w:p>
    <w:p>
      <w:pPr>
        <w:numPr>
          <w:ilvl w:val="0"/>
          <w:numId w:val="5"/>
        </w:numPr>
        <w:ind w:left="420"/>
        <w:spacing w:line="360" w:lineRule="auto"/>
        <w:tabs>
          <w:tab w:val="left" w:pos="525" w:leader="none"/>
          <w:tab w:val="left" w:pos="945" w:leader="none"/>
          <w:tab w:val="left" w:pos="1155" w:leader="none"/>
          <w:tab w:val="left" w:pos="3823" w:leader="none"/>
        </w:tabs>
        <w:rPr>
          <w:rFonts w:hint="eastAsia" w:ascii="宋体" w:hAnsi="宋体"/>
          <w:color w:val="000000"/>
          <w:sz w:val="24"/>
          <w:szCs w:val="24"/>
        </w:rPr>
      </w:pPr>
      <w:r>
        <w:rPr>
          <w:rFonts w:hint="eastAsia" w:ascii="宋体" w:hAnsi="宋体"/>
          <w:b/>
          <w:bCs/>
          <w:sz w:val="24"/>
          <w:szCs w:val="24"/>
        </w:rPr>
        <w:t xml:space="preserve">节能、环保产品</w:t>
      </w:r>
      <w:r>
        <w:rPr>
          <w:rFonts w:ascii="宋体" w:hAnsi="宋体"/>
          <w:b/>
          <w:bCs/>
          <w:sz w:val="24"/>
          <w:szCs w:val="24"/>
        </w:rPr>
        <w:t xml:space="preserve">（</w:t>
      </w:r>
      <w:r>
        <w:rPr>
          <w:rFonts w:hint="eastAsia" w:ascii="宋体" w:hAnsi="宋体"/>
          <w:b/>
          <w:bCs/>
          <w:sz w:val="24"/>
          <w:szCs w:val="24"/>
          <w:lang w:val="en-US" w:eastAsia="zh-CN"/>
        </w:rPr>
        <w:t xml:space="preserve">1</w:t>
      </w:r>
      <w:r>
        <w:rPr>
          <w:rFonts w:ascii="宋体" w:hAnsi="宋体"/>
          <w:b/>
          <w:bCs/>
          <w:sz w:val="24"/>
          <w:szCs w:val="24"/>
        </w:rPr>
        <w:t xml:space="preserve">分）</w:t>
      </w:r>
      <w:r>
        <w:rPr>
          <w:rFonts w:hint="eastAsia" w:ascii="宋体" w:hAnsi="宋体"/>
          <w:b/>
          <w:bCs/>
          <w:sz w:val="24"/>
          <w:szCs w:val="24"/>
        </w:rPr>
        <w:t xml:space="preserve">：</w:t>
      </w:r>
      <w:r>
        <w:rPr>
          <w:rFonts w:hint="eastAsia" w:ascii="宋体" w:hAnsi="宋体"/>
          <w:color w:val="000000"/>
          <w:sz w:val="24"/>
          <w:szCs w:val="24"/>
        </w:rPr>
        <w:t xml:space="preserve">依据财政部、发展改革委发布的《节能产品政府采</w:t>
      </w:r>
      <w:r/>
    </w:p>
    <w:p>
      <w:pPr>
        <w:numPr>
          <w:ilvl w:val="0"/>
          <w:numId w:val="0"/>
        </w:numPr>
        <w:ind w:left="0"/>
        <w:spacing w:line="360" w:lineRule="auto"/>
        <w:tabs>
          <w:tab w:val="left" w:pos="525" w:leader="none"/>
          <w:tab w:val="left" w:pos="945" w:leader="none"/>
          <w:tab w:val="left" w:pos="1155" w:leader="none"/>
          <w:tab w:val="left" w:pos="3823" w:leader="none"/>
        </w:tabs>
        <w:rPr>
          <w:rFonts w:hint="eastAsia" w:ascii="宋体" w:hAnsi="宋体"/>
          <w:b/>
          <w:sz w:val="24"/>
          <w:szCs w:val="24"/>
        </w:rPr>
      </w:pPr>
      <w:r>
        <w:rPr>
          <w:rFonts w:hint="eastAsia" w:ascii="宋体" w:hAnsi="宋体"/>
          <w:color w:val="000000"/>
          <w:sz w:val="24"/>
          <w:szCs w:val="24"/>
        </w:rPr>
        <w:t xml:space="preserve">购品目清单》和财政部、生态环境部发布的《</w:t>
      </w:r>
      <w:r>
        <w:rPr>
          <w:rFonts w:ascii="宋体" w:hAnsi="宋体"/>
          <w:color w:val="000000"/>
          <w:sz w:val="24"/>
          <w:szCs w:val="24"/>
        </w:rPr>
        <w:t xml:space="preserve">环境标志产品政府采购品目清单</w:t>
      </w:r>
      <w:r>
        <w:rPr>
          <w:rFonts w:hint="eastAsia" w:ascii="宋体" w:hAnsi="宋体"/>
          <w:color w:val="000000"/>
          <w:sz w:val="24"/>
          <w:szCs w:val="24"/>
        </w:rPr>
        <w:t xml:space="preserve">》，投标人能够提供所投产品为政府采购节能（政府强制采购节能产品除外）产品的得</w:t>
      </w:r>
      <w:r>
        <w:rPr>
          <w:rFonts w:hint="eastAsia" w:ascii="宋体" w:hAnsi="宋体"/>
          <w:color w:val="000000"/>
          <w:sz w:val="24"/>
          <w:szCs w:val="24"/>
          <w:lang w:val="en-US" w:eastAsia="zh-CN"/>
        </w:rPr>
        <w:t xml:space="preserve">0.5</w:t>
      </w:r>
      <w:r>
        <w:rPr>
          <w:rFonts w:hint="eastAsia" w:ascii="宋体" w:hAnsi="宋体"/>
          <w:color w:val="000000"/>
          <w:sz w:val="24"/>
          <w:szCs w:val="24"/>
        </w:rPr>
        <w:t xml:space="preserve">分、能够提供所投产品为环保产品的得</w:t>
      </w:r>
      <w:r>
        <w:rPr>
          <w:rFonts w:hint="eastAsia" w:ascii="宋体" w:hAnsi="宋体"/>
          <w:color w:val="000000"/>
          <w:sz w:val="24"/>
          <w:szCs w:val="24"/>
          <w:lang w:val="en-US" w:eastAsia="zh-CN"/>
        </w:rPr>
        <w:t xml:space="preserve">0.5</w:t>
      </w:r>
      <w:r>
        <w:rPr>
          <w:rFonts w:hint="eastAsia" w:ascii="宋体" w:hAnsi="宋体"/>
          <w:color w:val="000000"/>
          <w:sz w:val="24"/>
          <w:szCs w:val="24"/>
        </w:rPr>
        <w:t xml:space="preserve">分，本项最高</w:t>
      </w:r>
      <w:r>
        <w:rPr>
          <w:rFonts w:hint="eastAsia" w:ascii="宋体" w:hAnsi="宋体"/>
          <w:color w:val="000000"/>
          <w:sz w:val="24"/>
          <w:szCs w:val="24"/>
          <w:lang w:val="en-US" w:eastAsia="zh-CN"/>
        </w:rPr>
        <w:t xml:space="preserve">得1</w:t>
      </w:r>
      <w:r>
        <w:rPr>
          <w:rFonts w:hint="eastAsia" w:ascii="宋体" w:hAnsi="宋体"/>
          <w:color w:val="000000"/>
          <w:sz w:val="24"/>
          <w:szCs w:val="24"/>
        </w:rPr>
        <w:t xml:space="preserve">分。（投标时须提供所投产品由国家确定的认证机构出具的、处于有效期之内的节能产品认证证书复印件、环境标志产品认证证书原件扫描并上传，否则不得分</w:t>
      </w:r>
      <w:r>
        <w:rPr>
          <w:rFonts w:ascii="宋体" w:hAnsi="宋体"/>
          <w:color w:val="000000"/>
          <w:sz w:val="24"/>
          <w:szCs w:val="24"/>
        </w:rPr>
        <w:t xml:space="preserve">）</w:t>
      </w:r>
      <w:r>
        <w:rPr>
          <w:rFonts w:hint="eastAsia" w:ascii="宋体" w:hAnsi="宋体"/>
          <w:color w:val="000000"/>
          <w:sz w:val="24"/>
          <w:szCs w:val="24"/>
        </w:rPr>
        <w:t xml:space="preserve">。</w:t>
      </w:r>
      <w:r/>
    </w:p>
    <w:p>
      <w:pPr>
        <w:pStyle w:val="939"/>
        <w:ind w:firstLine="360"/>
        <w:spacing w:before="0" w:after="0" w:line="360" w:lineRule="auto"/>
        <w:rPr>
          <w:rFonts w:ascii="宋体" w:hAnsi="宋体"/>
          <w:b/>
          <w:sz w:val="28"/>
          <w:szCs w:val="28"/>
        </w:rPr>
      </w:pPr>
      <w:r>
        <w:rPr>
          <w:rFonts w:hint="eastAsia" w:ascii="宋体" w:hAnsi="宋体"/>
          <w:b/>
          <w:sz w:val="28"/>
          <w:szCs w:val="28"/>
        </w:rPr>
        <w:t xml:space="preserve">（二）技术部分（ </w:t>
      </w:r>
      <w:r>
        <w:rPr>
          <w:rFonts w:hint="eastAsia" w:ascii="宋体" w:hAnsi="宋体"/>
          <w:b/>
          <w:sz w:val="28"/>
          <w:szCs w:val="28"/>
          <w:lang w:val="en-US" w:eastAsia="zh-CN"/>
        </w:rPr>
        <w:t xml:space="preserve">40</w:t>
      </w:r>
      <w:r>
        <w:rPr>
          <w:rFonts w:hint="eastAsia" w:ascii="宋体" w:hAnsi="宋体"/>
          <w:b/>
          <w:sz w:val="28"/>
          <w:szCs w:val="28"/>
        </w:rPr>
        <w:t xml:space="preserve">分）</w:t>
      </w:r>
      <w:r/>
    </w:p>
    <w:p>
      <w:pPr>
        <w:pStyle w:val="939"/>
        <w:ind w:firstLine="422"/>
        <w:spacing w:before="0" w:after="0" w:line="360" w:lineRule="auto"/>
        <w:rPr>
          <w:rFonts w:ascii="宋体" w:hAnsi="宋体"/>
          <w:b/>
          <w:u w:val="single"/>
        </w:rPr>
      </w:pPr>
      <w:r>
        <w:rPr>
          <w:rFonts w:hint="eastAsia" w:ascii="宋体" w:hAnsi="宋体"/>
          <w:b/>
          <w:u w:val="single"/>
        </w:rPr>
        <w:t xml:space="preserve">注：技术部分属于暗标，投标人在制作技术部分相关内容时不得有体现投标人身份的内容，否则投标无效。</w:t>
      </w:r>
      <w:r/>
    </w:p>
    <w:p>
      <w:pPr>
        <w:numPr>
          <w:ilvl w:val="0"/>
          <w:numId w:val="5"/>
        </w:numPr>
        <w:ind w:left="420"/>
        <w:jc w:val="left"/>
        <w:spacing w:line="360" w:lineRule="auto"/>
        <w:tabs>
          <w:tab w:val="left" w:pos="1440" w:leader="none"/>
        </w:tabs>
        <w:rPr>
          <w:rFonts w:hint="eastAsia" w:ascii="宋体" w:hAnsi="宋体"/>
          <w:b/>
          <w:bCs/>
          <w:color w:val="000000"/>
          <w:sz w:val="24"/>
          <w:szCs w:val="24"/>
        </w:rPr>
        <w:outlineLvl w:val="0"/>
      </w:pPr>
      <w:r>
        <w:rPr>
          <w:rFonts w:hint="eastAsia" w:ascii="宋体" w:hAnsi="宋体"/>
          <w:b/>
          <w:bCs/>
          <w:color w:val="000000"/>
          <w:sz w:val="24"/>
          <w:szCs w:val="24"/>
        </w:rPr>
        <w:t xml:space="preserve">服务方案</w:t>
      </w:r>
      <w:r/>
    </w:p>
    <w:p>
      <w:pPr>
        <w:pStyle w:val="973"/>
        <w:ind w:firstLine="482"/>
        <w:spacing w:line="360" w:lineRule="auto"/>
        <w:rPr>
          <w:rFonts w:hAnsi="宋体" w:cs="宋体"/>
          <w:szCs w:val="24"/>
        </w:rPr>
      </w:pPr>
      <w:r>
        <w:rPr>
          <w:rFonts w:hint="eastAsia" w:hAnsi="宋体" w:cs="宋体"/>
          <w:b/>
          <w:bCs/>
          <w:szCs w:val="24"/>
          <w:lang w:val="en-US" w:eastAsia="zh-CN"/>
        </w:rPr>
        <w:t xml:space="preserve">6</w:t>
      </w:r>
      <w:r>
        <w:rPr>
          <w:rFonts w:hint="eastAsia" w:hAnsi="宋体" w:cs="宋体"/>
          <w:b/>
          <w:bCs/>
          <w:szCs w:val="24"/>
        </w:rPr>
        <w:t xml:space="preserve">.1、安装调试方案（12分）</w:t>
      </w:r>
      <w:r>
        <w:rPr>
          <w:rFonts w:hint="eastAsia" w:hAnsi="宋体" w:cs="宋体"/>
          <w:szCs w:val="24"/>
        </w:rPr>
        <w:t xml:space="preserve">：内容包括①安装调试整体规划；②人员组织方案；③供货方案；④安装方案；⑤调试方案；⑥质量保证方案。</w:t>
      </w:r>
      <w:r/>
    </w:p>
    <w:p>
      <w:pPr>
        <w:ind w:firstLine="480"/>
        <w:spacing w:line="360" w:lineRule="auto"/>
        <w:rPr>
          <w:rFonts w:ascii="宋体" w:hAnsi="宋体" w:cs="宋体"/>
          <w:sz w:val="24"/>
          <w:szCs w:val="24"/>
        </w:rPr>
      </w:pPr>
      <w:r>
        <w:rPr>
          <w:rFonts w:hint="eastAsia" w:ascii="宋体" w:hAnsi="宋体" w:cs="宋体"/>
          <w:sz w:val="24"/>
          <w:szCs w:val="24"/>
        </w:rPr>
        <w:t xml:space="preserve">每项方案完整，科学合理，设计清晰详细，完全符合本项目需求，得2分；方案完整性一般，科学合理性一般，设计清晰详细程度一般，能够符合本项目需求，得1分；方案完整性、科学合理性、设计的清晰详细程度等只能基本满足要求的，得0.5分。</w:t>
      </w:r>
      <w:r/>
    </w:p>
    <w:p>
      <w:pPr>
        <w:ind w:firstLine="482"/>
        <w:spacing w:line="360" w:lineRule="auto"/>
        <w:rPr>
          <w:rFonts w:hint="eastAsia" w:ascii="宋体" w:hAnsi="宋体" w:cs="宋体"/>
          <w:sz w:val="24"/>
          <w:szCs w:val="24"/>
        </w:rPr>
      </w:pPr>
      <w:r>
        <w:rPr>
          <w:rFonts w:hint="eastAsia" w:ascii="宋体" w:hAnsi="宋体" w:cs="宋体"/>
          <w:b/>
          <w:bCs/>
          <w:sz w:val="24"/>
          <w:szCs w:val="24"/>
          <w:lang w:val="en-US" w:eastAsia="zh-CN"/>
        </w:rPr>
        <w:t xml:space="preserve">6</w:t>
      </w:r>
      <w:r>
        <w:rPr>
          <w:rFonts w:hint="eastAsia" w:ascii="宋体" w:hAnsi="宋体" w:cs="宋体"/>
          <w:b/>
          <w:bCs/>
          <w:sz w:val="24"/>
          <w:szCs w:val="24"/>
        </w:rPr>
        <w:t xml:space="preserve">.2、培训服务方案（8分）：</w:t>
      </w:r>
      <w:r>
        <w:rPr>
          <w:rFonts w:hint="eastAsia" w:ascii="宋体" w:hAnsi="宋体" w:cs="宋体"/>
          <w:sz w:val="24"/>
          <w:szCs w:val="24"/>
        </w:rPr>
        <w:t xml:space="preserve">内容包括①培训内容整体方案；②质保期后服务保障方案及售后服务方案整体规划；③应急维修服务保障方案；④维护保养具体实施方案。</w:t>
      </w:r>
      <w:r/>
    </w:p>
    <w:p>
      <w:pPr>
        <w:spacing w:line="360" w:lineRule="auto"/>
        <w:rPr>
          <w:rFonts w:ascii="宋体" w:hAnsi="宋体" w:cs="宋体"/>
          <w:sz w:val="24"/>
          <w:szCs w:val="24"/>
        </w:rPr>
      </w:pPr>
      <w:r>
        <w:rPr>
          <w:rFonts w:hint="eastAsia" w:ascii="宋体" w:hAnsi="宋体" w:cs="宋体"/>
          <w:sz w:val="24"/>
          <w:szCs w:val="24"/>
        </w:rPr>
        <w:t xml:space="preserve">每项方案完整，科学合理，设计清晰详细，完全符合本项目需求，得2分；方案完整性一般，科学合理性一般，设计清晰详细程度一般，能够符合本项目需求，得1分；方案完整性、科学合理性、设计的清晰详细程度等只能基本满足要求的，得0.5分。</w:t>
      </w:r>
      <w:r/>
    </w:p>
    <w:p>
      <w:pPr>
        <w:ind w:firstLine="420"/>
        <w:spacing w:line="360" w:lineRule="auto"/>
        <w:rPr>
          <w:rFonts w:hint="eastAsia" w:ascii="宋体" w:hAnsi="宋体" w:cs="宋体"/>
          <w:sz w:val="24"/>
          <w:szCs w:val="24"/>
        </w:rPr>
      </w:pPr>
      <w:r>
        <w:rPr>
          <w:rFonts w:hint="eastAsia" w:ascii="宋体" w:hAnsi="宋体" w:cs="宋体"/>
          <w:b/>
          <w:bCs/>
          <w:sz w:val="24"/>
          <w:szCs w:val="24"/>
          <w:lang w:val="en-US" w:eastAsia="zh-CN"/>
        </w:rPr>
        <w:t xml:space="preserve">6</w:t>
      </w:r>
      <w:r>
        <w:rPr>
          <w:rFonts w:hint="eastAsia" w:ascii="宋体" w:hAnsi="宋体" w:cs="宋体"/>
          <w:b/>
          <w:bCs/>
          <w:sz w:val="24"/>
          <w:szCs w:val="24"/>
        </w:rPr>
        <w:t xml:space="preserve">.3、整体设计方案（9分）：</w:t>
      </w:r>
      <w:r>
        <w:rPr>
          <w:rFonts w:hint="eastAsia" w:ascii="宋体" w:hAnsi="宋体" w:cs="宋体"/>
          <w:sz w:val="24"/>
          <w:szCs w:val="24"/>
        </w:rPr>
        <w:t xml:space="preserve">为保证本项目实验室建设的精准性与落地效果，本方案应提供与本项目实际教室完全匹配的设计方案及深化设计图纸。图纸须基于投标人自行踏勘现场后获得的实际建筑尺寸、柱网结构、管线定位及门窗位置等核心数据进行绘制。具体要求如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①物理实验室及准备室的整体设计及深化图纸；</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②化学实验室及准备室的整体设计及深化图纸；</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③生物实验室及准备室的整体设计及深化图纸。</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其中深化图纸包括至少1张平面布置图(含桌椅、水槽、通风柜精确排布)、3张不同视角效果图、对应教室的现场实景拍摄照片(须体现拍摄时间及经纬度水印，或带有项目特征标志)，图纸布局须与现场照片中的建筑结构、立柱、窗户等硬性特征相对应。</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每种实验室设计方案完整详细，整体设计思路清晰，科学合理，图纸专业、高清美观、符合实验室功能定位，贴合项目实际工况、满足专业实验室使用及施工验收要求，设计落地性强的，得3分。</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每种实验室设计方案基本完整，整体设计思路基本可行，图纸基本齐全，设计符合规范，能基本落地的，得</w:t>
      </w:r>
      <w:r>
        <w:rPr>
          <w:rFonts w:hint="eastAsia" w:ascii="宋体" w:hAnsi="宋体" w:cs="宋体"/>
          <w:sz w:val="24"/>
          <w:szCs w:val="24"/>
          <w:lang w:val="en-US" w:eastAsia="zh-CN"/>
        </w:rPr>
        <w:t xml:space="preserve">2</w:t>
      </w:r>
      <w:r>
        <w:rPr>
          <w:rFonts w:hint="eastAsia" w:ascii="宋体" w:hAnsi="宋体" w:cs="宋体"/>
          <w:sz w:val="24"/>
          <w:szCs w:val="24"/>
        </w:rPr>
        <w:t xml:space="preserve">分。</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图纸不全或使用与本项目实验室建设无关的通用图纸，不符合采购要求的，得</w:t>
      </w:r>
      <w:r>
        <w:rPr>
          <w:rFonts w:hint="eastAsia" w:ascii="宋体" w:hAnsi="宋体" w:cs="宋体"/>
          <w:sz w:val="24"/>
          <w:szCs w:val="24"/>
          <w:lang w:val="en-US" w:eastAsia="zh-CN"/>
        </w:rPr>
        <w:t xml:space="preserve">1</w:t>
      </w:r>
      <w:r>
        <w:rPr>
          <w:rFonts w:hint="eastAsia" w:ascii="宋体" w:hAnsi="宋体" w:cs="宋体"/>
          <w:sz w:val="24"/>
          <w:szCs w:val="24"/>
        </w:rPr>
        <w:t xml:space="preserve">分。</w:t>
      </w:r>
      <w:r/>
    </w:p>
    <w:p>
      <w:pPr>
        <w:spacing w:line="360" w:lineRule="auto"/>
        <w:rPr>
          <w:rFonts w:ascii="宋体" w:hAnsi="宋体" w:cs="宋体"/>
          <w:sz w:val="24"/>
          <w:szCs w:val="24"/>
        </w:rPr>
      </w:pPr>
      <w:r>
        <w:rPr>
          <w:rFonts w:hint="eastAsia" w:ascii="宋体" w:hAnsi="宋体" w:cs="宋体"/>
          <w:sz w:val="24"/>
          <w:szCs w:val="24"/>
        </w:rPr>
        <w:t xml:space="preserve">。</w:t>
      </w:r>
      <w:r/>
    </w:p>
    <w:p>
      <w:pPr>
        <w:ind w:firstLine="420"/>
        <w:spacing w:line="360" w:lineRule="auto"/>
        <w:rPr>
          <w:rFonts w:hint="eastAsia" w:ascii="宋体" w:hAnsi="宋体" w:cs="宋体"/>
          <w:sz w:val="24"/>
          <w:szCs w:val="24"/>
        </w:rPr>
      </w:pPr>
      <w:r>
        <w:rPr>
          <w:rFonts w:hint="eastAsia" w:ascii="宋体" w:hAnsi="宋体" w:cs="宋体"/>
          <w:b/>
          <w:bCs/>
          <w:sz w:val="24"/>
          <w:szCs w:val="24"/>
          <w:lang w:val="en-US" w:eastAsia="zh-CN"/>
        </w:rPr>
        <w:t xml:space="preserve">6</w:t>
      </w:r>
      <w:r>
        <w:rPr>
          <w:rFonts w:hint="eastAsia" w:ascii="宋体" w:hAnsi="宋体" w:cs="宋体"/>
          <w:b/>
          <w:bCs/>
          <w:sz w:val="24"/>
          <w:szCs w:val="24"/>
        </w:rPr>
        <w:t xml:space="preserve">.4、给排水系统设计（</w:t>
      </w:r>
      <w:r>
        <w:rPr>
          <w:rFonts w:hint="eastAsia" w:ascii="宋体" w:hAnsi="宋体" w:cs="宋体"/>
          <w:b/>
          <w:bCs/>
          <w:sz w:val="24"/>
          <w:szCs w:val="24"/>
          <w:lang w:val="en-US" w:eastAsia="zh-CN"/>
        </w:rPr>
        <w:t xml:space="preserve">5</w:t>
      </w:r>
      <w:r>
        <w:rPr>
          <w:rFonts w:hint="eastAsia" w:ascii="宋体" w:hAnsi="宋体" w:cs="宋体"/>
          <w:b/>
          <w:bCs/>
          <w:sz w:val="24"/>
          <w:szCs w:val="24"/>
        </w:rPr>
        <w:t xml:space="preserve">分）：</w:t>
      </w:r>
      <w:r>
        <w:rPr>
          <w:rFonts w:hint="eastAsia" w:ascii="宋体" w:hAnsi="宋体" w:cs="宋体"/>
          <w:sz w:val="24"/>
          <w:szCs w:val="24"/>
        </w:rPr>
        <w:t xml:space="preserve">为保证本项目实验室建设的给排水系统专业性与落地效果，本方案应提供与本项目实际教室完全匹配的设计方案及深化设计图纸。图纸须基于投标人自行踏勘现场后获得的实际建筑尺寸、柱网结构、管线定位及门窗位置等核心数据进行绘制。具体要求如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①生物实验室给排水系统详细设计及深化图纸；</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②化学实验室给排水系统详细设计及深化图纸。</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其中深化图纸包含水路设计说明与图例、给水平面布置图、排水平面布置图、节点大样图内容、现场实景拍摄照片(须体现拍摄时间及经纬度水印且图纸布局须与现场照片中的建筑结构、立柱、窗户等硬性特征相对应)。</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每种实验室给排水系统设计方案完整详细，整体设计思路清晰，科学合理，图纸专业、高清、符合实验室功能定位，贴合项目实际工况、满足专业实验室使用及施工验收要求，设计落地性强的，得</w:t>
      </w:r>
      <w:r>
        <w:rPr>
          <w:rFonts w:hint="eastAsia" w:ascii="宋体" w:hAnsi="宋体" w:cs="宋体"/>
          <w:sz w:val="24"/>
          <w:szCs w:val="24"/>
          <w:lang w:val="en-US" w:eastAsia="zh-CN"/>
        </w:rPr>
        <w:t xml:space="preserve">2.5</w:t>
      </w:r>
      <w:r>
        <w:rPr>
          <w:rFonts w:hint="eastAsia" w:ascii="宋体" w:hAnsi="宋体" w:cs="宋体"/>
          <w:sz w:val="24"/>
          <w:szCs w:val="24"/>
        </w:rPr>
        <w:t xml:space="preserve">分。</w:t>
      </w:r>
      <w:r/>
    </w:p>
    <w:p>
      <w:pPr>
        <w:ind w:firstLine="420"/>
        <w:spacing w:line="360" w:lineRule="auto"/>
        <w:rPr>
          <w:rFonts w:hint="eastAsia" w:ascii="宋体" w:hAnsi="宋体" w:cs="宋体"/>
          <w:sz w:val="24"/>
          <w:szCs w:val="24"/>
        </w:rPr>
      </w:pPr>
      <w:r>
        <w:rPr>
          <w:rFonts w:hint="eastAsia" w:ascii="宋体" w:hAnsi="宋体" w:cs="宋体"/>
          <w:sz w:val="24"/>
          <w:szCs w:val="24"/>
          <w:lang w:val="en-US" w:eastAsia="zh-CN"/>
        </w:rPr>
        <w:t xml:space="preserve">每种实验室排水系统设计</w:t>
      </w:r>
      <w:r>
        <w:rPr>
          <w:rFonts w:hint="eastAsia" w:ascii="宋体" w:hAnsi="宋体" w:cs="宋体"/>
          <w:sz w:val="24"/>
          <w:szCs w:val="24"/>
        </w:rPr>
        <w:t xml:space="preserve">方案基本完整，整体设计思路</w:t>
      </w:r>
      <w:r>
        <w:rPr>
          <w:rFonts w:hint="eastAsia" w:ascii="宋体" w:hAnsi="宋体" w:cs="宋体"/>
          <w:sz w:val="24"/>
          <w:szCs w:val="24"/>
          <w:lang w:val="en-US" w:eastAsia="zh-CN"/>
        </w:rPr>
        <w:t xml:space="preserve">一般</w:t>
      </w:r>
      <w:r>
        <w:rPr>
          <w:rFonts w:hint="eastAsia" w:ascii="宋体" w:hAnsi="宋体" w:cs="宋体"/>
          <w:sz w:val="24"/>
          <w:szCs w:val="24"/>
        </w:rPr>
        <w:t xml:space="preserve">，科学合理一般，图纸专业、高清、符合实验室功能定位一般，贴合项目实际工况、满足专业实验室使用及施工验收要求一般，设计落地性一般的，得</w:t>
      </w:r>
      <w:r>
        <w:rPr>
          <w:rFonts w:hint="eastAsia" w:ascii="宋体" w:hAnsi="宋体" w:cs="宋体"/>
          <w:sz w:val="24"/>
          <w:szCs w:val="24"/>
          <w:lang w:val="en-US" w:eastAsia="zh-CN"/>
        </w:rPr>
        <w:t xml:space="preserve">1.5</w:t>
      </w:r>
      <w:r>
        <w:rPr>
          <w:rFonts w:hint="eastAsia" w:ascii="宋体" w:hAnsi="宋体" w:cs="宋体"/>
          <w:sz w:val="24"/>
          <w:szCs w:val="24"/>
        </w:rPr>
        <w:t xml:space="preserve">分。</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每种实验室给排水系统设计方案完整</w:t>
      </w:r>
      <w:r>
        <w:rPr>
          <w:rFonts w:hint="eastAsia" w:ascii="宋体" w:hAnsi="宋体" w:cs="宋体"/>
          <w:sz w:val="24"/>
          <w:szCs w:val="24"/>
          <w:lang w:val="en-US" w:eastAsia="zh-CN"/>
        </w:rPr>
        <w:t xml:space="preserve">性不够</w:t>
      </w:r>
      <w:r>
        <w:rPr>
          <w:rFonts w:hint="eastAsia" w:ascii="宋体" w:hAnsi="宋体" w:cs="宋体"/>
          <w:sz w:val="24"/>
          <w:szCs w:val="24"/>
        </w:rPr>
        <w:t xml:space="preserve">，整体设计思路可行</w:t>
      </w:r>
      <w:r>
        <w:rPr>
          <w:rFonts w:hint="eastAsia" w:ascii="宋体" w:hAnsi="宋体" w:cs="宋体"/>
          <w:sz w:val="24"/>
          <w:szCs w:val="24"/>
          <w:lang w:val="en-US" w:eastAsia="zh-CN"/>
        </w:rPr>
        <w:t xml:space="preserve">性一般</w:t>
      </w:r>
      <w:r>
        <w:rPr>
          <w:rFonts w:hint="eastAsia" w:ascii="宋体" w:hAnsi="宋体" w:cs="宋体"/>
          <w:sz w:val="24"/>
          <w:szCs w:val="24"/>
        </w:rPr>
        <w:t xml:space="preserve">，图纸基本齐全，设计符合规</w:t>
      </w:r>
      <w:r>
        <w:rPr>
          <w:rFonts w:hint="eastAsia" w:ascii="宋体" w:hAnsi="宋体" w:cs="宋体"/>
          <w:sz w:val="24"/>
          <w:szCs w:val="24"/>
          <w:lang w:val="en-US" w:eastAsia="zh-CN"/>
        </w:rPr>
        <w:t xml:space="preserve">一般</w:t>
      </w:r>
      <w:r>
        <w:rPr>
          <w:rFonts w:hint="eastAsia" w:ascii="宋体" w:hAnsi="宋体" w:cs="宋体"/>
          <w:sz w:val="24"/>
          <w:szCs w:val="24"/>
        </w:rPr>
        <w:t xml:space="preserve">范，基本落地</w:t>
      </w:r>
      <w:r>
        <w:rPr>
          <w:rFonts w:hint="eastAsia" w:ascii="宋体" w:hAnsi="宋体" w:cs="宋体"/>
          <w:sz w:val="24"/>
          <w:szCs w:val="24"/>
          <w:lang w:val="en-US" w:eastAsia="zh-CN"/>
        </w:rPr>
        <w:t xml:space="preserve">性差</w:t>
      </w:r>
      <w:r>
        <w:rPr>
          <w:rFonts w:hint="eastAsia" w:ascii="宋体" w:hAnsi="宋体" w:cs="宋体"/>
          <w:sz w:val="24"/>
          <w:szCs w:val="24"/>
        </w:rPr>
        <w:t xml:space="preserve">，得</w:t>
      </w:r>
      <w:r>
        <w:rPr>
          <w:rFonts w:hint="eastAsia" w:ascii="宋体" w:hAnsi="宋体" w:cs="宋体"/>
          <w:sz w:val="24"/>
          <w:szCs w:val="24"/>
          <w:lang w:val="en-US" w:eastAsia="zh-CN"/>
        </w:rPr>
        <w:t xml:space="preserve">0.5</w:t>
      </w:r>
      <w:r>
        <w:rPr>
          <w:rFonts w:hint="eastAsia" w:ascii="宋体" w:hAnsi="宋体" w:cs="宋体"/>
          <w:sz w:val="24"/>
          <w:szCs w:val="24"/>
        </w:rPr>
        <w:t xml:space="preserve">分。</w:t>
      </w:r>
      <w:r/>
    </w:p>
    <w:p>
      <w:pPr>
        <w:ind w:firstLine="420"/>
        <w:spacing w:line="360" w:lineRule="auto"/>
        <w:rPr>
          <w:rFonts w:ascii="宋体" w:hAnsi="宋体" w:cs="宋体"/>
          <w:sz w:val="24"/>
          <w:szCs w:val="24"/>
        </w:rPr>
      </w:pPr>
      <w:r>
        <w:rPr>
          <w:rFonts w:hint="eastAsia" w:ascii="宋体" w:hAnsi="宋体" w:cs="宋体"/>
          <w:sz w:val="24"/>
          <w:szCs w:val="24"/>
        </w:rPr>
        <w:t xml:space="preserve">图纸不全或使用与本项目实验室建设无关的通用图纸，不符合采购要求的，得0分。</w:t>
      </w:r>
      <w:r/>
    </w:p>
    <w:p>
      <w:pPr>
        <w:ind w:firstLine="420"/>
        <w:spacing w:line="360" w:lineRule="auto"/>
        <w:rPr>
          <w:rFonts w:hint="eastAsia" w:ascii="宋体" w:hAnsi="宋体" w:cs="宋体"/>
          <w:sz w:val="24"/>
          <w:szCs w:val="24"/>
        </w:rPr>
      </w:pPr>
      <w:r>
        <w:rPr>
          <w:rFonts w:hint="eastAsia" w:ascii="宋体" w:hAnsi="宋体" w:cs="宋体"/>
          <w:b/>
          <w:bCs/>
          <w:sz w:val="24"/>
          <w:szCs w:val="24"/>
          <w:lang w:val="en-US" w:eastAsia="zh-CN"/>
        </w:rPr>
        <w:t xml:space="preserve">6</w:t>
      </w:r>
      <w:r>
        <w:rPr>
          <w:rFonts w:hint="eastAsia" w:ascii="宋体" w:hAnsi="宋体" w:cs="宋体"/>
          <w:b/>
          <w:bCs/>
          <w:sz w:val="24"/>
          <w:szCs w:val="24"/>
        </w:rPr>
        <w:t xml:space="preserve">.5、供电系统设计（3分）：</w:t>
      </w:r>
      <w:r>
        <w:rPr>
          <w:rFonts w:hint="eastAsia" w:ascii="宋体" w:hAnsi="宋体" w:cs="宋体"/>
          <w:sz w:val="24"/>
          <w:szCs w:val="24"/>
        </w:rPr>
        <w:t xml:space="preserve">为保证本项目实验室建设的给供电系统安全性、专业性与落地效果，本方案应提供与本项目实际教室完全匹配的设计方案及深化设计图纸。图纸须基于投标人自行踏勘现场后获得的实际建筑尺寸、柱网结构、管线定位及门窗位置等核心数据进行绘制。具体要求如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①物理实验室供电系统详细设计及深化图纸；</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②化学实验室供电系统详细设计及深化图纸；</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③生物实验室供电系统详细设计及深化图纸。</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其中深化图纸包含电路设计说明、</w:t>
      </w:r>
      <w:r>
        <w:rPr>
          <w:rFonts w:ascii="宋体" w:hAnsi="宋体" w:cs="宋体"/>
          <w:sz w:val="24"/>
          <w:szCs w:val="24"/>
        </w:rPr>
        <w:t xml:space="preserve">强电</w:t>
      </w:r>
      <w:r>
        <w:rPr>
          <w:rFonts w:hint="eastAsia" w:ascii="宋体" w:hAnsi="宋体" w:cs="宋体"/>
          <w:sz w:val="24"/>
          <w:szCs w:val="24"/>
        </w:rPr>
        <w:t xml:space="preserve">布线</w:t>
      </w:r>
      <w:r>
        <w:rPr>
          <w:rFonts w:ascii="宋体" w:hAnsi="宋体" w:cs="宋体"/>
          <w:sz w:val="24"/>
          <w:szCs w:val="24"/>
        </w:rPr>
        <w:t xml:space="preserve">平面图</w:t>
      </w:r>
      <w:r>
        <w:rPr>
          <w:rFonts w:hint="eastAsia" w:ascii="宋体" w:hAnsi="宋体" w:cs="宋体"/>
          <w:sz w:val="24"/>
          <w:szCs w:val="24"/>
        </w:rPr>
        <w:t xml:space="preserve">、现场实景拍摄照片(须体现拍摄时间及经纬度水印且图纸布局须与现场照片中的建筑结构、立柱、窗户等硬性特征相对应)。</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每种实验室供电系统设计方案完整详细，整体设计思路清晰，科学合理，图纸专业、高清、符合实验室功能定位，贴合项目实际工况、满足专业实验室使用及施工验收要求，设计落地性强的，得</w:t>
      </w:r>
      <w:r>
        <w:rPr>
          <w:rFonts w:hint="eastAsia" w:ascii="宋体" w:hAnsi="宋体" w:cs="宋体"/>
          <w:sz w:val="24"/>
          <w:szCs w:val="24"/>
          <w:lang w:val="en-US" w:eastAsia="zh-CN"/>
        </w:rPr>
        <w:t xml:space="preserve">1</w:t>
      </w:r>
      <w:r>
        <w:rPr>
          <w:rFonts w:hint="eastAsia" w:ascii="宋体" w:hAnsi="宋体" w:cs="宋体"/>
          <w:sz w:val="24"/>
          <w:szCs w:val="24"/>
        </w:rPr>
        <w:t xml:space="preserve">分。</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每种实验室供电系统设计方案基本完整，整体设计思路基本可行，图纸基本齐全，设计符合规范，能基本落地的，得</w:t>
      </w:r>
      <w:r>
        <w:rPr>
          <w:rFonts w:hint="eastAsia" w:ascii="宋体" w:hAnsi="宋体" w:cs="宋体"/>
          <w:sz w:val="24"/>
          <w:szCs w:val="24"/>
          <w:lang w:val="en-US" w:eastAsia="zh-CN"/>
        </w:rPr>
        <w:t xml:space="preserve">0.5</w:t>
      </w:r>
      <w:r>
        <w:rPr>
          <w:rFonts w:hint="eastAsia" w:ascii="宋体" w:hAnsi="宋体" w:cs="宋体"/>
          <w:sz w:val="24"/>
          <w:szCs w:val="24"/>
        </w:rPr>
        <w:t xml:space="preserve">分。</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每种实验室供电系统设计方案完整</w:t>
      </w:r>
      <w:r>
        <w:rPr>
          <w:rFonts w:hint="eastAsia" w:ascii="宋体" w:hAnsi="宋体" w:cs="宋体"/>
          <w:sz w:val="24"/>
          <w:szCs w:val="24"/>
          <w:lang w:val="en-US" w:eastAsia="zh-CN"/>
        </w:rPr>
        <w:t xml:space="preserve">性不够</w:t>
      </w:r>
      <w:r>
        <w:rPr>
          <w:rFonts w:hint="eastAsia" w:ascii="宋体" w:hAnsi="宋体" w:cs="宋体"/>
          <w:sz w:val="24"/>
          <w:szCs w:val="24"/>
        </w:rPr>
        <w:t xml:space="preserve">，整体设计思路</w:t>
      </w:r>
      <w:r>
        <w:rPr>
          <w:rFonts w:hint="eastAsia" w:ascii="宋体" w:hAnsi="宋体" w:cs="宋体"/>
          <w:sz w:val="24"/>
          <w:szCs w:val="24"/>
          <w:lang w:val="en-US" w:eastAsia="zh-CN"/>
        </w:rPr>
        <w:t xml:space="preserve">缺乏基本依据</w:t>
      </w:r>
      <w:r>
        <w:rPr>
          <w:rFonts w:hint="eastAsia" w:ascii="宋体" w:hAnsi="宋体" w:cs="宋体"/>
          <w:sz w:val="24"/>
          <w:szCs w:val="24"/>
        </w:rPr>
        <w:t xml:space="preserve">，图纸基本齐全</w:t>
      </w:r>
      <w:r>
        <w:rPr>
          <w:rFonts w:hint="eastAsia" w:ascii="宋体" w:hAnsi="宋体" w:cs="宋体"/>
          <w:sz w:val="24"/>
          <w:szCs w:val="24"/>
          <w:lang w:val="en-US" w:eastAsia="zh-CN"/>
        </w:rPr>
        <w:t xml:space="preserve">性不够</w:t>
      </w:r>
      <w:r>
        <w:rPr>
          <w:rFonts w:hint="eastAsia" w:ascii="宋体" w:hAnsi="宋体" w:cs="宋体"/>
          <w:sz w:val="24"/>
          <w:szCs w:val="24"/>
        </w:rPr>
        <w:t xml:space="preserve">，设计符合规范</w:t>
      </w:r>
      <w:r>
        <w:rPr>
          <w:rFonts w:hint="eastAsia" w:ascii="宋体" w:hAnsi="宋体" w:cs="宋体"/>
          <w:sz w:val="24"/>
          <w:szCs w:val="24"/>
          <w:lang w:val="en-US" w:eastAsia="zh-CN"/>
        </w:rPr>
        <w:t xml:space="preserve">性一般</w:t>
      </w:r>
      <w:r>
        <w:rPr>
          <w:rFonts w:hint="eastAsia" w:ascii="宋体" w:hAnsi="宋体" w:cs="宋体"/>
          <w:sz w:val="24"/>
          <w:szCs w:val="24"/>
        </w:rPr>
        <w:t xml:space="preserve">，基本落地</w:t>
      </w:r>
      <w:r>
        <w:rPr>
          <w:rFonts w:hint="eastAsia" w:ascii="宋体" w:hAnsi="宋体" w:cs="宋体"/>
          <w:sz w:val="24"/>
          <w:szCs w:val="24"/>
          <w:lang w:val="en-US" w:eastAsia="zh-CN"/>
        </w:rPr>
        <w:t xml:space="preserve">性差</w:t>
      </w:r>
      <w:r>
        <w:rPr>
          <w:rFonts w:hint="eastAsia" w:ascii="宋体" w:hAnsi="宋体" w:cs="宋体"/>
          <w:sz w:val="24"/>
          <w:szCs w:val="24"/>
        </w:rPr>
        <w:t xml:space="preserve">的，得</w:t>
      </w:r>
      <w:r>
        <w:rPr>
          <w:rFonts w:hint="eastAsia" w:ascii="宋体" w:hAnsi="宋体" w:cs="宋体"/>
          <w:sz w:val="24"/>
          <w:szCs w:val="24"/>
          <w:lang w:val="en-US" w:eastAsia="zh-CN"/>
        </w:rPr>
        <w:t xml:space="preserve">0.2</w:t>
      </w:r>
      <w:r>
        <w:rPr>
          <w:rFonts w:hint="eastAsia" w:ascii="宋体" w:hAnsi="宋体" w:cs="宋体"/>
          <w:sz w:val="24"/>
          <w:szCs w:val="24"/>
        </w:rPr>
        <w:t xml:space="preserve">分。</w:t>
      </w:r>
      <w:r/>
    </w:p>
    <w:p>
      <w:pPr>
        <w:ind w:firstLine="420"/>
        <w:spacing w:line="360" w:lineRule="auto"/>
        <w:rPr>
          <w:rFonts w:ascii="宋体" w:hAnsi="宋体" w:cs="宋体"/>
          <w:sz w:val="24"/>
          <w:szCs w:val="24"/>
        </w:rPr>
      </w:pPr>
      <w:r>
        <w:rPr>
          <w:rFonts w:hint="eastAsia" w:ascii="宋体" w:hAnsi="宋体" w:cs="宋体"/>
          <w:sz w:val="24"/>
          <w:szCs w:val="24"/>
        </w:rPr>
        <w:t xml:space="preserve">图纸不全或使用与本项目实验室建设无关的通用图纸，不符合采购要求的，得0分。</w:t>
      </w:r>
      <w:r/>
    </w:p>
    <w:p>
      <w:pPr>
        <w:ind w:firstLine="420"/>
        <w:spacing w:line="360" w:lineRule="auto"/>
        <w:rPr>
          <w:rFonts w:hint="eastAsia" w:ascii="宋体" w:hAnsi="宋体" w:cs="宋体"/>
          <w:sz w:val="24"/>
          <w:szCs w:val="24"/>
        </w:rPr>
      </w:pPr>
      <w:r>
        <w:rPr>
          <w:rFonts w:hint="eastAsia" w:ascii="宋体" w:hAnsi="宋体" w:cs="宋体"/>
          <w:b/>
          <w:bCs/>
          <w:sz w:val="24"/>
          <w:szCs w:val="24"/>
          <w:lang w:val="en-US" w:eastAsia="zh-CN"/>
        </w:rPr>
        <w:t xml:space="preserve">6</w:t>
      </w:r>
      <w:bookmarkStart w:id="206" w:name="_GoBack"/>
      <w:r/>
      <w:bookmarkEnd w:id="206"/>
      <w:r>
        <w:rPr>
          <w:rFonts w:hint="eastAsia" w:ascii="宋体" w:hAnsi="宋体" w:cs="宋体"/>
          <w:b/>
          <w:bCs/>
          <w:sz w:val="24"/>
          <w:szCs w:val="24"/>
        </w:rPr>
        <w:t xml:space="preserve">.6、通风系统设计（3分）：</w:t>
      </w:r>
      <w:r>
        <w:rPr>
          <w:rFonts w:hint="eastAsia" w:ascii="宋体" w:hAnsi="宋体" w:cs="宋体"/>
          <w:sz w:val="24"/>
          <w:szCs w:val="24"/>
        </w:rPr>
        <w:t xml:space="preserve">为保证本项目化学实验室建设的安全性、专业性与落地效果，本方案应提供与本项目实际教室完全匹配的通风系统设计方案及深化设计图纸。图纸须基于投标人自行踏勘现场后获得的实际建筑尺寸、柱网结构、管线定位及门窗位置等核心数据进行绘制。具体要求如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①化学实验室通风系统详细设计及深化图纸。</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其中深化图纸包含包含通风风管设计说明（含图例、设备材料表）、风管平面布置图、屋顶设备大样图、现场实景拍摄照片(须体现拍摄时间及经纬度水印且图纸布局须与现场照片中的建筑结构、立柱、窗户等硬性特征相对应)。</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化学实验室通风系统设计方案完整详细，整体设计思路清晰，科学合理，全套专业图纸专业、高清、符合实验室功能定位，贴合项目实际工况、满足专业实验室使用及施工验收要求，设计落地性强的，得3分。</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化学实验室通风系统设计方案</w:t>
      </w:r>
      <w:r>
        <w:rPr>
          <w:rFonts w:hint="eastAsia" w:ascii="宋体" w:hAnsi="宋体" w:cs="宋体"/>
          <w:sz w:val="24"/>
          <w:szCs w:val="24"/>
          <w:lang w:val="en-US" w:eastAsia="zh-CN"/>
        </w:rPr>
        <w:t xml:space="preserve">基本</w:t>
      </w:r>
      <w:r>
        <w:rPr>
          <w:rFonts w:hint="eastAsia" w:ascii="宋体" w:hAnsi="宋体" w:cs="宋体"/>
          <w:sz w:val="24"/>
          <w:szCs w:val="24"/>
        </w:rPr>
        <w:t xml:space="preserve">完整详细，整体设计</w:t>
      </w:r>
      <w:r>
        <w:rPr>
          <w:rFonts w:hint="eastAsia" w:ascii="宋体" w:hAnsi="宋体" w:cs="宋体"/>
          <w:sz w:val="24"/>
          <w:szCs w:val="24"/>
          <w:lang w:val="en-US" w:eastAsia="zh-CN"/>
        </w:rPr>
        <w:t xml:space="preserve">基本</w:t>
      </w:r>
      <w:r>
        <w:rPr>
          <w:rFonts w:hint="eastAsia" w:ascii="宋体" w:hAnsi="宋体" w:cs="宋体"/>
          <w:sz w:val="24"/>
          <w:szCs w:val="24"/>
        </w:rPr>
        <w:t xml:space="preserve">思路清晰，科学合理</w:t>
      </w:r>
      <w:r>
        <w:rPr>
          <w:rFonts w:hint="eastAsia" w:ascii="宋体" w:hAnsi="宋体" w:cs="宋体"/>
          <w:sz w:val="24"/>
          <w:szCs w:val="24"/>
          <w:lang w:val="en-US" w:eastAsia="zh-CN"/>
        </w:rPr>
        <w:t xml:space="preserve">一般</w:t>
      </w:r>
      <w:r>
        <w:rPr>
          <w:rFonts w:hint="eastAsia" w:ascii="宋体" w:hAnsi="宋体" w:cs="宋体"/>
          <w:sz w:val="24"/>
          <w:szCs w:val="24"/>
        </w:rPr>
        <w:t xml:space="preserve">，全套专业图纸专业、高清、符合实验室功能定位</w:t>
      </w:r>
      <w:r>
        <w:rPr>
          <w:rFonts w:hint="eastAsia" w:ascii="宋体" w:hAnsi="宋体" w:cs="宋体"/>
          <w:sz w:val="24"/>
          <w:szCs w:val="24"/>
          <w:lang w:val="en-US" w:eastAsia="zh-CN"/>
        </w:rPr>
        <w:t xml:space="preserve">一般</w:t>
      </w:r>
      <w:r>
        <w:rPr>
          <w:rFonts w:hint="eastAsia" w:ascii="宋体" w:hAnsi="宋体" w:cs="宋体"/>
          <w:sz w:val="24"/>
          <w:szCs w:val="24"/>
        </w:rPr>
        <w:t xml:space="preserve">，贴合项目实际工况、满足专业实验室使用及施工验收要求</w:t>
      </w:r>
      <w:r>
        <w:rPr>
          <w:rFonts w:hint="eastAsia" w:ascii="宋体" w:hAnsi="宋体" w:cs="宋体"/>
          <w:sz w:val="24"/>
          <w:szCs w:val="24"/>
          <w:lang w:val="en-US" w:eastAsia="zh-CN"/>
        </w:rPr>
        <w:t xml:space="preserve">一般</w:t>
      </w:r>
      <w:r>
        <w:rPr>
          <w:rFonts w:hint="eastAsia" w:ascii="宋体" w:hAnsi="宋体" w:cs="宋体"/>
          <w:sz w:val="24"/>
          <w:szCs w:val="24"/>
        </w:rPr>
        <w:t xml:space="preserve">，设计落地性</w:t>
      </w:r>
      <w:r>
        <w:rPr>
          <w:rFonts w:hint="eastAsia" w:ascii="宋体" w:hAnsi="宋体" w:cs="宋体"/>
          <w:sz w:val="24"/>
          <w:szCs w:val="24"/>
          <w:lang w:val="en-US" w:eastAsia="zh-CN"/>
        </w:rPr>
        <w:t xml:space="preserve">一般</w:t>
      </w:r>
      <w:r>
        <w:rPr>
          <w:rFonts w:hint="eastAsia" w:ascii="宋体" w:hAnsi="宋体" w:cs="宋体"/>
          <w:sz w:val="24"/>
          <w:szCs w:val="24"/>
        </w:rPr>
        <w:t xml:space="preserve">的，得</w:t>
      </w:r>
      <w:r>
        <w:rPr>
          <w:rFonts w:hint="eastAsia" w:ascii="宋体" w:hAnsi="宋体" w:cs="宋体"/>
          <w:sz w:val="24"/>
          <w:szCs w:val="24"/>
          <w:lang w:val="en-US" w:eastAsia="zh-CN"/>
        </w:rPr>
        <w:t xml:space="preserve">2</w:t>
      </w:r>
      <w:r>
        <w:rPr>
          <w:rFonts w:hint="eastAsia" w:ascii="宋体" w:hAnsi="宋体" w:cs="宋体"/>
          <w:sz w:val="24"/>
          <w:szCs w:val="24"/>
        </w:rPr>
        <w:t xml:space="preserve">分。</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化学实验室通风系统设计方案完整</w:t>
      </w:r>
      <w:r>
        <w:rPr>
          <w:rFonts w:hint="eastAsia" w:ascii="宋体" w:hAnsi="宋体" w:cs="宋体"/>
          <w:sz w:val="24"/>
          <w:szCs w:val="24"/>
          <w:lang w:val="en-US" w:eastAsia="zh-CN"/>
        </w:rPr>
        <w:t xml:space="preserve">性欠缺</w:t>
      </w:r>
      <w:r>
        <w:rPr>
          <w:rFonts w:hint="eastAsia" w:ascii="宋体" w:hAnsi="宋体" w:cs="宋体"/>
          <w:sz w:val="24"/>
          <w:szCs w:val="24"/>
        </w:rPr>
        <w:t xml:space="preserve">，整体设计思路基本可行</w:t>
      </w:r>
      <w:r>
        <w:rPr>
          <w:rFonts w:hint="eastAsia" w:ascii="宋体" w:hAnsi="宋体" w:cs="宋体"/>
          <w:sz w:val="24"/>
          <w:szCs w:val="24"/>
          <w:lang w:val="en-US" w:eastAsia="zh-CN"/>
        </w:rPr>
        <w:t xml:space="preserve">性缺乏</w:t>
      </w:r>
      <w:r>
        <w:rPr>
          <w:rFonts w:hint="eastAsia" w:ascii="宋体" w:hAnsi="宋体" w:cs="宋体"/>
          <w:sz w:val="24"/>
          <w:szCs w:val="24"/>
        </w:rPr>
        <w:t xml:space="preserve">，图纸基本齐全</w:t>
      </w:r>
      <w:r>
        <w:rPr>
          <w:rFonts w:hint="eastAsia" w:ascii="宋体" w:hAnsi="宋体" w:cs="宋体"/>
          <w:sz w:val="24"/>
          <w:szCs w:val="24"/>
          <w:lang w:val="en-US" w:eastAsia="zh-CN"/>
        </w:rPr>
        <w:t xml:space="preserve">性不够</w:t>
      </w:r>
      <w:r>
        <w:rPr>
          <w:rFonts w:hint="eastAsia" w:ascii="宋体" w:hAnsi="宋体" w:cs="宋体"/>
          <w:sz w:val="24"/>
          <w:szCs w:val="24"/>
        </w:rPr>
        <w:t xml:space="preserve">，设计符合规范</w:t>
      </w:r>
      <w:r>
        <w:rPr>
          <w:rFonts w:hint="eastAsia" w:ascii="宋体" w:hAnsi="宋体" w:cs="宋体"/>
          <w:sz w:val="24"/>
          <w:szCs w:val="24"/>
          <w:lang w:val="en-US" w:eastAsia="zh-CN"/>
        </w:rPr>
        <w:t xml:space="preserve">一般</w:t>
      </w:r>
      <w:r>
        <w:rPr>
          <w:rFonts w:hint="eastAsia" w:ascii="宋体" w:hAnsi="宋体" w:cs="宋体"/>
          <w:sz w:val="24"/>
          <w:szCs w:val="24"/>
        </w:rPr>
        <w:t xml:space="preserve">，基本落地</w:t>
      </w:r>
      <w:r>
        <w:rPr>
          <w:rFonts w:hint="eastAsia" w:ascii="宋体" w:hAnsi="宋体" w:cs="宋体"/>
          <w:sz w:val="24"/>
          <w:szCs w:val="24"/>
          <w:lang w:val="en-US" w:eastAsia="zh-CN"/>
        </w:rPr>
        <w:t xml:space="preserve">性缺乏完善的依据的</w:t>
      </w:r>
      <w:r>
        <w:rPr>
          <w:rFonts w:hint="eastAsia" w:ascii="宋体" w:hAnsi="宋体" w:cs="宋体"/>
          <w:sz w:val="24"/>
          <w:szCs w:val="24"/>
        </w:rPr>
        <w:t xml:space="preserve">，得</w:t>
      </w:r>
      <w:r>
        <w:rPr>
          <w:rFonts w:hint="eastAsia" w:ascii="宋体" w:hAnsi="宋体" w:cs="宋体"/>
          <w:sz w:val="24"/>
          <w:szCs w:val="24"/>
          <w:lang w:val="en-US" w:eastAsia="zh-CN"/>
        </w:rPr>
        <w:t xml:space="preserve">1</w:t>
      </w:r>
      <w:r>
        <w:rPr>
          <w:rFonts w:hint="eastAsia" w:ascii="宋体" w:hAnsi="宋体" w:cs="宋体"/>
          <w:sz w:val="24"/>
          <w:szCs w:val="24"/>
        </w:rPr>
        <w:t xml:space="preserve">分。</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图纸不全或使用与本项目实验室建设无关的通用图纸，不符合采购要求的，得0分。</w:t>
      </w:r>
      <w:r/>
    </w:p>
    <w:p>
      <w:pPr>
        <w:ind w:firstLine="720"/>
        <w:jc w:val="left"/>
        <w:spacing w:line="360" w:lineRule="auto"/>
        <w:tabs>
          <w:tab w:val="left" w:pos="1440" w:leader="none"/>
        </w:tabs>
        <w:rPr>
          <w:rFonts w:hint="eastAsia" w:ascii="黑体" w:hAnsi="黑体" w:eastAsia="黑体"/>
          <w:sz w:val="36"/>
          <w:szCs w:val="36"/>
        </w:rPr>
        <w:outlineLvl w:val="0"/>
      </w:pPr>
      <w:r>
        <w:rPr>
          <w:rFonts w:hint="eastAsia" w:ascii="黑体" w:hAnsi="黑体" w:eastAsia="黑体"/>
          <w:sz w:val="36"/>
          <w:szCs w:val="36"/>
        </w:rPr>
      </w:r>
      <w:r/>
    </w:p>
    <w:p>
      <w:pPr>
        <w:shd w:val="nil"/>
        <w:rPr>
          <w:rFonts w:hint="eastAsia" w:ascii="黑体" w:hAnsi="黑体" w:eastAsia="黑体"/>
          <w:sz w:val="36"/>
          <w:szCs w:val="36"/>
        </w:rPr>
        <w:outlineLvl w:val="0"/>
      </w:pPr>
      <w:r>
        <w:rPr>
          <w:rFonts w:hint="eastAsia" w:ascii="黑体" w:hAnsi="黑体" w:eastAsia="黑体"/>
          <w:sz w:val="36"/>
          <w:szCs w:val="36"/>
          <w:highlight w:val="none"/>
        </w:rPr>
        <w:br w:type="page" w:clear="all"/>
      </w:r>
      <w:r>
        <w:rPr>
          <w:rFonts w:hint="eastAsia" w:ascii="黑体" w:hAnsi="黑体" w:eastAsia="黑体"/>
          <w:sz w:val="36"/>
          <w:szCs w:val="36"/>
          <w:highlight w:val="none"/>
        </w:rPr>
      </w:r>
    </w:p>
    <w:p>
      <w:pPr>
        <w:ind w:firstLine="720"/>
        <w:jc w:val="left"/>
        <w:spacing w:line="360" w:lineRule="auto"/>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rPr>
        <w:t xml:space="preserve">第六章  </w:t>
      </w:r>
      <w:bookmarkEnd w:id="189"/>
      <w:r/>
      <w:bookmarkEnd w:id="190"/>
      <w:r/>
      <w:bookmarkEnd w:id="193"/>
      <w:r>
        <w:rPr>
          <w:rFonts w:hint="eastAsia" w:ascii="黑体" w:hAnsi="黑体" w:eastAsia="黑体"/>
          <w:sz w:val="36"/>
          <w:szCs w:val="36"/>
        </w:rPr>
        <w:t xml:space="preserve">投标文件内容与格式</w:t>
      </w:r>
      <w:r/>
    </w:p>
    <w:p>
      <w:pPr>
        <w:pStyle w:val="939"/>
        <w:ind w:firstLine="602"/>
        <w:spacing w:before="0" w:after="0" w:line="360" w:lineRule="auto"/>
        <w:rPr>
          <w:rFonts w:hint="eastAsia" w:cs="Arial"/>
          <w:b/>
          <w:sz w:val="30"/>
          <w:szCs w:val="30"/>
        </w:rPr>
      </w:pPr>
      <w:r/>
      <w:bookmarkStart w:id="195" w:name="_Hlt26955039"/>
      <w:r/>
      <w:bookmarkEnd w:id="195"/>
      <w:r/>
      <w:bookmarkStart w:id="196" w:name="_Hlt26671244"/>
      <w:r/>
      <w:bookmarkEnd w:id="196"/>
      <w:r/>
      <w:bookmarkStart w:id="197" w:name="_Toc120614282"/>
      <w:r/>
      <w:bookmarkStart w:id="198" w:name="_Toc26554094"/>
      <w:r/>
      <w:bookmarkStart w:id="199" w:name="_Toc49090576"/>
      <w:r>
        <w:rPr>
          <w:rFonts w:hint="eastAsia" w:cs="Arial"/>
          <w:b/>
          <w:sz w:val="30"/>
          <w:szCs w:val="30"/>
        </w:rPr>
        <w:t xml:space="preserve">第一部分  投标文件内容</w:t>
      </w:r>
      <w:r/>
    </w:p>
    <w:p>
      <w:pPr>
        <w:pStyle w:val="939"/>
        <w:ind w:firstLine="0"/>
        <w:spacing w:before="0" w:after="0" w:line="360" w:lineRule="auto"/>
        <w:rPr>
          <w:rFonts w:hint="eastAsia" w:cs="Arial"/>
          <w:b/>
          <w:sz w:val="28"/>
          <w:szCs w:val="28"/>
        </w:rPr>
      </w:pPr>
      <w:r>
        <w:rPr>
          <w:b/>
          <w:sz w:val="28"/>
          <w:szCs w:val="28"/>
        </w:rPr>
        <w:t xml:space="preserve">一、</w:t>
      </w:r>
      <w:r>
        <w:rPr>
          <w:rFonts w:hint="eastAsia"/>
          <w:b/>
          <w:sz w:val="28"/>
          <w:szCs w:val="28"/>
        </w:rPr>
        <w:t xml:space="preserve">资格证明文件</w:t>
      </w:r>
      <w:r/>
    </w:p>
    <w:tbl>
      <w:tblPr>
        <w:tblStyle w:val="679"/>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39"/>
              <w:ind w:firstLine="0"/>
              <w:jc w:val="center"/>
              <w:spacing w:before="0" w:after="0" w:line="36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939"/>
              <w:jc w:val="center"/>
              <w:spacing w:before="0" w:after="0" w:line="360" w:lineRule="auto"/>
              <w:rPr>
                <w:rFonts w:hint="eastAsia" w:ascii="宋体" w:hAnsi="宋体" w:cs="宋体"/>
                <w:b/>
              </w:rPr>
            </w:pPr>
            <w:r>
              <w:rPr>
                <w:rFonts w:hint="eastAsia" w:ascii="宋体" w:hAnsi="宋体" w:cs="宋体"/>
                <w:b/>
              </w:rPr>
              <w:t xml:space="preserve">评审项目及评审要求</w:t>
            </w:r>
            <w:r/>
          </w:p>
        </w:tc>
        <w:tc>
          <w:tcPr>
            <w:tcW w:w="2449" w:type="dxa"/>
            <w:vAlign w:val="center"/>
            <w:textDirection w:val="lrTb"/>
            <w:noWrap w:val="false"/>
          </w:tcPr>
          <w:p>
            <w:pPr>
              <w:pStyle w:val="939"/>
              <w:ind w:firstLine="0"/>
              <w:jc w:val="center"/>
              <w:spacing w:before="0" w:after="0" w:line="360" w:lineRule="auto"/>
              <w:rPr>
                <w:rFonts w:hint="eastAsia" w:ascii="宋体" w:hAnsi="宋体" w:cs="宋体"/>
                <w:b/>
              </w:rPr>
            </w:pPr>
            <w:r>
              <w:rPr>
                <w:rFonts w:hint="eastAsia" w:ascii="宋体" w:hAnsi="宋体" w:cs="宋体"/>
                <w:b/>
              </w:rPr>
              <w:t xml:space="preserve">审查因素</w:t>
            </w:r>
            <w:r/>
          </w:p>
        </w:tc>
      </w:tr>
      <w:tr>
        <w:trPr>
          <w:jc w:val="center"/>
          <w:trHeight w:val="1335"/>
        </w:trPr>
        <w:tc>
          <w:tcPr>
            <w:tcW w:w="719" w:type="dxa"/>
            <w:vAlign w:val="center"/>
            <w:textDirection w:val="lrTb"/>
            <w:noWrap w:val="false"/>
          </w:tcPr>
          <w:p>
            <w:pPr>
              <w:pStyle w:val="939"/>
              <w:ind w:firstLine="0"/>
              <w:jc w:val="center"/>
              <w:spacing w:before="0" w:after="0" w:line="36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939"/>
              <w:ind w:firstLine="0"/>
              <w:jc w:val="both"/>
              <w:spacing w:before="0" w:after="0" w:line="36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39"/>
              <w:ind w:firstLine="0"/>
              <w:spacing w:before="0" w:after="0" w:line="360" w:lineRule="auto"/>
              <w:rPr>
                <w:rFonts w:hint="eastAsia" w:ascii="宋体" w:hAnsi="宋体" w:cs="宋体"/>
              </w:rPr>
            </w:pPr>
            <w:r>
              <w:rPr>
                <w:rFonts w:hint="eastAsia" w:ascii="宋体" w:hAnsi="宋体" w:cs="宋体"/>
              </w:rPr>
              <w:t xml:space="preserve">满足《中华人民共和国政府采购法》第二十二条规定</w:t>
            </w:r>
            <w:r/>
          </w:p>
        </w:tc>
      </w:tr>
      <w:tr>
        <w:trPr>
          <w:jc w:val="center"/>
          <w:trHeight w:val="812"/>
        </w:trPr>
        <w:tc>
          <w:tcPr>
            <w:tcW w:w="719" w:type="dxa"/>
            <w:vAlign w:val="center"/>
            <w:textDirection w:val="lrTb"/>
            <w:noWrap w:val="false"/>
          </w:tcPr>
          <w:p>
            <w:pPr>
              <w:pStyle w:val="939"/>
              <w:ind w:firstLine="0"/>
              <w:jc w:val="center"/>
              <w:spacing w:before="0" w:after="0" w:line="36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939"/>
              <w:ind w:firstLine="0"/>
              <w:jc w:val="both"/>
              <w:spacing w:before="0" w:after="0" w:line="36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939"/>
              <w:ind w:firstLine="0"/>
              <w:spacing w:before="0" w:after="0" w:line="240" w:lineRule="auto"/>
              <w:rPr>
                <w:rFonts w:hint="eastAsia" w:ascii="宋体" w:hAnsi="宋体" w:cs="宋体"/>
              </w:rPr>
            </w:pPr>
            <w:r>
              <w:rPr>
                <w:rFonts w:hint="eastAsia" w:ascii="宋体" w:hAnsi="宋体" w:cs="宋体"/>
              </w:rPr>
            </w:r>
            <w:r/>
          </w:p>
        </w:tc>
      </w:tr>
      <w:tr>
        <w:trPr>
          <w:jc w:val="center"/>
          <w:trHeight w:val="1684"/>
        </w:trPr>
        <w:tc>
          <w:tcPr>
            <w:tcW w:w="719" w:type="dxa"/>
            <w:vAlign w:val="center"/>
            <w:textDirection w:val="lrTb"/>
            <w:noWrap w:val="false"/>
          </w:tcPr>
          <w:p>
            <w:pPr>
              <w:pStyle w:val="939"/>
              <w:ind w:firstLine="0"/>
              <w:jc w:val="center"/>
              <w:spacing w:before="0" w:after="0" w:line="36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939"/>
              <w:ind w:firstLine="0"/>
              <w:jc w:val="both"/>
              <w:spacing w:before="0" w:after="0" w:line="360" w:lineRule="auto"/>
              <w:rPr>
                <w:rFonts w:hint="eastAsia" w:ascii="宋体" w:hAnsi="宋体" w:cs="宋体"/>
              </w:rPr>
            </w:pPr>
            <w:r>
              <w:rPr>
                <w:rFonts w:hint="eastAsia" w:ascii="宋体" w:hAnsi="宋体" w:cs="宋体"/>
              </w:rPr>
              <w:t xml:space="preserve">投标人近一年中任意一个月份</w:t>
            </w:r>
            <w:r>
              <w:rPr>
                <w:rFonts w:hint="eastAsia" w:ascii="宋体" w:hAnsi="宋体" w:cs="宋体"/>
                <w:lang w:eastAsia="zh-CN"/>
              </w:rPr>
              <w:t xml:space="preserve">（</w:t>
            </w:r>
            <w:r>
              <w:rPr>
                <w:rFonts w:hint="eastAsia" w:ascii="宋体" w:hAnsi="宋体" w:cs="宋体"/>
              </w:rPr>
              <w:t xml:space="preserve">不含投标当月</w:t>
            </w:r>
            <w:r>
              <w:rPr>
                <w:rFonts w:hint="eastAsia" w:ascii="宋体" w:hAnsi="宋体" w:cs="宋体"/>
                <w:lang w:eastAsia="zh-CN"/>
              </w:rPr>
              <w:t xml:space="preserve">）</w:t>
            </w:r>
            <w:r>
              <w:rPr>
                <w:rFonts w:hint="eastAsia" w:ascii="宋体" w:hAnsi="宋体" w:cs="宋体"/>
              </w:rPr>
              <w:t xml:space="preserve">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28"/>
                <w:rFonts w:hint="eastAsia" w:ascii="宋体" w:hAnsi="宋体" w:cs="宋体"/>
                <w:sz w:val="24"/>
                <w:szCs w:val="24"/>
              </w:rPr>
              <w:t xml:space="preserve">。</w:t>
            </w:r>
            <w:r/>
          </w:p>
        </w:tc>
        <w:tc>
          <w:tcPr>
            <w:tcW w:w="2449" w:type="dxa"/>
            <w:vAlign w:val="center"/>
            <w:vMerge w:val="continue"/>
            <w:textDirection w:val="lrTb"/>
            <w:noWrap w:val="false"/>
          </w:tcPr>
          <w:p>
            <w:pPr>
              <w:pStyle w:val="939"/>
              <w:ind w:firstLine="0"/>
              <w:spacing w:before="0" w:after="0" w:line="240" w:lineRule="auto"/>
              <w:rPr>
                <w:rFonts w:hint="eastAsia" w:ascii="宋体" w:hAnsi="宋体" w:cs="宋体"/>
              </w:rPr>
            </w:pPr>
            <w:r>
              <w:rPr>
                <w:rFonts w:hint="eastAsia" w:ascii="宋体" w:hAnsi="宋体" w:cs="宋体"/>
              </w:rPr>
            </w:r>
            <w:r/>
          </w:p>
        </w:tc>
      </w:tr>
      <w:tr>
        <w:trPr>
          <w:jc w:val="center"/>
          <w:trHeight w:val="963"/>
        </w:trPr>
        <w:tc>
          <w:tcPr>
            <w:tcW w:w="719" w:type="dxa"/>
            <w:vAlign w:val="center"/>
            <w:textDirection w:val="lrTb"/>
            <w:noWrap w:val="false"/>
          </w:tcPr>
          <w:p>
            <w:pPr>
              <w:pStyle w:val="939"/>
              <w:ind w:firstLine="0"/>
              <w:jc w:val="center"/>
              <w:spacing w:before="0" w:after="0" w:line="36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939"/>
              <w:ind w:firstLine="0"/>
              <w:jc w:val="both"/>
              <w:spacing w:before="0" w:after="0" w:line="360" w:lineRule="auto"/>
              <w:rPr>
                <w:rFonts w:hint="eastAsia" w:ascii="宋体" w:hAnsi="宋体" w:cs="宋体"/>
              </w:rPr>
            </w:pPr>
            <w:r>
              <w:rPr>
                <w:rFonts w:hint="eastAsia" w:ascii="宋体" w:hAnsi="宋体" w:cs="宋体"/>
              </w:rPr>
              <w:t xml:space="preserve">投标人近一年中任意一个月份</w:t>
            </w:r>
            <w:r>
              <w:rPr>
                <w:rFonts w:hint="eastAsia" w:ascii="宋体" w:hAnsi="宋体" w:cs="宋体"/>
                <w:lang w:eastAsia="zh-CN"/>
              </w:rPr>
              <w:t xml:space="preserve">（</w:t>
            </w:r>
            <w:r>
              <w:rPr>
                <w:rFonts w:hint="eastAsia" w:ascii="宋体" w:hAnsi="宋体" w:cs="宋体"/>
              </w:rPr>
              <w:t xml:space="preserve">不含投标当月</w:t>
            </w:r>
            <w:r>
              <w:rPr>
                <w:rFonts w:hint="eastAsia" w:ascii="宋体" w:hAnsi="宋体" w:cs="宋体"/>
                <w:lang w:eastAsia="zh-CN"/>
              </w:rPr>
              <w:t xml:space="preserve">）</w:t>
            </w:r>
            <w:r>
              <w:rPr>
                <w:rFonts w:hint="eastAsia" w:ascii="宋体" w:hAnsi="宋体" w:cs="宋体"/>
              </w:rPr>
              <w:t xml:space="preserve">的依法缴纳税收的相关材料（提供相关主管部门证明或银行代扣证明）。</w:t>
            </w:r>
            <w:r/>
          </w:p>
        </w:tc>
        <w:tc>
          <w:tcPr>
            <w:tcW w:w="2449" w:type="dxa"/>
            <w:vAlign w:val="center"/>
            <w:vMerge w:val="continue"/>
            <w:textDirection w:val="lrTb"/>
            <w:noWrap w:val="false"/>
          </w:tcPr>
          <w:p>
            <w:pPr>
              <w:pStyle w:val="939"/>
              <w:ind w:firstLine="0"/>
              <w:spacing w:before="0" w:after="0" w:line="240" w:lineRule="auto"/>
              <w:rPr>
                <w:rFonts w:hint="eastAsia" w:ascii="宋体" w:hAnsi="宋体" w:cs="宋体"/>
              </w:rPr>
            </w:pPr>
            <w:r>
              <w:rPr>
                <w:rFonts w:hint="eastAsia" w:ascii="宋体" w:hAnsi="宋体" w:cs="宋体"/>
              </w:rPr>
            </w:r>
            <w:r/>
          </w:p>
        </w:tc>
      </w:tr>
      <w:tr>
        <w:trPr>
          <w:jc w:val="center"/>
          <w:trHeight w:val="1023"/>
        </w:trPr>
        <w:tc>
          <w:tcPr>
            <w:tcW w:w="719" w:type="dxa"/>
            <w:vAlign w:val="center"/>
            <w:textDirection w:val="lrTb"/>
            <w:noWrap w:val="false"/>
          </w:tcPr>
          <w:p>
            <w:pPr>
              <w:pStyle w:val="939"/>
              <w:ind w:firstLine="0"/>
              <w:jc w:val="center"/>
              <w:spacing w:before="0" w:after="0" w:line="36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939"/>
              <w:ind w:firstLine="0"/>
              <w:jc w:val="both"/>
              <w:spacing w:before="0" w:after="0" w:line="360" w:lineRule="auto"/>
              <w:rPr>
                <w:rFonts w:hint="eastAsia" w:ascii="宋体" w:hAnsi="宋体" w:cs="宋体"/>
              </w:rPr>
            </w:pPr>
            <w:r>
              <w:rPr>
                <w:rFonts w:hint="eastAsia" w:ascii="宋体" w:hAnsi="宋体" w:cs="宋体"/>
              </w:rPr>
              <w:t xml:space="preserve">投标人近一年中任意一个月份</w:t>
            </w:r>
            <w:r>
              <w:rPr>
                <w:rFonts w:hint="eastAsia" w:ascii="宋体" w:hAnsi="宋体" w:cs="宋体"/>
                <w:lang w:eastAsia="zh-CN"/>
              </w:rPr>
              <w:t xml:space="preserve">（</w:t>
            </w:r>
            <w:r>
              <w:rPr>
                <w:rFonts w:hint="eastAsia" w:ascii="宋体" w:hAnsi="宋体" w:cs="宋体"/>
              </w:rPr>
              <w:t xml:space="preserve">不含投标当月</w:t>
            </w:r>
            <w:r>
              <w:rPr>
                <w:rFonts w:hint="eastAsia" w:ascii="宋体" w:hAnsi="宋体" w:cs="宋体"/>
                <w:lang w:eastAsia="zh-CN"/>
              </w:rPr>
              <w:t xml:space="preserve">）</w:t>
            </w:r>
            <w:r>
              <w:rPr>
                <w:rFonts w:hint="eastAsia" w:ascii="宋体" w:hAnsi="宋体" w:cs="宋体"/>
              </w:rPr>
              <w:t xml:space="preserve">的依法缴纳社会保障资金的相关材料（提供相关主管部门证明或银行代扣证明）。</w:t>
            </w:r>
            <w:r/>
          </w:p>
        </w:tc>
        <w:tc>
          <w:tcPr>
            <w:tcW w:w="2449" w:type="dxa"/>
            <w:vAlign w:val="center"/>
            <w:vMerge w:val="continue"/>
            <w:textDirection w:val="lrTb"/>
            <w:noWrap w:val="false"/>
          </w:tcPr>
          <w:p>
            <w:pPr>
              <w:pStyle w:val="939"/>
              <w:ind w:firstLine="0"/>
              <w:spacing w:before="0" w:after="0" w:line="240" w:lineRule="auto"/>
              <w:rPr>
                <w:rFonts w:hint="eastAsia" w:ascii="宋体" w:hAnsi="宋体" w:cs="宋体"/>
              </w:rPr>
            </w:pPr>
            <w:r>
              <w:rPr>
                <w:rFonts w:hint="eastAsia" w:ascii="宋体" w:hAnsi="宋体" w:cs="宋体"/>
              </w:rPr>
            </w:r>
            <w:r/>
          </w:p>
        </w:tc>
      </w:tr>
      <w:tr>
        <w:trPr>
          <w:jc w:val="center"/>
          <w:trHeight w:val="705"/>
        </w:trPr>
        <w:tc>
          <w:tcPr>
            <w:tcW w:w="719" w:type="dxa"/>
            <w:vAlign w:val="center"/>
            <w:textDirection w:val="lrTb"/>
            <w:noWrap w:val="false"/>
          </w:tcPr>
          <w:p>
            <w:pPr>
              <w:pStyle w:val="939"/>
              <w:ind w:firstLine="0"/>
              <w:jc w:val="center"/>
              <w:spacing w:before="0" w:after="0" w:line="360" w:lineRule="auto"/>
              <w:rPr>
                <w:rFonts w:hint="eastAsia" w:ascii="宋体" w:hAnsi="宋体" w:cs="宋体"/>
              </w:rPr>
            </w:pPr>
            <w:r>
              <w:rPr>
                <w:rFonts w:hint="eastAsia" w:ascii="宋体" w:hAnsi="宋体" w:cs="宋体"/>
              </w:rPr>
              <w:t xml:space="preserve">6</w:t>
            </w:r>
            <w:r/>
          </w:p>
        </w:tc>
        <w:tc>
          <w:tcPr>
            <w:tcW w:w="6104" w:type="dxa"/>
            <w:vAlign w:val="center"/>
            <w:textDirection w:val="lrTb"/>
            <w:noWrap w:val="false"/>
          </w:tcPr>
          <w:p>
            <w:pPr>
              <w:pStyle w:val="939"/>
              <w:ind w:firstLine="0"/>
              <w:jc w:val="both"/>
              <w:spacing w:before="0" w:after="0" w:line="36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939"/>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939"/>
              <w:ind w:firstLine="0"/>
              <w:jc w:val="center"/>
              <w:spacing w:before="0" w:after="0" w:line="360" w:lineRule="auto"/>
              <w:rPr>
                <w:rFonts w:hint="eastAsia" w:ascii="宋体" w:hAnsi="宋体" w:cs="宋体"/>
              </w:rPr>
            </w:pPr>
            <w:r>
              <w:rPr>
                <w:rFonts w:hint="eastAsia" w:ascii="宋体" w:hAnsi="宋体" w:cs="宋体"/>
              </w:rPr>
              <w:t xml:space="preserve">7</w:t>
            </w:r>
            <w:r/>
          </w:p>
        </w:tc>
        <w:tc>
          <w:tcPr>
            <w:tcW w:w="6104" w:type="dxa"/>
            <w:vAlign w:val="center"/>
            <w:textDirection w:val="lrTb"/>
            <w:noWrap w:val="false"/>
          </w:tcPr>
          <w:p>
            <w:pPr>
              <w:pStyle w:val="939"/>
              <w:ind w:firstLine="0"/>
              <w:spacing w:before="0" w:after="0" w:line="360" w:lineRule="auto"/>
              <w:rPr>
                <w:rFonts w:hint="eastAsia" w:ascii="宋体" w:hAnsi="宋体" w:cs="宋体"/>
              </w:rPr>
            </w:pPr>
            <w:r>
              <w:rPr>
                <w:rFonts w:hint="eastAsia" w:ascii="宋体" w:hAnsi="宋体" w:cs="宋体"/>
              </w:rPr>
              <w:t xml:space="preserve">满足中小企业政策的证明文件（如有中小企业政策要求的）。</w:t>
            </w:r>
            <w:r/>
          </w:p>
        </w:tc>
        <w:tc>
          <w:tcPr>
            <w:tcW w:w="2449" w:type="dxa"/>
            <w:vAlign w:val="center"/>
            <w:textDirection w:val="lrTb"/>
            <w:noWrap w:val="false"/>
          </w:tcPr>
          <w:p>
            <w:pPr>
              <w:pStyle w:val="939"/>
              <w:ind w:firstLine="0"/>
              <w:spacing w:before="0" w:after="0" w:line="360" w:lineRule="auto"/>
              <w:rPr>
                <w:rFonts w:ascii="宋体" w:hAnsi="宋体" w:cs="宋体"/>
              </w:rPr>
            </w:pPr>
            <w:r>
              <w:rPr>
                <w:rFonts w:hint="eastAsia" w:ascii="宋体" w:hAnsi="宋体" w:cs="宋体"/>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39"/>
              <w:ind w:firstLine="0"/>
              <w:jc w:val="center"/>
              <w:spacing w:before="0" w:after="0" w:line="36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939"/>
              <w:ind w:firstLine="0"/>
              <w:jc w:val="both"/>
              <w:spacing w:before="0" w:after="0" w:line="36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p>
        </w:tc>
        <w:tc>
          <w:tcPr>
            <w:tcW w:w="2449" w:type="dxa"/>
            <w:vAlign w:val="center"/>
            <w:textDirection w:val="lrTb"/>
            <w:noWrap w:val="false"/>
          </w:tcPr>
          <w:p>
            <w:pPr>
              <w:pStyle w:val="939"/>
              <w:ind w:firstLine="0"/>
              <w:spacing w:before="0" w:after="0" w:line="360" w:lineRule="auto"/>
              <w:rPr>
                <w:rFonts w:hint="eastAsia"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val="false"/>
          </w:tcPr>
          <w:p>
            <w:pPr>
              <w:pStyle w:val="939"/>
              <w:ind w:firstLine="0"/>
              <w:jc w:val="center"/>
              <w:spacing w:before="0" w:after="0" w:line="36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939"/>
              <w:ind w:firstLine="0"/>
              <w:spacing w:before="0" w:after="0" w:line="36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p>
        </w:tc>
      </w:tr>
    </w:tbl>
    <w:p>
      <w:pPr>
        <w:ind w:firstLine="480"/>
        <w:spacing w:line="360" w:lineRule="auto"/>
        <w:rPr>
          <w:rFonts w:hint="eastAsia" w:ascii="宋体" w:hAnsi="宋体"/>
          <w:sz w:val="24"/>
          <w:szCs w:val="24"/>
        </w:rPr>
      </w:pPr>
      <w:r>
        <w:rPr>
          <w:rFonts w:hint="eastAsia" w:ascii="宋体" w:hAnsi="宋体"/>
          <w:sz w:val="24"/>
          <w:szCs w:val="24"/>
        </w:rPr>
        <w:t xml:space="preserve">说明：</w:t>
      </w:r>
      <w:r/>
    </w:p>
    <w:p>
      <w:pPr>
        <w:numPr>
          <w:ilvl w:val="0"/>
          <w:numId w:val="9"/>
        </w:numPr>
        <w:ind w:firstLine="480"/>
        <w:spacing w:line="360" w:lineRule="auto"/>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p>
    <w:p>
      <w:pPr>
        <w:ind w:firstLine="480"/>
        <w:spacing w:line="360" w:lineRule="auto"/>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9"/>
        </w:numPr>
        <w:ind w:firstLine="480"/>
        <w:spacing w:line="360" w:lineRule="auto"/>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p>
    <w:p>
      <w:pPr>
        <w:ind w:firstLine="480"/>
        <w:spacing w:line="360" w:lineRule="auto"/>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9"/>
        </w:numPr>
        <w:ind w:firstLine="480"/>
        <w:spacing w:line="360" w:lineRule="auto"/>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numPr>
          <w:ilvl w:val="0"/>
          <w:numId w:val="9"/>
        </w:numPr>
        <w:ind w:firstLine="480"/>
        <w:spacing w:line="360" w:lineRule="auto"/>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360" w:lineRule="auto"/>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p>
    <w:p>
      <w:pPr>
        <w:spacing w:line="360" w:lineRule="auto"/>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p>
    <w:p>
      <w:pPr>
        <w:spacing w:line="360" w:lineRule="auto"/>
        <w:rPr>
          <w:b/>
          <w:sz w:val="28"/>
          <w:szCs w:val="28"/>
        </w:rPr>
      </w:pPr>
      <w:r>
        <w:rPr>
          <w:rFonts w:hint="eastAsia"/>
          <w:b/>
          <w:sz w:val="28"/>
          <w:szCs w:val="28"/>
        </w:rPr>
        <w:t xml:space="preserve">（一）符合性证明文件</w:t>
      </w:r>
      <w:r/>
    </w:p>
    <w:tbl>
      <w:tblPr>
        <w:tblStyle w:val="67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39"/>
              <w:ind w:firstLine="0"/>
              <w:jc w:val="center"/>
              <w:spacing w:before="0" w:after="0" w:line="360" w:lineRule="auto"/>
              <w:rPr>
                <w:rFonts w:hint="eastAsia" w:cs="Arial"/>
                <w:b/>
                <w:color w:val="000000" w:themeColor="text1"/>
                <w:highlight w:val="none"/>
              </w:rPr>
            </w:pPr>
            <w:r>
              <w:rPr>
                <w:rFonts w:hint="eastAsia" w:cs="Arial"/>
                <w:b/>
                <w:color w:val="000000" w:themeColor="text1"/>
                <w:highlight w:val="none"/>
              </w:rPr>
              <w:t xml:space="preserve">序号</w:t>
            </w:r>
            <w:r/>
          </w:p>
        </w:tc>
        <w:tc>
          <w:tcPr>
            <w:tcW w:w="6095" w:type="dxa"/>
            <w:vAlign w:val="center"/>
            <w:textDirection w:val="lrTb"/>
            <w:noWrap w:val="false"/>
          </w:tcPr>
          <w:p>
            <w:pPr>
              <w:pStyle w:val="939"/>
              <w:ind w:firstLine="0"/>
              <w:jc w:val="center"/>
              <w:spacing w:before="0" w:after="0" w:line="360" w:lineRule="auto"/>
              <w:rPr>
                <w:rFonts w:hint="eastAsia" w:cs="Arial"/>
                <w:b/>
                <w:color w:val="000000" w:themeColor="text1"/>
                <w:highlight w:val="none"/>
              </w:rPr>
            </w:pPr>
            <w:r>
              <w:rPr>
                <w:rFonts w:hint="eastAsia" w:ascii="宋体" w:hAnsi="宋体" w:cs="宋体"/>
                <w:b/>
                <w:color w:val="000000" w:themeColor="text1"/>
                <w:highlight w:val="none"/>
              </w:rPr>
              <w:t xml:space="preserve">评审项目及评审要求</w:t>
            </w:r>
            <w:r/>
          </w:p>
        </w:tc>
        <w:tc>
          <w:tcPr>
            <w:tcW w:w="1979" w:type="dxa"/>
            <w:vAlign w:val="center"/>
            <w:textDirection w:val="lrTb"/>
            <w:noWrap w:val="false"/>
          </w:tcPr>
          <w:p>
            <w:pPr>
              <w:pStyle w:val="939"/>
              <w:ind w:firstLine="0"/>
              <w:jc w:val="center"/>
              <w:spacing w:before="0" w:after="0" w:line="360" w:lineRule="auto"/>
              <w:rPr>
                <w:rFonts w:hint="eastAsia" w:cs="Arial"/>
                <w:b/>
                <w:color w:val="000000" w:themeColor="text1"/>
                <w:highlight w:val="none"/>
              </w:rPr>
            </w:pPr>
            <w:r>
              <w:rPr>
                <w:rFonts w:hint="eastAsia" w:cs="Arial"/>
                <w:b/>
                <w:color w:val="000000" w:themeColor="text1"/>
                <w:highlight w:val="none"/>
              </w:rPr>
              <w:t xml:space="preserve">审查因素</w:t>
            </w:r>
            <w:r/>
          </w:p>
        </w:tc>
      </w:tr>
      <w:tr>
        <w:trPr>
          <w:jc w:val="center"/>
          <w:trHeight w:val="567"/>
        </w:trPr>
        <w:tc>
          <w:tcPr>
            <w:tcW w:w="823" w:type="dxa"/>
            <w:vAlign w:val="center"/>
            <w:textDirection w:val="lrTb"/>
            <w:noWrap w:val="false"/>
          </w:tcPr>
          <w:p>
            <w:pPr>
              <w:pStyle w:val="939"/>
              <w:ind w:firstLine="0"/>
              <w:jc w:val="center"/>
              <w:spacing w:before="0" w:after="0" w:line="36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1</w:t>
            </w:r>
            <w:r/>
          </w:p>
        </w:tc>
        <w:tc>
          <w:tcPr>
            <w:tcW w:w="6095" w:type="dxa"/>
            <w:vAlign w:val="center"/>
            <w:textDirection w:val="lrTb"/>
            <w:noWrap w:val="false"/>
          </w:tcPr>
          <w:p>
            <w:pPr>
              <w:pStyle w:val="939"/>
              <w:ind w:firstLine="0"/>
              <w:jc w:val="both"/>
              <w:spacing w:before="0" w:after="0" w:line="36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投标函（给定格式）</w:t>
            </w:r>
            <w:r/>
          </w:p>
        </w:tc>
        <w:tc>
          <w:tcPr>
            <w:tcW w:w="1979" w:type="dxa"/>
            <w:vAlign w:val="center"/>
            <w:vMerge w:val="restart"/>
            <w:textDirection w:val="lrTb"/>
            <w:noWrap w:val="false"/>
          </w:tcPr>
          <w:p>
            <w:pPr>
              <w:pStyle w:val="939"/>
              <w:ind w:firstLine="0"/>
              <w:jc w:val="center"/>
              <w:spacing w:before="0" w:after="0" w:line="360" w:lineRule="auto"/>
              <w:rPr>
                <w:rFonts w:hint="eastAsia" w:cs="Arial"/>
                <w:color w:val="000000" w:themeColor="text1"/>
                <w:highlight w:val="none"/>
              </w:rPr>
            </w:pPr>
            <w:r>
              <w:rPr>
                <w:rFonts w:hint="eastAsia" w:cs="Arial"/>
                <w:color w:val="000000" w:themeColor="text1"/>
                <w:highlight w:val="none"/>
              </w:rPr>
              <w:t xml:space="preserve">商务符合性</w:t>
            </w:r>
            <w:r/>
          </w:p>
        </w:tc>
      </w:tr>
      <w:tr>
        <w:trPr>
          <w:jc w:val="center"/>
          <w:trHeight w:val="567"/>
        </w:trPr>
        <w:tc>
          <w:tcPr>
            <w:shd w:val="clear" w:color="auto" w:fill="auto"/>
            <w:tcW w:w="823" w:type="dxa"/>
            <w:vAlign w:val="center"/>
            <w:textDirection w:val="lrTb"/>
            <w:noWrap w:val="false"/>
          </w:tcPr>
          <w:p>
            <w:pPr>
              <w:pStyle w:val="939"/>
              <w:ind w:firstLine="0"/>
              <w:jc w:val="center"/>
              <w:spacing w:before="0" w:after="0" w:line="360" w:lineRule="auto"/>
              <w:rPr>
                <w:rFonts w:hint="eastAsia" w:ascii="宋体" w:hAnsi="宋体" w:eastAsia="宋体" w:cs="Arial"/>
                <w:color w:val="000000" w:themeColor="text1"/>
                <w:sz w:val="24"/>
                <w:szCs w:val="24"/>
                <w:highlight w:val="none"/>
                <w:lang w:val="en-US" w:eastAsia="zh-CN" w:bidi="ar-SA"/>
              </w:rPr>
            </w:pPr>
            <w:r>
              <w:rPr>
                <w:rFonts w:hint="eastAsia" w:ascii="宋体" w:hAnsi="宋体" w:cs="Arial"/>
                <w:color w:val="000000" w:themeColor="text1"/>
                <w:highlight w:val="none"/>
              </w:rPr>
              <w:t xml:space="preserve">2</w:t>
            </w:r>
            <w:r/>
          </w:p>
        </w:tc>
        <w:tc>
          <w:tcPr>
            <w:shd w:val="clear" w:color="auto" w:fill="auto"/>
            <w:tcW w:w="6095" w:type="dxa"/>
            <w:vAlign w:val="center"/>
            <w:textDirection w:val="lrTb"/>
            <w:noWrap w:val="false"/>
          </w:tcPr>
          <w:p>
            <w:pPr>
              <w:pStyle w:val="939"/>
              <w:ind w:firstLine="0"/>
              <w:jc w:val="both"/>
              <w:spacing w:before="0" w:after="0" w:line="360" w:lineRule="auto"/>
              <w:rPr>
                <w:rFonts w:hint="eastAsia" w:ascii="宋体" w:hAnsi="宋体" w:eastAsia="宋体" w:cs="Arial"/>
                <w:color w:val="000000" w:themeColor="text1"/>
                <w:sz w:val="24"/>
                <w:szCs w:val="24"/>
                <w:highlight w:val="none"/>
                <w:lang w:val="en-US" w:eastAsia="zh-CN" w:bidi="ar-SA"/>
              </w:rPr>
            </w:pPr>
            <w:r>
              <w:rPr>
                <w:rFonts w:hint="eastAsia" w:ascii="宋体" w:hAnsi="宋体" w:cs="Arial"/>
                <w:color w:val="000000" w:themeColor="text1"/>
                <w:highlight w:val="none"/>
              </w:rPr>
              <w:t xml:space="preserve">承诺书（给定格式）</w:t>
            </w:r>
            <w:r/>
          </w:p>
        </w:tc>
        <w:tc>
          <w:tcPr>
            <w:tcW w:w="1979" w:type="dxa"/>
            <w:vAlign w:val="center"/>
            <w:vMerge w:val="continue"/>
            <w:textDirection w:val="lrTb"/>
            <w:noWrap w:val="false"/>
          </w:tcPr>
          <w:p>
            <w:pPr>
              <w:pStyle w:val="939"/>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39"/>
              <w:ind w:firstLine="0"/>
              <w:jc w:val="center"/>
              <w:spacing w:before="0" w:after="0" w:line="360" w:lineRule="auto"/>
              <w:rPr>
                <w:rFonts w:hint="eastAsia" w:ascii="宋体" w:hAnsi="宋体" w:eastAsia="宋体" w:cs="Arial"/>
                <w:color w:val="000000" w:themeColor="text1"/>
                <w:highlight w:val="none"/>
                <w:lang w:val="en-US" w:eastAsia="zh-CN"/>
              </w:rPr>
            </w:pPr>
            <w:r>
              <w:rPr>
                <w:rFonts w:hint="eastAsia" w:ascii="宋体" w:hAnsi="宋体" w:cs="Arial"/>
                <w:color w:val="000000" w:themeColor="text1"/>
                <w:highlight w:val="none"/>
                <w:lang w:val="en-US" w:eastAsia="zh-CN"/>
              </w:rPr>
              <w:t xml:space="preserve">3</w:t>
            </w:r>
            <w:r/>
          </w:p>
        </w:tc>
        <w:tc>
          <w:tcPr>
            <w:tcW w:w="6095" w:type="dxa"/>
            <w:vAlign w:val="center"/>
            <w:textDirection w:val="lrTb"/>
            <w:noWrap w:val="false"/>
          </w:tcPr>
          <w:p>
            <w:pPr>
              <w:pStyle w:val="939"/>
              <w:ind w:firstLine="0"/>
              <w:jc w:val="both"/>
              <w:spacing w:before="0" w:after="0" w:line="36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项目人员配置考察表（给定格式）</w:t>
            </w:r>
            <w:r/>
          </w:p>
        </w:tc>
        <w:tc>
          <w:tcPr>
            <w:tcW w:w="1979" w:type="dxa"/>
            <w:vAlign w:val="center"/>
            <w:vMerge w:val="continue"/>
            <w:textDirection w:val="lrTb"/>
            <w:noWrap w:val="false"/>
          </w:tcPr>
          <w:p>
            <w:pPr>
              <w:pStyle w:val="939"/>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39"/>
              <w:ind w:firstLine="0"/>
              <w:jc w:val="center"/>
              <w:spacing w:before="0" w:after="0" w:line="360" w:lineRule="auto"/>
              <w:rPr>
                <w:rFonts w:hint="eastAsia" w:ascii="宋体" w:hAnsi="宋体" w:eastAsia="宋体"/>
                <w:color w:val="000000" w:themeColor="text1"/>
                <w:highlight w:val="none"/>
                <w:lang w:val="en-US" w:eastAsia="zh-CN"/>
              </w:rPr>
            </w:pPr>
            <w:r>
              <w:rPr>
                <w:rFonts w:hint="eastAsia" w:ascii="宋体" w:hAnsi="宋体"/>
                <w:color w:val="000000" w:themeColor="text1"/>
                <w:highlight w:val="none"/>
                <w:lang w:val="en-US" w:eastAsia="zh-CN"/>
              </w:rPr>
              <w:t xml:space="preserve">4</w:t>
            </w:r>
            <w:r/>
          </w:p>
        </w:tc>
        <w:tc>
          <w:tcPr>
            <w:tcW w:w="6095" w:type="dxa"/>
            <w:vAlign w:val="center"/>
            <w:textDirection w:val="lrTb"/>
            <w:noWrap w:val="false"/>
          </w:tcPr>
          <w:p>
            <w:pPr>
              <w:pStyle w:val="939"/>
              <w:ind w:firstLine="0"/>
              <w:jc w:val="both"/>
              <w:spacing w:before="0" w:after="0" w:line="360" w:lineRule="auto"/>
              <w:rPr>
                <w:rFonts w:hint="eastAsia" w:ascii="宋体" w:hAnsi="宋体" w:cs="Arial"/>
                <w:color w:val="000000" w:themeColor="text1"/>
                <w:highlight w:val="none"/>
              </w:rPr>
            </w:pPr>
            <w:r>
              <w:rPr>
                <w:rFonts w:hint="eastAsia" w:ascii="宋体" w:hAnsi="宋体"/>
                <w:color w:val="000000" w:themeColor="text1"/>
                <w:highlight w:val="none"/>
              </w:rPr>
              <w:t xml:space="preserve">开标一览表（“苏采云”系统中给定格式）</w:t>
            </w:r>
            <w:r/>
          </w:p>
        </w:tc>
        <w:tc>
          <w:tcPr>
            <w:tcW w:w="1979" w:type="dxa"/>
            <w:vAlign w:val="center"/>
            <w:vMerge w:val="restart"/>
            <w:textDirection w:val="lrTb"/>
            <w:noWrap w:val="false"/>
          </w:tcPr>
          <w:p>
            <w:pPr>
              <w:pStyle w:val="939"/>
              <w:ind w:firstLine="0"/>
              <w:jc w:val="center"/>
              <w:spacing w:before="0" w:after="0" w:line="360" w:lineRule="auto"/>
              <w:rPr>
                <w:rFonts w:hint="eastAsia" w:cs="Arial"/>
                <w:color w:val="000000" w:themeColor="text1"/>
                <w:highlight w:val="none"/>
              </w:rPr>
            </w:pPr>
            <w:r>
              <w:rPr>
                <w:rFonts w:hint="eastAsia" w:cs="Arial"/>
                <w:color w:val="000000" w:themeColor="text1"/>
                <w:highlight w:val="none"/>
              </w:rPr>
              <w:t xml:space="preserve">报价符合性</w:t>
            </w:r>
            <w:r/>
          </w:p>
        </w:tc>
      </w:tr>
      <w:tr>
        <w:trPr>
          <w:jc w:val="center"/>
          <w:trHeight w:val="567"/>
        </w:trPr>
        <w:tc>
          <w:tcPr>
            <w:tcW w:w="823" w:type="dxa"/>
            <w:vAlign w:val="center"/>
            <w:textDirection w:val="lrTb"/>
            <w:noWrap w:val="false"/>
          </w:tcPr>
          <w:p>
            <w:pPr>
              <w:pStyle w:val="939"/>
              <w:ind w:firstLine="0"/>
              <w:jc w:val="center"/>
              <w:spacing w:before="0" w:after="0" w:line="360" w:lineRule="auto"/>
              <w:rPr>
                <w:rFonts w:hint="default" w:ascii="宋体" w:hAnsi="宋体" w:eastAsia="宋体"/>
                <w:color w:val="000000" w:themeColor="text1"/>
                <w:highlight w:val="none"/>
                <w:lang w:val="en-US" w:eastAsia="zh-CN"/>
              </w:rPr>
            </w:pPr>
            <w:r>
              <w:rPr>
                <w:rFonts w:hint="eastAsia" w:ascii="宋体" w:hAnsi="宋体"/>
                <w:color w:val="000000" w:themeColor="text1"/>
                <w:highlight w:val="none"/>
                <w:lang w:val="en-US" w:eastAsia="zh-CN"/>
              </w:rPr>
              <w:t xml:space="preserve">5</w:t>
            </w:r>
            <w:r/>
          </w:p>
        </w:tc>
        <w:tc>
          <w:tcPr>
            <w:tcW w:w="6095" w:type="dxa"/>
            <w:vAlign w:val="center"/>
            <w:textDirection w:val="lrTb"/>
            <w:noWrap w:val="false"/>
          </w:tcPr>
          <w:p>
            <w:pPr>
              <w:pStyle w:val="939"/>
              <w:ind w:firstLine="0"/>
              <w:jc w:val="both"/>
              <w:spacing w:before="0" w:after="0" w:line="360" w:lineRule="auto"/>
              <w:rPr>
                <w:rFonts w:hint="eastAsia" w:ascii="宋体" w:hAnsi="宋体" w:cs="Arial"/>
                <w:color w:val="000000" w:themeColor="text1"/>
                <w:highlight w:val="none"/>
              </w:rPr>
            </w:pPr>
            <w:r>
              <w:rPr>
                <w:rFonts w:hint="eastAsia" w:ascii="宋体" w:hAnsi="宋体"/>
                <w:color w:val="000000" w:themeColor="text1"/>
                <w:highlight w:val="none"/>
              </w:rPr>
              <w:t xml:space="preserve">分项报价表（给定格式）</w:t>
            </w:r>
            <w:r/>
          </w:p>
        </w:tc>
        <w:tc>
          <w:tcPr>
            <w:tcW w:w="1979" w:type="dxa"/>
            <w:vAlign w:val="center"/>
            <w:vMerge w:val="continue"/>
            <w:textDirection w:val="lrTb"/>
            <w:noWrap w:val="false"/>
          </w:tcPr>
          <w:p>
            <w:pPr>
              <w:pStyle w:val="939"/>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39"/>
              <w:ind w:firstLine="0"/>
              <w:jc w:val="center"/>
              <w:spacing w:before="0" w:after="0" w:line="360" w:lineRule="auto"/>
              <w:rPr>
                <w:rFonts w:hint="eastAsia" w:ascii="宋体" w:hAnsi="宋体" w:eastAsia="宋体"/>
                <w:color w:val="000000" w:themeColor="text1"/>
                <w:highlight w:val="none"/>
                <w:lang w:val="en-US" w:eastAsia="zh-CN"/>
              </w:rPr>
            </w:pPr>
            <w:r>
              <w:rPr>
                <w:rFonts w:hint="eastAsia" w:ascii="宋体" w:hAnsi="宋体"/>
                <w:color w:val="000000" w:themeColor="text1"/>
                <w:highlight w:val="none"/>
                <w:lang w:val="en-US" w:eastAsia="zh-CN"/>
              </w:rPr>
              <w:t xml:space="preserve">6</w:t>
            </w:r>
            <w:r/>
          </w:p>
        </w:tc>
        <w:tc>
          <w:tcPr>
            <w:tcW w:w="6095" w:type="dxa"/>
            <w:vAlign w:val="center"/>
            <w:textDirection w:val="lrTb"/>
            <w:noWrap w:val="false"/>
          </w:tcPr>
          <w:p>
            <w:pPr>
              <w:pStyle w:val="939"/>
              <w:ind w:firstLine="0"/>
              <w:jc w:val="both"/>
              <w:spacing w:before="0" w:after="0" w:line="360" w:lineRule="auto"/>
              <w:rPr>
                <w:rFonts w:ascii="宋体" w:hAnsi="宋体" w:cs="Arial"/>
                <w:color w:val="000000" w:themeColor="text1"/>
                <w:highlight w:val="none"/>
              </w:rPr>
            </w:pPr>
            <w:r>
              <w:rPr>
                <w:rFonts w:hint="eastAsia" w:ascii="宋体" w:hAnsi="宋体"/>
                <w:color w:val="000000" w:themeColor="text1"/>
                <w:highlight w:val="none"/>
              </w:rPr>
              <w:t xml:space="preserve">投标偏离表（给定格式）</w:t>
            </w:r>
            <w:r/>
          </w:p>
        </w:tc>
        <w:tc>
          <w:tcPr>
            <w:tcW w:w="1979" w:type="dxa"/>
            <w:vAlign w:val="center"/>
            <w:vMerge w:val="restart"/>
            <w:textDirection w:val="lrTb"/>
            <w:noWrap w:val="false"/>
          </w:tcPr>
          <w:p>
            <w:pPr>
              <w:pStyle w:val="939"/>
              <w:ind w:firstLine="0"/>
              <w:jc w:val="center"/>
              <w:spacing w:before="0" w:after="0" w:line="360" w:lineRule="auto"/>
              <w:rPr>
                <w:rFonts w:hint="eastAsia" w:cs="Arial"/>
                <w:color w:val="000000" w:themeColor="text1"/>
                <w:highlight w:val="none"/>
              </w:rPr>
            </w:pPr>
            <w:r>
              <w:rPr>
                <w:rFonts w:hint="eastAsia" w:cs="Arial"/>
                <w:color w:val="000000" w:themeColor="text1"/>
                <w:highlight w:val="none"/>
              </w:rPr>
              <w:t xml:space="preserve">技术符合性</w:t>
            </w:r>
            <w:r/>
          </w:p>
        </w:tc>
      </w:tr>
      <w:tr>
        <w:trPr>
          <w:jc w:val="center"/>
          <w:trHeight w:val="567"/>
        </w:trPr>
        <w:tc>
          <w:tcPr>
            <w:tcW w:w="823" w:type="dxa"/>
            <w:vAlign w:val="center"/>
            <w:textDirection w:val="lrTb"/>
            <w:noWrap w:val="false"/>
          </w:tcPr>
          <w:p>
            <w:pPr>
              <w:pStyle w:val="939"/>
              <w:ind w:firstLine="0"/>
              <w:jc w:val="center"/>
              <w:spacing w:before="0" w:after="0" w:line="360" w:lineRule="auto"/>
              <w:rPr>
                <w:rFonts w:hint="eastAsia" w:ascii="宋体" w:hAnsi="宋体" w:eastAsia="宋体"/>
                <w:color w:val="000000" w:themeColor="text1"/>
                <w:highlight w:val="none"/>
                <w:lang w:val="en-US" w:eastAsia="zh-CN"/>
              </w:rPr>
            </w:pPr>
            <w:r>
              <w:rPr>
                <w:rFonts w:hint="eastAsia" w:ascii="宋体" w:hAnsi="宋体"/>
                <w:color w:val="000000" w:themeColor="text1"/>
                <w:highlight w:val="none"/>
                <w:lang w:val="en-US" w:eastAsia="zh-CN"/>
              </w:rPr>
              <w:t xml:space="preserve">7</w:t>
            </w:r>
            <w:r/>
          </w:p>
        </w:tc>
        <w:tc>
          <w:tcPr>
            <w:tcW w:w="6095" w:type="dxa"/>
            <w:vAlign w:val="center"/>
            <w:textDirection w:val="lrTb"/>
            <w:noWrap w:val="false"/>
          </w:tcPr>
          <w:p>
            <w:pPr>
              <w:pStyle w:val="939"/>
              <w:ind w:firstLine="0"/>
              <w:jc w:val="both"/>
              <w:spacing w:before="0" w:after="0" w:line="360" w:lineRule="auto"/>
              <w:rPr>
                <w:rFonts w:hint="eastAsia" w:ascii="宋体" w:hAnsi="宋体"/>
                <w:color w:val="000000" w:themeColor="text1"/>
                <w:highlight w:val="none"/>
              </w:rPr>
            </w:pPr>
            <w:r>
              <w:rPr>
                <w:rFonts w:hint="eastAsia" w:ascii="宋体" w:hAnsi="宋体"/>
                <w:color w:val="000000" w:themeColor="text1"/>
                <w:highlight w:val="none"/>
              </w:rPr>
              <w:t xml:space="preserve">《采购需求》中要求提供的证明材料（如有）</w:t>
            </w:r>
            <w:r/>
          </w:p>
        </w:tc>
        <w:tc>
          <w:tcPr>
            <w:tcW w:w="1979" w:type="dxa"/>
            <w:vAlign w:val="center"/>
            <w:vMerge w:val="continue"/>
            <w:textDirection w:val="lrTb"/>
            <w:noWrap w:val="false"/>
          </w:tcPr>
          <w:p>
            <w:pPr>
              <w:pStyle w:val="939"/>
              <w:ind w:firstLine="0"/>
              <w:jc w:val="center"/>
              <w:spacing w:before="0" w:after="0" w:line="240" w:lineRule="auto"/>
              <w:rPr>
                <w:rFonts w:hint="eastAsia" w:cs="Arial"/>
              </w:rPr>
            </w:pPr>
            <w:r>
              <w:rPr>
                <w:rFonts w:hint="eastAsia" w:cs="Arial"/>
              </w:rPr>
            </w:r>
            <w:r/>
          </w:p>
        </w:tc>
      </w:tr>
    </w:tbl>
    <w:p>
      <w:pPr>
        <w:ind w:firstLine="480"/>
        <w:spacing w:line="360" w:lineRule="auto"/>
        <w:rPr>
          <w:rFonts w:hint="eastAsia" w:ascii="宋体" w:hAnsi="宋体"/>
          <w:sz w:val="24"/>
          <w:szCs w:val="24"/>
        </w:rPr>
      </w:pPr>
      <w:r>
        <w:rPr>
          <w:rFonts w:hint="eastAsia" w:ascii="宋体" w:hAnsi="宋体"/>
          <w:color w:val="000000" w:themeColor="text1"/>
          <w:sz w:val="24"/>
          <w:szCs w:val="24"/>
          <w:highlight w:val="none"/>
        </w:rPr>
        <w:t xml:space="preserve">说明：</w:t>
      </w:r>
      <w:r/>
    </w:p>
    <w:p>
      <w:pPr>
        <w:numPr>
          <w:ilvl w:val="0"/>
          <w:numId w:val="10"/>
        </w:numPr>
        <w:ind w:firstLine="480"/>
        <w:spacing w:line="360" w:lineRule="auto"/>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w:t>
      </w:r>
      <w:r>
        <w:rPr>
          <w:rFonts w:hint="eastAsia" w:ascii="宋体" w:hAnsi="宋体"/>
          <w:sz w:val="24"/>
          <w:szCs w:val="24"/>
          <w:lang w:val="en-US" w:eastAsia="zh-CN"/>
        </w:rPr>
        <w:t xml:space="preserve">6</w:t>
      </w:r>
      <w:r>
        <w:rPr>
          <w:rFonts w:hint="eastAsia" w:ascii="宋体" w:hAnsi="宋体"/>
          <w:sz w:val="24"/>
          <w:szCs w:val="24"/>
        </w:rPr>
        <w:t xml:space="preserve">项必须按要求全部提供（有给定格式的，必须按给定格式的要求正确填报并提供，相应格式见本章第二部分），否则投标文件无效。</w:t>
      </w:r>
      <w:r/>
    </w:p>
    <w:p>
      <w:pPr>
        <w:numPr>
          <w:ilvl w:val="0"/>
          <w:numId w:val="10"/>
        </w:numPr>
        <w:ind w:firstLine="480"/>
        <w:spacing w:line="360" w:lineRule="auto"/>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w:t>
      </w:r>
      <w:r>
        <w:rPr>
          <w:rFonts w:hint="eastAsia" w:ascii="宋体" w:hAnsi="宋体" w:cs="Arial"/>
          <w:sz w:val="24"/>
          <w:szCs w:val="24"/>
          <w:lang w:val="en-US" w:eastAsia="zh-CN"/>
        </w:rPr>
        <w:t xml:space="preserve">7</w:t>
      </w:r>
      <w:r>
        <w:rPr>
          <w:rFonts w:hint="eastAsia" w:ascii="宋体" w:hAnsi="宋体" w:cs="Arial"/>
          <w:sz w:val="24"/>
          <w:szCs w:val="24"/>
        </w:rPr>
        <w:t xml:space="preserve">项，《采购需求》中如有要求提供证明材料的，须按要求提供，否则投标文件无效。</w:t>
      </w:r>
      <w:r/>
    </w:p>
    <w:p>
      <w:pPr>
        <w:numPr>
          <w:ilvl w:val="0"/>
          <w:numId w:val="10"/>
        </w:numPr>
        <w:ind w:firstLine="480"/>
        <w:spacing w:line="360" w:lineRule="auto"/>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w:t>
      </w:r>
      <w:r>
        <w:rPr>
          <w:rFonts w:hint="eastAsia" w:ascii="宋体" w:hAnsi="宋体" w:cs="宋体"/>
          <w:sz w:val="24"/>
          <w:szCs w:val="24"/>
          <w:lang w:val="en-US" w:eastAsia="zh-CN"/>
        </w:rPr>
        <w:t xml:space="preserve">6</w:t>
      </w:r>
      <w:r>
        <w:rPr>
          <w:rFonts w:hint="eastAsia" w:ascii="宋体" w:hAnsi="宋体" w:cs="宋体"/>
          <w:sz w:val="24"/>
          <w:szCs w:val="24"/>
        </w:rPr>
        <w:t xml:space="preserve">项可由联合体主体单位（即联合体牵头人）代表联合体提供。第6项按《采购需求》中的相应要求（如有）进行提供。</w:t>
      </w:r>
      <w:r/>
    </w:p>
    <w:p>
      <w:pPr>
        <w:spacing w:line="360" w:lineRule="auto"/>
        <w:rPr>
          <w:rFonts w:hint="eastAsia"/>
          <w:b/>
          <w:color w:val="ff0000"/>
          <w:sz w:val="28"/>
          <w:szCs w:val="28"/>
        </w:rPr>
      </w:pPr>
      <w:r>
        <w:rPr>
          <w:rFonts w:hint="eastAsia"/>
          <w:b/>
          <w:color w:val="ff0000"/>
          <w:sz w:val="28"/>
          <w:szCs w:val="28"/>
        </w:rPr>
      </w:r>
      <w:r/>
    </w:p>
    <w:p>
      <w:pPr>
        <w:spacing w:line="360" w:lineRule="auto"/>
        <w:rPr>
          <w:rFonts w:hint="eastAsia"/>
          <w:b/>
          <w:sz w:val="28"/>
          <w:szCs w:val="28"/>
        </w:rPr>
      </w:pPr>
      <w:r>
        <w:rPr>
          <w:rFonts w:hint="eastAsia"/>
          <w:b/>
          <w:sz w:val="28"/>
          <w:szCs w:val="28"/>
        </w:rPr>
        <w:t xml:space="preserve">（二）其他证明文件</w:t>
      </w:r>
      <w:r/>
    </w:p>
    <w:p>
      <w:pPr>
        <w:ind w:left="480"/>
        <w:spacing w:line="360" w:lineRule="auto"/>
        <w:rPr>
          <w:rFonts w:hint="eastAsia" w:ascii="宋体" w:hAnsi="宋体"/>
          <w:sz w:val="24"/>
          <w:szCs w:val="24"/>
        </w:rPr>
      </w:pPr>
      <w:r>
        <w:rPr>
          <w:rFonts w:hint="eastAsia" w:ascii="宋体" w:hAnsi="宋体"/>
          <w:sz w:val="24"/>
          <w:szCs w:val="24"/>
        </w:rPr>
        <w:t xml:space="preserve">1.《评标方法与评标标准》中涉及的证明文件。</w:t>
      </w:r>
      <w:r/>
    </w:p>
    <w:p>
      <w:pPr>
        <w:ind w:left="480"/>
        <w:spacing w:line="360" w:lineRule="auto"/>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p>
    <w:p>
      <w:pPr>
        <w:spacing w:line="360" w:lineRule="auto"/>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p>
    <w:p>
      <w:pPr>
        <w:pStyle w:val="939"/>
        <w:ind w:firstLine="0"/>
        <w:spacing w:before="0" w:after="0" w:line="360" w:lineRule="auto"/>
        <w:rPr>
          <w:rFonts w:cs="Arial"/>
          <w:b/>
          <w:sz w:val="28"/>
          <w:szCs w:val="28"/>
        </w:rPr>
      </w:pPr>
      <w:r>
        <w:rPr>
          <w:rFonts w:hint="eastAsia" w:cs="Arial"/>
          <w:b/>
          <w:sz w:val="28"/>
          <w:szCs w:val="28"/>
        </w:rPr>
        <w:t xml:space="preserve">一、封面格式（参考格式）：</w:t>
      </w:r>
      <w:r/>
    </w:p>
    <w:p>
      <w:pPr>
        <w:jc w:val="center"/>
        <w:spacing w:line="360" w:lineRule="auto"/>
        <w:rPr>
          <w:rFonts w:hint="eastAsia" w:ascii="宋体" w:hAnsi="宋体"/>
          <w:b/>
          <w:sz w:val="72"/>
          <w:shd w:val="clear" w:color="ffffff" w:fill="d9d9d9"/>
        </w:rPr>
      </w:pPr>
      <w:r>
        <w:rPr>
          <w:rFonts w:hint="eastAsia" w:ascii="宋体" w:hAnsi="宋体"/>
          <w:b/>
          <w:sz w:val="72"/>
          <w:shd w:val="clear" w:color="ffffff" w:fill="d9d9d9"/>
        </w:rPr>
      </w:r>
      <w:r/>
    </w:p>
    <w:p>
      <w:pPr>
        <w:jc w:val="center"/>
        <w:spacing w:line="360" w:lineRule="auto"/>
        <w:rPr>
          <w:rFonts w:hint="eastAsia" w:ascii="宋体" w:hAnsi="宋体"/>
          <w:b/>
          <w:sz w:val="72"/>
          <w:shd w:val="clear" w:color="ffffff" w:fill="d9d9d9"/>
        </w:rPr>
      </w:pPr>
      <w:r>
        <w:rPr>
          <w:rFonts w:hint="eastAsia" w:ascii="宋体" w:hAnsi="宋体"/>
          <w:b/>
          <w:sz w:val="72"/>
          <w:shd w:val="clear" w:color="ffffff" w:fill="d9d9d9"/>
        </w:rPr>
      </w:r>
      <w:r/>
    </w:p>
    <w:p>
      <w:pPr>
        <w:jc w:val="center"/>
        <w:spacing w:line="360" w:lineRule="auto"/>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jc w:val="center"/>
        <w:spacing w:line="360" w:lineRule="auto"/>
        <w:rPr>
          <w:rFonts w:hint="eastAsia" w:ascii="宋体" w:hAnsi="宋体"/>
          <w:b/>
          <w:sz w:val="72"/>
          <w:shd w:val="clear" w:color="ffffff" w:fill="d9d9d9"/>
        </w:rPr>
      </w:pPr>
      <w:r>
        <w:rPr>
          <w:rFonts w:hint="eastAsia" w:ascii="宋体" w:hAnsi="宋体"/>
          <w:b/>
          <w:sz w:val="72"/>
          <w:shd w:val="clear" w:color="ffffff" w:fill="d9d9d9"/>
        </w:rPr>
      </w:r>
      <w:r/>
    </w:p>
    <w:p>
      <w:pPr>
        <w:jc w:val="center"/>
        <w:spacing w:line="360" w:lineRule="auto"/>
        <w:rPr>
          <w:rFonts w:hint="eastAsia" w:ascii="宋体" w:hAnsi="宋体"/>
          <w:b/>
          <w:sz w:val="72"/>
          <w:shd w:val="clear" w:color="ffffff" w:fill="d9d9d9"/>
        </w:rPr>
      </w:pPr>
      <w:r>
        <w:rPr>
          <w:rFonts w:hint="eastAsia" w:ascii="宋体" w:hAnsi="宋体"/>
          <w:b/>
          <w:sz w:val="72"/>
          <w:shd w:val="clear" w:color="ffffff" w:fill="d9d9d9"/>
        </w:rPr>
      </w:r>
      <w:r/>
    </w:p>
    <w:p>
      <w:pPr>
        <w:jc w:val="center"/>
        <w:spacing w:line="360" w:lineRule="auto"/>
        <w:rPr>
          <w:rFonts w:hint="eastAsia" w:ascii="宋体" w:hAnsi="宋体"/>
          <w:b/>
          <w:sz w:val="72"/>
          <w:shd w:val="clear" w:color="ffffff" w:fill="d9d9d9"/>
        </w:rPr>
      </w:pPr>
      <w:r>
        <w:rPr>
          <w:rFonts w:hint="eastAsia" w:ascii="宋体" w:hAnsi="宋体"/>
          <w:b/>
          <w:sz w:val="72"/>
          <w:shd w:val="clear" w:color="ffffff" w:fill="d9d9d9"/>
        </w:rPr>
      </w:r>
      <w:r/>
    </w:p>
    <w:p>
      <w:pPr>
        <w:jc w:val="center"/>
        <w:spacing w:line="360" w:lineRule="auto"/>
        <w:rPr>
          <w:rFonts w:hint="eastAsia" w:ascii="宋体" w:hAnsi="宋体"/>
          <w:b/>
          <w:sz w:val="72"/>
          <w:shd w:val="clear" w:color="ffffff" w:fill="d9d9d9"/>
        </w:rPr>
      </w:pPr>
      <w:r>
        <w:rPr>
          <w:rFonts w:hint="eastAsia" w:ascii="宋体" w:hAnsi="宋体"/>
          <w:b/>
          <w:sz w:val="72"/>
          <w:shd w:val="clear" w:color="ffffff" w:fill="d9d9d9"/>
        </w:rPr>
      </w:r>
      <w:r/>
    </w:p>
    <w:p>
      <w:pPr>
        <w:ind w:firstLine="1800"/>
        <w:spacing w:line="360" w:lineRule="auto"/>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项目编号：</w:t>
      </w:r>
      <w:r/>
    </w:p>
    <w:p>
      <w:pPr>
        <w:ind w:firstLine="1800"/>
        <w:spacing w:line="360" w:lineRule="auto"/>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项目名称：</w:t>
      </w:r>
      <w:r/>
    </w:p>
    <w:p>
      <w:pPr>
        <w:ind w:firstLine="1800"/>
        <w:spacing w:line="360" w:lineRule="auto"/>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p>
    <w:p>
      <w:pPr>
        <w:ind w:firstLine="1800"/>
        <w:spacing w:line="360" w:lineRule="auto"/>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p>
    <w:p>
      <w:pPr>
        <w:spacing w:line="360" w:lineRule="auto"/>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p>
    <w:p>
      <w:pPr>
        <w:jc w:val="center"/>
        <w:spacing w:line="360" w:lineRule="auto"/>
        <w:rPr>
          <w:rFonts w:ascii="宋体" w:hAnsi="宋体"/>
          <w:sz w:val="24"/>
          <w:shd w:val="clear" w:color="ffffff" w:fill="d9d9d9"/>
        </w:rPr>
        <w:outlineLvl w:val="0"/>
      </w:pPr>
      <w:r>
        <w:rPr>
          <w:rFonts w:hint="eastAsia" w:ascii="黑体" w:eastAsia="黑体"/>
          <w:bCs/>
          <w:color w:val="000000"/>
          <w:sz w:val="28"/>
          <w:szCs w:val="28"/>
        </w:rPr>
        <w:t xml:space="preserve">授权委托书</w:t>
      </w:r>
      <w:r/>
    </w:p>
    <w:p>
      <w:pPr>
        <w:pStyle w:val="937"/>
        <w:ind w:firstLine="480"/>
        <w:spacing w:line="360" w:lineRule="auto"/>
        <w:rPr>
          <w:rFonts w:hint="eastAsia"/>
          <w:color w:val="000000"/>
          <w:sz w:val="24"/>
          <w:szCs w:val="24"/>
        </w:rPr>
      </w:pPr>
      <w:r>
        <w:rPr>
          <w:rFonts w:hint="eastAsia"/>
          <w:color w:val="000000"/>
          <w:sz w:val="24"/>
          <w:szCs w:val="24"/>
        </w:rPr>
        <w:t xml:space="preserve">我公司（单位、联合体）针对</w:t>
      </w:r>
      <w:r>
        <w:rPr>
          <w:rFonts w:hint="eastAsia"/>
          <w:color w:val="000000"/>
          <w:sz w:val="24"/>
          <w:szCs w:val="24"/>
          <w:u w:val="single"/>
          <w:lang w:val="en-US" w:eastAsia="zh-CN"/>
        </w:rPr>
        <w:t xml:space="preserve">       </w:t>
      </w:r>
      <w:r>
        <w:rPr>
          <w:rFonts w:hint="eastAsia" w:ascii="宋体" w:hAnsi="宋体"/>
          <w:bCs/>
          <w:color w:val="000000"/>
          <w:sz w:val="24"/>
          <w:szCs w:val="24"/>
        </w:rPr>
        <w:t xml:space="preserve">项目，兹授权：</w:t>
      </w:r>
      <w:r/>
    </w:p>
    <w:p>
      <w:pPr>
        <w:pStyle w:val="937"/>
        <w:ind w:firstLine="480"/>
        <w:spacing w:line="360" w:lineRule="auto"/>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p>
    <w:p>
      <w:pPr>
        <w:pStyle w:val="937"/>
        <w:ind w:firstLine="480"/>
        <w:spacing w:line="360" w:lineRule="auto"/>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p>
    <w:p>
      <w:pPr>
        <w:pStyle w:val="937"/>
        <w:ind w:firstLine="480"/>
        <w:spacing w:line="360" w:lineRule="auto"/>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937"/>
        <w:ind w:firstLine="480"/>
        <w:spacing w:line="360" w:lineRule="auto"/>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937"/>
        <w:ind w:firstLine="480"/>
        <w:spacing w:line="360" w:lineRule="auto"/>
        <w:rPr>
          <w:rFonts w:hint="eastAsia"/>
          <w:sz w:val="24"/>
          <w:szCs w:val="24"/>
        </w:rPr>
      </w:pPr>
      <w:r>
        <w:rPr>
          <w:rFonts w:hint="eastAsia"/>
          <w:sz w:val="24"/>
          <w:szCs w:val="24"/>
        </w:rPr>
        <w:t xml:space="preserve">特此授权委托。</w:t>
      </w:r>
      <w:r/>
    </w:p>
    <w:p>
      <w:pPr>
        <w:pStyle w:val="937"/>
        <w:ind w:firstLine="0"/>
        <w:spacing w:line="360" w:lineRule="auto"/>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p>
    <w:p>
      <w:pPr>
        <w:pStyle w:val="937"/>
        <w:ind w:firstLine="0"/>
        <w:spacing w:line="360" w:lineRule="auto"/>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p>
    <w:p>
      <w:pPr>
        <w:pStyle w:val="937"/>
        <w:ind w:firstLine="0"/>
        <w:spacing w:line="360" w:lineRule="auto"/>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937"/>
        <w:ind w:firstLine="0"/>
        <w:spacing w:line="360" w:lineRule="auto"/>
        <w:rPr>
          <w:rFonts w:hint="eastAsia"/>
          <w:sz w:val="21"/>
          <w:szCs w:val="21"/>
        </w:rPr>
      </w:pPr>
      <w:r>
        <w:rPr>
          <w:rFonts w:hint="eastAsia"/>
          <w:sz w:val="21"/>
          <w:szCs w:val="21"/>
        </w:rPr>
      </w:r>
      <w:r/>
    </w:p>
    <w:p>
      <w:pPr>
        <w:pStyle w:val="937"/>
        <w:ind w:firstLine="0"/>
        <w:spacing w:line="360" w:lineRule="auto"/>
        <w:rPr>
          <w:rFonts w:hint="eastAsia"/>
          <w:sz w:val="21"/>
          <w:szCs w:val="21"/>
        </w:rPr>
      </w:pPr>
      <w:r>
        <w:rPr>
          <w:rFonts w:hint="eastAsia"/>
          <w:sz w:val="21"/>
          <w:szCs w:val="21"/>
        </w:rPr>
        <w:t xml:space="preserve">说明：</w:t>
      </w:r>
      <w:r/>
    </w:p>
    <w:p>
      <w:pPr>
        <w:pStyle w:val="937"/>
        <w:numPr>
          <w:ilvl w:val="0"/>
          <w:numId w:val="11"/>
        </w:numPr>
        <w:ind w:firstLine="420"/>
        <w:spacing w:line="360" w:lineRule="auto"/>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p>
    <w:p>
      <w:pPr>
        <w:pStyle w:val="937"/>
        <w:numPr>
          <w:ilvl w:val="0"/>
          <w:numId w:val="11"/>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p>
    <w:p>
      <w:pPr>
        <w:pStyle w:val="937"/>
        <w:numPr>
          <w:ilvl w:val="0"/>
          <w:numId w:val="11"/>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p>
    <w:p>
      <w:pPr>
        <w:pStyle w:val="937"/>
        <w:numPr>
          <w:ilvl w:val="0"/>
          <w:numId w:val="11"/>
        </w:numPr>
        <w:ind w:firstLine="420"/>
        <w:spacing w:line="360" w:lineRule="auto"/>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p>
    <w:p>
      <w:pPr>
        <w:pStyle w:val="937"/>
        <w:ind w:firstLine="0"/>
        <w:spacing w:line="360" w:lineRule="auto"/>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p>
    <w:p>
      <w:pPr>
        <w:jc w:val="center"/>
        <w:spacing w:line="360" w:lineRule="auto"/>
        <w:rPr>
          <w:rFonts w:ascii="黑体" w:eastAsia="黑体"/>
          <w:bCs/>
          <w:color w:val="000000"/>
          <w:sz w:val="28"/>
          <w:szCs w:val="28"/>
        </w:rPr>
        <w:outlineLvl w:val="0"/>
      </w:pPr>
      <w:r/>
      <w:bookmarkStart w:id="200" w:name="报价方关于资格的声明函（格式）"/>
      <w:r/>
      <w:bookmarkEnd w:id="200"/>
      <w:r>
        <w:rPr>
          <w:rFonts w:hint="eastAsia" w:ascii="黑体" w:eastAsia="黑体"/>
          <w:bCs/>
          <w:color w:val="000000"/>
          <w:sz w:val="28"/>
          <w:szCs w:val="28"/>
        </w:rPr>
        <w:t xml:space="preserve">资格声明函</w:t>
      </w:r>
      <w:r/>
    </w:p>
    <w:p>
      <w:pPr>
        <w:jc w:val="center"/>
        <w:spacing w:line="360" w:lineRule="auto"/>
        <w:rPr>
          <w:rFonts w:ascii="宋体"/>
          <w:bCs/>
          <w:color w:val="000000"/>
          <w:sz w:val="24"/>
          <w:szCs w:val="24"/>
        </w:rPr>
      </w:pPr>
      <w:r>
        <w:rPr>
          <w:rFonts w:ascii="宋体"/>
          <w:bCs/>
          <w:color w:val="000000"/>
          <w:sz w:val="24"/>
          <w:szCs w:val="24"/>
        </w:rPr>
      </w:r>
      <w:r/>
    </w:p>
    <w:p>
      <w:pPr>
        <w:spacing w:line="360" w:lineRule="auto"/>
        <w:rPr>
          <w:rFonts w:ascii="宋体"/>
          <w:bCs/>
          <w:color w:val="000000"/>
          <w:sz w:val="24"/>
          <w:szCs w:val="24"/>
        </w:rPr>
      </w:pPr>
      <w:r>
        <w:rPr>
          <w:rFonts w:hint="eastAsia" w:ascii="宋体" w:hAnsi="宋体"/>
          <w:bCs/>
          <w:color w:val="000000"/>
          <w:sz w:val="24"/>
          <w:szCs w:val="24"/>
          <w:lang w:eastAsia="zh-CN"/>
        </w:rPr>
        <w:t xml:space="preserve">无锡市滨湖区公共资源交易中心</w:t>
      </w:r>
      <w:r>
        <w:rPr>
          <w:rFonts w:hint="eastAsia" w:ascii="宋体" w:hAnsi="宋体"/>
          <w:bCs/>
          <w:color w:val="000000"/>
          <w:sz w:val="24"/>
          <w:szCs w:val="24"/>
        </w:rPr>
        <w:t xml:space="preserve">：</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我公司（单位、联合体）针对本次项目</w:t>
      </w:r>
      <w:r>
        <w:rPr>
          <w:rFonts w:hint="eastAsia" w:ascii="宋体" w:hAnsi="宋体"/>
          <w:bCs/>
          <w:color w:val="000000"/>
          <w:sz w:val="24"/>
          <w:szCs w:val="24"/>
          <w:u w:val="single"/>
          <w:lang w:val="en-US" w:eastAsia="zh-CN"/>
        </w:rPr>
        <w:t xml:space="preserve">         </w:t>
      </w:r>
      <w:r>
        <w:rPr>
          <w:rFonts w:hint="eastAsia" w:ascii="宋体" w:hAnsi="宋体"/>
          <w:bCs/>
          <w:color w:val="000000"/>
          <w:sz w:val="24"/>
          <w:szCs w:val="24"/>
        </w:rPr>
        <w:t xml:space="preserve">进行投标，并作如下声明</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www.ccgp.gov.cn</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列入失信被执行人、重大税收违法案件当事人名单、政府采购严重失信行为记录名单及其他不符合《中华人民共和国政府采购法》第二十二条规定条件的信用记录。</w:t>
      </w:r>
      <w:r/>
    </w:p>
    <w:p>
      <w:pPr>
        <w:ind w:firstLine="480"/>
        <w:spacing w:line="36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360" w:lineRule="auto"/>
        <w:rPr>
          <w:rFonts w:ascii="宋体"/>
          <w:bCs/>
          <w:color w:val="000000"/>
          <w:sz w:val="24"/>
          <w:szCs w:val="24"/>
        </w:rPr>
      </w:pPr>
      <w:r>
        <w:rPr>
          <w:rFonts w:ascii="宋体"/>
          <w:bCs/>
          <w:color w:val="000000"/>
          <w:sz w:val="24"/>
          <w:szCs w:val="24"/>
        </w:rPr>
      </w:r>
      <w:r/>
    </w:p>
    <w:p>
      <w:pPr>
        <w:spacing w:line="360" w:lineRule="auto"/>
        <w:rPr>
          <w:rFonts w:ascii="宋体"/>
          <w:bCs/>
          <w:color w:val="000000"/>
          <w:sz w:val="24"/>
          <w:szCs w:val="24"/>
        </w:rPr>
      </w:pPr>
      <w:r>
        <w:rPr>
          <w:rFonts w:hint="eastAsia" w:ascii="宋体" w:hAnsi="宋体"/>
          <w:bCs/>
          <w:color w:val="000000"/>
          <w:sz w:val="24"/>
          <w:szCs w:val="24"/>
        </w:rPr>
        <w:t xml:space="preserve">投标人名称（盖章）：</w:t>
      </w:r>
      <w:r/>
    </w:p>
    <w:p>
      <w:pPr>
        <w:spacing w:line="360" w:lineRule="auto"/>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p>
    <w:p>
      <w:pPr>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中小企业声明函（货物）</w:t>
      </w:r>
      <w:r/>
    </w:p>
    <w:p>
      <w:pPr>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（联合体）参加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ascii="宋体" w:hAnsi="宋体"/>
          <w:bCs/>
          <w:sz w:val="24"/>
          <w:szCs w:val="24"/>
        </w:rPr>
      </w:pPr>
      <w:r>
        <w:rPr>
          <w:rFonts w:ascii="宋体" w:hAnsi="宋体"/>
          <w:bCs/>
          <w:sz w:val="24"/>
          <w:szCs w:val="24"/>
        </w:rPr>
        <w:t xml:space="preserve">1. </w:t>
      </w:r>
      <w:r>
        <w:rPr>
          <w:rFonts w:ascii="宋体" w:hAnsi="宋体"/>
          <w:bCs/>
          <w:sz w:val="24"/>
          <w:szCs w:val="24"/>
          <w:u w:val="single"/>
        </w:rPr>
        <w:t xml:space="preserve">（标的名称）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 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（中型企业、小 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 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（中型企业、小 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ascii="宋体" w:hAnsi="宋体"/>
          <w:bCs/>
          <w:sz w:val="24"/>
          <w:szCs w:val="24"/>
        </w:rPr>
      </w:pPr>
      <w:r>
        <w:rPr>
          <w:rFonts w:hint="eastAsia" w:ascii="宋体" w:hAnsi="宋体"/>
          <w:bCs/>
          <w:sz w:val="24"/>
          <w:szCs w:val="24"/>
        </w:rPr>
        <w:t xml:space="preserve">企业名称（盖章）：</w:t>
      </w:r>
      <w:r/>
    </w:p>
    <w:p>
      <w:pPr>
        <w:ind w:firstLine="4800"/>
        <w:spacing w:line="360" w:lineRule="auto"/>
        <w:rPr>
          <w:rFonts w:ascii="宋体" w:hAnsi="宋体"/>
          <w:bCs/>
          <w:sz w:val="24"/>
          <w:szCs w:val="24"/>
        </w:rPr>
      </w:pPr>
      <w:r>
        <w:rPr>
          <w:rFonts w:hint="eastAsia" w:ascii="宋体" w:hAnsi="宋体"/>
          <w:bCs/>
          <w:sz w:val="24"/>
          <w:szCs w:val="24"/>
        </w:rPr>
        <w:t xml:space="preserve">日　　　　　　期：</w:t>
      </w:r>
      <w:r/>
    </w:p>
    <w:p>
      <w:pPr>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货物类的，只须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pPr>
      <w:r>
        <w:rPr>
          <w:rFonts w:hint="eastAsia"/>
        </w:rPr>
        <w:t xml:space="preserve">（2）从业人员、营业收入、资产总额填报上一年度数据，无上一年度数据的新成立企业可不填报。</w:t>
      </w:r>
      <w:r/>
    </w:p>
    <w:p>
      <w:pPr>
        <w:ind w:firstLine="420"/>
        <w:spacing w:line="360" w:lineRule="auto"/>
      </w:pPr>
      <w:r>
        <w:rPr>
          <w:rFonts w:hint="eastAsia"/>
        </w:rPr>
        <w:t xml:space="preserve">（3）在货物采购项目中，供应商提供的货物既有中小企业制造货物，也有大型企业制造货物的，不享受本办法规定的中小企业扶持政策。</w:t>
      </w:r>
      <w:r/>
    </w:p>
    <w:p>
      <w:pPr>
        <w:ind w:firstLine="420"/>
        <w:spacing w:line="360" w:lineRule="auto"/>
        <w:rPr>
          <w:rFonts w:hint="eastAsia"/>
        </w:rPr>
      </w:pPr>
      <w:r>
        <w:rPr>
          <w:rFonts w:hint="eastAsia"/>
        </w:rPr>
        <w:t xml:space="preserve">（4）中标供应商的《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highlight w:val="none"/>
        </w:rPr>
      </w:pPr>
      <w:r>
        <w:rPr>
          <w:highlight w:val="none"/>
        </w:rPr>
      </w:r>
      <w:r/>
    </w:p>
    <w:p>
      <w:pPr>
        <w:ind w:firstLine="560"/>
        <w:jc w:val="center"/>
        <w:spacing w:line="360" w:lineRule="auto"/>
        <w:rPr>
          <w:rFonts w:hint="eastAsia"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关于符合本国产品标准的声明函</w:t>
      </w:r>
      <w:r/>
    </w:p>
    <w:p>
      <w:pPr>
        <w:ind w:firstLine="420"/>
        <w:spacing w:line="360" w:lineRule="auto"/>
        <w:rPr>
          <w:color w:val="000000" w:themeColor="text1"/>
          <w:highlight w:val="none"/>
        </w:rPr>
      </w:pPr>
      <w:r>
        <w:rPr>
          <w:color w:val="000000" w:themeColor="text1"/>
          <w:highlight w:val="none"/>
        </w:rPr>
        <w:t xml:space="preserve"> </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1.（产品名称1）</w:t>
      </w:r>
      <w:r>
        <w:rPr>
          <w:rFonts w:hint="eastAsia" w:ascii="宋体" w:hAnsi="宋体"/>
          <w:bCs/>
          <w:color w:val="000000" w:themeColor="text1"/>
          <w:sz w:val="24"/>
          <w:szCs w:val="24"/>
          <w:highlight w:val="none"/>
          <w:vertAlign w:val="superscript"/>
        </w:rPr>
        <w:t xml:space="preserve">1</w:t>
      </w:r>
      <w:r>
        <w:rPr>
          <w:rFonts w:hint="eastAsia" w:ascii="宋体" w:hAnsi="宋体"/>
          <w:bCs/>
          <w:color w:val="000000" w:themeColor="text1"/>
          <w:sz w:val="24"/>
          <w:szCs w:val="24"/>
          <w:highlight w:val="none"/>
        </w:rPr>
        <w:t xml:space="preserve">，生产厂为（厂名）</w:t>
      </w:r>
      <w:r>
        <w:rPr>
          <w:rFonts w:hint="eastAsia" w:ascii="宋体" w:hAnsi="宋体"/>
          <w:bCs/>
          <w:color w:val="000000" w:themeColor="text1"/>
          <w:sz w:val="24"/>
          <w:szCs w:val="24"/>
          <w:highlight w:val="none"/>
          <w:vertAlign w:val="superscript"/>
        </w:rPr>
        <w:t xml:space="preserve">2</w:t>
      </w:r>
      <w:r>
        <w:rPr>
          <w:rFonts w:hint="eastAsia" w:ascii="宋体" w:hAnsi="宋体"/>
          <w:bCs/>
          <w:color w:val="000000" w:themeColor="text1"/>
          <w:sz w:val="24"/>
          <w:szCs w:val="24"/>
          <w:highlight w:val="none"/>
        </w:rPr>
        <w:t xml:space="preserve">，厂址为（生产厂址）。（</w:t>
      </w:r>
      <w:r>
        <w:rPr>
          <w:rFonts w:hint="eastAsia" w:ascii="宋体" w:hAnsi="宋体"/>
          <w:bCs/>
          <w:strike/>
          <w:color w:val="000000" w:themeColor="text1"/>
          <w:sz w:val="24"/>
          <w:szCs w:val="24"/>
          <w:highlight w:val="none"/>
        </w:rPr>
        <w:t xml:space="preserve">产品名称1</w:t>
      </w:r>
      <w:r>
        <w:rPr>
          <w:rFonts w:hint="eastAsia" w:ascii="宋体" w:hAnsi="宋体"/>
          <w:bCs/>
          <w:color w:val="000000" w:themeColor="text1"/>
          <w:sz w:val="24"/>
          <w:szCs w:val="24"/>
          <w:highlight w:val="none"/>
        </w:rPr>
        <w:t xml:space="preserve">）的中国境内生产的组件成本占比≥（</w:t>
      </w:r>
      <w:r>
        <w:rPr>
          <w:rFonts w:hint="eastAsia" w:ascii="宋体" w:hAnsi="宋体"/>
          <w:bCs/>
          <w:strike/>
          <w:color w:val="000000" w:themeColor="text1"/>
          <w:sz w:val="24"/>
          <w:szCs w:val="24"/>
          <w:highlight w:val="none"/>
        </w:rPr>
        <w:t xml:space="preserve">规定比例</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vertAlign w:val="superscript"/>
        </w:rPr>
        <w:t xml:space="preserve">3</w:t>
      </w:r>
      <w:r>
        <w:rPr>
          <w:rFonts w:hint="eastAsia" w:ascii="宋体" w:hAnsi="宋体"/>
          <w:bCs/>
          <w:color w:val="000000" w:themeColor="text1"/>
          <w:sz w:val="24"/>
          <w:szCs w:val="24"/>
          <w:highlight w:val="none"/>
        </w:rPr>
        <w:t xml:space="preserve">。（</w:t>
      </w:r>
      <w:r>
        <w:rPr>
          <w:rFonts w:hint="eastAsia" w:ascii="宋体" w:hAnsi="宋体"/>
          <w:bCs/>
          <w:strike/>
          <w:color w:val="000000" w:themeColor="text1"/>
          <w:sz w:val="24"/>
          <w:szCs w:val="24"/>
          <w:highlight w:val="none"/>
        </w:rPr>
        <w:t xml:space="preserve">产品名称1</w:t>
      </w:r>
      <w:r>
        <w:rPr>
          <w:rFonts w:hint="eastAsia" w:ascii="宋体" w:hAnsi="宋体"/>
          <w:bCs/>
          <w:color w:val="000000" w:themeColor="text1"/>
          <w:sz w:val="24"/>
          <w:szCs w:val="24"/>
          <w:highlight w:val="none"/>
        </w:rPr>
        <w:t xml:space="preserve">）的（</w:t>
      </w:r>
      <w:r>
        <w:rPr>
          <w:rFonts w:hint="eastAsia" w:ascii="宋体" w:hAnsi="宋体"/>
          <w:bCs/>
          <w:strike/>
          <w:color w:val="000000" w:themeColor="text1"/>
          <w:sz w:val="24"/>
          <w:szCs w:val="24"/>
          <w:highlight w:val="none"/>
        </w:rPr>
        <w:t xml:space="preserve">关键组件</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vertAlign w:val="superscript"/>
        </w:rPr>
        <w:t xml:space="preserve">4</w:t>
      </w:r>
      <w:r>
        <w:rPr>
          <w:rFonts w:hint="eastAsia" w:ascii="宋体" w:hAnsi="宋体"/>
          <w:bCs/>
          <w:color w:val="000000" w:themeColor="text1"/>
          <w:sz w:val="24"/>
          <w:szCs w:val="24"/>
          <w:highlight w:val="none"/>
        </w:rPr>
        <w:t xml:space="preserve">在中国境内生产。（</w:t>
      </w:r>
      <w:r>
        <w:rPr>
          <w:rFonts w:hint="eastAsia" w:ascii="宋体" w:hAnsi="宋体"/>
          <w:bCs/>
          <w:strike/>
          <w:color w:val="000000" w:themeColor="text1"/>
          <w:sz w:val="24"/>
          <w:szCs w:val="24"/>
          <w:highlight w:val="none"/>
        </w:rPr>
        <w:t xml:space="preserve">产品名称1</w:t>
      </w:r>
      <w:r>
        <w:rPr>
          <w:rFonts w:hint="eastAsia" w:ascii="宋体" w:hAnsi="宋体"/>
          <w:bCs/>
          <w:color w:val="000000" w:themeColor="text1"/>
          <w:sz w:val="24"/>
          <w:szCs w:val="24"/>
          <w:highlight w:val="none"/>
        </w:rPr>
        <w:t xml:space="preserve">）的（</w:t>
      </w:r>
      <w:r>
        <w:rPr>
          <w:rFonts w:hint="eastAsia" w:ascii="宋体" w:hAnsi="宋体"/>
          <w:bCs/>
          <w:strike/>
          <w:color w:val="000000" w:themeColor="text1"/>
          <w:sz w:val="24"/>
          <w:szCs w:val="24"/>
          <w:highlight w:val="none"/>
        </w:rPr>
        <w:t xml:space="preserve">关键工序</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vertAlign w:val="superscript"/>
        </w:rPr>
        <w:t xml:space="preserve">5</w:t>
      </w:r>
      <w:r>
        <w:rPr>
          <w:rFonts w:hint="eastAsia" w:ascii="宋体" w:hAnsi="宋体"/>
          <w:bCs/>
          <w:color w:val="000000" w:themeColor="text1"/>
          <w:sz w:val="24"/>
          <w:szCs w:val="24"/>
          <w:highlight w:val="none"/>
        </w:rPr>
        <w:t xml:space="preserve">在中国境内完成。</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2.（产品名称2），生产厂为（厂名），厂址为（生产厂址）。（</w:t>
      </w:r>
      <w:r>
        <w:rPr>
          <w:rFonts w:hint="eastAsia" w:ascii="宋体" w:hAnsi="宋体"/>
          <w:bCs/>
          <w:strike/>
          <w:color w:val="000000" w:themeColor="text1"/>
          <w:sz w:val="24"/>
          <w:szCs w:val="24"/>
          <w:highlight w:val="none"/>
        </w:rPr>
        <w:t xml:space="preserve">产品名称2</w:t>
      </w:r>
      <w:r>
        <w:rPr>
          <w:rFonts w:hint="eastAsia" w:ascii="宋体" w:hAnsi="宋体"/>
          <w:bCs/>
          <w:color w:val="000000" w:themeColor="text1"/>
          <w:sz w:val="24"/>
          <w:szCs w:val="24"/>
          <w:highlight w:val="none"/>
        </w:rPr>
        <w:t xml:space="preserve">）的中国境内生产的组件成本占比≥（</w:t>
      </w:r>
      <w:r>
        <w:rPr>
          <w:rFonts w:hint="eastAsia" w:ascii="宋体" w:hAnsi="宋体"/>
          <w:bCs/>
          <w:strike/>
          <w:color w:val="000000" w:themeColor="text1"/>
          <w:sz w:val="24"/>
          <w:szCs w:val="24"/>
          <w:highlight w:val="none"/>
        </w:rPr>
        <w:t xml:space="preserve">规定比例</w:t>
      </w:r>
      <w:r>
        <w:rPr>
          <w:rFonts w:hint="eastAsia" w:ascii="宋体" w:hAnsi="宋体"/>
          <w:bCs/>
          <w:color w:val="000000" w:themeColor="text1"/>
          <w:sz w:val="24"/>
          <w:szCs w:val="24"/>
          <w:highlight w:val="none"/>
        </w:rPr>
        <w:t xml:space="preserve">）。（</w:t>
      </w:r>
      <w:r>
        <w:rPr>
          <w:rFonts w:hint="eastAsia" w:ascii="宋体" w:hAnsi="宋体"/>
          <w:bCs/>
          <w:strike/>
          <w:color w:val="000000" w:themeColor="text1"/>
          <w:sz w:val="24"/>
          <w:szCs w:val="24"/>
          <w:highlight w:val="none"/>
        </w:rPr>
        <w:t xml:space="preserve">产品名称2</w:t>
      </w:r>
      <w:r>
        <w:rPr>
          <w:rFonts w:hint="eastAsia" w:ascii="宋体" w:hAnsi="宋体"/>
          <w:bCs/>
          <w:color w:val="000000" w:themeColor="text1"/>
          <w:sz w:val="24"/>
          <w:szCs w:val="24"/>
          <w:highlight w:val="none"/>
        </w:rPr>
        <w:t xml:space="preserve">）的（</w:t>
      </w:r>
      <w:r>
        <w:rPr>
          <w:rFonts w:hint="eastAsia" w:ascii="宋体" w:hAnsi="宋体"/>
          <w:bCs/>
          <w:strike/>
          <w:color w:val="000000" w:themeColor="text1"/>
          <w:sz w:val="24"/>
          <w:szCs w:val="24"/>
          <w:highlight w:val="none"/>
        </w:rPr>
        <w:t xml:space="preserve">关键组件</w:t>
      </w:r>
      <w:r>
        <w:rPr>
          <w:rFonts w:hint="eastAsia" w:ascii="宋体" w:hAnsi="宋体"/>
          <w:bCs/>
          <w:color w:val="000000" w:themeColor="text1"/>
          <w:sz w:val="24"/>
          <w:szCs w:val="24"/>
          <w:highlight w:val="none"/>
        </w:rPr>
        <w:t xml:space="preserve">）在中国境内生产。（</w:t>
      </w:r>
      <w:r>
        <w:rPr>
          <w:rFonts w:hint="eastAsia" w:ascii="宋体" w:hAnsi="宋体"/>
          <w:bCs/>
          <w:strike/>
          <w:color w:val="000000" w:themeColor="text1"/>
          <w:sz w:val="24"/>
          <w:szCs w:val="24"/>
          <w:highlight w:val="none"/>
        </w:rPr>
        <w:t xml:space="preserve">产品名称2</w:t>
      </w:r>
      <w:r>
        <w:rPr>
          <w:rFonts w:hint="eastAsia" w:ascii="宋体" w:hAnsi="宋体"/>
          <w:bCs/>
          <w:color w:val="000000" w:themeColor="text1"/>
          <w:sz w:val="24"/>
          <w:szCs w:val="24"/>
          <w:highlight w:val="none"/>
        </w:rPr>
        <w:t xml:space="preserve">）的（</w:t>
      </w:r>
      <w:r>
        <w:rPr>
          <w:rFonts w:hint="eastAsia" w:ascii="宋体" w:hAnsi="宋体"/>
          <w:bCs/>
          <w:strike/>
          <w:color w:val="000000" w:themeColor="text1"/>
          <w:sz w:val="24"/>
          <w:szCs w:val="24"/>
          <w:highlight w:val="none"/>
        </w:rPr>
        <w:t xml:space="preserve">关键工序</w:t>
      </w:r>
      <w:r>
        <w:rPr>
          <w:rFonts w:hint="eastAsia" w:ascii="宋体" w:hAnsi="宋体"/>
          <w:bCs/>
          <w:color w:val="000000" w:themeColor="text1"/>
          <w:sz w:val="24"/>
          <w:szCs w:val="24"/>
          <w:highlight w:val="none"/>
        </w:rPr>
        <w:t xml:space="preserve">）在中国境内完成。</w:t>
      </w:r>
      <w:r/>
    </w:p>
    <w:p>
      <w:pPr>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本公司（单位）对上述声明内容的真实性负责。如有虚假，愿承担相应法律责任。</w:t>
      </w:r>
      <w:r/>
    </w:p>
    <w:p>
      <w:pPr>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 </w:t>
      </w:r>
      <w:r/>
    </w:p>
    <w:p>
      <w:pPr>
        <w:ind w:firstLine="480"/>
        <w:jc w:val="righ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公司（单位）名称（盖章）：          </w:t>
      </w:r>
      <w:r/>
    </w:p>
    <w:p>
      <w:pPr>
        <w:ind w:firstLine="480"/>
        <w:jc w:val="right"/>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日期：　</w:t>
      </w:r>
      <w:r>
        <w:rPr>
          <w:rFonts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rPr>
        <w:t xml:space="preserve">年　</w:t>
      </w:r>
      <w:r>
        <w:rPr>
          <w:rFonts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rPr>
        <w:t xml:space="preserve">月　</w:t>
      </w:r>
      <w:r>
        <w:rPr>
          <w:rFonts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rPr>
        <w:t xml:space="preserve">日          </w:t>
      </w:r>
      <w:r/>
    </w:p>
    <w:p>
      <w:pPr>
        <w:jc w:val="left"/>
        <w:spacing w:before="25" w:after="25" w:line="360" w:lineRule="auto"/>
        <w:shd w:val="clear" w:color="auto" w:fill="ffffff"/>
        <w:widowControl/>
        <w:rPr>
          <w:rFonts w:hint="eastAsia" w:ascii="inherit" w:hAnsi="inherit" w:eastAsia="仿宋" w:cs="宋体"/>
          <w:color w:val="000000" w:themeColor="text1"/>
          <w:sz w:val="28"/>
          <w:szCs w:val="28"/>
          <w:highlight w:val="none"/>
        </w:rPr>
      </w:pPr>
      <w:r>
        <w:rPr>
          <w:rFonts w:ascii="inherit" w:hAnsi="inherit" w:eastAsia="仿宋" w:cs="宋体"/>
          <w:color w:val="000000" w:themeColor="text1"/>
          <w:sz w:val="28"/>
          <w:szCs w:val="28"/>
          <w:highlight w:val="none"/>
        </w:rPr>
        <w:t xml:space="preserve">__________________</w:t>
      </w:r>
      <w:r/>
    </w:p>
    <w:p>
      <w:pPr>
        <w:ind w:firstLine="482"/>
        <w:jc w:val="left"/>
        <w:spacing w:line="360" w:lineRule="auto"/>
        <w:shd w:val="clear" w:color="auto" w:fill="ffffff"/>
        <w:widowControl/>
        <w:rPr>
          <w:rFonts w:hint="eastAsia" w:ascii="宋体" w:hAnsi="宋体" w:cs="宋体"/>
          <w:color w:val="000000" w:themeColor="text1"/>
          <w:sz w:val="18"/>
          <w:szCs w:val="18"/>
          <w:highlight w:val="none"/>
        </w:rPr>
      </w:pPr>
      <w:r>
        <w:rPr>
          <w:rFonts w:ascii="宋体" w:hAnsi="宋体" w:cs="宋体"/>
          <w:color w:val="000000" w:themeColor="text1"/>
          <w:sz w:val="18"/>
          <w:szCs w:val="18"/>
          <w:highlight w:val="none"/>
        </w:rPr>
        <w:t xml:space="preserve">1.产品如有型号，请在“产品名称”栏一并填写。</w:t>
      </w:r>
      <w:r/>
    </w:p>
    <w:p>
      <w:pPr>
        <w:ind w:firstLine="482"/>
        <w:jc w:val="left"/>
        <w:spacing w:line="360" w:lineRule="auto"/>
        <w:shd w:val="clear" w:color="auto" w:fill="ffffff"/>
        <w:widowControl/>
        <w:rPr>
          <w:rFonts w:hint="eastAsia" w:ascii="宋体" w:hAnsi="宋体" w:cs="宋体"/>
          <w:color w:val="000000" w:themeColor="text1"/>
          <w:sz w:val="18"/>
          <w:szCs w:val="18"/>
          <w:highlight w:val="none"/>
        </w:rPr>
      </w:pPr>
      <w:r>
        <w:rPr>
          <w:rFonts w:ascii="宋体" w:hAnsi="宋体" w:cs="宋体"/>
          <w:color w:val="000000" w:themeColor="text1"/>
          <w:sz w:val="18"/>
          <w:szCs w:val="18"/>
          <w:highlight w:val="none"/>
        </w:rPr>
        <w:t xml:space="preserve">2.生产厂名与厂址应与生产厂营业执照载明的相关信息保持一致。</w:t>
      </w:r>
      <w:r/>
    </w:p>
    <w:p>
      <w:pPr>
        <w:ind w:firstLine="482"/>
        <w:jc w:val="left"/>
        <w:spacing w:line="360" w:lineRule="auto"/>
        <w:shd w:val="clear" w:color="auto" w:fill="ffffff"/>
        <w:widowControl/>
        <w:rPr>
          <w:rFonts w:hint="eastAsia" w:ascii="宋体" w:hAnsi="宋体" w:cs="宋体"/>
          <w:color w:val="000000" w:themeColor="text1"/>
          <w:sz w:val="18"/>
          <w:szCs w:val="18"/>
          <w:highlight w:val="none"/>
        </w:rPr>
      </w:pPr>
      <w:r>
        <w:rPr>
          <w:rFonts w:ascii="宋体" w:hAnsi="宋体" w:cs="宋体"/>
          <w:color w:val="000000" w:themeColor="text1"/>
          <w:sz w:val="18"/>
          <w:szCs w:val="18"/>
          <w:highlight w:val="none"/>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宋体" w:hAnsi="宋体" w:cs="宋体"/>
          <w:color w:val="000000" w:themeColor="text1"/>
          <w:sz w:val="18"/>
          <w:szCs w:val="18"/>
          <w:highlight w:val="none"/>
        </w:rPr>
      </w:pPr>
      <w:r>
        <w:rPr>
          <w:rFonts w:ascii="宋体" w:hAnsi="宋体" w:cs="宋体"/>
          <w:color w:val="000000" w:themeColor="text1"/>
          <w:sz w:val="18"/>
          <w:szCs w:val="18"/>
          <w:highlight w:val="none"/>
        </w:rPr>
        <w:t xml:space="preserve">4.该产品的关键组件要求实施前，“关键组件”栏可不填，下同。</w:t>
      </w:r>
      <w:r/>
    </w:p>
    <w:p>
      <w:pPr>
        <w:ind w:firstLine="482"/>
        <w:jc w:val="left"/>
        <w:spacing w:line="360" w:lineRule="auto"/>
        <w:shd w:val="clear" w:color="auto" w:fill="ffffff"/>
        <w:widowControl/>
        <w:rPr>
          <w:rFonts w:ascii="宋体" w:hAnsi="宋体"/>
          <w:color w:val="000000" w:themeColor="text1"/>
          <w:sz w:val="18"/>
          <w:szCs w:val="18"/>
          <w:highlight w:val="none"/>
        </w:rPr>
      </w:pPr>
      <w:r>
        <w:rPr>
          <w:rFonts w:ascii="宋体" w:hAnsi="宋体" w:cs="宋体"/>
          <w:color w:val="000000" w:themeColor="text1"/>
          <w:sz w:val="18"/>
          <w:szCs w:val="18"/>
          <w:highlight w:val="none"/>
        </w:rPr>
        <w:t xml:space="preserve">5.该产品的关键工序要求实施前，“关键工序”栏可不填，下同。</w:t>
      </w:r>
      <w:r/>
    </w:p>
    <w:p>
      <w:pPr>
        <w:ind w:firstLine="482"/>
        <w:jc w:val="left"/>
        <w:spacing w:line="360" w:lineRule="auto"/>
        <w:shd w:val="clear" w:color="auto" w:fill="ffffff"/>
        <w:widowControl/>
        <w:rPr>
          <w:rFonts w:ascii="宋体" w:hAnsi="宋体"/>
          <w:bCs/>
          <w:color w:val="000000" w:themeColor="text1"/>
          <w:sz w:val="24"/>
          <w:szCs w:val="24"/>
          <w:highlight w:val="none"/>
        </w:rPr>
      </w:pPr>
      <w:r>
        <w:rPr>
          <w:rFonts w:hint="eastAsia" w:ascii="宋体" w:hAnsi="宋体" w:cs="宋体"/>
          <w:b/>
          <w:color w:val="000000" w:themeColor="text1"/>
          <w:sz w:val="18"/>
          <w:szCs w:val="18"/>
          <w:highlight w:val="none"/>
        </w:rPr>
        <w:t xml:space="preserve">注：划删除线的地方无需填写。</w:t>
      </w:r>
      <w:r/>
    </w:p>
    <w:p>
      <w:pPr>
        <w:spacing w:line="360" w:lineRule="auto"/>
        <w:rPr>
          <w:rFonts w:hint="eastAsia" w:ascii="宋体" w:hAnsi="宋体" w:cs="宋体"/>
          <w:b/>
          <w:sz w:val="28"/>
          <w:szCs w:val="28"/>
        </w:rPr>
      </w:pPr>
      <w:r>
        <w:rPr>
          <w:highlight w:val="none"/>
        </w:rP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p>
    <w:p>
      <w:pPr>
        <w:ind w:firstLine="482"/>
        <w:spacing w:line="360" w:lineRule="auto"/>
        <w:rPr>
          <w:rFonts w:ascii="Arial" w:hAnsi="Arial"/>
          <w:b/>
          <w:sz w:val="24"/>
        </w:rPr>
      </w:pPr>
      <w:r>
        <w:rPr>
          <w:rFonts w:ascii="Arial" w:hAnsi="Arial"/>
          <w:b/>
          <w:sz w:val="24"/>
        </w:rPr>
      </w:r>
      <w:r/>
    </w:p>
    <w:p>
      <w:pPr>
        <w:jc w:val="center"/>
        <w:spacing w:line="360" w:lineRule="auto"/>
        <w:rPr>
          <w:rFonts w:ascii="黑体" w:eastAsia="黑体"/>
          <w:bCs/>
          <w:color w:val="000000"/>
          <w:sz w:val="28"/>
          <w:szCs w:val="28"/>
        </w:rPr>
      </w:pPr>
      <w:r>
        <w:rPr>
          <w:rFonts w:hint="eastAsia" w:ascii="黑体" w:eastAsia="黑体"/>
          <w:bCs/>
          <w:color w:val="000000"/>
          <w:sz w:val="28"/>
          <w:szCs w:val="28"/>
        </w:rPr>
        <w:t xml:space="preserve">残疾人福利性单位声明函</w:t>
      </w:r>
      <w:r/>
    </w:p>
    <w:p>
      <w:pPr>
        <w:jc w:val="center"/>
        <w:spacing w:line="360" w:lineRule="auto"/>
        <w:rPr>
          <w:rFonts w:ascii="黑体" w:eastAsia="黑体"/>
          <w:bCs/>
          <w:color w:val="000000"/>
          <w:sz w:val="28"/>
          <w:szCs w:val="28"/>
        </w:rPr>
      </w:pPr>
      <w:r>
        <w:rPr>
          <w:rFonts w:ascii="黑体" w:eastAsia="黑体"/>
          <w:bCs/>
          <w:color w:val="000000"/>
          <w:sz w:val="28"/>
          <w:szCs w:val="28"/>
        </w:rPr>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w:t>
      </w:r>
      <w:r>
        <w:rPr>
          <w:rFonts w:hint="eastAsia" w:ascii="宋体" w:hAnsi="宋体"/>
          <w:bCs/>
          <w:color w:val="000000"/>
          <w:sz w:val="24"/>
          <w:szCs w:val="24"/>
          <w:lang w:eastAsia="zh-CN"/>
        </w:rPr>
        <w:t xml:space="preserve">〔2017〕141号</w:t>
      </w:r>
      <w:r>
        <w:rPr>
          <w:rFonts w:hint="eastAsia" w:ascii="宋体" w:hAnsi="宋体"/>
          <w:bCs/>
          <w:color w:val="000000"/>
          <w:sz w:val="24"/>
          <w:szCs w:val="24"/>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p>
    <w:p>
      <w:pPr>
        <w:ind w:firstLine="480"/>
        <w:spacing w:line="360" w:lineRule="auto"/>
        <w:rPr>
          <w:rFonts w:ascii="宋体" w:hAnsi="宋体"/>
          <w:bCs/>
          <w:color w:val="000000"/>
          <w:sz w:val="24"/>
          <w:szCs w:val="24"/>
        </w:rPr>
      </w:pPr>
      <w:r>
        <w:rPr>
          <w:rFonts w:ascii="宋体" w:hAnsi="宋体"/>
          <w:bCs/>
          <w:color w:val="000000"/>
          <w:sz w:val="24"/>
          <w:szCs w:val="24"/>
        </w:rPr>
      </w:r>
      <w:r/>
    </w:p>
    <w:p>
      <w:pPr>
        <w:ind w:firstLine="480"/>
        <w:spacing w:line="360" w:lineRule="auto"/>
        <w:rPr>
          <w:rFonts w:ascii="宋体" w:hAnsi="宋体"/>
          <w:bCs/>
          <w:color w:val="000000"/>
          <w:sz w:val="24"/>
          <w:szCs w:val="24"/>
        </w:rPr>
      </w:pPr>
      <w:r>
        <w:rPr>
          <w:rFonts w:ascii="宋体" w:hAnsi="宋体"/>
          <w:bCs/>
          <w:color w:val="000000"/>
          <w:sz w:val="24"/>
          <w:szCs w:val="24"/>
        </w:rPr>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单位名称（盖章）：</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日  期：</w:t>
      </w:r>
      <w:r/>
    </w:p>
    <w:p>
      <w:pPr>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jc w:val="center"/>
        <w:spacing w:line="360" w:lineRule="auto"/>
        <w:rPr>
          <w:rFonts w:ascii="宋体"/>
          <w:bCs/>
          <w:color w:val="000000"/>
          <w:sz w:val="24"/>
          <w:szCs w:val="24"/>
        </w:rPr>
      </w:pPr>
      <w:r>
        <w:rPr>
          <w:rFonts w:hint="eastAsia" w:ascii="黑体" w:eastAsia="黑体"/>
          <w:bCs/>
          <w:color w:val="000000"/>
          <w:sz w:val="28"/>
          <w:szCs w:val="28"/>
        </w:rPr>
        <w:t xml:space="preserve">投标函</w:t>
      </w:r>
      <w:r/>
    </w:p>
    <w:p>
      <w:pPr>
        <w:spacing w:line="360" w:lineRule="auto"/>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无锡市滨湖区公共资源交易中心</w:t>
      </w:r>
      <w:r>
        <w:rPr>
          <w:rFonts w:hint="eastAsia" w:ascii="宋体" w:hAnsi="宋体"/>
          <w:bCs/>
          <w:color w:val="000000"/>
          <w:sz w:val="24"/>
          <w:szCs w:val="24"/>
        </w:rPr>
        <w:t xml:space="preserve">：</w:t>
      </w:r>
      <w:r/>
    </w:p>
    <w:p>
      <w:pPr>
        <w:ind w:firstLine="480"/>
        <w:spacing w:line="360" w:lineRule="auto"/>
        <w:rPr>
          <w:rFonts w:ascii="宋体"/>
          <w:bCs/>
          <w:color w:val="000000"/>
          <w:sz w:val="24"/>
          <w:szCs w:val="24"/>
        </w:rPr>
      </w:pPr>
      <w:r>
        <w:rPr>
          <w:rFonts w:ascii="宋体"/>
          <w:bCs/>
          <w:color w:val="000000"/>
          <w:sz w:val="24"/>
          <w:szCs w:val="24"/>
        </w:rPr>
      </w:r>
      <w:r/>
    </w:p>
    <w:p>
      <w:pPr>
        <w:ind w:firstLine="480"/>
        <w:spacing w:line="360" w:lineRule="auto"/>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color w:val="000000"/>
          <w:sz w:val="24"/>
          <w:szCs w:val="24"/>
          <w:u w:val="single"/>
          <w:lang w:val="en-US" w:eastAsia="zh-CN"/>
        </w:rPr>
        <w:t xml:space="preserve">                </w:t>
      </w:r>
      <w:r>
        <w:rPr>
          <w:rFonts w:hint="eastAsia" w:ascii="宋体" w:hAnsi="宋体"/>
          <w:bCs/>
          <w:color w:val="000000"/>
          <w:sz w:val="24"/>
          <w:szCs w:val="24"/>
        </w:rPr>
        <w:t xml:space="preserve">招标文件，经仔细阅读和研究，我方决定参加此项目的投标。</w:t>
      </w:r>
      <w:r/>
    </w:p>
    <w:p>
      <w:pPr>
        <w:numPr>
          <w:ilvl w:val="0"/>
          <w:numId w:val="12"/>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p>
    <w:p>
      <w:pPr>
        <w:numPr>
          <w:ilvl w:val="0"/>
          <w:numId w:val="12"/>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926"/>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无锡市滨湖区公共资源交易中心</w:t>
      </w:r>
      <w:r>
        <w:rPr>
          <w:rFonts w:hint="eastAsia" w:ascii="宋体" w:hAnsi="宋体"/>
          <w:bCs/>
          <w:color w:val="000000"/>
          <w:sz w:val="24"/>
          <w:szCs w:val="24"/>
        </w:rPr>
        <w:t xml:space="preserve">在招标文件中要求的文件、资料。</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p>
    <w:p>
      <w:pPr>
        <w:ind w:firstLine="480"/>
        <w:spacing w:line="360" w:lineRule="auto"/>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jc w:val="center"/>
        <w:spacing w:line="360" w:lineRule="auto"/>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spacing w:line="360" w:lineRule="auto"/>
        <w:rPr>
          <w:rFonts w:hint="eastAsia"/>
          <w:b/>
          <w:sz w:val="28"/>
          <w:szCs w:val="28"/>
        </w:rPr>
      </w:pPr>
      <w:r>
        <w:rPr>
          <w:rFonts w:hint="eastAsia" w:ascii="宋体" w:hAnsi="宋体"/>
          <w:bCs/>
          <w:color w:val="000000"/>
          <w:sz w:val="24"/>
          <w:szCs w:val="24"/>
        </w:rPr>
        <w:br w:type="page" w:clear="all"/>
      </w:r>
      <w:r>
        <w:rPr>
          <w:rFonts w:hint="eastAsia"/>
          <w:b/>
          <w:sz w:val="28"/>
          <w:szCs w:val="28"/>
        </w:rPr>
        <w:t xml:space="preserve">七、承诺书（给定格式）：</w:t>
      </w:r>
      <w:r/>
    </w:p>
    <w:p>
      <w:pPr>
        <w:jc w:val="center"/>
        <w:spacing w:line="360" w:lineRule="auto"/>
        <w:rPr>
          <w:rFonts w:hint="eastAsia" w:ascii="黑体" w:eastAsia="黑体"/>
          <w:bCs/>
          <w:sz w:val="28"/>
          <w:szCs w:val="28"/>
        </w:rPr>
      </w:pPr>
      <w:r>
        <w:rPr>
          <w:rFonts w:hint="eastAsia" w:ascii="黑体" w:eastAsia="黑体"/>
          <w:bCs/>
          <w:sz w:val="28"/>
          <w:szCs w:val="28"/>
        </w:rPr>
        <w:t xml:space="preserve">承诺书</w:t>
      </w:r>
      <w:r/>
    </w:p>
    <w:p>
      <w:pPr>
        <w:spacing w:line="360" w:lineRule="auto"/>
        <w:rPr>
          <w:rFonts w:ascii="宋体" w:hAnsi="宋体"/>
          <w:color w:val="000000"/>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sz w:val="24"/>
          <w:szCs w:val="24"/>
          <w:u w:val="single"/>
          <w:lang w:val="en-US" w:eastAsia="zh-CN"/>
        </w:rPr>
        <w:t xml:space="preserve">                </w:t>
      </w:r>
      <w:r>
        <w:rPr>
          <w:rFonts w:hint="eastAsia" w:ascii="宋体" w:hAnsi="宋体"/>
          <w:color w:val="000000"/>
          <w:sz w:val="24"/>
          <w:szCs w:val="24"/>
        </w:rPr>
        <w:t xml:space="preserve">在此承诺：</w:t>
      </w:r>
      <w:r/>
    </w:p>
    <w:p>
      <w:pPr>
        <w:ind w:firstLine="480"/>
        <w:spacing w:line="36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对本项目所提供的货物均为原厂全新合格品，提供的服务符合招标文件要求。</w:t>
      </w:r>
      <w:r/>
    </w:p>
    <w:p>
      <w:pPr>
        <w:ind w:firstLine="480"/>
        <w:spacing w:line="360" w:lineRule="auto"/>
        <w:rPr>
          <w:rFonts w:hint="eastAsia" w:ascii="宋体"/>
          <w:bCs/>
          <w:sz w:val="24"/>
          <w:szCs w:val="24"/>
        </w:rPr>
      </w:pPr>
      <w:r>
        <w:rPr>
          <w:rFonts w:hint="eastAsia" w:ascii="宋体"/>
          <w:bCs/>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p>
    <w:p>
      <w:pPr>
        <w:ind w:firstLine="480"/>
        <w:spacing w:line="36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hint="eastAsia" w:ascii="宋体" w:hAnsi="宋体" w:cs="宋体"/>
          <w:sz w:val="24"/>
          <w:szCs w:val="24"/>
          <w14:ligatures w14:val="none"/>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w:t>
      </w:r>
      <w:r>
        <w:rPr>
          <w:rFonts w:hint="eastAsia" w:ascii="宋体" w:hAnsi="宋体" w:cs="宋体"/>
          <w:sz w:val="24"/>
          <w:szCs w:val="24"/>
        </w:rPr>
        <w:t xml:space="preserve">予以配合。</w:t>
      </w:r>
      <w:r/>
    </w:p>
    <w:p>
      <w:pPr>
        <w:ind w:firstLine="480"/>
        <w:spacing w:line="360" w:lineRule="auto"/>
        <w:rPr>
          <w:rFonts w:hint="eastAsia" w:ascii="宋体" w:hAnsi="宋体" w:cs="宋体"/>
          <w:sz w:val="24"/>
          <w:szCs w:val="24"/>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6.本公司（单位、联合体）承诺，符合《中华人民共和国特种设备安全法》第二十二条以及《特种设备安全监察条例》第十七条第二款的相关规定。</w:t>
      </w:r>
      <w:r/>
    </w:p>
    <w:p>
      <w:pPr>
        <w:ind w:firstLine="480"/>
        <w:spacing w:line="360" w:lineRule="auto"/>
        <w:rPr>
          <w:rFonts w:hint="eastAsia" w:ascii="宋体"/>
          <w:bCs/>
          <w:color w:val="ff0000"/>
          <w:sz w:val="24"/>
          <w:szCs w:val="24"/>
        </w:rPr>
      </w:pPr>
      <w:r>
        <w:rPr>
          <w:rFonts w:hint="eastAsia" w:ascii="宋体"/>
          <w:bCs/>
          <w:color w:val="ff0000"/>
          <w:sz w:val="24"/>
          <w:szCs w:val="24"/>
        </w:rPr>
      </w:r>
      <w:r/>
    </w:p>
    <w:p>
      <w:pPr>
        <w:ind w:firstLine="480"/>
        <w:spacing w:line="36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p>
    <w:p>
      <w:pPr>
        <w:ind w:firstLine="480"/>
        <w:spacing w:line="360" w:lineRule="auto"/>
        <w:rPr>
          <w:rFonts w:hint="eastAsia" w:ascii="宋体"/>
          <w:bCs/>
          <w:color w:val="ff0000"/>
          <w:sz w:val="24"/>
          <w:szCs w:val="24"/>
        </w:rPr>
      </w:pPr>
      <w:r>
        <w:rPr>
          <w:rFonts w:hint="eastAsia" w:ascii="宋体"/>
          <w:bCs/>
          <w:color w:val="ff0000"/>
          <w:sz w:val="24"/>
          <w:szCs w:val="24"/>
        </w:rPr>
      </w:r>
      <w:r/>
    </w:p>
    <w:p>
      <w:pPr>
        <w:ind w:firstLine="480"/>
        <w:spacing w:line="36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p>
    <w:p>
      <w:pPr>
        <w:ind w:firstLine="5400"/>
        <w:spacing w:line="360" w:lineRule="auto"/>
        <w:rPr>
          <w:rFonts w:ascii="宋体" w:hAnsi="宋体"/>
          <w:bCs/>
          <w:sz w:val="24"/>
          <w:szCs w:val="24"/>
        </w:rPr>
      </w:pPr>
      <w:r>
        <w:rPr>
          <w:rFonts w:ascii="宋体" w:hAnsi="宋体"/>
          <w:bCs/>
          <w:sz w:val="24"/>
          <w:szCs w:val="24"/>
        </w:rPr>
      </w:r>
      <w:r/>
    </w:p>
    <w:p>
      <w:pPr>
        <w:ind w:firstLine="3720"/>
        <w:spacing w:line="360" w:lineRule="auto"/>
        <w:rPr>
          <w:rFonts w:ascii="宋体" w:hAnsi="宋体"/>
          <w:bCs/>
          <w:color w:val="000000"/>
          <w:sz w:val="24"/>
          <w:szCs w:val="24"/>
        </w:rPr>
      </w:pPr>
      <w:r>
        <w:rPr>
          <w:rFonts w:hint="eastAsia" w:ascii="宋体" w:hAnsi="宋体"/>
          <w:bCs/>
          <w:sz w:val="24"/>
          <w:szCs w:val="24"/>
        </w:rPr>
        <w:t xml:space="preserve">投标人名称（盖章）：</w:t>
      </w:r>
      <w:r/>
    </w:p>
    <w:p>
      <w:pPr>
        <w:ind w:firstLine="480"/>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p>
    <w:p>
      <w:pPr>
        <w:ind w:firstLine="482"/>
        <w:spacing w:line="360" w:lineRule="auto"/>
        <w:rPr>
          <w:rFonts w:hint="eastAsia" w:ascii="Arial" w:hAnsi="Arial"/>
          <w:b/>
          <w:sz w:val="24"/>
        </w:rPr>
      </w:pPr>
      <w:r>
        <w:rPr>
          <w:rFonts w:hint="eastAsia" w:ascii="Arial" w:hAnsi="Arial"/>
          <w:b/>
          <w:sz w:val="24"/>
        </w:rPr>
      </w:r>
      <w:r/>
    </w:p>
    <w:p>
      <w:pPr>
        <w:jc w:val="center"/>
        <w:spacing w:line="360" w:lineRule="auto"/>
        <w:rPr>
          <w:rFonts w:ascii="黑体" w:eastAsia="黑体"/>
          <w:bCs/>
          <w:color w:val="000000"/>
          <w:sz w:val="28"/>
          <w:szCs w:val="28"/>
        </w:rPr>
        <w:outlineLvl w:val="0"/>
      </w:pPr>
      <w:r>
        <w:rPr>
          <w:rFonts w:hint="eastAsia" w:ascii="黑体" w:eastAsia="黑体"/>
          <w:bCs/>
          <w:color w:val="000000"/>
          <w:sz w:val="28"/>
          <w:szCs w:val="28"/>
        </w:rPr>
        <w:t xml:space="preserve">开标一览表</w:t>
      </w:r>
      <w:r/>
    </w:p>
    <w:p>
      <w:pPr>
        <w:jc w:val="center"/>
        <w:spacing w:line="360" w:lineRule="auto"/>
        <w:rPr>
          <w:rFonts w:ascii="黑体" w:eastAsia="黑体"/>
          <w:bCs/>
          <w:color w:val="000000"/>
          <w:sz w:val="28"/>
          <w:szCs w:val="28"/>
        </w:rPr>
        <w:outlineLvl w:val="0"/>
      </w:pPr>
      <w:r>
        <w:rPr>
          <w:rFonts w:ascii="黑体" w:eastAsia="黑体"/>
          <w:bCs/>
          <w:color w:val="000000"/>
          <w:sz w:val="28"/>
          <w:szCs w:val="28"/>
        </w:rPr>
      </w:r>
      <w:r/>
    </w:p>
    <w:p>
      <w:pPr>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p>
    <w:p>
      <w:pPr>
        <w:spacing w:line="360" w:lineRule="auto"/>
        <w:rPr>
          <w:rFonts w:hint="eastAsia" w:ascii="黑体" w:eastAsia="黑体"/>
          <w:bCs/>
          <w:color w:val="000000"/>
          <w:sz w:val="24"/>
          <w:szCs w:val="24"/>
        </w:rPr>
      </w:pPr>
      <w:r>
        <w:rPr>
          <w:rFonts w:hint="eastAsia" w:ascii="黑体" w:eastAsia="黑体"/>
          <w:bCs/>
          <w:color w:val="000000"/>
          <w:sz w:val="24"/>
          <w:szCs w:val="24"/>
        </w:rPr>
      </w:r>
      <w:r/>
    </w:p>
    <w:p>
      <w:pPr>
        <w:spacing w:line="360" w:lineRule="auto"/>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p>
    <w:tbl>
      <w:tblPr>
        <w:tblStyle w:val="679"/>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spacing w:line="360" w:lineRule="auto"/>
              <w:rPr>
                <w:rFonts w:ascii="宋体"/>
                <w:b/>
                <w:bCs/>
                <w:color w:val="000000"/>
                <w:sz w:val="24"/>
                <w:szCs w:val="24"/>
              </w:rPr>
            </w:pPr>
            <w:r>
              <w:rPr>
                <w:rFonts w:hint="eastAsia" w:ascii="宋体" w:hAnsi="宋体"/>
                <w:b/>
                <w:bCs/>
                <w:color w:val="000000"/>
                <w:sz w:val="24"/>
                <w:szCs w:val="24"/>
              </w:rPr>
              <w:t xml:space="preserve">项目名称</w:t>
            </w:r>
            <w:r/>
          </w:p>
        </w:tc>
        <w:tc>
          <w:tcPr>
            <w:tcW w:w="3188" w:type="dxa"/>
            <w:vAlign w:val="center"/>
            <w:textDirection w:val="lrTb"/>
            <w:noWrap w:val="false"/>
          </w:tcPr>
          <w:p>
            <w:pPr>
              <w:jc w:val="center"/>
              <w:spacing w:line="360" w:lineRule="auto"/>
              <w:rPr>
                <w:rFonts w:ascii="宋体"/>
                <w:b/>
                <w:bCs/>
                <w:color w:val="000000"/>
                <w:sz w:val="24"/>
                <w:szCs w:val="24"/>
              </w:rPr>
            </w:pPr>
            <w:r>
              <w:rPr>
                <w:rFonts w:hint="eastAsia" w:ascii="宋体" w:hAnsi="宋体"/>
                <w:b/>
                <w:bCs/>
                <w:color w:val="000000"/>
                <w:sz w:val="24"/>
                <w:szCs w:val="24"/>
              </w:rPr>
              <w:t xml:space="preserve">投标总报价</w:t>
            </w:r>
            <w:r>
              <w:rPr>
                <w:rFonts w:hint="eastAsia" w:ascii="宋体" w:hAnsi="宋体"/>
                <w:b/>
                <w:bCs/>
                <w:color w:val="000000"/>
                <w:sz w:val="24"/>
                <w:szCs w:val="24"/>
                <w:lang w:eastAsia="zh-CN"/>
              </w:rPr>
              <w:t xml:space="preserve">（</w:t>
            </w:r>
            <w:r>
              <w:rPr>
                <w:rFonts w:hint="eastAsia" w:ascii="宋体" w:hAnsi="宋体"/>
                <w:b/>
                <w:bCs/>
                <w:color w:val="000000"/>
                <w:sz w:val="24"/>
                <w:szCs w:val="24"/>
              </w:rPr>
              <w:t xml:space="preserve">小写</w:t>
            </w:r>
            <w:r>
              <w:rPr>
                <w:rFonts w:hint="eastAsia" w:ascii="宋体" w:hAnsi="宋体"/>
                <w:b/>
                <w:bCs/>
                <w:color w:val="000000"/>
                <w:sz w:val="24"/>
                <w:szCs w:val="24"/>
                <w:lang w:eastAsia="zh-CN"/>
              </w:rPr>
              <w:t xml:space="preserve">）</w:t>
            </w:r>
            <w:r/>
          </w:p>
        </w:tc>
      </w:tr>
      <w:tr>
        <w:trPr>
          <w:cantSplit/>
          <w:trHeight w:val="1630"/>
        </w:trPr>
        <w:tc>
          <w:tcPr>
            <w:tcW w:w="5697" w:type="dxa"/>
            <w:vAlign w:val="center"/>
            <w:textDirection w:val="lrTb"/>
            <w:noWrap w:val="false"/>
          </w:tcPr>
          <w:p>
            <w:pPr>
              <w:pStyle w:val="965"/>
              <w:jc w:val="center"/>
              <w:spacing w:line="360" w:lineRule="auto"/>
              <w:rPr>
                <w:rFonts w:hint="eastAsia" w:hAnsi="宋体" w:eastAsia="宋体"/>
                <w:bCs/>
                <w:color w:val="000000"/>
                <w:szCs w:val="24"/>
                <w:lang w:eastAsia="zh-CN"/>
              </w:rPr>
            </w:pPr>
            <w:r>
              <w:rPr>
                <w:rFonts w:hint="eastAsia" w:hAnsi="宋体" w:eastAsia="宋体"/>
                <w:bCs/>
                <w:color w:val="000000"/>
                <w:szCs w:val="24"/>
                <w:lang w:eastAsia="zh-CN"/>
              </w:rPr>
            </w:r>
            <w:r/>
          </w:p>
        </w:tc>
        <w:tc>
          <w:tcPr>
            <w:tcW w:w="3188" w:type="dxa"/>
            <w:vAlign w:val="center"/>
            <w:textDirection w:val="lrTb"/>
            <w:noWrap w:val="false"/>
          </w:tcPr>
          <w:p>
            <w:pPr>
              <w:pStyle w:val="965"/>
              <w:jc w:val="center"/>
              <w:spacing w:line="360" w:lineRule="auto"/>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spacing w:line="360" w:lineRule="auto"/>
              <w:rPr>
                <w:rFonts w:ascii="宋体"/>
                <w:bCs/>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w:t>
            </w:r>
            <w:r>
              <w:rPr>
                <w:rFonts w:ascii="宋体"/>
                <w:bCs/>
                <w:color w:val="000000"/>
                <w:sz w:val="24"/>
                <w:szCs w:val="24"/>
              </w:rPr>
              <w:t xml:space="preserve"> </w:t>
            </w:r>
            <w:r/>
          </w:p>
        </w:tc>
      </w:tr>
    </w:tbl>
    <w:p>
      <w:pPr>
        <w:spacing w:line="360" w:lineRule="auto"/>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spacing w:line="360" w:lineRule="auto"/>
        <w:rPr>
          <w:rFonts w:hint="eastAsia" w:ascii="黑体" w:eastAsia="黑体"/>
          <w:bCs/>
          <w:color w:val="000000"/>
          <w:sz w:val="24"/>
          <w:szCs w:val="24"/>
        </w:rPr>
      </w:pPr>
      <w:r>
        <w:rPr>
          <w:rFonts w:hint="eastAsia" w:ascii="黑体" w:eastAsia="黑体"/>
          <w:bCs/>
          <w:color w:val="000000"/>
          <w:sz w:val="24"/>
          <w:szCs w:val="24"/>
        </w:rPr>
      </w:r>
      <w:r/>
    </w:p>
    <w:p>
      <w:pPr>
        <w:spacing w:line="360" w:lineRule="auto"/>
        <w:rPr>
          <w:rFonts w:hint="eastAsia" w:ascii="黑体" w:eastAsia="黑体"/>
          <w:bCs/>
          <w:color w:val="000000"/>
          <w:sz w:val="24"/>
          <w:szCs w:val="24"/>
        </w:rPr>
      </w:pPr>
      <w:r>
        <w:rPr>
          <w:rFonts w:hint="eastAsia" w:ascii="黑体" w:eastAsia="黑体"/>
          <w:bCs/>
          <w:color w:val="000000"/>
          <w:sz w:val="24"/>
          <w:szCs w:val="24"/>
        </w:rPr>
      </w:r>
      <w:r/>
    </w:p>
    <w:p>
      <w:pPr>
        <w:spacing w:line="360" w:lineRule="auto"/>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p>
    <w:p>
      <w:pPr>
        <w:jc w:val="center"/>
        <w:spacing w:line="360" w:lineRule="auto"/>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分项报价表</w:t>
      </w:r>
      <w:r/>
    </w:p>
    <w:p>
      <w:pPr>
        <w:spacing w:line="360" w:lineRule="auto"/>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p>
    <w:tbl>
      <w:tblPr>
        <w:tblStyle w:val="679"/>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line="360" w:lineRule="auto"/>
              <w:rPr>
                <w:sz w:val="18"/>
                <w:highlight w:val="none"/>
              </w:rPr>
            </w:pPr>
            <w:r>
              <w:rPr>
                <w:rFonts w:hint="eastAsia"/>
                <w:sz w:val="18"/>
                <w:highlight w:val="none"/>
              </w:rPr>
              <w:t xml:space="preserve">序号</w:t>
            </w:r>
            <w:r/>
          </w:p>
        </w:tc>
        <w:tc>
          <w:tcPr>
            <w:tcMar>
              <w:left w:w="15" w:type="dxa"/>
              <w:top w:w="15" w:type="dxa"/>
              <w:right w:w="15" w:type="dxa"/>
              <w:bottom w:w="0" w:type="dxa"/>
            </w:tcMar>
            <w:tcW w:w="1050" w:type="dxa"/>
            <w:vAlign w:val="center"/>
            <w:textDirection w:val="lrTb"/>
            <w:noWrap/>
          </w:tcPr>
          <w:p>
            <w:pPr>
              <w:jc w:val="center"/>
              <w:spacing w:before="5" w:line="360" w:lineRule="auto"/>
              <w:rPr>
                <w:sz w:val="18"/>
                <w:highlight w:val="none"/>
              </w:rPr>
            </w:pPr>
            <w:r>
              <w:rPr>
                <w:rFonts w:hint="eastAsia"/>
                <w:sz w:val="18"/>
                <w:highlight w:val="none"/>
              </w:rPr>
              <w:t xml:space="preserve">名称</w:t>
            </w:r>
            <w:r/>
          </w:p>
        </w:tc>
        <w:tc>
          <w:tcPr>
            <w:tcMar>
              <w:left w:w="15" w:type="dxa"/>
              <w:top w:w="15" w:type="dxa"/>
              <w:right w:w="15" w:type="dxa"/>
              <w:bottom w:w="0" w:type="dxa"/>
            </w:tcMar>
            <w:tcW w:w="945" w:type="dxa"/>
            <w:vAlign w:val="center"/>
            <w:textDirection w:val="lrTb"/>
            <w:noWrap/>
          </w:tcPr>
          <w:p>
            <w:pPr>
              <w:jc w:val="center"/>
              <w:spacing w:before="5" w:line="360" w:lineRule="auto"/>
              <w:rPr>
                <w:sz w:val="18"/>
                <w:highlight w:val="none"/>
              </w:rPr>
            </w:pPr>
            <w:r>
              <w:rPr>
                <w:rFonts w:hint="eastAsia"/>
                <w:sz w:val="18"/>
                <w:highlight w:val="none"/>
              </w:rPr>
              <w:t xml:space="preserve">品牌型号</w:t>
            </w:r>
            <w:r/>
          </w:p>
        </w:tc>
        <w:tc>
          <w:tcPr>
            <w:tcMar>
              <w:left w:w="15" w:type="dxa"/>
              <w:top w:w="15" w:type="dxa"/>
              <w:right w:w="15" w:type="dxa"/>
              <w:bottom w:w="0" w:type="dxa"/>
            </w:tcMar>
            <w:tcW w:w="3045" w:type="dxa"/>
            <w:vAlign w:val="center"/>
            <w:textDirection w:val="lrTb"/>
            <w:noWrap/>
          </w:tcPr>
          <w:p>
            <w:pPr>
              <w:jc w:val="center"/>
              <w:spacing w:before="5" w:line="360" w:lineRule="auto"/>
              <w:rPr>
                <w:sz w:val="18"/>
                <w:highlight w:val="none"/>
              </w:rPr>
            </w:pPr>
            <w:r>
              <w:rPr>
                <w:rFonts w:hint="eastAsia"/>
                <w:sz w:val="18"/>
                <w:highlight w:val="none"/>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line="360" w:lineRule="auto"/>
              <w:rPr>
                <w:sz w:val="18"/>
                <w:highlight w:val="none"/>
              </w:rPr>
            </w:pPr>
            <w:r>
              <w:rPr>
                <w:rFonts w:hint="eastAsia"/>
                <w:sz w:val="18"/>
                <w:highlight w:val="none"/>
              </w:rPr>
              <w:t xml:space="preserve">数量</w:t>
            </w:r>
            <w:r/>
          </w:p>
        </w:tc>
        <w:tc>
          <w:tcPr>
            <w:tcW w:w="1276" w:type="dxa"/>
            <w:vAlign w:val="center"/>
            <w:textDirection w:val="lrTb"/>
            <w:noWrap w:val="false"/>
          </w:tcPr>
          <w:p>
            <w:pPr>
              <w:jc w:val="center"/>
              <w:spacing w:before="5" w:line="360" w:lineRule="auto"/>
              <w:rPr>
                <w:sz w:val="18"/>
                <w:highlight w:val="none"/>
              </w:rPr>
            </w:pPr>
            <w:r>
              <w:rPr>
                <w:rFonts w:hint="eastAsia"/>
                <w:sz w:val="18"/>
                <w:highlight w:val="none"/>
              </w:rPr>
              <w:t xml:space="preserve">产地</w:t>
            </w:r>
            <w:r/>
          </w:p>
        </w:tc>
        <w:tc>
          <w:tcPr>
            <w:tcMar>
              <w:left w:w="15" w:type="dxa"/>
              <w:top w:w="15" w:type="dxa"/>
              <w:right w:w="15" w:type="dxa"/>
              <w:bottom w:w="0" w:type="dxa"/>
            </w:tcMar>
            <w:tcW w:w="992" w:type="dxa"/>
            <w:vAlign w:val="center"/>
            <w:textDirection w:val="lrTb"/>
            <w:noWrap/>
          </w:tcPr>
          <w:p>
            <w:pPr>
              <w:jc w:val="center"/>
              <w:spacing w:before="5" w:line="360" w:lineRule="auto"/>
              <w:rPr>
                <w:sz w:val="18"/>
                <w:highlight w:val="none"/>
              </w:rPr>
            </w:pPr>
            <w:r>
              <w:rPr>
                <w:rFonts w:hint="eastAsia"/>
                <w:sz w:val="18"/>
                <w:highlight w:val="none"/>
              </w:rPr>
              <w:t xml:space="preserve">质保期</w:t>
            </w:r>
            <w:r/>
          </w:p>
        </w:tc>
        <w:tc>
          <w:tcPr>
            <w:tcW w:w="709" w:type="dxa"/>
            <w:vAlign w:val="center"/>
            <w:textDirection w:val="lrTb"/>
            <w:noWrap w:val="false"/>
          </w:tcPr>
          <w:p>
            <w:pPr>
              <w:jc w:val="center"/>
              <w:spacing w:before="5" w:line="360" w:lineRule="auto"/>
              <w:rPr>
                <w:sz w:val="18"/>
                <w:highlight w:val="none"/>
              </w:rPr>
            </w:pPr>
            <w:r>
              <w:rPr>
                <w:rFonts w:hint="eastAsia"/>
                <w:sz w:val="18"/>
                <w:highlight w:val="none"/>
              </w:rPr>
              <w:t xml:space="preserve">单报价</w:t>
            </w:r>
            <w:r/>
          </w:p>
        </w:tc>
        <w:tc>
          <w:tcPr>
            <w:tcW w:w="939" w:type="dxa"/>
            <w:vAlign w:val="center"/>
            <w:textDirection w:val="lrTb"/>
            <w:noWrap w:val="false"/>
          </w:tcPr>
          <w:p>
            <w:pPr>
              <w:jc w:val="center"/>
              <w:spacing w:before="5" w:line="360" w:lineRule="auto"/>
              <w:rPr>
                <w:sz w:val="18"/>
                <w:highlight w:val="none"/>
              </w:rPr>
            </w:pPr>
            <w:r>
              <w:rPr>
                <w:rFonts w:hint="eastAsia"/>
                <w:sz w:val="18"/>
                <w:highlight w:val="none"/>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899"/>
              <w:spacing w:before="5" w:line="360" w:lineRule="auto"/>
              <w:tabs>
                <w:tab w:val="clear" w:pos="4153" w:leader="none"/>
                <w:tab w:val="clear" w:pos="8306" w:leader="none"/>
              </w:tabs>
              <w:rPr>
                <w:rFonts w:ascii="宋体"/>
                <w:color w:val="000000"/>
                <w:highlight w:val="none"/>
                <w:lang w:val="en-US" w:eastAsia="zh-CN"/>
              </w:rPr>
              <w:pBdr>
                <w:bottom w:val="none" w:color="000000" w:sz="0" w:space="0"/>
              </w:pBdr>
            </w:pPr>
            <w:r>
              <w:rPr>
                <w:rFonts w:hint="eastAsia" w:ascii="宋体"/>
                <w:color w:val="000000"/>
                <w:highlight w:val="none"/>
                <w:lang w:val="en-US" w:eastAsia="zh-CN"/>
              </w:rPr>
              <w:t xml:space="preserve">1</w:t>
            </w:r>
            <w:r/>
          </w:p>
        </w:tc>
        <w:tc>
          <w:tcPr>
            <w:tcMar>
              <w:left w:w="15" w:type="dxa"/>
              <w:top w:w="15" w:type="dxa"/>
              <w:right w:w="15" w:type="dxa"/>
              <w:bottom w:w="0" w:type="dxa"/>
            </w:tcMar>
            <w:tcW w:w="1050" w:type="dxa"/>
            <w:vAlign w:val="center"/>
            <w:textDirection w:val="lrTb"/>
            <w:noWrap/>
          </w:tcPr>
          <w:p>
            <w:pPr>
              <w:pStyle w:val="899"/>
              <w:spacing w:line="360" w:lineRule="auto"/>
              <w:tabs>
                <w:tab w:val="clear" w:pos="4153" w:leader="none"/>
                <w:tab w:val="clear" w:pos="8306" w:leader="none"/>
              </w:tabs>
              <w:rPr>
                <w:rFonts w:ascii="宋体"/>
                <w:bCs/>
                <w:color w:val="000000"/>
                <w:highlight w:val="none"/>
                <w:lang w:val="en-US" w:eastAsia="zh-CN"/>
              </w:rPr>
              <w:pBdr>
                <w:bottom w:val="none" w:color="000000" w:sz="0" w:space="0"/>
              </w:pBdr>
            </w:pPr>
            <w:r>
              <w:rPr>
                <w:rFonts w:ascii="宋体"/>
                <w:bCs/>
                <w:color w:val="000000"/>
                <w:highlight w:val="none"/>
                <w:lang w:val="en-US" w:eastAsia="zh-CN"/>
              </w:rPr>
            </w:r>
            <w:r/>
          </w:p>
        </w:tc>
        <w:tc>
          <w:tcPr>
            <w:tcMar>
              <w:left w:w="15" w:type="dxa"/>
              <w:top w:w="15" w:type="dxa"/>
              <w:right w:w="15" w:type="dxa"/>
              <w:bottom w:w="0" w:type="dxa"/>
            </w:tcMar>
            <w:tcW w:w="945" w:type="dxa"/>
            <w:vAlign w:val="center"/>
            <w:textDirection w:val="lrTb"/>
            <w:noWrap w:val="false"/>
          </w:tcPr>
          <w:p>
            <w:pPr>
              <w:pStyle w:val="899"/>
              <w:spacing w:line="360" w:lineRule="auto"/>
              <w:tabs>
                <w:tab w:val="clear" w:pos="4153" w:leader="none"/>
                <w:tab w:val="clear" w:pos="8306" w:leader="none"/>
              </w:tabs>
              <w:rPr>
                <w:rFonts w:ascii="宋体"/>
                <w:bCs/>
                <w:color w:val="000000"/>
                <w:highlight w:val="none"/>
                <w:lang w:val="en-US" w:eastAsia="zh-CN"/>
              </w:rPr>
              <w:pBdr>
                <w:bottom w:val="none" w:color="000000" w:sz="0" w:space="0"/>
              </w:pBdr>
            </w:pPr>
            <w:r>
              <w:rPr>
                <w:rFonts w:ascii="宋体"/>
                <w:bCs/>
                <w:color w:val="000000"/>
                <w:highlight w:val="none"/>
                <w:lang w:val="en-US" w:eastAsia="zh-CN"/>
              </w:rPr>
            </w:r>
            <w:r/>
          </w:p>
        </w:tc>
        <w:tc>
          <w:tcPr>
            <w:tcMar>
              <w:left w:w="15" w:type="dxa"/>
              <w:top w:w="15" w:type="dxa"/>
              <w:right w:w="15" w:type="dxa"/>
              <w:bottom w:w="0" w:type="dxa"/>
            </w:tcMar>
            <w:tcW w:w="3045" w:type="dxa"/>
            <w:vAlign w:val="top"/>
            <w:textDirection w:val="lrTb"/>
            <w:noWrap w:val="false"/>
          </w:tcPr>
          <w:p>
            <w:pPr>
              <w:jc w:val="center"/>
              <w:spacing w:line="360" w:lineRule="auto"/>
              <w:rPr>
                <w:rFonts w:ascii="宋体"/>
                <w:bCs/>
                <w:color w:val="000000"/>
                <w:sz w:val="18"/>
                <w:highlight w:val="none"/>
              </w:rPr>
            </w:pPr>
            <w:r>
              <w:rPr>
                <w:rFonts w:ascii="宋体"/>
                <w:bCs/>
                <w:color w:val="000000"/>
                <w:sz w:val="18"/>
                <w:highlight w:val="none"/>
              </w:rPr>
            </w:r>
            <w:r/>
          </w:p>
        </w:tc>
        <w:tc>
          <w:tcPr>
            <w:tcMar>
              <w:left w:w="15" w:type="dxa"/>
              <w:top w:w="15" w:type="dxa"/>
              <w:right w:w="15" w:type="dxa"/>
              <w:bottom w:w="0" w:type="dxa"/>
            </w:tcMar>
            <w:tcW w:w="599" w:type="dxa"/>
            <w:vAlign w:val="center"/>
            <w:textDirection w:val="lrTb"/>
            <w:noWrap w:val="false"/>
          </w:tcPr>
          <w:p>
            <w:pPr>
              <w:jc w:val="center"/>
              <w:spacing w:line="360" w:lineRule="auto"/>
              <w:rPr>
                <w:rFonts w:ascii="黑体" w:hAnsi="宋体" w:eastAsia="黑体"/>
                <w:b/>
                <w:bCs/>
                <w:color w:val="000000"/>
                <w:sz w:val="24"/>
                <w:szCs w:val="24"/>
                <w:highlight w:val="none"/>
              </w:rPr>
            </w:pPr>
            <w:r>
              <w:rPr>
                <w:rFonts w:hint="eastAsia" w:ascii="黑体" w:eastAsia="黑体"/>
                <w:b/>
                <w:bCs/>
                <w:color w:val="000000"/>
                <w:highlight w:val="none"/>
              </w:rPr>
              <w:t xml:space="preserve">　</w:t>
            </w:r>
            <w:r/>
          </w:p>
        </w:tc>
        <w:tc>
          <w:tcPr>
            <w:tcW w:w="1276" w:type="dxa"/>
            <w:vAlign w:val="center"/>
            <w:textDirection w:val="lrTb"/>
            <w:noWrap w:val="false"/>
          </w:tcPr>
          <w:p>
            <w:pPr>
              <w:jc w:val="center"/>
              <w:spacing w:line="360" w:lineRule="auto"/>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ascii="黑体" w:hAnsi="宋体" w:eastAsia="黑体"/>
                <w:b/>
                <w:bCs/>
                <w:color w:val="000000"/>
                <w:sz w:val="24"/>
                <w:szCs w:val="24"/>
                <w:highlight w:val="none"/>
              </w:rPr>
            </w:pPr>
            <w:r>
              <w:rPr>
                <w:rFonts w:hint="eastAsia" w:ascii="黑体" w:eastAsia="黑体"/>
                <w:b/>
                <w:bCs/>
                <w:color w:val="000000"/>
                <w:highlight w:val="none"/>
              </w:rPr>
              <w:t xml:space="preserve">　</w:t>
            </w:r>
            <w:r/>
          </w:p>
        </w:tc>
        <w:tc>
          <w:tcPr>
            <w:tcW w:w="709" w:type="dxa"/>
            <w:vAlign w:val="center"/>
            <w:textDirection w:val="lrTb"/>
            <w:noWrap w:val="false"/>
          </w:tcPr>
          <w:p>
            <w:pPr>
              <w:jc w:val="center"/>
              <w:spacing w:line="360" w:lineRule="auto"/>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W w:w="939" w:type="dxa"/>
            <w:vAlign w:val="center"/>
            <w:textDirection w:val="lrTb"/>
            <w:noWrap w:val="false"/>
          </w:tcPr>
          <w:p>
            <w:pPr>
              <w:jc w:val="center"/>
              <w:spacing w:line="360" w:lineRule="auto"/>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spacing w:line="360" w:lineRule="auto"/>
              <w:rPr>
                <w:rFonts w:ascii="宋体"/>
                <w:color w:val="000000"/>
                <w:sz w:val="18"/>
                <w:highlight w:val="none"/>
              </w:rPr>
            </w:pPr>
            <w:r>
              <w:rPr>
                <w:rFonts w:hint="eastAsia" w:ascii="宋体"/>
                <w:color w:val="000000"/>
                <w:sz w:val="18"/>
                <w:highlight w:val="none"/>
              </w:rPr>
              <w:t xml:space="preserve">2</w:t>
            </w:r>
            <w:r/>
          </w:p>
        </w:tc>
        <w:tc>
          <w:tcPr>
            <w:tcMar>
              <w:left w:w="15" w:type="dxa"/>
              <w:top w:w="15" w:type="dxa"/>
              <w:right w:w="15" w:type="dxa"/>
              <w:bottom w:w="0" w:type="dxa"/>
            </w:tcMar>
            <w:tcW w:w="1050" w:type="dxa"/>
            <w:vAlign w:val="center"/>
            <w:textDirection w:val="lrTb"/>
            <w:noWrap/>
          </w:tcPr>
          <w:p>
            <w:pPr>
              <w:jc w:val="center"/>
              <w:spacing w:line="360" w:lineRule="auto"/>
              <w:rPr>
                <w:rFonts w:ascii="宋体"/>
                <w:color w:val="000000"/>
                <w:highlight w:val="none"/>
              </w:rPr>
            </w:pPr>
            <w:r>
              <w:rPr>
                <w:rFonts w:ascii="宋体"/>
                <w:color w:val="000000"/>
                <w:highlight w:val="none"/>
              </w:rPr>
            </w:r>
            <w:r/>
          </w:p>
        </w:tc>
        <w:tc>
          <w:tcPr>
            <w:tcMar>
              <w:left w:w="15" w:type="dxa"/>
              <w:top w:w="15" w:type="dxa"/>
              <w:right w:w="15" w:type="dxa"/>
              <w:bottom w:w="0" w:type="dxa"/>
            </w:tcMar>
            <w:tcW w:w="945" w:type="dxa"/>
            <w:vAlign w:val="center"/>
            <w:textDirection w:val="lrTb"/>
            <w:noWrap w:val="false"/>
          </w:tcPr>
          <w:p>
            <w:pPr>
              <w:pStyle w:val="899"/>
              <w:spacing w:line="360" w:lineRule="auto"/>
              <w:tabs>
                <w:tab w:val="clear" w:pos="4153" w:leader="none"/>
                <w:tab w:val="clear" w:pos="8306" w:leader="none"/>
              </w:tabs>
              <w:rPr>
                <w:rFonts w:ascii="宋体"/>
                <w:bCs/>
                <w:color w:val="000000"/>
                <w:highlight w:val="none"/>
                <w:lang w:val="en-US" w:eastAsia="zh-CN"/>
              </w:rPr>
              <w:pBdr>
                <w:bottom w:val="none" w:color="000000" w:sz="0" w:space="0"/>
              </w:pBdr>
            </w:pPr>
            <w:r>
              <w:rPr>
                <w:rFonts w:ascii="宋体"/>
                <w:bCs/>
                <w:color w:val="000000"/>
                <w:highlight w:val="none"/>
                <w:lang w:val="en-US" w:eastAsia="zh-CN"/>
              </w:rPr>
            </w:r>
            <w:r/>
          </w:p>
        </w:tc>
        <w:tc>
          <w:tcPr>
            <w:tcMar>
              <w:left w:w="15" w:type="dxa"/>
              <w:top w:w="15" w:type="dxa"/>
              <w:right w:w="15" w:type="dxa"/>
              <w:bottom w:w="0" w:type="dxa"/>
            </w:tcMar>
            <w:tcW w:w="3045" w:type="dxa"/>
            <w:vAlign w:val="center"/>
            <w:textDirection w:val="lrTb"/>
            <w:noWrap w:val="false"/>
          </w:tcPr>
          <w:p>
            <w:pPr>
              <w:jc w:val="center"/>
              <w:spacing w:line="360" w:lineRule="auto"/>
              <w:rPr>
                <w:rFonts w:ascii="宋体"/>
                <w:bCs/>
                <w:color w:val="000000"/>
                <w:sz w:val="18"/>
                <w:highlight w:val="none"/>
              </w:rPr>
            </w:pPr>
            <w:r>
              <w:rPr>
                <w:rFonts w:ascii="宋体"/>
                <w:bCs/>
                <w:color w:val="000000"/>
                <w:sz w:val="18"/>
                <w:highlight w:val="none"/>
              </w:rPr>
            </w:r>
            <w:r/>
          </w:p>
        </w:tc>
        <w:tc>
          <w:tcPr>
            <w:tcMar>
              <w:left w:w="15" w:type="dxa"/>
              <w:top w:w="15" w:type="dxa"/>
              <w:right w:w="15" w:type="dxa"/>
              <w:bottom w:w="0" w:type="dxa"/>
            </w:tcMar>
            <w:tcW w:w="599" w:type="dxa"/>
            <w:vAlign w:val="center"/>
            <w:textDirection w:val="lrTb"/>
            <w:noWrap w:val="false"/>
          </w:tcPr>
          <w:p>
            <w:pPr>
              <w:jc w:val="center"/>
              <w:spacing w:line="360" w:lineRule="auto"/>
              <w:rPr>
                <w:rFonts w:ascii="黑体" w:hAnsi="宋体" w:eastAsia="黑体"/>
                <w:b/>
                <w:bCs/>
                <w:color w:val="000000"/>
                <w:sz w:val="24"/>
                <w:szCs w:val="24"/>
                <w:highlight w:val="none"/>
              </w:rPr>
            </w:pPr>
            <w:r>
              <w:rPr>
                <w:rFonts w:hint="eastAsia" w:ascii="黑体" w:eastAsia="黑体"/>
                <w:b/>
                <w:bCs/>
                <w:color w:val="000000"/>
                <w:highlight w:val="none"/>
              </w:rPr>
              <w:t xml:space="preserve">　</w:t>
            </w:r>
            <w:r/>
          </w:p>
        </w:tc>
        <w:tc>
          <w:tcPr>
            <w:tcW w:w="1276" w:type="dxa"/>
            <w:vAlign w:val="center"/>
            <w:textDirection w:val="lrTb"/>
            <w:noWrap w:val="false"/>
          </w:tcPr>
          <w:p>
            <w:pPr>
              <w:jc w:val="center"/>
              <w:spacing w:line="360" w:lineRule="auto"/>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ascii="黑体" w:hAnsi="宋体" w:eastAsia="黑体"/>
                <w:b/>
                <w:bCs/>
                <w:color w:val="000000"/>
                <w:sz w:val="24"/>
                <w:szCs w:val="24"/>
                <w:highlight w:val="none"/>
              </w:rPr>
            </w:pPr>
            <w:r>
              <w:rPr>
                <w:rFonts w:hint="eastAsia" w:ascii="黑体" w:eastAsia="黑体"/>
                <w:b/>
                <w:bCs/>
                <w:color w:val="000000"/>
                <w:highlight w:val="none"/>
              </w:rPr>
              <w:t xml:space="preserve">　</w:t>
            </w:r>
            <w:r/>
          </w:p>
        </w:tc>
        <w:tc>
          <w:tcPr>
            <w:tcW w:w="709" w:type="dxa"/>
            <w:vAlign w:val="center"/>
            <w:textDirection w:val="lrTb"/>
            <w:noWrap w:val="false"/>
          </w:tcPr>
          <w:p>
            <w:pPr>
              <w:jc w:val="center"/>
              <w:spacing w:line="360" w:lineRule="auto"/>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W w:w="939" w:type="dxa"/>
            <w:vAlign w:val="center"/>
            <w:textDirection w:val="lrTb"/>
            <w:noWrap w:val="false"/>
          </w:tcPr>
          <w:p>
            <w:pPr>
              <w:jc w:val="center"/>
              <w:spacing w:line="360" w:lineRule="auto"/>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spacing w:line="360" w:lineRule="auto"/>
              <w:rPr>
                <w:rFonts w:ascii="宋体"/>
                <w:color w:val="000000"/>
                <w:sz w:val="18"/>
                <w:highlight w:val="none"/>
              </w:rPr>
            </w:pPr>
            <w:r>
              <w:rPr>
                <w:rFonts w:ascii="宋体"/>
                <w:color w:val="000000"/>
                <w:sz w:val="18"/>
                <w:highlight w:val="none"/>
              </w:rPr>
            </w:r>
            <w:r/>
          </w:p>
        </w:tc>
        <w:tc>
          <w:tcPr>
            <w:tcMar>
              <w:left w:w="15" w:type="dxa"/>
              <w:top w:w="15" w:type="dxa"/>
              <w:right w:w="15" w:type="dxa"/>
              <w:bottom w:w="0" w:type="dxa"/>
            </w:tcMar>
            <w:tcW w:w="1050" w:type="dxa"/>
            <w:vAlign w:val="center"/>
            <w:textDirection w:val="lrTb"/>
            <w:noWrap/>
          </w:tcPr>
          <w:p>
            <w:pPr>
              <w:jc w:val="center"/>
              <w:spacing w:line="360" w:lineRule="auto"/>
              <w:rPr>
                <w:rFonts w:ascii="宋体"/>
                <w:color w:val="000000"/>
                <w:highlight w:val="none"/>
              </w:rPr>
            </w:pPr>
            <w:r>
              <w:rPr>
                <w:rFonts w:ascii="宋体"/>
                <w:color w:val="000000"/>
                <w:highlight w:val="none"/>
              </w:rPr>
              <w:t xml:space="preserve">……</w:t>
            </w:r>
            <w:r/>
          </w:p>
        </w:tc>
        <w:tc>
          <w:tcPr>
            <w:tcMar>
              <w:left w:w="15" w:type="dxa"/>
              <w:top w:w="15" w:type="dxa"/>
              <w:right w:w="15" w:type="dxa"/>
              <w:bottom w:w="0" w:type="dxa"/>
            </w:tcMar>
            <w:tcW w:w="945" w:type="dxa"/>
            <w:vAlign w:val="center"/>
            <w:textDirection w:val="lrTb"/>
            <w:noWrap w:val="false"/>
          </w:tcPr>
          <w:p>
            <w:pPr>
              <w:pStyle w:val="899"/>
              <w:spacing w:line="360" w:lineRule="auto"/>
              <w:tabs>
                <w:tab w:val="clear" w:pos="4153" w:leader="none"/>
                <w:tab w:val="clear" w:pos="8306" w:leader="none"/>
              </w:tabs>
              <w:rPr>
                <w:rFonts w:ascii="宋体"/>
                <w:bCs/>
                <w:color w:val="000000"/>
                <w:highlight w:val="none"/>
                <w:lang w:val="en-US" w:eastAsia="zh-CN"/>
              </w:rPr>
              <w:pBdr>
                <w:bottom w:val="none" w:color="000000" w:sz="0" w:space="0"/>
              </w:pBdr>
            </w:pPr>
            <w:r>
              <w:rPr>
                <w:rFonts w:ascii="宋体"/>
                <w:bCs/>
                <w:color w:val="000000"/>
                <w:highlight w:val="none"/>
                <w:lang w:val="en-US" w:eastAsia="zh-CN"/>
              </w:rPr>
            </w:r>
            <w:r/>
          </w:p>
        </w:tc>
        <w:tc>
          <w:tcPr>
            <w:tcMar>
              <w:left w:w="15" w:type="dxa"/>
              <w:top w:w="15" w:type="dxa"/>
              <w:right w:w="15" w:type="dxa"/>
              <w:bottom w:w="0" w:type="dxa"/>
            </w:tcMar>
            <w:tcW w:w="3045" w:type="dxa"/>
            <w:vAlign w:val="center"/>
            <w:textDirection w:val="lrTb"/>
            <w:noWrap w:val="false"/>
          </w:tcPr>
          <w:p>
            <w:pPr>
              <w:jc w:val="center"/>
              <w:spacing w:line="360" w:lineRule="auto"/>
              <w:rPr>
                <w:rFonts w:ascii="宋体"/>
                <w:bCs/>
                <w:color w:val="000000"/>
                <w:sz w:val="18"/>
                <w:highlight w:val="none"/>
              </w:rPr>
            </w:pPr>
            <w:r>
              <w:rPr>
                <w:rFonts w:ascii="宋体"/>
                <w:bCs/>
                <w:color w:val="000000"/>
                <w:sz w:val="18"/>
                <w:highlight w:val="none"/>
              </w:rPr>
            </w:r>
            <w:r/>
          </w:p>
        </w:tc>
        <w:tc>
          <w:tcPr>
            <w:tcMar>
              <w:left w:w="15" w:type="dxa"/>
              <w:top w:w="15" w:type="dxa"/>
              <w:right w:w="15" w:type="dxa"/>
              <w:bottom w:w="0" w:type="dxa"/>
            </w:tcMar>
            <w:tcW w:w="599" w:type="dxa"/>
            <w:vAlign w:val="center"/>
            <w:textDirection w:val="lrTb"/>
            <w:noWrap w:val="false"/>
          </w:tcPr>
          <w:p>
            <w:pPr>
              <w:jc w:val="center"/>
              <w:spacing w:line="360" w:lineRule="auto"/>
              <w:rPr>
                <w:rFonts w:hint="eastAsia" w:ascii="黑体" w:eastAsia="黑体"/>
                <w:b/>
                <w:bCs/>
                <w:color w:val="000000"/>
                <w:highlight w:val="none"/>
              </w:rPr>
            </w:pPr>
            <w:r>
              <w:rPr>
                <w:rFonts w:hint="eastAsia" w:ascii="黑体" w:eastAsia="黑体"/>
                <w:b/>
                <w:bCs/>
                <w:color w:val="000000"/>
                <w:highlight w:val="none"/>
              </w:rPr>
            </w:r>
            <w:r/>
          </w:p>
        </w:tc>
        <w:tc>
          <w:tcPr>
            <w:tcW w:w="1276" w:type="dxa"/>
            <w:vAlign w:val="center"/>
            <w:textDirection w:val="lrTb"/>
            <w:noWrap w:val="false"/>
          </w:tcPr>
          <w:p>
            <w:pPr>
              <w:jc w:val="center"/>
              <w:spacing w:line="360" w:lineRule="auto"/>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hint="eastAsia" w:ascii="黑体" w:eastAsia="黑体"/>
                <w:b/>
                <w:bCs/>
                <w:color w:val="000000"/>
                <w:highlight w:val="none"/>
              </w:rPr>
            </w:pPr>
            <w:r>
              <w:rPr>
                <w:rFonts w:hint="eastAsia" w:ascii="黑体" w:eastAsia="黑体"/>
                <w:b/>
                <w:bCs/>
                <w:color w:val="000000"/>
                <w:highlight w:val="none"/>
              </w:rPr>
            </w:r>
            <w:r/>
          </w:p>
        </w:tc>
        <w:tc>
          <w:tcPr>
            <w:tcW w:w="709" w:type="dxa"/>
            <w:vAlign w:val="center"/>
            <w:textDirection w:val="lrTb"/>
            <w:noWrap w:val="false"/>
          </w:tcPr>
          <w:p>
            <w:pPr>
              <w:jc w:val="center"/>
              <w:spacing w:line="360" w:lineRule="auto"/>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W w:w="939" w:type="dxa"/>
            <w:vAlign w:val="center"/>
            <w:textDirection w:val="lrTb"/>
            <w:noWrap w:val="false"/>
          </w:tcPr>
          <w:p>
            <w:pPr>
              <w:jc w:val="center"/>
              <w:spacing w:line="360" w:lineRule="auto"/>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r>
      <w:tr>
        <w:trPr>
          <w:cantSplit/>
          <w:jc w:val="center"/>
          <w:trHeight w:val="898"/>
        </w:trPr>
        <w:tc>
          <w:tcPr>
            <w:gridSpan w:val="9"/>
            <w:tcMar>
              <w:left w:w="15" w:type="dxa"/>
              <w:top w:w="15" w:type="dxa"/>
              <w:right w:w="15" w:type="dxa"/>
              <w:bottom w:w="0" w:type="dxa"/>
            </w:tcMar>
            <w:tcW w:w="9975" w:type="dxa"/>
            <w:vAlign w:val="center"/>
            <w:textDirection w:val="lrTb"/>
            <w:noWrap/>
          </w:tcPr>
          <w:p>
            <w:pPr>
              <w:jc w:val="left"/>
              <w:spacing w:line="360" w:lineRule="auto"/>
              <w:rPr>
                <w:rFonts w:hint="eastAsia" w:ascii="楷体" w:hAnsi="楷体" w:eastAsia="楷体"/>
                <w:bCs/>
                <w:color w:val="000000" w:themeColor="text1"/>
                <w:sz w:val="28"/>
                <w:szCs w:val="28"/>
                <w:highlight w:val="none"/>
              </w:rPr>
            </w:pPr>
            <w:r>
              <w:rPr>
                <w:rFonts w:hint="eastAsia" w:ascii="楷体" w:hAnsi="楷体" w:eastAsia="楷体"/>
                <w:bCs/>
                <w:color w:val="000000" w:themeColor="text1"/>
                <w:sz w:val="28"/>
                <w:szCs w:val="28"/>
                <w:highlight w:val="none"/>
              </w:rPr>
              <w:t xml:space="preserve">投标人承诺：</w:t>
            </w:r>
            <w:r/>
          </w:p>
          <w:p>
            <w:pPr>
              <w:jc w:val="both"/>
              <w:spacing w:line="360" w:lineRule="auto"/>
              <w:rPr>
                <w:rFonts w:ascii="黑体" w:hAnsi="宋体" w:eastAsia="黑体"/>
                <w:b/>
                <w:bCs/>
                <w:color w:val="000000"/>
                <w:sz w:val="24"/>
                <w:szCs w:val="24"/>
                <w:highlight w:val="none"/>
              </w:rPr>
            </w:pPr>
            <w:r>
              <w:rPr>
                <w:rFonts w:hint="eastAsia" w:ascii="楷体" w:hAnsi="楷体" w:eastAsia="楷体"/>
                <w:bCs/>
                <w:color w:val="000000" w:themeColor="text1"/>
                <w:sz w:val="28"/>
                <w:szCs w:val="28"/>
                <w:highlight w:val="none"/>
              </w:rPr>
              <w:t xml:space="preserve">本采购项目或采购包中提供的符合本国产品标准的产品</w:t>
            </w:r>
            <w:r>
              <w:rPr>
                <w:rFonts w:hint="eastAsia" w:ascii="楷体" w:hAnsi="楷体" w:eastAsia="楷体"/>
                <w:b/>
                <w:bCs/>
                <w:color w:val="000000" w:themeColor="text1"/>
                <w:sz w:val="28"/>
                <w:szCs w:val="28"/>
                <w:highlight w:val="none"/>
              </w:rPr>
              <w:t xml:space="preserve">成本之和</w:t>
            </w:r>
            <w:r>
              <w:rPr>
                <w:rFonts w:hint="eastAsia" w:ascii="楷体" w:hAnsi="楷体" w:eastAsia="楷体"/>
                <w:bCs/>
                <w:color w:val="000000" w:themeColor="text1"/>
                <w:sz w:val="28"/>
                <w:szCs w:val="28"/>
                <w:highlight w:val="none"/>
              </w:rPr>
              <w:t xml:space="preserve">占提供的全部产品</w:t>
            </w:r>
            <w:r>
              <w:rPr>
                <w:rFonts w:hint="eastAsia" w:ascii="楷体" w:hAnsi="楷体" w:eastAsia="楷体"/>
                <w:b/>
                <w:bCs/>
                <w:color w:val="000000" w:themeColor="text1"/>
                <w:sz w:val="28"/>
                <w:szCs w:val="28"/>
                <w:highlight w:val="none"/>
              </w:rPr>
              <w:t xml:space="preserve">成本之和</w:t>
            </w:r>
            <w:r>
              <w:rPr>
                <w:rFonts w:hint="eastAsia" w:ascii="楷体" w:hAnsi="楷体" w:eastAsia="楷体"/>
                <w:bCs/>
                <w:color w:val="000000" w:themeColor="text1"/>
                <w:sz w:val="28"/>
                <w:szCs w:val="28"/>
                <w:highlight w:val="none"/>
              </w:rPr>
              <w:t xml:space="preserve">的比例：</w:t>
            </w:r>
            <w:r>
              <w:rPr>
                <w:rFonts w:hint="eastAsia" w:ascii="楷体" w:hAnsi="楷体" w:eastAsia="楷体"/>
                <w:bCs/>
                <w:color w:val="000000" w:themeColor="text1"/>
                <w:sz w:val="28"/>
                <w:szCs w:val="28"/>
                <w:highlight w:val="none"/>
                <w:u w:val="single"/>
              </w:rPr>
              <w:t xml:space="preserve">      </w:t>
            </w:r>
            <w:r>
              <w:rPr>
                <w:rFonts w:hint="eastAsia" w:ascii="楷体" w:hAnsi="楷体" w:eastAsia="楷体"/>
                <w:bCs/>
                <w:color w:val="000000" w:themeColor="text1"/>
                <w:sz w:val="28"/>
                <w:szCs w:val="28"/>
                <w:highlight w:val="none"/>
              </w:rPr>
              <w:t xml:space="preserve">%</w:t>
            </w:r>
            <w:r/>
          </w:p>
        </w:tc>
      </w:tr>
    </w:tbl>
    <w:p>
      <w:pPr>
        <w:spacing w:before="5" w:line="360" w:lineRule="auto"/>
        <w:rPr>
          <w:b/>
          <w:bCs/>
          <w:color w:val="000000"/>
          <w:sz w:val="24"/>
          <w:szCs w:val="24"/>
          <w:highlight w:val="none"/>
        </w:rPr>
      </w:pPr>
      <w:r>
        <w:rPr>
          <w:rFonts w:hint="eastAsia"/>
          <w:b/>
          <w:bCs/>
          <w:color w:val="000000"/>
          <w:sz w:val="24"/>
          <w:szCs w:val="24"/>
          <w:highlight w:val="none"/>
        </w:rPr>
        <w:t xml:space="preserve">投标人名称（盖章）：</w:t>
      </w:r>
      <w:r/>
    </w:p>
    <w:p>
      <w:pPr>
        <w:spacing w:line="360" w:lineRule="auto"/>
        <w:rPr>
          <w:rFonts w:hint="eastAsia" w:ascii="宋体" w:hAnsi="宋体"/>
          <w:b/>
          <w:color w:val="000000"/>
          <w:highlight w:val="none"/>
        </w:rPr>
        <w:outlineLvl w:val="0"/>
      </w:pPr>
      <w:r>
        <w:rPr>
          <w:rFonts w:hint="eastAsia" w:ascii="宋体" w:hAnsi="宋体"/>
          <w:b/>
          <w:color w:val="000000"/>
          <w:highlight w:val="none"/>
        </w:rPr>
      </w:r>
      <w:bookmarkEnd w:id="197"/>
      <w:bookmarkEnd w:id="198"/>
      <w:bookmarkEnd w:id="199"/>
      <w:r/>
    </w:p>
    <w:p>
      <w:pPr>
        <w:spacing w:line="360" w:lineRule="auto"/>
        <w:rPr>
          <w:rFonts w:ascii="宋体"/>
          <w:bCs/>
          <w:color w:val="000000" w:themeColor="text1"/>
          <w:highlight w:val="none"/>
        </w:rPr>
        <w:outlineLvl w:val="0"/>
      </w:pPr>
      <w:r/>
      <w:bookmarkStart w:id="201" w:name="_Toc120614284"/>
      <w:r>
        <w:rPr>
          <w:rFonts w:hint="eastAsia" w:ascii="宋体" w:hAnsi="宋体"/>
          <w:b/>
          <w:color w:val="000000" w:themeColor="text1"/>
          <w:highlight w:val="none"/>
        </w:rPr>
        <w:t xml:space="preserve">注：</w:t>
      </w:r>
      <w:r>
        <w:rPr>
          <w:rFonts w:hint="eastAsia" w:ascii="宋体" w:hAnsi="宋体"/>
          <w:bCs/>
          <w:color w:val="000000" w:themeColor="text1"/>
          <w:highlight w:val="none"/>
        </w:rPr>
        <w:t xml:space="preserve">（</w:t>
      </w:r>
      <w:r>
        <w:rPr>
          <w:rFonts w:ascii="宋体" w:hAnsi="宋体"/>
          <w:bCs/>
          <w:color w:val="000000" w:themeColor="text1"/>
          <w:highlight w:val="none"/>
        </w:rPr>
        <w:t xml:space="preserve">1</w:t>
      </w:r>
      <w:r>
        <w:rPr>
          <w:rFonts w:hint="eastAsia" w:ascii="宋体" w:hAnsi="宋体"/>
          <w:bCs/>
          <w:color w:val="000000" w:themeColor="text1"/>
          <w:highlight w:val="none"/>
        </w:rPr>
        <w:t xml:space="preserve">）</w:t>
      </w:r>
      <w:r>
        <w:rPr>
          <w:rFonts w:hint="eastAsia" w:ascii="宋体"/>
          <w:bCs/>
          <w:color w:val="000000" w:themeColor="text1"/>
          <w:highlight w:val="none"/>
        </w:rPr>
        <w:t xml:space="preserve">投标人为本项目提供的货物全部由符合政策要求的中小企业制造的，须提供按格式填写的《中小企业声明函》（货物）（《中小企业声明函》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bCs/>
          <w:color w:val="000000" w:themeColor="text1"/>
          <w:highlight w:val="none"/>
          <w:lang w:eastAsia="zh-CN"/>
        </w:rPr>
        <w:t xml:space="preserve">无锡市滨湖区公共资源交易中心</w:t>
      </w:r>
      <w:r>
        <w:rPr>
          <w:rFonts w:hint="eastAsia" w:ascii="宋体"/>
          <w:bCs/>
          <w:color w:val="000000" w:themeColor="text1"/>
          <w:highlight w:val="none"/>
        </w:rPr>
        <w:t xml:space="preserve">有权将相关内容进行公示。</w:t>
      </w:r>
      <w:r/>
    </w:p>
    <w:p>
      <w:pPr>
        <w:ind w:firstLine="315"/>
        <w:spacing w:line="360" w:lineRule="auto"/>
        <w:rPr>
          <w:rFonts w:ascii="宋体"/>
          <w:bCs/>
          <w:color w:val="000000" w:themeColor="text1"/>
          <w:highlight w:val="none"/>
        </w:rPr>
        <w:outlineLvl w:val="0"/>
      </w:pPr>
      <w:r>
        <w:rPr>
          <w:rFonts w:hint="eastAsia" w:ascii="宋体" w:hAnsi="宋体"/>
          <w:bCs/>
          <w:color w:val="000000" w:themeColor="text1"/>
          <w:highlight w:val="none"/>
        </w:rPr>
        <w:t xml:space="preserve">（</w:t>
      </w:r>
      <w:r>
        <w:rPr>
          <w:rFonts w:ascii="宋体" w:hAnsi="宋体"/>
          <w:bCs/>
          <w:color w:val="000000" w:themeColor="text1"/>
          <w:highlight w:val="none"/>
        </w:rPr>
        <w:t xml:space="preserve">2</w:t>
      </w:r>
      <w:r>
        <w:rPr>
          <w:rFonts w:hint="eastAsia" w:ascii="宋体" w:hAnsi="宋体"/>
          <w:bCs/>
          <w:color w:val="000000" w:themeColor="text1"/>
          <w:highlight w:val="none"/>
        </w:rPr>
        <w:t xml:space="preserve">）投标人应当根据“采购需求”的内容在上表中详细填写。</w:t>
      </w:r>
      <w:r/>
    </w:p>
    <w:p>
      <w:pPr>
        <w:ind w:firstLine="315"/>
        <w:spacing w:line="360" w:lineRule="auto"/>
        <w:rPr>
          <w:rFonts w:hint="eastAsia" w:ascii="宋体" w:hAnsi="宋体"/>
          <w:bCs/>
          <w:color w:val="000000" w:themeColor="text1"/>
          <w:highlight w:val="none"/>
        </w:rPr>
        <w:outlineLvl w:val="0"/>
      </w:pPr>
      <w:r>
        <w:rPr>
          <w:rFonts w:hint="eastAsia" w:ascii="宋体" w:hAnsi="宋体"/>
          <w:bCs/>
          <w:color w:val="000000" w:themeColor="text1"/>
          <w:highlight w:val="none"/>
        </w:rPr>
        <w:t xml:space="preserve">（</w:t>
      </w:r>
      <w:r>
        <w:rPr>
          <w:rFonts w:ascii="宋体" w:hAnsi="宋体"/>
          <w:bCs/>
          <w:color w:val="000000" w:themeColor="text1"/>
          <w:highlight w:val="none"/>
        </w:rPr>
        <w:t xml:space="preserve">3</w:t>
      </w:r>
      <w:r>
        <w:rPr>
          <w:rFonts w:hint="eastAsia" w:ascii="宋体" w:hAnsi="宋体"/>
          <w:bCs/>
          <w:color w:val="000000" w:themeColor="text1"/>
          <w:highlight w:val="none"/>
        </w:rPr>
        <w:t xml:space="preserve">）表格不够可自行延长。</w:t>
      </w:r>
      <w:r/>
    </w:p>
    <w:p>
      <w:pPr>
        <w:ind w:firstLine="315"/>
        <w:spacing w:line="360" w:lineRule="auto"/>
        <w:rPr>
          <w:rFonts w:hint="eastAsia" w:ascii="宋体" w:hAnsi="宋体"/>
          <w:bCs/>
          <w:color w:val="000000" w:themeColor="text1"/>
          <w:highlight w:val="none"/>
        </w:rPr>
        <w:outlineLvl w:val="0"/>
      </w:pPr>
      <w:r>
        <w:rPr>
          <w:rFonts w:hint="eastAsia" w:ascii="宋体" w:hAnsi="宋体"/>
          <w:bCs/>
          <w:color w:val="000000" w:themeColor="text1"/>
          <w:highlight w:val="none"/>
        </w:rPr>
        <w:t xml:space="preserve">（4）</w:t>
      </w:r>
      <w:r>
        <w:rPr>
          <w:rFonts w:hint="eastAsia" w:ascii="宋体" w:hAnsi="宋体"/>
          <w:bCs/>
          <w:color w:val="000000" w:themeColor="text1"/>
          <w:highlight w:val="none"/>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p>
    <w:p>
      <w:pPr>
        <w:ind w:firstLine="315"/>
        <w:spacing w:line="360" w:lineRule="auto"/>
        <w:rPr>
          <w:rFonts w:hint="eastAsia" w:ascii="宋体" w:hAnsi="宋体"/>
          <w:bCs/>
          <w:color w:val="000000" w:themeColor="text1"/>
          <w:highlight w:val="none"/>
          <w:u w:val="single"/>
        </w:rPr>
        <w:outlineLvl w:val="0"/>
      </w:pPr>
      <w:r>
        <w:rPr>
          <w:rFonts w:hint="eastAsia" w:ascii="宋体" w:hAnsi="宋体"/>
          <w:bCs/>
          <w:color w:val="000000" w:themeColor="text1"/>
          <w:highlight w:val="none"/>
          <w:u w:val="single"/>
        </w:rPr>
        <w:t xml:space="preserve">特别注意！！“符合本国产品标准的产品成本之和”是指本项目或采购包中符合本国产品标准的</w:t>
      </w:r>
      <w:r>
        <w:rPr>
          <w:rFonts w:hint="eastAsia" w:ascii="宋体" w:hAnsi="宋体"/>
          <w:b/>
          <w:bCs/>
          <w:color w:val="000000" w:themeColor="text1"/>
          <w:highlight w:val="none"/>
          <w:u w:val="single"/>
        </w:rPr>
        <w:t xml:space="preserve">货物成本之和</w:t>
      </w:r>
      <w:r>
        <w:rPr>
          <w:rFonts w:hint="eastAsia" w:ascii="宋体" w:hAnsi="宋体"/>
          <w:bCs/>
          <w:color w:val="000000" w:themeColor="text1"/>
          <w:highlight w:val="none"/>
          <w:u w:val="single"/>
        </w:rPr>
        <w:t xml:space="preserve">；“全部产品成本之和”是指货物或服务项目（或者采购包）中包含的</w:t>
      </w:r>
      <w:r>
        <w:rPr>
          <w:rFonts w:hint="eastAsia" w:ascii="宋体" w:hAnsi="宋体"/>
          <w:b/>
          <w:bCs/>
          <w:color w:val="000000" w:themeColor="text1"/>
          <w:highlight w:val="none"/>
          <w:u w:val="single"/>
        </w:rPr>
        <w:t xml:space="preserve">全部货物、服务产品的成本之和</w:t>
      </w:r>
      <w:r>
        <w:rPr>
          <w:rFonts w:hint="eastAsia" w:ascii="宋体" w:hAnsi="宋体"/>
          <w:bCs/>
          <w:color w:val="000000" w:themeColor="text1"/>
          <w:highlight w:val="none"/>
          <w:u w:val="single"/>
        </w:rPr>
        <w:t xml:space="preserve">。</w:t>
      </w:r>
      <w:r/>
    </w:p>
    <w:p>
      <w:pPr>
        <w:spacing w:line="360" w:lineRule="auto"/>
        <w:rPr>
          <w:rFonts w:hint="eastAsia"/>
          <w:b/>
          <w:sz w:val="28"/>
          <w:szCs w:val="28"/>
        </w:rPr>
      </w:pPr>
      <w:r>
        <w:rPr>
          <w:rFonts w:hint="eastAsia" w:ascii="宋体" w:hAnsi="宋体"/>
          <w:bCs/>
          <w:color w:val="000000"/>
          <w:highlight w:val="none"/>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ind w:firstLine="490"/>
        <w:jc w:val="center"/>
        <w:spacing w:line="360" w:lineRule="auto"/>
        <w:rPr>
          <w:rFonts w:ascii="黑体" w:eastAsia="黑体"/>
          <w:bCs/>
          <w:color w:val="000000"/>
          <w:sz w:val="28"/>
          <w:szCs w:val="28"/>
        </w:rPr>
        <w:outlineLvl w:val="0"/>
      </w:pPr>
      <w:r>
        <w:rPr>
          <w:rFonts w:ascii="黑体" w:eastAsia="黑体"/>
          <w:bCs/>
          <w:color w:val="000000"/>
          <w:sz w:val="28"/>
          <w:szCs w:val="28"/>
        </w:rPr>
      </w:r>
      <w:r/>
    </w:p>
    <w:p>
      <w:pPr>
        <w:ind w:firstLine="490"/>
        <w:jc w:val="center"/>
        <w:spacing w:line="360" w:lineRule="auto"/>
        <w:rPr>
          <w:rFonts w:ascii="黑体" w:eastAsia="黑体"/>
          <w:bCs/>
          <w:color w:val="000000"/>
          <w:sz w:val="28"/>
          <w:szCs w:val="28"/>
        </w:rPr>
        <w:outlineLvl w:val="0"/>
      </w:pPr>
      <w:r>
        <w:rPr>
          <w:rFonts w:hint="eastAsia" w:ascii="黑体" w:eastAsia="黑体"/>
          <w:bCs/>
          <w:color w:val="000000"/>
          <w:sz w:val="28"/>
          <w:szCs w:val="28"/>
        </w:rPr>
        <w:t xml:space="preserve">投标偏离表</w:t>
      </w:r>
      <w:r/>
    </w:p>
    <w:p>
      <w:pPr>
        <w:jc w:val="center"/>
        <w:spacing w:line="360" w:lineRule="auto"/>
        <w:rPr>
          <w:rFonts w:ascii="黑体" w:eastAsia="黑体"/>
          <w:bCs/>
          <w:color w:val="000000"/>
          <w:sz w:val="28"/>
          <w:szCs w:val="28"/>
        </w:rPr>
        <w:outlineLvl w:val="0"/>
      </w:pPr>
      <w:r>
        <w:rPr>
          <w:rFonts w:ascii="黑体" w:eastAsia="黑体"/>
          <w:bCs/>
          <w:color w:val="000000"/>
          <w:sz w:val="28"/>
          <w:szCs w:val="28"/>
        </w:rPr>
      </w:r>
      <w:r/>
    </w:p>
    <w:p>
      <w:pPr>
        <w:jc w:val="center"/>
        <w:spacing w:line="360" w:lineRule="auto"/>
        <w:rPr>
          <w:rFonts w:ascii="黑体" w:eastAsia="黑体"/>
          <w:bCs/>
          <w:color w:val="000000"/>
          <w:sz w:val="28"/>
          <w:szCs w:val="28"/>
        </w:rPr>
        <w:outlineLvl w:val="0"/>
      </w:pPr>
      <w:r>
        <w:rPr>
          <w:rFonts w:ascii="黑体" w:eastAsia="黑体"/>
          <w:bCs/>
          <w:color w:val="000000"/>
          <w:sz w:val="28"/>
          <w:szCs w:val="28"/>
        </w:rPr>
      </w:r>
      <w:r/>
    </w:p>
    <w:p>
      <w:pPr>
        <w:spacing w:line="360" w:lineRule="auto"/>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p>
    <w:tbl>
      <w:tblPr>
        <w:tblStyle w:val="679"/>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
                <w:bCs/>
                <w:color w:val="000000"/>
                <w:sz w:val="24"/>
                <w:szCs w:val="24"/>
              </w:rPr>
            </w:pPr>
            <w:r>
              <w:rPr>
                <w:rFonts w:hint="eastAsia" w:ascii="宋体" w:hAnsi="宋体"/>
                <w:b/>
                <w:bCs/>
                <w:color w:val="000000"/>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000000"/>
                <w:sz w:val="24"/>
                <w:szCs w:val="24"/>
              </w:rPr>
            </w:pPr>
            <w:r>
              <w:rPr>
                <w:rFonts w:hint="eastAsia" w:ascii="宋体" w:hAnsi="宋体"/>
                <w:b/>
                <w:bCs/>
                <w:color w:val="000000"/>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000000"/>
                <w:sz w:val="24"/>
                <w:szCs w:val="24"/>
              </w:rPr>
            </w:pPr>
            <w:r>
              <w:rPr>
                <w:rFonts w:hint="eastAsia" w:ascii="宋体" w:hAnsi="宋体"/>
                <w:b/>
                <w:bCs/>
                <w:color w:val="000000"/>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
                <w:bCs/>
                <w:color w:val="000000"/>
                <w:sz w:val="24"/>
                <w:szCs w:val="24"/>
              </w:rPr>
            </w:pPr>
            <w:r>
              <w:rPr>
                <w:rFonts w:hint="eastAsia" w:ascii="宋体" w:hAnsi="宋体"/>
                <w:b/>
                <w:bCs/>
                <w:color w:val="000000"/>
                <w:sz w:val="24"/>
                <w:szCs w:val="24"/>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Cs/>
                <w:color w:val="000000"/>
              </w:rPr>
            </w:pPr>
            <w:r>
              <w:rPr>
                <w:rFonts w:ascii="宋体"/>
                <w:bCs/>
                <w:color w:val="000000"/>
              </w:rPr>
            </w:r>
            <w:r/>
          </w:p>
        </w:tc>
      </w:tr>
    </w:tbl>
    <w:p>
      <w:pPr>
        <w:spacing w:line="360" w:lineRule="auto"/>
        <w:rPr>
          <w:rFonts w:hint="eastAsia" w:ascii="宋体" w:eastAsia="黑体"/>
          <w:b/>
          <w:color w:val="000000"/>
          <w:sz w:val="24"/>
          <w:szCs w:val="24"/>
        </w:rPr>
      </w:pPr>
      <w:r>
        <w:rPr>
          <w:rFonts w:hint="eastAsia" w:ascii="黑体" w:eastAsia="黑体"/>
          <w:bCs/>
          <w:color w:val="000000"/>
          <w:sz w:val="24"/>
          <w:szCs w:val="24"/>
        </w:rPr>
        <w:t xml:space="preserve">投标人名称（盖章）：</w:t>
      </w:r>
      <w:r/>
    </w:p>
    <w:p>
      <w:pPr>
        <w:spacing w:line="360" w:lineRule="auto"/>
        <w:rPr>
          <w:rFonts w:ascii="宋体"/>
          <w:bCs/>
          <w:color w:val="000000"/>
          <w:sz w:val="30"/>
        </w:rPr>
      </w:pPr>
      <w:r>
        <w:rPr>
          <w:rFonts w:ascii="宋体"/>
          <w:bCs/>
          <w:color w:val="000000"/>
          <w:sz w:val="30"/>
        </w:rPr>
      </w:r>
      <w:r/>
    </w:p>
    <w:p>
      <w:pPr>
        <w:ind w:firstLine="420"/>
        <w:spacing w:line="360" w:lineRule="auto"/>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p>
    <w:p>
      <w:pPr>
        <w:ind w:firstLine="420"/>
        <w:spacing w:line="360" w:lineRule="auto"/>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）如无任何技术偏离，请于本表 “偏离说明”中注明“无偏离”；</w:t>
      </w:r>
      <w:r/>
    </w:p>
    <w:p>
      <w:pPr>
        <w:ind w:firstLine="420"/>
        <w:spacing w:line="360" w:lineRule="auto"/>
        <w:rPr>
          <w:rFonts w:hint="eastAsia" w:ascii="宋体" w:hAnsi="宋体"/>
          <w:bCs/>
          <w:color w:val="000000"/>
          <w:sz w:val="24"/>
          <w:szCs w:val="24"/>
        </w:rPr>
        <w:outlineLvl w:val="0"/>
      </w:pPr>
      <w:r>
        <w:rPr>
          <w:rFonts w:hint="eastAsia" w:ascii="宋体" w:hAnsi="宋体"/>
          <w:bCs/>
          <w:color w:val="000000"/>
          <w:sz w:val="24"/>
          <w:szCs w:val="24"/>
        </w:rPr>
        <w:t xml:space="preserve">   （3）如有技术偏离项，请于本表中列明偏离内容，如需要可自行延长，其余无偏离内容不须赘述。</w:t>
      </w:r>
      <w:bookmarkEnd w:id="187"/>
      <w:r/>
      <w:bookmarkEnd w:id="188"/>
      <w:r/>
      <w:bookmarkEnd w:id="201"/>
      <w:r/>
      <w:bookmarkStart w:id="202" w:name="_Hlt26671374"/>
      <w:r/>
      <w:bookmarkEnd w:id="202"/>
      <w:r/>
      <w:bookmarkStart w:id="203" w:name="_Hlt26609389"/>
      <w:r/>
      <w:bookmarkEnd w:id="203"/>
      <w:r/>
      <w:bookmarkStart w:id="204" w:name="_格式2__法定代表人授权书"/>
      <w:r/>
      <w:bookmarkEnd w:id="204"/>
      <w:r/>
      <w:bookmarkStart w:id="205" w:name="_Hlt26955066"/>
      <w:r/>
      <w:bookmarkEnd w:id="205"/>
      <w:r/>
      <w:r/>
    </w:p>
    <w:p>
      <w:pPr>
        <w:ind w:firstLine="420"/>
        <w:spacing w:line="360" w:lineRule="auto"/>
        <w:rPr>
          <w:rFonts w:hint="eastAsia" w:ascii="宋体" w:hAnsi="宋体"/>
          <w:bCs/>
          <w:color w:val="000000"/>
          <w:sz w:val="24"/>
          <w:szCs w:val="24"/>
        </w:rPr>
        <w:outlineLvl w:val="0"/>
      </w:pPr>
      <w:r>
        <w:rPr>
          <w:rFonts w:hint="eastAsia" w:ascii="宋体" w:hAnsi="宋体"/>
          <w:bCs/>
          <w:color w:val="000000"/>
          <w:sz w:val="24"/>
          <w:szCs w:val="24"/>
        </w:rPr>
      </w:r>
      <w:r/>
    </w:p>
    <w:p>
      <w:pPr>
        <w:spacing w:line="360" w:lineRule="auto"/>
        <w:rPr>
          <w:b/>
          <w:color w:val="000000"/>
          <w:sz w:val="28"/>
          <w:szCs w:val="28"/>
        </w:rPr>
      </w:pPr>
      <w:r>
        <w:rPr>
          <w:rFonts w:ascii="宋体" w:hAnsi="宋体"/>
          <w:bCs/>
          <w:color w:val="000000"/>
          <w:sz w:val="24"/>
          <w:szCs w:val="24"/>
        </w:rPr>
        <w:br w:type="page" w:clear="all"/>
      </w:r>
      <w:r>
        <w:rPr>
          <w:rFonts w:hint="eastAsia"/>
          <w:b/>
          <w:color w:val="000000"/>
          <w:sz w:val="28"/>
          <w:szCs w:val="28"/>
        </w:rPr>
        <w:t xml:space="preserve">十一、项目人员配置清单（格式）</w:t>
      </w:r>
      <w:r/>
    </w:p>
    <w:p>
      <w:pPr>
        <w:spacing w:line="360" w:lineRule="auto"/>
        <w:rPr>
          <w:rFonts w:ascii="黑体" w:eastAsia="黑体"/>
          <w:bCs/>
          <w:color w:val="000000"/>
          <w:sz w:val="28"/>
          <w:szCs w:val="28"/>
        </w:rPr>
      </w:pPr>
      <w:r>
        <w:rPr>
          <w:rFonts w:ascii="黑体" w:eastAsia="黑体"/>
          <w:bCs/>
          <w:color w:val="000000"/>
          <w:sz w:val="28"/>
          <w:szCs w:val="28"/>
        </w:rPr>
      </w:r>
      <w:r/>
    </w:p>
    <w:p>
      <w:pPr>
        <w:jc w:val="center"/>
        <w:spacing w:line="360" w:lineRule="auto"/>
        <w:rPr>
          <w:rFonts w:hint="eastAsia" w:ascii="黑体" w:eastAsia="黑体"/>
          <w:bCs/>
          <w:color w:val="000000"/>
          <w:sz w:val="28"/>
          <w:szCs w:val="28"/>
        </w:rPr>
      </w:pPr>
      <w:r>
        <w:rPr>
          <w:rFonts w:hint="eastAsia" w:ascii="黑体" w:eastAsia="黑体"/>
          <w:bCs/>
          <w:color w:val="000000"/>
          <w:sz w:val="28"/>
          <w:szCs w:val="28"/>
        </w:rPr>
        <w:t xml:space="preserve">项目人员配置清单</w:t>
      </w:r>
      <w:r/>
    </w:p>
    <w:p>
      <w:pPr>
        <w:jc w:val="center"/>
        <w:spacing w:line="360" w:lineRule="auto"/>
        <w:rPr>
          <w:rFonts w:ascii="黑体" w:eastAsia="黑体"/>
          <w:bCs/>
          <w:color w:val="000000"/>
          <w:sz w:val="28"/>
          <w:szCs w:val="28"/>
        </w:rPr>
      </w:pPr>
      <w:r>
        <w:rPr>
          <w:rFonts w:ascii="黑体" w:eastAsia="黑体"/>
          <w:bCs/>
          <w:color w:val="000000"/>
          <w:sz w:val="28"/>
          <w:szCs w:val="28"/>
        </w:rPr>
      </w:r>
      <w:r/>
    </w:p>
    <w:p>
      <w:pPr>
        <w:spacing w:line="360" w:lineRule="auto"/>
        <w:rPr>
          <w:rFonts w:ascii="黑体" w:eastAsia="黑体"/>
          <w:bCs/>
          <w:color w:val="000000"/>
          <w:sz w:val="24"/>
          <w:szCs w:val="24"/>
        </w:rPr>
      </w:pPr>
      <w:r>
        <w:rPr>
          <w:rFonts w:hint="eastAsia" w:ascii="黑体" w:eastAsia="黑体"/>
          <w:bCs/>
          <w:color w:val="000000"/>
          <w:sz w:val="24"/>
          <w:szCs w:val="24"/>
        </w:rPr>
        <w:t xml:space="preserve">项目编号：</w:t>
      </w:r>
      <w:r/>
    </w:p>
    <w:tbl>
      <w:tblPr>
        <w:tblStyle w:val="67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spacing w:line="360" w:lineRule="auto"/>
              <w:rPr>
                <w:b/>
                <w:color w:val="000000"/>
                <w:sz w:val="24"/>
              </w:rPr>
            </w:pPr>
            <w:r>
              <w:rPr>
                <w:rFonts w:hint="eastAsia"/>
                <w:b/>
                <w:color w:val="000000"/>
                <w:sz w:val="24"/>
              </w:rPr>
              <w:t xml:space="preserve">序号</w:t>
            </w:r>
            <w:r/>
          </w:p>
        </w:tc>
        <w:tc>
          <w:tcPr>
            <w:tcW w:w="1476" w:type="dxa"/>
            <w:vAlign w:val="center"/>
            <w:textDirection w:val="lrTb"/>
            <w:noWrap w:val="false"/>
          </w:tcPr>
          <w:p>
            <w:pPr>
              <w:jc w:val="center"/>
              <w:spacing w:line="360" w:lineRule="auto"/>
              <w:rPr>
                <w:b/>
                <w:color w:val="000000"/>
                <w:sz w:val="24"/>
              </w:rPr>
            </w:pPr>
            <w:r>
              <w:rPr>
                <w:rFonts w:hint="eastAsia"/>
                <w:b/>
                <w:color w:val="000000"/>
                <w:sz w:val="24"/>
              </w:rPr>
              <w:t xml:space="preserve">姓名</w:t>
            </w:r>
            <w:r/>
          </w:p>
        </w:tc>
        <w:tc>
          <w:tcPr>
            <w:tcW w:w="720" w:type="dxa"/>
            <w:vAlign w:val="center"/>
            <w:textDirection w:val="lrTb"/>
            <w:noWrap w:val="false"/>
          </w:tcPr>
          <w:p>
            <w:pPr>
              <w:jc w:val="center"/>
              <w:spacing w:line="360" w:lineRule="auto"/>
              <w:rPr>
                <w:b/>
                <w:color w:val="000000"/>
                <w:sz w:val="24"/>
              </w:rPr>
            </w:pPr>
            <w:r>
              <w:rPr>
                <w:rFonts w:hint="eastAsia"/>
                <w:b/>
                <w:color w:val="000000"/>
                <w:sz w:val="24"/>
              </w:rPr>
              <w:t xml:space="preserve">年龄</w:t>
            </w:r>
            <w:r/>
          </w:p>
        </w:tc>
        <w:tc>
          <w:tcPr>
            <w:tcW w:w="2520" w:type="dxa"/>
            <w:vAlign w:val="center"/>
            <w:textDirection w:val="lrTb"/>
            <w:noWrap w:val="false"/>
          </w:tcPr>
          <w:p>
            <w:pPr>
              <w:jc w:val="center"/>
              <w:spacing w:line="360" w:lineRule="auto"/>
              <w:rPr>
                <w:b/>
                <w:color w:val="000000"/>
                <w:sz w:val="24"/>
              </w:rPr>
            </w:pPr>
            <w:r>
              <w:rPr>
                <w:rFonts w:hint="eastAsia"/>
                <w:b/>
                <w:color w:val="000000"/>
                <w:sz w:val="24"/>
              </w:rPr>
              <w:t xml:space="preserve">本项目职责</w:t>
            </w:r>
            <w:r/>
          </w:p>
        </w:tc>
        <w:tc>
          <w:tcPr>
            <w:tcW w:w="3274" w:type="dxa"/>
            <w:vAlign w:val="center"/>
            <w:textDirection w:val="lrTb"/>
            <w:noWrap w:val="false"/>
          </w:tcPr>
          <w:p>
            <w:pPr>
              <w:jc w:val="center"/>
              <w:spacing w:line="360" w:lineRule="auto"/>
              <w:rPr>
                <w:b/>
                <w:color w:val="000000"/>
                <w:sz w:val="24"/>
              </w:rPr>
            </w:pPr>
            <w:r>
              <w:rPr>
                <w:rFonts w:hint="eastAsia"/>
                <w:b/>
                <w:color w:val="000000"/>
                <w:sz w:val="24"/>
              </w:rPr>
              <w:t xml:space="preserve">人员证书名称</w:t>
            </w:r>
            <w:r/>
          </w:p>
        </w:tc>
      </w:tr>
      <w:tr>
        <w:trPr>
          <w:jc w:val="center"/>
          <w:trHeight w:val="680"/>
        </w:trPr>
        <w:tc>
          <w:tcPr>
            <w:tcW w:w="704" w:type="dxa"/>
            <w:vAlign w:val="top"/>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04" w:type="dxa"/>
            <w:vAlign w:val="top"/>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04" w:type="dxa"/>
            <w:vAlign w:val="top"/>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04" w:type="dxa"/>
            <w:vAlign w:val="top"/>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04" w:type="dxa"/>
            <w:vAlign w:val="top"/>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r>
    </w:tbl>
    <w:p>
      <w:pPr>
        <w:spacing w:line="360" w:lineRule="auto"/>
        <w:rPr>
          <w:b/>
          <w:bCs/>
          <w:sz w:val="24"/>
          <w:szCs w:val="24"/>
        </w:rPr>
      </w:pPr>
      <w:r>
        <w:rPr>
          <w:rFonts w:hint="eastAsia" w:ascii="黑体" w:eastAsia="黑体"/>
          <w:bCs/>
          <w:sz w:val="24"/>
          <w:szCs w:val="24"/>
        </w:rPr>
        <w:t xml:space="preserve">投标人名称（盖章）</w:t>
      </w:r>
      <w:r/>
    </w:p>
    <w:p>
      <w:pPr>
        <w:spacing w:line="360" w:lineRule="auto"/>
        <w:rPr>
          <w:rFonts w:hint="eastAsia" w:ascii="宋体" w:hAnsi="宋体"/>
          <w:bCs/>
          <w:color w:val="000000"/>
        </w:rPr>
      </w:pPr>
      <w:r>
        <w:rPr>
          <w:rFonts w:hint="eastAsia" w:ascii="宋体" w:hAnsi="宋体"/>
          <w:bCs/>
          <w:color w:val="000000"/>
        </w:rPr>
      </w:r>
      <w:r/>
    </w:p>
    <w:p>
      <w:pPr>
        <w:spacing w:line="360" w:lineRule="auto"/>
        <w:rPr>
          <w:rFonts w:ascii="宋体" w:hAnsi="宋体"/>
          <w:bCs/>
          <w:color w:val="000000"/>
          <w:highlight w:val="none"/>
        </w:rPr>
      </w:pPr>
      <w:r>
        <w:rPr>
          <w:rFonts w:hint="eastAsia" w:ascii="宋体" w:hAnsi="宋体"/>
          <w:bCs/>
          <w:color w:val="000000"/>
          <w:highlight w:val="none"/>
        </w:rPr>
        <w:t xml:space="preserve">注：1. 表格不够可自行延长。</w:t>
      </w:r>
      <w:r/>
    </w:p>
    <w:p>
      <w:pPr>
        <w:ind w:firstLine="420"/>
        <w:spacing w:line="360" w:lineRule="auto"/>
        <w:rPr>
          <w:highlight w:val="none"/>
        </w:rPr>
      </w:pPr>
      <w:r>
        <w:rPr>
          <w:rFonts w:hint="eastAsia" w:ascii="宋体" w:hAnsi="宋体"/>
          <w:bCs/>
          <w:color w:val="000000"/>
          <w:highlight w:val="none"/>
        </w:rPr>
        <w:t xml:space="preserve">2.上表内容须提供投标人近一年中任意一个月份</w:t>
      </w:r>
      <w:r>
        <w:rPr>
          <w:rFonts w:hint="eastAsia" w:ascii="宋体" w:hAnsi="宋体"/>
          <w:bCs/>
          <w:color w:val="000000"/>
          <w:highlight w:val="none"/>
          <w:lang w:eastAsia="zh-CN"/>
        </w:rPr>
        <w:t xml:space="preserve">（</w:t>
      </w:r>
      <w:r>
        <w:rPr>
          <w:rFonts w:hint="eastAsia" w:ascii="宋体" w:hAnsi="宋体"/>
          <w:bCs/>
          <w:color w:val="000000"/>
          <w:highlight w:val="none"/>
        </w:rPr>
        <w:t xml:space="preserve">不含投标当月</w:t>
      </w:r>
      <w:r>
        <w:rPr>
          <w:rFonts w:hint="eastAsia" w:ascii="宋体" w:hAnsi="宋体"/>
          <w:bCs/>
          <w:color w:val="000000"/>
          <w:highlight w:val="none"/>
          <w:lang w:eastAsia="zh-CN"/>
        </w:rPr>
        <w:t xml:space="preserve">）</w:t>
      </w:r>
      <w:r>
        <w:rPr>
          <w:rFonts w:hint="eastAsia" w:ascii="宋体" w:hAnsi="宋体"/>
          <w:bCs/>
          <w:color w:val="000000"/>
          <w:highlight w:val="none"/>
        </w:rPr>
        <w:t xml:space="preserve">经社保部门确认的社保缴纳名单复印件（标注各人员所处位置）和相关证书复印件作为填列证明材料，证明材料请附在本表之后。</w:t>
      </w:r>
      <w:r/>
    </w:p>
    <w:p>
      <w:pPr>
        <w:spacing w:line="360" w:lineRule="auto"/>
        <w:rPr>
          <w:rFonts w:ascii="宋体" w:hAnsi="宋体"/>
          <w:bCs/>
          <w:color w:val="000000"/>
          <w:sz w:val="24"/>
          <w:szCs w:val="24"/>
          <w:highlight w:val="yellow"/>
        </w:rPr>
        <w:outlineLvl w:val="0"/>
      </w:pPr>
      <w:r>
        <w:rPr>
          <w:rFonts w:ascii="宋体" w:hAnsi="宋体"/>
          <w:bCs/>
          <w:color w:val="000000"/>
          <w:sz w:val="24"/>
          <w:szCs w:val="24"/>
          <w:highlight w:val="yellow"/>
        </w:rPr>
      </w:r>
      <w:r/>
    </w:p>
    <w:p>
      <w:pPr>
        <w:spacing w:line="360" w:lineRule="auto"/>
        <w:rPr>
          <w:rFonts w:hint="eastAsia" w:ascii="宋体" w:hAnsi="宋体"/>
          <w:bCs/>
        </w:rPr>
      </w:pPr>
      <w:r>
        <w:rPr>
          <w:rFonts w:hint="eastAsia" w:ascii="宋体" w:hAnsi="宋体"/>
          <w:bCs/>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微软雅黑">
    <w:panose1 w:val="020B050302020402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inherit">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rPr>
        <w:rStyle w:val="924"/>
        <w:rFonts w:ascii="宋体" w:hAnsi="宋体"/>
      </w:rPr>
      <w:framePr w:wrap="around" w:vAnchor="text" w:hAnchor="margin" w:xAlign="center" w:y="1"/>
    </w:pPr>
    <w:r>
      <w:rPr>
        <w:rFonts w:ascii="宋体" w:hAnsi="宋体"/>
      </w:rPr>
      <w:fldChar w:fldCharType="begin"/>
    </w:r>
    <w:r>
      <w:rPr>
        <w:rStyle w:val="924"/>
        <w:rFonts w:ascii="宋体" w:hAnsi="宋体"/>
      </w:rPr>
      <w:instrText xml:space="preserve">PAGE  </w:instrText>
    </w:r>
    <w:r>
      <w:rPr>
        <w:rFonts w:ascii="宋体" w:hAnsi="宋体"/>
      </w:rPr>
      <w:fldChar w:fldCharType="separate"/>
    </w:r>
    <w:r>
      <w:rPr>
        <w:rStyle w:val="924"/>
        <w:rFonts w:ascii="宋体" w:hAnsi="宋体"/>
      </w:rPr>
      <w:t xml:space="preserve">３４</w:t>
    </w:r>
    <w:r>
      <w:rPr>
        <w:rFonts w:ascii="宋体" w:hAnsi="宋体"/>
      </w:rPr>
      <w:fldChar w:fldCharType="end"/>
    </w:r>
    <w:r/>
  </w:p>
  <w:p>
    <w:pPr>
      <w:pStyle w:val="897"/>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rPr>
        <w:rStyle w:val="924"/>
      </w:rPr>
      <w:framePr w:wrap="around" w:vAnchor="text" w:hAnchor="margin" w:xAlign="center" w:y="1"/>
    </w:pPr>
    <w:r>
      <w:fldChar w:fldCharType="begin"/>
    </w:r>
    <w:r>
      <w:rPr>
        <w:rStyle w:val="924"/>
      </w:rPr>
      <w:instrText xml:space="preserve">PAGE  </w:instrText>
    </w:r>
    <w:r>
      <w:fldChar w:fldCharType="separate"/>
    </w:r>
    <w:r>
      <w:rPr>
        <w:rStyle w:val="924"/>
      </w:rPr>
      <w:t xml:space="preserve">1</w:t>
    </w:r>
    <w:r>
      <w:fldChar w:fldCharType="end"/>
    </w:r>
    <w:r/>
  </w:p>
  <w:p>
    <w:pPr>
      <w:pStyle w:val="89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4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57"/>
      <w:isLgl w:val="false"/>
      <w:suff w:val="nothing"/>
      <w:lvlText w:val=""/>
      <w:lvlJc w:val="left"/>
      <w:pPr>
        <w:ind w:left="0" w:firstLine="0"/>
      </w:pPr>
      <w:rPr>
        <w:rFonts w:hint="eastAsia"/>
      </w:rPr>
    </w:lvl>
    <w:lvl w:ilvl="6">
      <w:start w:val="1"/>
      <w:numFmt w:val="decimal"/>
      <w:pStyle w:val="858"/>
      <w:isLgl w:val="false"/>
      <w:suff w:val="nothing"/>
      <w:lvlText w:val=""/>
      <w:lvlJc w:val="left"/>
      <w:pPr>
        <w:ind w:left="0" w:firstLine="0"/>
      </w:pPr>
      <w:rPr>
        <w:rFonts w:hint="eastAsia"/>
      </w:rPr>
    </w:lvl>
    <w:lvl w:ilvl="7">
      <w:start w:val="1"/>
      <w:numFmt w:val="decimal"/>
      <w:pStyle w:val="859"/>
      <w:isLgl w:val="false"/>
      <w:suff w:val="nothing"/>
      <w:lvlText w:val=""/>
      <w:lvlJc w:val="left"/>
      <w:pPr>
        <w:ind w:left="0" w:firstLine="0"/>
      </w:pPr>
      <w:rPr>
        <w:rFonts w:hint="eastAsia"/>
      </w:rPr>
    </w:lvl>
    <w:lvl w:ilvl="8">
      <w:start w:val="1"/>
      <w:numFmt w:val="decimal"/>
      <w:pStyle w:val="860"/>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94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10"/>
  </w:num>
  <w:num w:numId="4">
    <w:abstractNumId w:val="1"/>
  </w:num>
  <w:num w:numId="5">
    <w:abstractNumId w:val="9"/>
  </w:num>
  <w:num w:numId="6">
    <w:abstractNumId w:val="3"/>
  </w:num>
  <w:num w:numId="7">
    <w:abstractNumId w:val="6"/>
  </w:num>
  <w:num w:numId="8">
    <w:abstractNumId w:val="7"/>
  </w:num>
  <w:num w:numId="9">
    <w:abstractNumId w:val="11"/>
  </w:num>
  <w:num w:numId="10">
    <w:abstractNumId w:val="5"/>
  </w:num>
  <w:num w:numId="11">
    <w:abstractNumId w:val="0"/>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8" w:default="1">
    <w:name w:val="Normal"/>
    <w:link w:val="929"/>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69">
    <w:name w:val="Heading 1"/>
    <w:basedOn w:val="668"/>
    <w:next w:val="668"/>
    <w:link w:val="703"/>
    <w:uiPriority w:val="9"/>
    <w:qFormat/>
    <w:pPr>
      <w:keepLines/>
      <w:keepNext/>
      <w:spacing w:before="480" w:after="200"/>
      <w:outlineLvl w:val="0"/>
    </w:pPr>
    <w:rPr>
      <w:rFonts w:ascii="Arial" w:hAnsi="Arial" w:eastAsia="Arial" w:cs="Arial"/>
      <w:sz w:val="40"/>
      <w:szCs w:val="40"/>
    </w:rPr>
  </w:style>
  <w:style w:type="paragraph" w:styleId="670">
    <w:name w:val="Heading 2"/>
    <w:basedOn w:val="668"/>
    <w:next w:val="668"/>
    <w:link w:val="704"/>
    <w:uiPriority w:val="9"/>
    <w:unhideWhenUsed/>
    <w:qFormat/>
    <w:pPr>
      <w:keepLines/>
      <w:keepNext/>
      <w:spacing w:before="360" w:after="200"/>
      <w:outlineLvl w:val="1"/>
    </w:pPr>
    <w:rPr>
      <w:rFonts w:ascii="Arial" w:hAnsi="Arial" w:eastAsia="Arial" w:cs="Arial"/>
      <w:sz w:val="34"/>
    </w:rPr>
  </w:style>
  <w:style w:type="paragraph" w:styleId="671">
    <w:name w:val="Heading 3"/>
    <w:basedOn w:val="668"/>
    <w:next w:val="668"/>
    <w:link w:val="705"/>
    <w:uiPriority w:val="9"/>
    <w:unhideWhenUsed/>
    <w:qFormat/>
    <w:pPr>
      <w:keepLines/>
      <w:keepNext/>
      <w:spacing w:before="320" w:after="200"/>
      <w:outlineLvl w:val="2"/>
    </w:pPr>
    <w:rPr>
      <w:rFonts w:ascii="Arial" w:hAnsi="Arial" w:eastAsia="Arial" w:cs="Arial"/>
      <w:sz w:val="30"/>
      <w:szCs w:val="30"/>
    </w:rPr>
  </w:style>
  <w:style w:type="paragraph" w:styleId="672">
    <w:name w:val="Heading 4"/>
    <w:basedOn w:val="668"/>
    <w:next w:val="668"/>
    <w:link w:val="706"/>
    <w:uiPriority w:val="9"/>
    <w:unhideWhenUsed/>
    <w:qFormat/>
    <w:pPr>
      <w:keepLines/>
      <w:keepNext/>
      <w:spacing w:before="320" w:after="200"/>
      <w:outlineLvl w:val="3"/>
    </w:pPr>
    <w:rPr>
      <w:rFonts w:ascii="Arial" w:hAnsi="Arial" w:eastAsia="Arial" w:cs="Arial"/>
      <w:b/>
      <w:bCs/>
      <w:sz w:val="26"/>
      <w:szCs w:val="26"/>
    </w:rPr>
  </w:style>
  <w:style w:type="paragraph" w:styleId="673">
    <w:name w:val="Heading 5"/>
    <w:basedOn w:val="668"/>
    <w:next w:val="668"/>
    <w:link w:val="707"/>
    <w:uiPriority w:val="9"/>
    <w:unhideWhenUsed/>
    <w:qFormat/>
    <w:pPr>
      <w:keepLines/>
      <w:keepNext/>
      <w:spacing w:before="320" w:after="200"/>
      <w:outlineLvl w:val="4"/>
    </w:pPr>
    <w:rPr>
      <w:rFonts w:ascii="Arial" w:hAnsi="Arial" w:eastAsia="Arial" w:cs="Arial"/>
      <w:b/>
      <w:bCs/>
      <w:sz w:val="24"/>
      <w:szCs w:val="24"/>
    </w:rPr>
  </w:style>
  <w:style w:type="paragraph" w:styleId="674">
    <w:name w:val="Heading 6"/>
    <w:basedOn w:val="668"/>
    <w:next w:val="668"/>
    <w:link w:val="708"/>
    <w:uiPriority w:val="9"/>
    <w:unhideWhenUsed/>
    <w:qFormat/>
    <w:pPr>
      <w:keepLines/>
      <w:keepNext/>
      <w:spacing w:before="320" w:after="200"/>
      <w:outlineLvl w:val="5"/>
    </w:pPr>
    <w:rPr>
      <w:rFonts w:ascii="Arial" w:hAnsi="Arial" w:eastAsia="Arial" w:cs="Arial"/>
      <w:b/>
      <w:bCs/>
      <w:sz w:val="22"/>
      <w:szCs w:val="22"/>
    </w:rPr>
  </w:style>
  <w:style w:type="paragraph" w:styleId="675">
    <w:name w:val="Heading 7"/>
    <w:basedOn w:val="668"/>
    <w:next w:val="668"/>
    <w:link w:val="709"/>
    <w:uiPriority w:val="9"/>
    <w:unhideWhenUsed/>
    <w:qFormat/>
    <w:pPr>
      <w:keepLines/>
      <w:keepNext/>
      <w:spacing w:before="320" w:after="200"/>
      <w:outlineLvl w:val="6"/>
    </w:pPr>
    <w:rPr>
      <w:rFonts w:ascii="Arial" w:hAnsi="Arial" w:eastAsia="Arial" w:cs="Arial"/>
      <w:b/>
      <w:bCs/>
      <w:i/>
      <w:iCs/>
      <w:sz w:val="22"/>
      <w:szCs w:val="22"/>
    </w:rPr>
  </w:style>
  <w:style w:type="paragraph" w:styleId="676">
    <w:name w:val="Heading 8"/>
    <w:basedOn w:val="668"/>
    <w:next w:val="668"/>
    <w:link w:val="710"/>
    <w:uiPriority w:val="9"/>
    <w:unhideWhenUsed/>
    <w:qFormat/>
    <w:pPr>
      <w:keepLines/>
      <w:keepNext/>
      <w:spacing w:before="320" w:after="200"/>
      <w:outlineLvl w:val="7"/>
    </w:pPr>
    <w:rPr>
      <w:rFonts w:ascii="Arial" w:hAnsi="Arial" w:eastAsia="Arial" w:cs="Arial"/>
      <w:i/>
      <w:iCs/>
      <w:sz w:val="22"/>
      <w:szCs w:val="22"/>
    </w:rPr>
  </w:style>
  <w:style w:type="paragraph" w:styleId="677">
    <w:name w:val="Heading 9"/>
    <w:basedOn w:val="668"/>
    <w:next w:val="668"/>
    <w:link w:val="711"/>
    <w:uiPriority w:val="9"/>
    <w:unhideWhenUsed/>
    <w:qFormat/>
    <w:pPr>
      <w:keepLines/>
      <w:keepNext/>
      <w:spacing w:before="320" w:after="200"/>
      <w:outlineLvl w:val="8"/>
    </w:pPr>
    <w:rPr>
      <w:rFonts w:ascii="Arial" w:hAnsi="Arial" w:eastAsia="Arial" w:cs="Arial"/>
      <w:i/>
      <w:iCs/>
      <w:sz w:val="21"/>
      <w:szCs w:val="21"/>
    </w:rPr>
  </w:style>
  <w:style w:type="character" w:styleId="678" w:default="1">
    <w:name w:val="Default Paragraph Font"/>
    <w:uiPriority w:val="1"/>
    <w:semiHidden/>
    <w:unhideWhenUsed/>
    <w:qFormat/>
  </w:style>
  <w:style w:type="table" w:styleId="679" w:default="1">
    <w:name w:val="Normal Table"/>
    <w:uiPriority w:val="99"/>
    <w:semiHidden/>
    <w:unhideWhenUsed/>
    <w:qFormat/>
    <w:tblPr>
      <w:tblCellMar>
        <w:left w:w="108" w:type="dxa"/>
        <w:top w:w="0" w:type="dxa"/>
        <w:right w:w="108" w:type="dxa"/>
        <w:bottom w:w="0" w:type="dxa"/>
      </w:tblCellMar>
    </w:tblPr>
  </w:style>
  <w:style w:type="paragraph" w:styleId="680">
    <w:name w:val="toc 7"/>
    <w:basedOn w:val="668"/>
    <w:next w:val="668"/>
    <w:uiPriority w:val="39"/>
    <w:unhideWhenUsed/>
    <w:qFormat/>
    <w:pPr>
      <w:ind w:left="1701" w:right="0" w:firstLine="0"/>
      <w:spacing w:after="57"/>
    </w:pPr>
  </w:style>
  <w:style w:type="paragraph" w:styleId="681">
    <w:name w:val="Caption"/>
    <w:basedOn w:val="668"/>
    <w:next w:val="668"/>
    <w:uiPriority w:val="35"/>
    <w:semiHidden/>
    <w:unhideWhenUsed/>
    <w:qFormat/>
    <w:pPr>
      <w:spacing w:line="276" w:lineRule="auto"/>
    </w:pPr>
    <w:rPr>
      <w:b/>
      <w:bCs/>
      <w:color w:val="4f81bd" w:themeColor="accent1"/>
      <w:sz w:val="18"/>
      <w:szCs w:val="18"/>
    </w:rPr>
  </w:style>
  <w:style w:type="paragraph" w:styleId="682">
    <w:name w:val="Body Text"/>
    <w:basedOn w:val="668"/>
    <w:next w:val="683"/>
    <w:uiPriority w:val="0"/>
    <w:qFormat/>
    <w:rPr>
      <w:rFonts w:ascii="楷体_GB2312" w:hAnsi="Arial" w:eastAsia="楷体_GB2312"/>
      <w:sz w:val="28"/>
      <w:szCs w:val="28"/>
      <w:lang w:eastAsia="en-US"/>
    </w:rPr>
  </w:style>
  <w:style w:type="paragraph" w:styleId="683">
    <w:name w:val="Subtitle"/>
    <w:basedOn w:val="668"/>
    <w:next w:val="668"/>
    <w:link w:val="715"/>
    <w:uiPriority w:val="11"/>
    <w:qFormat/>
    <w:pPr>
      <w:spacing w:before="200" w:after="200"/>
    </w:pPr>
    <w:rPr>
      <w:sz w:val="24"/>
      <w:szCs w:val="24"/>
    </w:rPr>
  </w:style>
  <w:style w:type="paragraph" w:styleId="684">
    <w:name w:val="Body Text Indent"/>
    <w:basedOn w:val="668"/>
    <w:uiPriority w:val="0"/>
    <w:qFormat/>
    <w:pPr>
      <w:ind w:firstLine="576"/>
    </w:pPr>
    <w:rPr>
      <w:b/>
      <w:sz w:val="30"/>
    </w:rPr>
  </w:style>
  <w:style w:type="paragraph" w:styleId="685">
    <w:name w:val="toc 5"/>
    <w:basedOn w:val="668"/>
    <w:next w:val="668"/>
    <w:uiPriority w:val="39"/>
    <w:unhideWhenUsed/>
    <w:qFormat/>
    <w:pPr>
      <w:ind w:left="1134" w:right="0" w:firstLine="0"/>
      <w:spacing w:after="57"/>
    </w:pPr>
  </w:style>
  <w:style w:type="paragraph" w:styleId="686">
    <w:name w:val="toc 3"/>
    <w:basedOn w:val="668"/>
    <w:next w:val="668"/>
    <w:uiPriority w:val="39"/>
    <w:unhideWhenUsed/>
    <w:qFormat/>
    <w:pPr>
      <w:ind w:left="567" w:right="0" w:firstLine="0"/>
      <w:spacing w:after="57"/>
    </w:pPr>
  </w:style>
  <w:style w:type="paragraph" w:styleId="687">
    <w:name w:val="toc 8"/>
    <w:basedOn w:val="668"/>
    <w:next w:val="668"/>
    <w:uiPriority w:val="39"/>
    <w:unhideWhenUsed/>
    <w:qFormat/>
    <w:pPr>
      <w:ind w:left="1984" w:right="0" w:firstLine="0"/>
      <w:spacing w:after="57"/>
    </w:pPr>
  </w:style>
  <w:style w:type="paragraph" w:styleId="688">
    <w:name w:val="endnote text"/>
    <w:basedOn w:val="668"/>
    <w:link w:val="849"/>
    <w:uiPriority w:val="99"/>
    <w:semiHidden/>
    <w:unhideWhenUsed/>
    <w:qFormat/>
    <w:pPr>
      <w:spacing w:after="0" w:line="240" w:lineRule="auto"/>
    </w:pPr>
    <w:rPr>
      <w:sz w:val="20"/>
    </w:rPr>
  </w:style>
  <w:style w:type="paragraph" w:styleId="689">
    <w:name w:val="Footer"/>
    <w:basedOn w:val="668"/>
    <w:link w:val="722"/>
    <w:uiPriority w:val="99"/>
    <w:unhideWhenUsed/>
    <w:qFormat/>
    <w:pPr>
      <w:spacing w:after="0" w:line="240" w:lineRule="auto"/>
      <w:tabs>
        <w:tab w:val="center" w:pos="7143" w:leader="none"/>
        <w:tab w:val="right" w:pos="14287" w:leader="none"/>
      </w:tabs>
    </w:pPr>
  </w:style>
  <w:style w:type="paragraph" w:styleId="690">
    <w:name w:val="Header"/>
    <w:basedOn w:val="668"/>
    <w:link w:val="720"/>
    <w:uiPriority w:val="99"/>
    <w:unhideWhenUsed/>
    <w:qFormat/>
    <w:pPr>
      <w:spacing w:after="0" w:line="240" w:lineRule="auto"/>
      <w:tabs>
        <w:tab w:val="center" w:pos="7143" w:leader="none"/>
        <w:tab w:val="right" w:pos="14287" w:leader="none"/>
      </w:tabs>
    </w:pPr>
  </w:style>
  <w:style w:type="paragraph" w:styleId="691">
    <w:name w:val="toc 1"/>
    <w:basedOn w:val="668"/>
    <w:next w:val="668"/>
    <w:uiPriority w:val="39"/>
    <w:unhideWhenUsed/>
    <w:qFormat/>
    <w:pPr>
      <w:ind w:left="0" w:right="0" w:firstLine="0"/>
      <w:spacing w:after="57"/>
    </w:pPr>
  </w:style>
  <w:style w:type="paragraph" w:styleId="692">
    <w:name w:val="toc 4"/>
    <w:basedOn w:val="668"/>
    <w:next w:val="668"/>
    <w:uiPriority w:val="39"/>
    <w:unhideWhenUsed/>
    <w:qFormat/>
    <w:pPr>
      <w:ind w:left="850" w:right="0" w:firstLine="0"/>
      <w:spacing w:after="57"/>
    </w:pPr>
  </w:style>
  <w:style w:type="paragraph" w:styleId="693">
    <w:name w:val="footnote text"/>
    <w:basedOn w:val="668"/>
    <w:link w:val="848"/>
    <w:uiPriority w:val="99"/>
    <w:semiHidden/>
    <w:unhideWhenUsed/>
    <w:qFormat/>
    <w:pPr>
      <w:spacing w:after="40" w:line="240" w:lineRule="auto"/>
    </w:pPr>
    <w:rPr>
      <w:sz w:val="18"/>
    </w:rPr>
  </w:style>
  <w:style w:type="paragraph" w:styleId="694">
    <w:name w:val="toc 6"/>
    <w:basedOn w:val="668"/>
    <w:next w:val="668"/>
    <w:uiPriority w:val="39"/>
    <w:unhideWhenUsed/>
    <w:qFormat/>
    <w:pPr>
      <w:ind w:left="1417" w:right="0" w:firstLine="0"/>
      <w:spacing w:after="57"/>
    </w:pPr>
  </w:style>
  <w:style w:type="paragraph" w:styleId="695">
    <w:name w:val="table of figures"/>
    <w:basedOn w:val="668"/>
    <w:next w:val="668"/>
    <w:uiPriority w:val="99"/>
    <w:unhideWhenUsed/>
    <w:qFormat/>
    <w:pPr>
      <w:spacing w:after="0" w:afterAutospacing="0"/>
    </w:pPr>
  </w:style>
  <w:style w:type="paragraph" w:styleId="696">
    <w:name w:val="toc 2"/>
    <w:basedOn w:val="668"/>
    <w:next w:val="668"/>
    <w:uiPriority w:val="39"/>
    <w:unhideWhenUsed/>
    <w:qFormat/>
    <w:pPr>
      <w:ind w:left="283" w:right="0" w:firstLine="0"/>
      <w:spacing w:after="57"/>
    </w:pPr>
  </w:style>
  <w:style w:type="paragraph" w:styleId="697">
    <w:name w:val="toc 9"/>
    <w:basedOn w:val="668"/>
    <w:next w:val="668"/>
    <w:uiPriority w:val="39"/>
    <w:unhideWhenUsed/>
    <w:qFormat/>
    <w:pPr>
      <w:ind w:left="2268" w:right="0" w:firstLine="0"/>
      <w:spacing w:after="57"/>
    </w:pPr>
  </w:style>
  <w:style w:type="paragraph" w:styleId="698">
    <w:name w:val="Title"/>
    <w:basedOn w:val="668"/>
    <w:next w:val="668"/>
    <w:link w:val="714"/>
    <w:uiPriority w:val="10"/>
    <w:qFormat/>
    <w:pPr>
      <w:contextualSpacing/>
      <w:spacing w:before="300" w:after="200"/>
    </w:pPr>
    <w:rPr>
      <w:sz w:val="48"/>
      <w:szCs w:val="48"/>
    </w:rPr>
  </w:style>
  <w:style w:type="table" w:styleId="69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0">
    <w:name w:val="endnote reference"/>
    <w:uiPriority w:val="99"/>
    <w:semiHidden/>
    <w:unhideWhenUsed/>
    <w:qFormat/>
    <w:rPr>
      <w:vertAlign w:val="superscript"/>
    </w:rPr>
  </w:style>
  <w:style w:type="character" w:styleId="701">
    <w:name w:val="Hyperlink"/>
    <w:uiPriority w:val="99"/>
    <w:unhideWhenUsed/>
    <w:qFormat/>
    <w:rPr>
      <w:color w:val="0000ff" w:themeColor="hyperlink"/>
      <w:u w:val="single"/>
    </w:rPr>
  </w:style>
  <w:style w:type="character" w:styleId="702">
    <w:name w:val="footnote reference"/>
    <w:uiPriority w:val="99"/>
    <w:unhideWhenUsed/>
    <w:qFormat/>
    <w:rPr>
      <w:vertAlign w:val="superscript"/>
    </w:rPr>
  </w:style>
  <w:style w:type="character" w:styleId="703" w:customStyle="1">
    <w:name w:val="Heading 1 Char"/>
    <w:link w:val="669"/>
    <w:uiPriority w:val="9"/>
    <w:qFormat/>
    <w:rPr>
      <w:rFonts w:ascii="Arial" w:hAnsi="Arial" w:eastAsia="Arial" w:cs="Arial"/>
      <w:sz w:val="40"/>
      <w:szCs w:val="40"/>
    </w:rPr>
  </w:style>
  <w:style w:type="character" w:styleId="704" w:customStyle="1">
    <w:name w:val="Heading 2 Char"/>
    <w:link w:val="670"/>
    <w:uiPriority w:val="9"/>
    <w:qFormat/>
    <w:rPr>
      <w:rFonts w:ascii="Arial" w:hAnsi="Arial" w:eastAsia="Arial" w:cs="Arial"/>
      <w:sz w:val="34"/>
    </w:rPr>
  </w:style>
  <w:style w:type="character" w:styleId="705" w:customStyle="1">
    <w:name w:val="Heading 3 Char"/>
    <w:link w:val="671"/>
    <w:uiPriority w:val="9"/>
    <w:qFormat/>
    <w:rPr>
      <w:rFonts w:ascii="Arial" w:hAnsi="Arial" w:eastAsia="Arial" w:cs="Arial"/>
      <w:sz w:val="30"/>
      <w:szCs w:val="30"/>
    </w:rPr>
  </w:style>
  <w:style w:type="character" w:styleId="706" w:customStyle="1">
    <w:name w:val="Heading 4 Char"/>
    <w:link w:val="672"/>
    <w:uiPriority w:val="9"/>
    <w:qFormat/>
    <w:rPr>
      <w:rFonts w:ascii="Arial" w:hAnsi="Arial" w:eastAsia="Arial" w:cs="Arial"/>
      <w:b/>
      <w:bCs/>
      <w:sz w:val="26"/>
      <w:szCs w:val="26"/>
    </w:rPr>
  </w:style>
  <w:style w:type="character" w:styleId="707" w:customStyle="1">
    <w:name w:val="Heading 5 Char"/>
    <w:link w:val="673"/>
    <w:uiPriority w:val="9"/>
    <w:qFormat/>
    <w:rPr>
      <w:rFonts w:ascii="Arial" w:hAnsi="Arial" w:eastAsia="Arial" w:cs="Arial"/>
      <w:b/>
      <w:bCs/>
      <w:sz w:val="24"/>
      <w:szCs w:val="24"/>
    </w:rPr>
  </w:style>
  <w:style w:type="character" w:styleId="708" w:customStyle="1">
    <w:name w:val="Heading 6 Char"/>
    <w:link w:val="674"/>
    <w:uiPriority w:val="9"/>
    <w:qFormat/>
    <w:rPr>
      <w:rFonts w:ascii="Arial" w:hAnsi="Arial" w:eastAsia="Arial" w:cs="Arial"/>
      <w:b/>
      <w:bCs/>
      <w:sz w:val="22"/>
      <w:szCs w:val="22"/>
    </w:rPr>
  </w:style>
  <w:style w:type="character" w:styleId="709" w:customStyle="1">
    <w:name w:val="Heading 7 Char"/>
    <w:link w:val="675"/>
    <w:uiPriority w:val="9"/>
    <w:qFormat/>
    <w:rPr>
      <w:rFonts w:ascii="Arial" w:hAnsi="Arial" w:eastAsia="Arial" w:cs="Arial"/>
      <w:b/>
      <w:bCs/>
      <w:i/>
      <w:iCs/>
      <w:sz w:val="22"/>
      <w:szCs w:val="22"/>
    </w:rPr>
  </w:style>
  <w:style w:type="character" w:styleId="710" w:customStyle="1">
    <w:name w:val="Heading 8 Char"/>
    <w:link w:val="676"/>
    <w:uiPriority w:val="9"/>
    <w:qFormat/>
    <w:rPr>
      <w:rFonts w:ascii="Arial" w:hAnsi="Arial" w:eastAsia="Arial" w:cs="Arial"/>
      <w:i/>
      <w:iCs/>
      <w:sz w:val="22"/>
      <w:szCs w:val="22"/>
    </w:rPr>
  </w:style>
  <w:style w:type="character" w:styleId="711" w:customStyle="1">
    <w:name w:val="Heading 9 Char"/>
    <w:link w:val="677"/>
    <w:uiPriority w:val="9"/>
    <w:qFormat/>
    <w:rPr>
      <w:rFonts w:ascii="Arial" w:hAnsi="Arial" w:eastAsia="Arial" w:cs="Arial"/>
      <w:i/>
      <w:iCs/>
      <w:sz w:val="21"/>
      <w:szCs w:val="21"/>
    </w:rPr>
  </w:style>
  <w:style w:type="paragraph" w:styleId="712">
    <w:name w:val="List Paragraph"/>
    <w:basedOn w:val="668"/>
    <w:uiPriority w:val="34"/>
    <w:qFormat/>
    <w:pPr>
      <w:contextualSpacing/>
      <w:ind w:left="720"/>
    </w:pPr>
  </w:style>
  <w:style w:type="paragraph" w:styleId="713">
    <w:name w:val="No Spacing"/>
    <w:uiPriority w:val="1"/>
    <w:qFormat/>
    <w:pPr>
      <w:spacing w:before="0" w:after="0" w:line="240" w:lineRule="auto"/>
    </w:pPr>
    <w:rPr>
      <w:rFonts w:hint="default" w:ascii="Times New Roman" w:hAnsi="Times New Roman" w:eastAsia="宋体" w:cs="Times New Roman"/>
    </w:rPr>
  </w:style>
  <w:style w:type="character" w:styleId="714" w:customStyle="1">
    <w:name w:val="Title Char"/>
    <w:link w:val="698"/>
    <w:uiPriority w:val="10"/>
    <w:qFormat/>
    <w:rPr>
      <w:sz w:val="48"/>
      <w:szCs w:val="48"/>
    </w:rPr>
  </w:style>
  <w:style w:type="character" w:styleId="715" w:customStyle="1">
    <w:name w:val="Subtitle Char"/>
    <w:link w:val="683"/>
    <w:uiPriority w:val="11"/>
    <w:qFormat/>
    <w:rPr>
      <w:sz w:val="24"/>
      <w:szCs w:val="24"/>
    </w:rPr>
  </w:style>
  <w:style w:type="paragraph" w:styleId="716">
    <w:name w:val="Quote"/>
    <w:basedOn w:val="668"/>
    <w:next w:val="668"/>
    <w:link w:val="717"/>
    <w:uiPriority w:val="29"/>
    <w:qFormat/>
    <w:pPr>
      <w:ind w:left="720" w:right="720"/>
    </w:pPr>
    <w:rPr>
      <w:i/>
    </w:rPr>
  </w:style>
  <w:style w:type="character" w:styleId="717" w:customStyle="1">
    <w:name w:val="Quote Char"/>
    <w:link w:val="716"/>
    <w:uiPriority w:val="29"/>
    <w:qFormat/>
    <w:rPr>
      <w:i/>
    </w:rPr>
  </w:style>
  <w:style w:type="paragraph" w:styleId="718">
    <w:name w:val="Intense Quote"/>
    <w:basedOn w:val="668"/>
    <w:next w:val="668"/>
    <w:link w:val="7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9" w:customStyle="1">
    <w:name w:val="Intense Quote Char"/>
    <w:link w:val="718"/>
    <w:uiPriority w:val="30"/>
    <w:qFormat/>
    <w:rPr>
      <w:i/>
    </w:rPr>
  </w:style>
  <w:style w:type="character" w:styleId="720" w:customStyle="1">
    <w:name w:val="Header Char"/>
    <w:link w:val="690"/>
    <w:uiPriority w:val="99"/>
    <w:qFormat/>
  </w:style>
  <w:style w:type="character" w:styleId="721" w:customStyle="1">
    <w:name w:val="Footer Char"/>
    <w:link w:val="689"/>
    <w:uiPriority w:val="99"/>
    <w:qFormat/>
  </w:style>
  <w:style w:type="character" w:styleId="722" w:customStyle="1">
    <w:name w:val="Caption Char"/>
    <w:link w:val="689"/>
    <w:uiPriority w:val="99"/>
    <w:qFormat/>
  </w:style>
  <w:style w:type="table" w:styleId="72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6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6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6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6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6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0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0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0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1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1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1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1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1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1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1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1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1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1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2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8" w:customStyle="1">
    <w:name w:val="Footnote Text Char"/>
    <w:link w:val="693"/>
    <w:uiPriority w:val="99"/>
    <w:qFormat/>
    <w:rPr>
      <w:sz w:val="18"/>
    </w:rPr>
  </w:style>
  <w:style w:type="character" w:styleId="849" w:customStyle="1">
    <w:name w:val="Endnote Text Char"/>
    <w:link w:val="688"/>
    <w:uiPriority w:val="99"/>
    <w:qFormat/>
    <w:rPr>
      <w:sz w:val="20"/>
    </w:rPr>
  </w:style>
  <w:style w:type="paragraph" w:styleId="850" w:customStyle="1">
    <w:name w:val="TOC Heading"/>
    <w:uiPriority w:val="39"/>
    <w:unhideWhenUsed/>
    <w:qFormat/>
    <w:rPr>
      <w:rFonts w:hint="default" w:ascii="Times New Roman" w:hAnsi="Times New Roman" w:eastAsia="宋体" w:cs="Times New Roman"/>
    </w:rPr>
  </w:style>
  <w:style w:type="paragraph" w:styleId="851" w:customStyle="1">
    <w:name w:val="标题 11"/>
    <w:basedOn w:val="668"/>
    <w:next w:val="668"/>
    <w:link w:val="863"/>
    <w:uiPriority w:val="0"/>
    <w:qFormat/>
    <w:pPr>
      <w:jc w:val="center"/>
      <w:keepNext/>
      <w:outlineLvl w:val="0"/>
    </w:pPr>
    <w:rPr>
      <w:rFonts w:ascii="楷体_GB2312" w:eastAsia="楷体_GB2312"/>
      <w:sz w:val="28"/>
      <w:szCs w:val="28"/>
    </w:rPr>
  </w:style>
  <w:style w:type="paragraph" w:styleId="852" w:customStyle="1">
    <w:name w:val="标题 21"/>
    <w:basedOn w:val="668"/>
    <w:next w:val="853"/>
    <w:link w:val="864"/>
    <w:uiPriority w:val="0"/>
    <w:qFormat/>
    <w:pPr>
      <w:jc w:val="center"/>
      <w:keepLines/>
      <w:keepNext/>
      <w:spacing w:before="260" w:after="260" w:line="416" w:lineRule="auto"/>
      <w:outlineLvl w:val="1"/>
    </w:pPr>
    <w:rPr>
      <w:rFonts w:ascii="Arial" w:hAnsi="Arial" w:eastAsia="幼圆"/>
      <w:b/>
      <w:bCs/>
      <w:sz w:val="44"/>
      <w:szCs w:val="44"/>
    </w:rPr>
  </w:style>
  <w:style w:type="paragraph" w:styleId="853" w:customStyle="1">
    <w:name w:val="正文缩进1"/>
    <w:basedOn w:val="668"/>
    <w:link w:val="865"/>
    <w:uiPriority w:val="0"/>
    <w:qFormat/>
    <w:pPr>
      <w:ind w:firstLine="420"/>
    </w:pPr>
    <w:rPr>
      <w:sz w:val="20"/>
    </w:rPr>
  </w:style>
  <w:style w:type="paragraph" w:styleId="854" w:customStyle="1">
    <w:name w:val="标题 31"/>
    <w:basedOn w:val="668"/>
    <w:next w:val="853"/>
    <w:link w:val="866"/>
    <w:uiPriority w:val="0"/>
    <w:qFormat/>
    <w:pPr>
      <w:keepLines/>
      <w:keepNext/>
      <w:spacing w:before="260" w:after="260" w:line="416" w:lineRule="auto"/>
      <w:outlineLvl w:val="2"/>
    </w:pPr>
    <w:rPr>
      <w:b/>
      <w:bCs/>
      <w:sz w:val="32"/>
      <w:szCs w:val="32"/>
    </w:rPr>
  </w:style>
  <w:style w:type="paragraph" w:styleId="855" w:customStyle="1">
    <w:name w:val="标题 41"/>
    <w:basedOn w:val="668"/>
    <w:next w:val="853"/>
    <w:link w:val="867"/>
    <w:uiPriority w:val="0"/>
    <w:qFormat/>
    <w:pPr>
      <w:keepLines/>
      <w:keepNext/>
      <w:spacing w:before="280" w:after="290" w:line="376" w:lineRule="auto"/>
      <w:outlineLvl w:val="3"/>
    </w:pPr>
    <w:rPr>
      <w:rFonts w:ascii="Arial" w:hAnsi="Arial" w:eastAsia="黑体"/>
      <w:b/>
      <w:bCs/>
      <w:sz w:val="28"/>
      <w:szCs w:val="28"/>
    </w:rPr>
  </w:style>
  <w:style w:type="paragraph" w:styleId="856" w:customStyle="1">
    <w:name w:val="标题 51"/>
    <w:basedOn w:val="668"/>
    <w:next w:val="853"/>
    <w:link w:val="868"/>
    <w:uiPriority w:val="0"/>
    <w:qFormat/>
    <w:pPr>
      <w:keepNext/>
      <w:outlineLvl w:val="4"/>
    </w:pPr>
    <w:rPr>
      <w:rFonts w:ascii="宋体"/>
      <w:color w:val="000000"/>
      <w:sz w:val="28"/>
      <w:szCs w:val="28"/>
    </w:rPr>
  </w:style>
  <w:style w:type="paragraph" w:styleId="857" w:customStyle="1">
    <w:name w:val="标题 61"/>
    <w:basedOn w:val="668"/>
    <w:next w:val="668"/>
    <w:link w:val="86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58" w:customStyle="1">
    <w:name w:val="标题 71"/>
    <w:basedOn w:val="668"/>
    <w:next w:val="668"/>
    <w:link w:val="870"/>
    <w:uiPriority w:val="0"/>
    <w:qFormat/>
    <w:pPr>
      <w:numPr>
        <w:ilvl w:val="6"/>
        <w:numId w:val="1"/>
      </w:numPr>
      <w:keepLines/>
      <w:keepNext/>
      <w:spacing w:before="240" w:after="64" w:line="320" w:lineRule="auto"/>
      <w:outlineLvl w:val="6"/>
    </w:pPr>
    <w:rPr>
      <w:b/>
      <w:bCs/>
      <w:sz w:val="24"/>
      <w:szCs w:val="24"/>
    </w:rPr>
  </w:style>
  <w:style w:type="paragraph" w:styleId="859" w:customStyle="1">
    <w:name w:val="标题 81"/>
    <w:basedOn w:val="668"/>
    <w:next w:val="668"/>
    <w:link w:val="87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60" w:customStyle="1">
    <w:name w:val="标题 91"/>
    <w:basedOn w:val="668"/>
    <w:next w:val="668"/>
    <w:link w:val="872"/>
    <w:uiPriority w:val="0"/>
    <w:qFormat/>
    <w:pPr>
      <w:numPr>
        <w:ilvl w:val="8"/>
        <w:numId w:val="1"/>
      </w:numPr>
      <w:keepLines/>
      <w:keepNext/>
      <w:spacing w:before="240" w:after="64" w:line="320" w:lineRule="auto"/>
      <w:outlineLvl w:val="8"/>
    </w:pPr>
    <w:rPr>
      <w:rFonts w:ascii="Arial" w:hAnsi="Arial" w:eastAsia="黑体"/>
      <w:sz w:val="20"/>
    </w:rPr>
  </w:style>
  <w:style w:type="character" w:styleId="861" w:customStyle="1">
    <w:name w:val="默认段落字体1"/>
    <w:link w:val="668"/>
    <w:uiPriority w:val="1"/>
    <w:unhideWhenUsed/>
    <w:qFormat/>
  </w:style>
  <w:style w:type="table" w:styleId="862" w:customStyle="1">
    <w:name w:val="普通表格1"/>
    <w:uiPriority w:val="99"/>
    <w:unhideWhenUsed/>
    <w:qFormat/>
    <w:tblPr/>
  </w:style>
  <w:style w:type="character" w:styleId="863" w:customStyle="1">
    <w:name w:val="标题 1 Char"/>
    <w:link w:val="851"/>
    <w:uiPriority w:val="0"/>
    <w:qFormat/>
    <w:rPr>
      <w:rFonts w:ascii="楷体_GB2312" w:hAnsi="Times New Roman" w:eastAsia="楷体_GB2312" w:cs="Times New Roman"/>
      <w:sz w:val="28"/>
      <w:szCs w:val="28"/>
    </w:rPr>
  </w:style>
  <w:style w:type="character" w:styleId="864" w:customStyle="1">
    <w:name w:val="标题 2 Char"/>
    <w:link w:val="852"/>
    <w:uiPriority w:val="0"/>
    <w:qFormat/>
    <w:rPr>
      <w:rFonts w:ascii="Arial" w:hAnsi="Arial" w:eastAsia="幼圆" w:cs="Arial"/>
      <w:b/>
      <w:bCs/>
      <w:sz w:val="44"/>
      <w:szCs w:val="44"/>
    </w:rPr>
  </w:style>
  <w:style w:type="character" w:styleId="865" w:customStyle="1">
    <w:name w:val="正文缩进 Char"/>
    <w:link w:val="853"/>
    <w:uiPriority w:val="0"/>
    <w:qFormat/>
    <w:rPr>
      <w:rFonts w:ascii="Times New Roman" w:hAnsi="Times New Roman" w:eastAsia="宋体" w:cs="Times New Roman"/>
      <w:szCs w:val="21"/>
    </w:rPr>
  </w:style>
  <w:style w:type="character" w:styleId="866" w:customStyle="1">
    <w:name w:val="标题 3 Char"/>
    <w:link w:val="854"/>
    <w:uiPriority w:val="0"/>
    <w:qFormat/>
    <w:rPr>
      <w:rFonts w:ascii="Times New Roman" w:hAnsi="Times New Roman" w:eastAsia="宋体" w:cs="Times New Roman"/>
      <w:b/>
      <w:bCs/>
      <w:sz w:val="32"/>
      <w:szCs w:val="32"/>
    </w:rPr>
  </w:style>
  <w:style w:type="character" w:styleId="867" w:customStyle="1">
    <w:name w:val="标题 4 Char"/>
    <w:link w:val="855"/>
    <w:uiPriority w:val="0"/>
    <w:qFormat/>
    <w:rPr>
      <w:rFonts w:ascii="Arial" w:hAnsi="Arial" w:eastAsia="黑体" w:cs="Arial"/>
      <w:b/>
      <w:bCs/>
      <w:sz w:val="28"/>
      <w:szCs w:val="28"/>
    </w:rPr>
  </w:style>
  <w:style w:type="character" w:styleId="868" w:customStyle="1">
    <w:name w:val="标题 5 Char"/>
    <w:link w:val="856"/>
    <w:uiPriority w:val="0"/>
    <w:qFormat/>
    <w:rPr>
      <w:rFonts w:ascii="宋体" w:hAnsi="Times New Roman" w:eastAsia="宋体" w:cs="Times New Roman"/>
      <w:color w:val="000000"/>
      <w:sz w:val="28"/>
      <w:szCs w:val="28"/>
    </w:rPr>
  </w:style>
  <w:style w:type="character" w:styleId="869" w:customStyle="1">
    <w:name w:val="标题 6 Char"/>
    <w:link w:val="857"/>
    <w:uiPriority w:val="0"/>
    <w:qFormat/>
    <w:rPr>
      <w:rFonts w:ascii="Arial" w:hAnsi="Arial" w:eastAsia="黑体" w:cs="Times New Roman"/>
      <w:b/>
      <w:bCs/>
      <w:sz w:val="24"/>
      <w:szCs w:val="24"/>
    </w:rPr>
  </w:style>
  <w:style w:type="character" w:styleId="870" w:customStyle="1">
    <w:name w:val="标题 7 Char"/>
    <w:link w:val="858"/>
    <w:uiPriority w:val="0"/>
    <w:qFormat/>
    <w:rPr>
      <w:rFonts w:ascii="Times New Roman" w:hAnsi="Times New Roman" w:eastAsia="宋体" w:cs="Times New Roman"/>
      <w:b/>
      <w:bCs/>
      <w:sz w:val="24"/>
      <w:szCs w:val="24"/>
    </w:rPr>
  </w:style>
  <w:style w:type="character" w:styleId="871" w:customStyle="1">
    <w:name w:val="标题 8 Char"/>
    <w:link w:val="859"/>
    <w:uiPriority w:val="0"/>
    <w:qFormat/>
    <w:rPr>
      <w:rFonts w:ascii="Arial" w:hAnsi="Arial" w:eastAsia="黑体" w:cs="Times New Roman"/>
      <w:sz w:val="24"/>
      <w:szCs w:val="24"/>
    </w:rPr>
  </w:style>
  <w:style w:type="character" w:styleId="872" w:customStyle="1">
    <w:name w:val="标题 9 Char"/>
    <w:link w:val="860"/>
    <w:uiPriority w:val="0"/>
    <w:qFormat/>
    <w:rPr>
      <w:rFonts w:ascii="Arial" w:hAnsi="Arial" w:eastAsia="黑体" w:cs="Times New Roman"/>
      <w:szCs w:val="21"/>
    </w:rPr>
  </w:style>
  <w:style w:type="paragraph" w:styleId="873" w:customStyle="1">
    <w:name w:val="列表 31"/>
    <w:basedOn w:val="668"/>
    <w:uiPriority w:val="0"/>
    <w:qFormat/>
    <w:pPr>
      <w:ind w:left="100" w:hanging="200"/>
    </w:pPr>
  </w:style>
  <w:style w:type="paragraph" w:styleId="874" w:customStyle="1">
    <w:name w:val="目录 71"/>
    <w:basedOn w:val="668"/>
    <w:next w:val="668"/>
    <w:uiPriority w:val="0"/>
    <w:semiHidden/>
    <w:qFormat/>
    <w:pPr>
      <w:ind w:left="1260"/>
      <w:jc w:val="left"/>
    </w:pPr>
  </w:style>
  <w:style w:type="paragraph" w:styleId="875" w:customStyle="1">
    <w:name w:val="文档结构图1"/>
    <w:basedOn w:val="668"/>
    <w:link w:val="876"/>
    <w:uiPriority w:val="0"/>
    <w:semiHidden/>
    <w:qFormat/>
    <w:pPr>
      <w:shd w:val="clear" w:color="auto" w:fill="000080"/>
    </w:pPr>
    <w:rPr>
      <w:sz w:val="20"/>
    </w:rPr>
  </w:style>
  <w:style w:type="character" w:styleId="876" w:customStyle="1">
    <w:name w:val="文档结构图 Char"/>
    <w:link w:val="875"/>
    <w:uiPriority w:val="0"/>
    <w:semiHidden/>
    <w:qFormat/>
    <w:rPr>
      <w:rFonts w:ascii="Times New Roman" w:hAnsi="Times New Roman" w:eastAsia="宋体" w:cs="Times New Roman"/>
      <w:szCs w:val="21"/>
      <w:shd w:val="clear" w:color="auto" w:fill="000080"/>
    </w:rPr>
  </w:style>
  <w:style w:type="paragraph" w:styleId="877" w:customStyle="1">
    <w:name w:val="批注文字1"/>
    <w:basedOn w:val="668"/>
    <w:link w:val="878"/>
    <w:uiPriority w:val="0"/>
    <w:semiHidden/>
    <w:qFormat/>
    <w:pPr>
      <w:jc w:val="left"/>
    </w:pPr>
    <w:rPr>
      <w:sz w:val="20"/>
    </w:rPr>
  </w:style>
  <w:style w:type="character" w:styleId="878" w:customStyle="1">
    <w:name w:val="批注文字 Char"/>
    <w:link w:val="877"/>
    <w:uiPriority w:val="0"/>
    <w:semiHidden/>
    <w:qFormat/>
    <w:rPr>
      <w:rFonts w:ascii="Times New Roman" w:hAnsi="Times New Roman" w:eastAsia="宋体" w:cs="Times New Roman"/>
      <w:szCs w:val="21"/>
    </w:rPr>
  </w:style>
  <w:style w:type="paragraph" w:styleId="879" w:customStyle="1">
    <w:name w:val="正文文本 31"/>
    <w:basedOn w:val="668"/>
    <w:link w:val="880"/>
    <w:uiPriority w:val="0"/>
    <w:qFormat/>
    <w:rPr>
      <w:rFonts w:ascii="仿宋_GB2312" w:hAnsi="Arial" w:eastAsia="仿宋_GB2312"/>
      <w:sz w:val="32"/>
      <w:szCs w:val="32"/>
    </w:rPr>
  </w:style>
  <w:style w:type="character" w:styleId="880" w:customStyle="1">
    <w:name w:val="正文文本 3 Char"/>
    <w:link w:val="879"/>
    <w:uiPriority w:val="0"/>
    <w:qFormat/>
    <w:rPr>
      <w:rFonts w:ascii="仿宋_GB2312" w:hAnsi="Arial" w:eastAsia="仿宋_GB2312" w:cs="Times New Roman"/>
      <w:sz w:val="32"/>
      <w:szCs w:val="32"/>
    </w:rPr>
  </w:style>
  <w:style w:type="paragraph" w:styleId="881" w:customStyle="1">
    <w:name w:val="正文文本1"/>
    <w:basedOn w:val="668"/>
    <w:link w:val="882"/>
    <w:uiPriority w:val="0"/>
    <w:qFormat/>
    <w:rPr>
      <w:rFonts w:ascii="楷体_GB2312" w:hAnsi="Arial" w:eastAsia="楷体_GB2312"/>
      <w:sz w:val="28"/>
      <w:szCs w:val="28"/>
    </w:rPr>
  </w:style>
  <w:style w:type="character" w:styleId="882" w:customStyle="1">
    <w:name w:val="正文文本 Char"/>
    <w:link w:val="881"/>
    <w:uiPriority w:val="0"/>
    <w:qFormat/>
    <w:rPr>
      <w:rFonts w:ascii="楷体_GB2312" w:hAnsi="Arial" w:eastAsia="楷体_GB2312" w:cs="Times New Roman"/>
      <w:sz w:val="28"/>
      <w:szCs w:val="28"/>
    </w:rPr>
  </w:style>
  <w:style w:type="paragraph" w:styleId="883" w:customStyle="1">
    <w:name w:val="正文文本缩进1"/>
    <w:basedOn w:val="668"/>
    <w:link w:val="884"/>
    <w:uiPriority w:val="0"/>
    <w:qFormat/>
    <w:pPr>
      <w:ind w:firstLine="645"/>
    </w:pPr>
    <w:rPr>
      <w:rFonts w:ascii="楷体_GB2312" w:eastAsia="楷体_GB2312"/>
      <w:sz w:val="32"/>
      <w:szCs w:val="32"/>
    </w:rPr>
  </w:style>
  <w:style w:type="character" w:styleId="884" w:customStyle="1">
    <w:name w:val="正文文本缩进 Char"/>
    <w:link w:val="883"/>
    <w:uiPriority w:val="0"/>
    <w:qFormat/>
    <w:rPr>
      <w:rFonts w:ascii="楷体_GB2312" w:hAnsi="Times New Roman" w:eastAsia="楷体_GB2312" w:cs="Times New Roman"/>
      <w:sz w:val="32"/>
      <w:szCs w:val="32"/>
    </w:rPr>
  </w:style>
  <w:style w:type="paragraph" w:styleId="885" w:customStyle="1">
    <w:name w:val="列表 21"/>
    <w:basedOn w:val="668"/>
    <w:uiPriority w:val="0"/>
    <w:qFormat/>
    <w:pPr>
      <w:ind w:left="100" w:hanging="200"/>
    </w:pPr>
  </w:style>
  <w:style w:type="paragraph" w:styleId="886" w:customStyle="1">
    <w:name w:val="目录 51"/>
    <w:basedOn w:val="668"/>
    <w:next w:val="668"/>
    <w:uiPriority w:val="0"/>
    <w:semiHidden/>
    <w:qFormat/>
    <w:pPr>
      <w:ind w:left="840"/>
      <w:jc w:val="left"/>
    </w:pPr>
  </w:style>
  <w:style w:type="paragraph" w:styleId="887" w:customStyle="1">
    <w:name w:val="目录 31"/>
    <w:basedOn w:val="668"/>
    <w:next w:val="668"/>
    <w:uiPriority w:val="0"/>
    <w:semiHidden/>
    <w:qFormat/>
    <w:pPr>
      <w:ind w:left="420"/>
      <w:jc w:val="left"/>
    </w:pPr>
    <w:rPr>
      <w:i/>
      <w:iCs/>
      <w:szCs w:val="24"/>
    </w:rPr>
  </w:style>
  <w:style w:type="paragraph" w:styleId="888" w:customStyle="1">
    <w:name w:val="纯文本1"/>
    <w:basedOn w:val="668"/>
    <w:link w:val="889"/>
    <w:uiPriority w:val="0"/>
    <w:qFormat/>
    <w:rPr>
      <w:rFonts w:ascii="宋体" w:hAnsi="Courier New"/>
      <w:sz w:val="20"/>
    </w:rPr>
  </w:style>
  <w:style w:type="character" w:styleId="889" w:customStyle="1">
    <w:name w:val="纯文本 Char"/>
    <w:link w:val="888"/>
    <w:uiPriority w:val="0"/>
    <w:qFormat/>
    <w:rPr>
      <w:rFonts w:ascii="宋体" w:hAnsi="Courier New" w:eastAsia="宋体" w:cs="Courier New"/>
      <w:szCs w:val="21"/>
    </w:rPr>
  </w:style>
  <w:style w:type="paragraph" w:styleId="890" w:customStyle="1">
    <w:name w:val="目录 81"/>
    <w:basedOn w:val="668"/>
    <w:next w:val="668"/>
    <w:uiPriority w:val="0"/>
    <w:semiHidden/>
    <w:qFormat/>
    <w:pPr>
      <w:ind w:left="1470"/>
      <w:jc w:val="left"/>
    </w:pPr>
  </w:style>
  <w:style w:type="paragraph" w:styleId="891" w:customStyle="1">
    <w:name w:val="日期1"/>
    <w:basedOn w:val="668"/>
    <w:next w:val="668"/>
    <w:link w:val="892"/>
    <w:uiPriority w:val="0"/>
    <w:qFormat/>
    <w:rPr>
      <w:sz w:val="24"/>
      <w:szCs w:val="24"/>
    </w:rPr>
  </w:style>
  <w:style w:type="character" w:styleId="892" w:customStyle="1">
    <w:name w:val="日期 Char"/>
    <w:link w:val="891"/>
    <w:uiPriority w:val="0"/>
    <w:qFormat/>
    <w:rPr>
      <w:rFonts w:ascii="Times New Roman" w:hAnsi="Times New Roman" w:eastAsia="宋体" w:cs="Times New Roman"/>
      <w:sz w:val="24"/>
      <w:szCs w:val="24"/>
    </w:rPr>
  </w:style>
  <w:style w:type="paragraph" w:styleId="893" w:customStyle="1">
    <w:name w:val="正文文本缩进 21"/>
    <w:basedOn w:val="668"/>
    <w:link w:val="894"/>
    <w:uiPriority w:val="0"/>
    <w:qFormat/>
    <w:pPr>
      <w:ind w:left="630" w:firstLine="645"/>
    </w:pPr>
    <w:rPr>
      <w:rFonts w:ascii="Arial" w:hAnsi="Arial" w:eastAsia="仿宋_GB2312"/>
      <w:sz w:val="32"/>
      <w:szCs w:val="32"/>
    </w:rPr>
  </w:style>
  <w:style w:type="character" w:styleId="894" w:customStyle="1">
    <w:name w:val="正文文本缩进 2 Char"/>
    <w:link w:val="893"/>
    <w:uiPriority w:val="0"/>
    <w:qFormat/>
    <w:rPr>
      <w:rFonts w:ascii="Arial" w:hAnsi="Arial" w:eastAsia="仿宋_GB2312" w:cs="Arial"/>
      <w:sz w:val="32"/>
      <w:szCs w:val="32"/>
    </w:rPr>
  </w:style>
  <w:style w:type="paragraph" w:styleId="895" w:customStyle="1">
    <w:name w:val="批注框文本1"/>
    <w:basedOn w:val="668"/>
    <w:link w:val="896"/>
    <w:uiPriority w:val="0"/>
    <w:semiHidden/>
    <w:qFormat/>
    <w:rPr>
      <w:sz w:val="18"/>
      <w:szCs w:val="18"/>
    </w:rPr>
  </w:style>
  <w:style w:type="character" w:styleId="896" w:customStyle="1">
    <w:name w:val="批注框文本 Char"/>
    <w:link w:val="895"/>
    <w:uiPriority w:val="0"/>
    <w:semiHidden/>
    <w:qFormat/>
    <w:rPr>
      <w:rFonts w:ascii="Times New Roman" w:hAnsi="Times New Roman" w:eastAsia="宋体" w:cs="Times New Roman"/>
      <w:sz w:val="18"/>
      <w:szCs w:val="18"/>
    </w:rPr>
  </w:style>
  <w:style w:type="paragraph" w:styleId="897" w:customStyle="1">
    <w:name w:val="页脚1"/>
    <w:basedOn w:val="668"/>
    <w:link w:val="898"/>
    <w:uiPriority w:val="0"/>
    <w:qFormat/>
    <w:pPr>
      <w:jc w:val="left"/>
      <w:tabs>
        <w:tab w:val="center" w:pos="4153" w:leader="none"/>
        <w:tab w:val="right" w:pos="8306" w:leader="none"/>
      </w:tabs>
    </w:pPr>
    <w:rPr>
      <w:sz w:val="18"/>
      <w:szCs w:val="18"/>
    </w:rPr>
  </w:style>
  <w:style w:type="character" w:styleId="898" w:customStyle="1">
    <w:name w:val="页脚 Char"/>
    <w:link w:val="897"/>
    <w:uiPriority w:val="0"/>
    <w:qFormat/>
    <w:rPr>
      <w:rFonts w:ascii="Times New Roman" w:hAnsi="Times New Roman" w:eastAsia="宋体" w:cs="Times New Roman"/>
      <w:sz w:val="18"/>
      <w:szCs w:val="18"/>
    </w:rPr>
  </w:style>
  <w:style w:type="paragraph" w:styleId="899" w:customStyle="1">
    <w:name w:val="页眉1"/>
    <w:basedOn w:val="668"/>
    <w:link w:val="900"/>
    <w:uiPriority w:val="99"/>
    <w:qFormat/>
    <w:pPr>
      <w:jc w:val="center"/>
      <w:tabs>
        <w:tab w:val="center" w:pos="4153" w:leader="none"/>
        <w:tab w:val="right" w:pos="8306" w:leader="none"/>
      </w:tabs>
      <w:pBdr>
        <w:bottom w:val="single" w:color="000000" w:sz="6" w:space="1"/>
      </w:pBdr>
    </w:pPr>
    <w:rPr>
      <w:sz w:val="18"/>
      <w:szCs w:val="18"/>
    </w:rPr>
  </w:style>
  <w:style w:type="character" w:styleId="900" w:customStyle="1">
    <w:name w:val="页眉 Char"/>
    <w:link w:val="899"/>
    <w:uiPriority w:val="99"/>
    <w:qFormat/>
    <w:rPr>
      <w:rFonts w:ascii="Times New Roman" w:hAnsi="Times New Roman" w:eastAsia="宋体" w:cs="Times New Roman"/>
      <w:sz w:val="18"/>
      <w:szCs w:val="18"/>
    </w:rPr>
  </w:style>
  <w:style w:type="paragraph" w:styleId="901" w:customStyle="1">
    <w:name w:val="目录 11"/>
    <w:basedOn w:val="668"/>
    <w:next w:val="668"/>
    <w:uiPriority w:val="0"/>
    <w:semiHidden/>
    <w:qFormat/>
    <w:pPr>
      <w:jc w:val="left"/>
      <w:spacing w:before="120" w:after="120" w:line="400" w:lineRule="exact"/>
      <w:tabs>
        <w:tab w:val="right" w:pos="8720" w:leader="dot"/>
      </w:tabs>
    </w:pPr>
    <w:rPr>
      <w:rFonts w:ascii="宋体" w:hAnsi="宋体"/>
      <w:caps/>
      <w:sz w:val="24"/>
      <w:szCs w:val="24"/>
    </w:rPr>
  </w:style>
  <w:style w:type="paragraph" w:styleId="902" w:customStyle="1">
    <w:name w:val="目录 41"/>
    <w:basedOn w:val="668"/>
    <w:next w:val="668"/>
    <w:uiPriority w:val="0"/>
    <w:semiHidden/>
    <w:qFormat/>
    <w:pPr>
      <w:ind w:left="630"/>
      <w:jc w:val="left"/>
    </w:pPr>
  </w:style>
  <w:style w:type="paragraph" w:styleId="903" w:customStyle="1">
    <w:name w:val="列表1"/>
    <w:basedOn w:val="668"/>
    <w:uiPriority w:val="0"/>
    <w:qFormat/>
    <w:pPr>
      <w:ind w:left="200" w:hanging="200"/>
    </w:pPr>
  </w:style>
  <w:style w:type="paragraph" w:styleId="904" w:customStyle="1">
    <w:name w:val="目录 61"/>
    <w:basedOn w:val="668"/>
    <w:next w:val="668"/>
    <w:uiPriority w:val="0"/>
    <w:semiHidden/>
    <w:qFormat/>
    <w:pPr>
      <w:ind w:left="1050"/>
      <w:jc w:val="left"/>
    </w:pPr>
  </w:style>
  <w:style w:type="paragraph" w:styleId="905" w:customStyle="1">
    <w:name w:val="正文文本缩进 31"/>
    <w:basedOn w:val="668"/>
    <w:link w:val="906"/>
    <w:uiPriority w:val="0"/>
    <w:qFormat/>
    <w:pPr>
      <w:ind w:left="645" w:firstLine="645"/>
    </w:pPr>
    <w:rPr>
      <w:rFonts w:ascii="Arial" w:hAnsi="Arial" w:eastAsia="仿宋_GB2312"/>
      <w:color w:val="ffff00"/>
      <w:sz w:val="32"/>
      <w:szCs w:val="32"/>
    </w:rPr>
  </w:style>
  <w:style w:type="character" w:styleId="906" w:customStyle="1">
    <w:name w:val="正文文本缩进 3 Char"/>
    <w:link w:val="905"/>
    <w:uiPriority w:val="0"/>
    <w:qFormat/>
    <w:rPr>
      <w:rFonts w:ascii="Arial" w:hAnsi="Arial" w:eastAsia="仿宋_GB2312" w:cs="Arial"/>
      <w:color w:val="ffff00"/>
      <w:sz w:val="32"/>
      <w:szCs w:val="32"/>
    </w:rPr>
  </w:style>
  <w:style w:type="paragraph" w:styleId="907" w:customStyle="1">
    <w:name w:val="图表目录1"/>
    <w:basedOn w:val="668"/>
    <w:next w:val="668"/>
    <w:uiPriority w:val="0"/>
    <w:semiHidden/>
    <w:qFormat/>
    <w:pPr>
      <w:ind w:left="840" w:hanging="420"/>
    </w:pPr>
  </w:style>
  <w:style w:type="paragraph" w:styleId="908" w:customStyle="1">
    <w:name w:val="目录 21"/>
    <w:basedOn w:val="668"/>
    <w:next w:val="668"/>
    <w:uiPriority w:val="0"/>
    <w:semiHidden/>
    <w:qFormat/>
    <w:pPr>
      <w:ind w:left="210"/>
      <w:jc w:val="left"/>
    </w:pPr>
    <w:rPr>
      <w:smallCaps/>
      <w:szCs w:val="24"/>
    </w:rPr>
  </w:style>
  <w:style w:type="paragraph" w:styleId="909" w:customStyle="1">
    <w:name w:val="目录 91"/>
    <w:basedOn w:val="668"/>
    <w:next w:val="668"/>
    <w:uiPriority w:val="0"/>
    <w:semiHidden/>
    <w:qFormat/>
    <w:pPr>
      <w:ind w:left="1680"/>
      <w:jc w:val="left"/>
    </w:pPr>
  </w:style>
  <w:style w:type="paragraph" w:styleId="910" w:customStyle="1">
    <w:name w:val="正文文本 21"/>
    <w:basedOn w:val="668"/>
    <w:link w:val="911"/>
    <w:uiPriority w:val="0"/>
    <w:qFormat/>
    <w:pPr>
      <w:jc w:val="center"/>
      <w:widowControl/>
    </w:pPr>
    <w:rPr>
      <w:rFonts w:ascii="楷体_GB2312" w:eastAsia="楷体_GB2312"/>
      <w:sz w:val="28"/>
      <w:szCs w:val="28"/>
    </w:rPr>
  </w:style>
  <w:style w:type="character" w:styleId="911" w:customStyle="1">
    <w:name w:val="正文文本 2 Char"/>
    <w:link w:val="910"/>
    <w:uiPriority w:val="0"/>
    <w:qFormat/>
    <w:rPr>
      <w:rFonts w:ascii="楷体_GB2312" w:hAnsi="Times New Roman" w:eastAsia="楷体_GB2312" w:cs="Times New Roman"/>
      <w:sz w:val="28"/>
      <w:szCs w:val="28"/>
    </w:rPr>
  </w:style>
  <w:style w:type="paragraph" w:styleId="912" w:customStyle="1">
    <w:name w:val="HTML 预设格式1"/>
    <w:basedOn w:val="668"/>
    <w:link w:val="913"/>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913" w:customStyle="1">
    <w:name w:val="HTML 预设格式 Char"/>
    <w:basedOn w:val="861"/>
    <w:link w:val="912"/>
    <w:uiPriority w:val="99"/>
    <w:semiHidden/>
    <w:qFormat/>
    <w:rPr>
      <w:rFonts w:ascii="宋体" w:hAnsi="宋体" w:cs="宋体"/>
      <w:sz w:val="24"/>
      <w:szCs w:val="24"/>
    </w:rPr>
  </w:style>
  <w:style w:type="paragraph" w:styleId="914" w:customStyle="1">
    <w:name w:val="普通(网站)1"/>
    <w:basedOn w:val="668"/>
    <w:uiPriority w:val="99"/>
    <w:qFormat/>
    <w:pPr>
      <w:jc w:val="left"/>
      <w:spacing w:before="100" w:beforeAutospacing="1" w:after="100" w:afterAutospacing="1"/>
      <w:widowControl/>
    </w:pPr>
    <w:rPr>
      <w:rFonts w:ascii="宋体" w:hAnsi="宋体" w:cs="宋体"/>
      <w:sz w:val="24"/>
      <w:szCs w:val="24"/>
    </w:rPr>
  </w:style>
  <w:style w:type="paragraph" w:styleId="915" w:customStyle="1">
    <w:name w:val="索引 11"/>
    <w:basedOn w:val="668"/>
    <w:next w:val="668"/>
    <w:uiPriority w:val="0"/>
    <w:semiHidden/>
    <w:qFormat/>
    <w:pPr>
      <w:spacing w:line="240" w:lineRule="atLeast"/>
    </w:pPr>
    <w:rPr>
      <w:b/>
      <w:bCs/>
    </w:rPr>
  </w:style>
  <w:style w:type="paragraph" w:styleId="916" w:customStyle="1">
    <w:name w:val="批注主题1"/>
    <w:basedOn w:val="877"/>
    <w:next w:val="877"/>
    <w:link w:val="917"/>
    <w:uiPriority w:val="0"/>
    <w:semiHidden/>
    <w:qFormat/>
    <w:rPr>
      <w:b/>
      <w:bCs/>
    </w:rPr>
  </w:style>
  <w:style w:type="character" w:styleId="917" w:customStyle="1">
    <w:name w:val="批注主题 Char"/>
    <w:link w:val="916"/>
    <w:uiPriority w:val="0"/>
    <w:semiHidden/>
    <w:qFormat/>
    <w:rPr>
      <w:rFonts w:ascii="Times New Roman" w:hAnsi="Times New Roman" w:eastAsia="宋体" w:cs="Times New Roman"/>
      <w:b/>
      <w:bCs/>
      <w:szCs w:val="21"/>
    </w:rPr>
  </w:style>
  <w:style w:type="paragraph" w:styleId="918" w:customStyle="1">
    <w:name w:val="正文首行缩进1"/>
    <w:basedOn w:val="668"/>
    <w:link w:val="919"/>
    <w:uiPriority w:val="0"/>
    <w:qFormat/>
    <w:pPr>
      <w:ind w:firstLine="200"/>
      <w:spacing w:line="360" w:lineRule="auto"/>
    </w:pPr>
    <w:rPr>
      <w:rFonts w:ascii="仿宋_GB2312" w:eastAsia="仿宋_GB2312"/>
      <w:sz w:val="30"/>
      <w:szCs w:val="30"/>
    </w:rPr>
  </w:style>
  <w:style w:type="character" w:styleId="919" w:customStyle="1">
    <w:name w:val="正文首行缩进 Char"/>
    <w:link w:val="918"/>
    <w:uiPriority w:val="0"/>
    <w:qFormat/>
    <w:rPr>
      <w:rFonts w:ascii="仿宋_GB2312" w:hAnsi="Times New Roman" w:eastAsia="仿宋_GB2312" w:cs="Times New Roman"/>
      <w:sz w:val="30"/>
      <w:szCs w:val="30"/>
    </w:rPr>
  </w:style>
  <w:style w:type="paragraph" w:styleId="920" w:customStyle="1">
    <w:name w:val="正文首行缩进 21"/>
    <w:basedOn w:val="883"/>
    <w:link w:val="921"/>
    <w:uiPriority w:val="0"/>
    <w:qFormat/>
    <w:pPr>
      <w:ind w:firstLine="420"/>
      <w:spacing w:line="360" w:lineRule="auto"/>
    </w:pPr>
    <w:rPr>
      <w:rFonts w:ascii="宋体" w:hAnsi="宋体" w:eastAsia="宋体"/>
      <w:szCs w:val="20"/>
    </w:rPr>
  </w:style>
  <w:style w:type="character" w:styleId="921" w:customStyle="1">
    <w:name w:val="正文首行缩进 2 Char"/>
    <w:link w:val="920"/>
    <w:uiPriority w:val="0"/>
    <w:qFormat/>
    <w:rPr>
      <w:rFonts w:ascii="宋体" w:hAnsi="宋体" w:eastAsia="宋体" w:cs="Times New Roman"/>
      <w:sz w:val="32"/>
      <w:szCs w:val="20"/>
    </w:rPr>
  </w:style>
  <w:style w:type="table" w:styleId="922" w:customStyle="1">
    <w:name w:val="网格型1"/>
    <w:basedOn w:val="862"/>
    <w:uiPriority w:val="0"/>
    <w:qFormat/>
    <w:pPr>
      <w:jc w:val="both"/>
      <w:widowControl w:val="off"/>
    </w:pPr>
    <w:rPr>
      <w:rFonts w:ascii="Times New Roman" w:hAnsi="Times New Roman" w:eastAsia="宋体" w:cs="Times New Roman"/>
      <w:sz w:val="20"/>
      <w:szCs w:val="20"/>
    </w:rPr>
    <w:tblPr/>
  </w:style>
  <w:style w:type="character" w:styleId="923" w:customStyle="1">
    <w:name w:val="要点1"/>
    <w:link w:val="668"/>
    <w:uiPriority w:val="0"/>
    <w:qFormat/>
    <w:rPr>
      <w:b/>
      <w:bCs/>
    </w:rPr>
  </w:style>
  <w:style w:type="character" w:styleId="924" w:customStyle="1">
    <w:name w:val="页码1"/>
    <w:link w:val="668"/>
    <w:uiPriority w:val="0"/>
    <w:qFormat/>
  </w:style>
  <w:style w:type="character" w:styleId="925" w:customStyle="1">
    <w:name w:val="已访问的超链接1"/>
    <w:link w:val="668"/>
    <w:uiPriority w:val="0"/>
    <w:qFormat/>
    <w:rPr>
      <w:color w:val="800080"/>
      <w:u w:val="single"/>
    </w:rPr>
  </w:style>
  <w:style w:type="character" w:styleId="926" w:customStyle="1">
    <w:name w:val="HTML 打字机1"/>
    <w:link w:val="668"/>
    <w:uiPriority w:val="99"/>
    <w:qFormat/>
    <w:rPr>
      <w:rFonts w:ascii="宋体" w:hAnsi="宋体" w:eastAsia="宋体" w:cs="宋体"/>
      <w:sz w:val="24"/>
      <w:szCs w:val="24"/>
    </w:rPr>
  </w:style>
  <w:style w:type="character" w:styleId="927" w:customStyle="1">
    <w:name w:val="超链接1"/>
    <w:link w:val="668"/>
    <w:uiPriority w:val="0"/>
    <w:qFormat/>
    <w:rPr>
      <w:color w:val="0000ff"/>
      <w:u w:val="single"/>
    </w:rPr>
  </w:style>
  <w:style w:type="character" w:styleId="928" w:customStyle="1">
    <w:name w:val="批注引用1"/>
    <w:link w:val="668"/>
    <w:uiPriority w:val="0"/>
    <w:semiHidden/>
    <w:qFormat/>
    <w:rPr>
      <w:sz w:val="21"/>
      <w:szCs w:val="21"/>
    </w:rPr>
  </w:style>
  <w:style w:type="character" w:styleId="929" w:customStyle="1">
    <w:name w:val="font5 Char"/>
    <w:link w:val="668"/>
    <w:uiPriority w:val="0"/>
    <w:qFormat/>
    <w:rPr>
      <w:rFonts w:ascii="宋体" w:hAnsi="宋体" w:eastAsia="宋体"/>
      <w:sz w:val="28"/>
      <w:szCs w:val="28"/>
      <w:lang w:val="en-US" w:eastAsia="zh-CN" w:bidi="ar-SA"/>
    </w:rPr>
  </w:style>
  <w:style w:type="character" w:styleId="930" w:customStyle="1">
    <w:name w:val="二级目录 Char"/>
    <w:link w:val="931"/>
    <w:uiPriority w:val="0"/>
    <w:qFormat/>
    <w:rPr>
      <w:b/>
      <w:sz w:val="30"/>
      <w:szCs w:val="28"/>
      <w:lang w:val="en-US" w:eastAsia="zh-CN" w:bidi="ar-SA"/>
    </w:rPr>
  </w:style>
  <w:style w:type="paragraph" w:styleId="931" w:customStyle="1">
    <w:name w:val="二级目录"/>
    <w:next w:val="668"/>
    <w:link w:val="930"/>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32" w:customStyle="1">
    <w:name w:val="列出段落 Char"/>
    <w:link w:val="933"/>
    <w:uiPriority w:val="0"/>
    <w:qFormat/>
    <w:rPr>
      <w:rFonts w:ascii="Calibri" w:hAnsi="Calibri"/>
      <w:sz w:val="24"/>
      <w:szCs w:val="24"/>
      <w:lang w:eastAsia="en-US" w:bidi="en-US"/>
    </w:rPr>
  </w:style>
  <w:style w:type="paragraph" w:styleId="933" w:customStyle="1">
    <w:name w:val="列出段落1"/>
    <w:basedOn w:val="668"/>
    <w:link w:val="932"/>
    <w:uiPriority w:val="0"/>
    <w:qFormat/>
    <w:pPr>
      <w:contextualSpacing/>
      <w:ind w:left="720"/>
      <w:jc w:val="left"/>
      <w:widowControl/>
    </w:pPr>
    <w:rPr>
      <w:rFonts w:ascii="Calibri" w:hAnsi="Calibri"/>
      <w:sz w:val="24"/>
      <w:szCs w:val="24"/>
      <w:lang w:eastAsia="en-US" w:bidi="en-US"/>
    </w:rPr>
  </w:style>
  <w:style w:type="paragraph" w:styleId="934" w:customStyle="1">
    <w:name w:val="Body Text(ch)"/>
    <w:basedOn w:val="668"/>
    <w:next w:val="881"/>
    <w:uiPriority w:val="0"/>
    <w:qFormat/>
    <w:pPr>
      <w:spacing w:after="120"/>
    </w:pPr>
    <w:rPr>
      <w:rFonts w:ascii="宋体" w:hAnsi="Arial"/>
      <w:bCs/>
      <w:iCs/>
      <w:szCs w:val="24"/>
    </w:rPr>
  </w:style>
  <w:style w:type="paragraph" w:styleId="935" w:customStyle="1">
    <w:name w:val="xl27"/>
    <w:basedOn w:val="6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6" w:customStyle="1">
    <w:name w:val="xl26"/>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37" w:customStyle="1">
    <w:name w:val="Char"/>
    <w:basedOn w:val="668"/>
    <w:uiPriority w:val="0"/>
    <w:qFormat/>
    <w:pPr>
      <w:ind w:firstLine="200"/>
      <w:tabs>
        <w:tab w:val="left" w:pos="360" w:leader="none"/>
      </w:tabs>
    </w:pPr>
    <w:rPr>
      <w:sz w:val="28"/>
      <w:szCs w:val="30"/>
    </w:rPr>
  </w:style>
  <w:style w:type="paragraph" w:styleId="938" w:customStyle="1">
    <w:name w:val=" Char"/>
    <w:basedOn w:val="875"/>
    <w:uiPriority w:val="0"/>
    <w:qFormat/>
    <w:rPr>
      <w:rFonts w:ascii="Tahoma" w:hAnsi="Tahoma"/>
      <w:sz w:val="24"/>
      <w:szCs w:val="24"/>
    </w:rPr>
  </w:style>
  <w:style w:type="paragraph" w:styleId="939" w:customStyle="1">
    <w:name w:val="普通正文"/>
    <w:basedOn w:val="668"/>
    <w:uiPriority w:val="0"/>
    <w:qFormat/>
    <w:pPr>
      <w:ind w:firstLine="480"/>
      <w:jc w:val="left"/>
      <w:spacing w:before="120" w:after="120" w:line="360" w:lineRule="auto"/>
    </w:pPr>
    <w:rPr>
      <w:rFonts w:ascii="Arial" w:hAnsi="Arial"/>
      <w:sz w:val="24"/>
      <w:szCs w:val="24"/>
    </w:rPr>
  </w:style>
  <w:style w:type="paragraph" w:styleId="940" w:customStyle="1">
    <w:name w:val="table_lines"/>
    <w:basedOn w:val="668"/>
    <w:uiPriority w:val="0"/>
    <w:qFormat/>
    <w:pPr>
      <w:jc w:val="left"/>
      <w:widowControl/>
    </w:pPr>
    <w:rPr>
      <w:sz w:val="20"/>
      <w:szCs w:val="20"/>
      <w:lang w:val="de-DE" w:eastAsia="de-DE"/>
    </w:rPr>
  </w:style>
  <w:style w:type="paragraph" w:styleId="941"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42" w:customStyle="1">
    <w:name w:val="font7"/>
    <w:basedOn w:val="668"/>
    <w:uiPriority w:val="0"/>
    <w:qFormat/>
    <w:pPr>
      <w:jc w:val="left"/>
      <w:spacing w:before="100" w:beforeAutospacing="1" w:after="100" w:afterAutospacing="1"/>
      <w:widowControl/>
    </w:pPr>
    <w:rPr>
      <w:rFonts w:hint="eastAsia" w:ascii="宋体" w:hAnsi="宋体"/>
      <w:sz w:val="18"/>
      <w:szCs w:val="18"/>
    </w:rPr>
  </w:style>
  <w:style w:type="paragraph" w:styleId="943" w:customStyle="1">
    <w:name w:val=" Char Char Char Char"/>
    <w:basedOn w:val="875"/>
    <w:uiPriority w:val="0"/>
    <w:qFormat/>
    <w:pPr>
      <w:spacing w:line="360" w:lineRule="auto"/>
    </w:pPr>
    <w:rPr>
      <w:rFonts w:ascii="Tahoma" w:hAnsi="Tahoma"/>
      <w:sz w:val="24"/>
      <w:szCs w:val="24"/>
    </w:rPr>
  </w:style>
  <w:style w:type="paragraph" w:styleId="944" w:customStyle="1">
    <w:name w:val="列出段落"/>
    <w:basedOn w:val="668"/>
    <w:uiPriority w:val="99"/>
    <w:qFormat/>
    <w:pPr>
      <w:contextualSpacing/>
      <w:ind w:left="720"/>
      <w:jc w:val="left"/>
      <w:widowControl/>
    </w:pPr>
    <w:rPr>
      <w:rFonts w:ascii="Calibri" w:hAnsi="Calibri"/>
      <w:sz w:val="24"/>
      <w:szCs w:val="24"/>
      <w:lang w:eastAsia="en-US" w:bidi="en-US"/>
    </w:rPr>
  </w:style>
  <w:style w:type="paragraph" w:styleId="945" w:customStyle="1">
    <w:name w:val="4"/>
    <w:basedOn w:val="668"/>
    <w:next w:val="905"/>
    <w:uiPriority w:val="0"/>
    <w:qFormat/>
    <w:pPr>
      <w:ind w:firstLine="420"/>
      <w:spacing w:line="360" w:lineRule="auto"/>
    </w:pPr>
    <w:rPr>
      <w:color w:val="ff0000"/>
      <w:sz w:val="24"/>
      <w:szCs w:val="24"/>
    </w:rPr>
  </w:style>
  <w:style w:type="paragraph" w:styleId="946" w:customStyle="1">
    <w:name w:val="普通 (Web)"/>
    <w:basedOn w:val="668"/>
    <w:uiPriority w:val="0"/>
    <w:qFormat/>
    <w:pPr>
      <w:jc w:val="left"/>
      <w:spacing w:before="100" w:beforeAutospacing="1" w:after="100" w:afterAutospacing="1"/>
      <w:widowControl/>
    </w:pPr>
    <w:rPr>
      <w:rFonts w:ascii="宋体" w:hAnsi="宋体"/>
      <w:sz w:val="24"/>
      <w:szCs w:val="24"/>
    </w:rPr>
  </w:style>
  <w:style w:type="paragraph" w:styleId="947" w:customStyle="1">
    <w:name w:val=" Char Char Char Char Char Char Char Char Char Char"/>
    <w:basedOn w:val="668"/>
    <w:uiPriority w:val="0"/>
    <w:qFormat/>
    <w:pPr>
      <w:spacing w:line="360" w:lineRule="auto"/>
    </w:pPr>
    <w:rPr>
      <w:sz w:val="24"/>
      <w:szCs w:val="20"/>
    </w:rPr>
  </w:style>
  <w:style w:type="paragraph" w:styleId="948" w:customStyle="1">
    <w:name w:val="样式1"/>
    <w:basedOn w:val="668"/>
    <w:uiPriority w:val="0"/>
    <w:qFormat/>
    <w:pPr>
      <w:numPr>
        <w:ilvl w:val="0"/>
        <w:numId w:val="3"/>
      </w:numPr>
    </w:pPr>
    <w:rPr>
      <w:rFonts w:ascii="宋体" w:hAnsi="宋体"/>
    </w:rPr>
  </w:style>
  <w:style w:type="paragraph" w:styleId="949" w:customStyle="1">
    <w:name w:val="font6"/>
    <w:basedOn w:val="668"/>
    <w:uiPriority w:val="0"/>
    <w:qFormat/>
    <w:pPr>
      <w:jc w:val="left"/>
      <w:spacing w:before="100" w:beforeAutospacing="1" w:after="100" w:afterAutospacing="1"/>
      <w:widowControl/>
    </w:pPr>
    <w:rPr>
      <w:rFonts w:hint="eastAsia" w:ascii="宋体" w:hAnsi="宋体"/>
      <w:sz w:val="28"/>
      <w:szCs w:val="28"/>
      <w:u w:val="single"/>
    </w:rPr>
  </w:style>
  <w:style w:type="paragraph" w:styleId="950" w:customStyle="1">
    <w:name w:val="xl25"/>
    <w:basedOn w:val="66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1" w:customStyle="1">
    <w:name w:val="图标"/>
    <w:basedOn w:val="668"/>
    <w:next w:val="66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2" w:customStyle="1">
    <w:name w:val="标题3"/>
    <w:basedOn w:val="668"/>
    <w:next w:val="668"/>
    <w:uiPriority w:val="0"/>
    <w:qFormat/>
    <w:pPr>
      <w:ind w:firstLine="624"/>
      <w:spacing w:line="590" w:lineRule="atLeast"/>
    </w:pPr>
    <w:rPr>
      <w:rFonts w:ascii="方正黑体_GBK" w:eastAsia="方正黑体_GBK"/>
      <w:sz w:val="32"/>
      <w:szCs w:val="32"/>
    </w:rPr>
  </w:style>
  <w:style w:type="paragraph" w:styleId="953" w:customStyle="1">
    <w:name w:val="xl24"/>
    <w:basedOn w:val="6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4" w:customStyle="1">
    <w:name w:val="xl29"/>
    <w:basedOn w:val="66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55" w:customStyle="1">
    <w:name w:val="Char Char Char Char Char Char Char Char"/>
    <w:basedOn w:val="668"/>
    <w:uiPriority w:val="0"/>
    <w:qFormat/>
    <w:pPr>
      <w:jc w:val="left"/>
      <w:spacing w:after="160" w:line="240" w:lineRule="exact"/>
      <w:widowControl/>
    </w:pPr>
    <w:rPr>
      <w:rFonts w:ascii="Verdana" w:hAnsi="Verdana"/>
      <w:sz w:val="20"/>
      <w:szCs w:val="20"/>
      <w:lang w:eastAsia="en-US"/>
    </w:rPr>
  </w:style>
  <w:style w:type="paragraph" w:styleId="956" w:customStyle="1">
    <w:name w:val="xl28"/>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57" w:customStyle="1">
    <w:name w:val=" Char Char Char Char Char Char Char Char"/>
    <w:basedOn w:val="668"/>
    <w:uiPriority w:val="0"/>
    <w:qFormat/>
    <w:pPr>
      <w:jc w:val="left"/>
      <w:spacing w:after="160" w:line="240" w:lineRule="exact"/>
      <w:widowControl/>
    </w:pPr>
    <w:rPr>
      <w:rFonts w:ascii="Verdana" w:hAnsi="Verdana"/>
      <w:sz w:val="20"/>
      <w:szCs w:val="20"/>
      <w:lang w:eastAsia="en-US"/>
    </w:rPr>
  </w:style>
  <w:style w:type="paragraph" w:styleId="958" w:customStyle="1">
    <w:name w:val="xl30"/>
    <w:basedOn w:val="668"/>
    <w:uiPriority w:val="0"/>
    <w:qFormat/>
    <w:pPr>
      <w:jc w:val="center"/>
      <w:spacing w:before="100" w:beforeAutospacing="1" w:after="100" w:afterAutospacing="1"/>
      <w:widowControl/>
    </w:pPr>
    <w:rPr>
      <w:rFonts w:ascii="宋体" w:hAnsi="宋体"/>
      <w:b/>
      <w:bCs/>
      <w:sz w:val="36"/>
      <w:szCs w:val="36"/>
    </w:rPr>
  </w:style>
  <w:style w:type="paragraph" w:styleId="959" w:customStyle="1">
    <w:name w:val="Char Char Char Char"/>
    <w:basedOn w:val="875"/>
    <w:uiPriority w:val="0"/>
    <w:qFormat/>
    <w:pPr>
      <w:spacing w:line="360" w:lineRule="auto"/>
    </w:pPr>
    <w:rPr>
      <w:rFonts w:ascii="Tahoma" w:hAnsi="Tahoma"/>
      <w:sz w:val="24"/>
      <w:szCs w:val="24"/>
    </w:rPr>
  </w:style>
  <w:style w:type="paragraph" w:styleId="960" w:customStyle="1">
    <w:name w:val="table_1stline"/>
    <w:basedOn w:val="668"/>
    <w:uiPriority w:val="0"/>
    <w:qFormat/>
    <w:pPr>
      <w:jc w:val="left"/>
      <w:spacing w:before="120"/>
      <w:widowControl/>
    </w:pPr>
    <w:rPr>
      <w:bCs/>
      <w:sz w:val="20"/>
      <w:szCs w:val="20"/>
      <w:lang w:val="de-DE" w:eastAsia="de-DE"/>
    </w:rPr>
  </w:style>
  <w:style w:type="paragraph" w:styleId="961" w:customStyle="1">
    <w:name w:val="font5"/>
    <w:basedOn w:val="668"/>
    <w:uiPriority w:val="0"/>
    <w:qFormat/>
    <w:pPr>
      <w:jc w:val="left"/>
      <w:spacing w:before="100" w:beforeAutospacing="1" w:after="100" w:afterAutospacing="1"/>
      <w:widowControl/>
    </w:pPr>
    <w:rPr>
      <w:rFonts w:hint="eastAsia" w:ascii="宋体" w:hAnsi="宋体"/>
      <w:sz w:val="28"/>
      <w:szCs w:val="28"/>
    </w:rPr>
  </w:style>
  <w:style w:type="paragraph" w:styleId="962" w:customStyle="1">
    <w:name w:val="标题1"/>
    <w:basedOn w:val="668"/>
    <w:next w:val="66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3"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64"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65" w:customStyle="1">
    <w:name w:val="普通文字"/>
    <w:basedOn w:val="668"/>
    <w:next w:val="668"/>
    <w:uiPriority w:val="99"/>
    <w:qFormat/>
    <w:rPr>
      <w:rFonts w:ascii="宋体" w:hAnsi="Times New Roman" w:eastAsia="宋体" w:cs="Times New Roman"/>
      <w:sz w:val="24"/>
      <w:szCs w:val="20"/>
      <w:u w:val="none"/>
    </w:rPr>
  </w:style>
  <w:style w:type="paragraph" w:styleId="966" w:customStyle="1">
    <w:name w:val="目录 111"/>
    <w:basedOn w:val="668"/>
    <w:next w:val="668"/>
    <w:uiPriority w:val="39"/>
    <w:unhideWhenUsed/>
    <w:qFormat/>
    <w:pPr>
      <w:jc w:val="left"/>
      <w:spacing w:after="100" w:line="259" w:lineRule="auto"/>
      <w:widowControl/>
    </w:pPr>
    <w:rPr>
      <w:rFonts w:ascii="Calibri" w:hAnsi="Calibri" w:eastAsia="宋体"/>
      <w:sz w:val="22"/>
      <w:szCs w:val="22"/>
    </w:rPr>
  </w:style>
  <w:style w:type="table" w:styleId="967" w:customStyle="1">
    <w:name w:val="Table Normal"/>
    <w:uiPriority w:val="0"/>
    <w:unhideWhenUsed/>
    <w:qFormat/>
    <w:tblPr/>
  </w:style>
  <w:style w:type="character" w:styleId="968" w:customStyle="1">
    <w:name w:val="font13"/>
    <w:uiPriority w:val="0"/>
    <w:qFormat/>
    <w:rPr>
      <w:rFonts w:hint="eastAsia" w:ascii="宋体" w:hAnsi="宋体" w:eastAsia="宋体" w:cs="宋体"/>
      <w:color w:val="000000"/>
      <w:sz w:val="20"/>
      <w:szCs w:val="20"/>
      <w:u w:val="none"/>
    </w:rPr>
  </w:style>
  <w:style w:type="character" w:styleId="969" w:customStyle="1">
    <w:name w:val="font141"/>
    <w:uiPriority w:val="0"/>
    <w:qFormat/>
    <w:rPr>
      <w:rFonts w:hint="eastAsia" w:ascii="宋体" w:hAnsi="宋体" w:eastAsia="宋体" w:cs="宋体"/>
      <w:color w:val="000000"/>
      <w:sz w:val="20"/>
      <w:szCs w:val="20"/>
      <w:u w:val="none"/>
      <w:vertAlign w:val="subscript"/>
    </w:rPr>
  </w:style>
  <w:style w:type="character" w:styleId="970" w:customStyle="1">
    <w:name w:val="font151"/>
    <w:uiPriority w:val="0"/>
    <w:qFormat/>
    <w:rPr>
      <w:rFonts w:hint="default" w:ascii="Times New Roman" w:hAnsi="Times New Roman" w:cs="Times New Roman"/>
      <w:color w:val="000000"/>
      <w:sz w:val="20"/>
      <w:szCs w:val="20"/>
      <w:u w:val="none"/>
    </w:rPr>
  </w:style>
  <w:style w:type="character" w:styleId="971" w:customStyle="1">
    <w:name w:val="font161"/>
    <w:uiPriority w:val="0"/>
    <w:qFormat/>
    <w:rPr>
      <w:rFonts w:ascii="Calibri" w:hAnsi="Calibri" w:cs="Calibri"/>
      <w:color w:val="000000"/>
      <w:sz w:val="20"/>
      <w:szCs w:val="20"/>
      <w:u w:val="none"/>
    </w:rPr>
  </w:style>
  <w:style w:type="character" w:styleId="972" w:customStyle="1">
    <w:name w:val="font171"/>
    <w:uiPriority w:val="0"/>
    <w:qFormat/>
    <w:rPr>
      <w:rFonts w:ascii="微软雅黑" w:hAnsi="微软雅黑" w:eastAsia="微软雅黑" w:cs="微软雅黑"/>
      <w:color w:val="000000"/>
      <w:sz w:val="20"/>
      <w:szCs w:val="20"/>
      <w:u w:val="none"/>
    </w:rPr>
  </w:style>
  <w:style w:type="paragraph" w:styleId="973" w:customStyle="1">
    <w:name w:val="BodyText1I"/>
    <w:basedOn w:val="974"/>
    <w:uiPriority w:val="0"/>
    <w:qFormat/>
    <w:pPr>
      <w:ind w:firstLine="420"/>
      <w:spacing w:after="120" w:line="440" w:lineRule="exact"/>
    </w:pPr>
    <w:rPr>
      <w:rFonts w:ascii="宋体"/>
      <w:sz w:val="24"/>
      <w:szCs w:val="28"/>
    </w:rPr>
  </w:style>
  <w:style w:type="paragraph" w:styleId="974" w:customStyle="1">
    <w:name w:val="BodyText"/>
    <w:basedOn w:val="668"/>
    <w:uiPriority w:val="0"/>
    <w:qFormat/>
    <w:rPr>
      <w:sz w:val="20"/>
    </w:rPr>
  </w:style>
  <w:style w:type="numbering" w:styleId="722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曹宝柱</cp:lastModifiedBy>
  <cp:revision>70</cp:revision>
  <dcterms:created xsi:type="dcterms:W3CDTF">2023-03-16T02:16:00Z</dcterms:created>
  <dcterms:modified xsi:type="dcterms:W3CDTF">2026-07-07T01:53:10Z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eyJoZGlkIjoiOTBlZjUwMGM0MDg2Njg1NzgzZDM3Y2FhODRiZTFhODciLCJ1c2VySWQiOiIxNjAzMzk1MzkxIn0=</vt:lpwstr>
  </property>
  <property fmtid="{D5CDD505-2E9C-101B-9397-08002B2CF9AE}" pid="3" name="KSOProductBuildVer">
    <vt:lpwstr>2052-12.1.0.26895</vt:lpwstr>
  </property>
  <property fmtid="{D5CDD505-2E9C-101B-9397-08002B2CF9AE}" pid="4" name="ICV">
    <vt:lpwstr>F0ED58A4F83F4AFEB1431F3D9C11A103_12</vt:lpwstr>
  </property>
</Properties>
</file>