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hint="eastAsia" w:ascii="宋体" w:hAnsi="宋体" w:eastAsia="宋体" w:cs="Times New Roman"/>
          <w:b/>
          <w:bCs/>
          <w:spacing w:val="20"/>
          <w:sz w:val="72"/>
          <w:szCs w:val="72"/>
        </w:rPr>
        <w:t xml:space="preserve">江 阴 市 政 府 采 购</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hint="eastAsia" w:ascii="宋体" w:hAnsi="宋体" w:eastAsia="宋体" w:cs="Times New Roman"/>
          <w:b/>
          <w:bCs/>
          <w:sz w:val="72"/>
          <w:szCs w:val="72"/>
        </w:rPr>
        <w:t xml:space="preserve">公　开　招　标</w:t>
      </w:r>
      <w:r/>
    </w:p>
    <w:p>
      <w:pPr>
        <w:jc w:val="center"/>
        <w:rPr>
          <w:rFonts w:ascii="宋体" w:hAnsi="宋体" w:eastAsia="宋体" w:cs="Times New Roman"/>
          <w:b/>
          <w:bCs/>
          <w:sz w:val="72"/>
          <w:szCs w:val="72"/>
        </w:rPr>
      </w:pPr>
      <w:r>
        <w:rPr>
          <w:rFonts w:ascii="宋体" w:hAnsi="宋体" w:eastAsia="宋体" w:cs="Times New Roman"/>
          <w:b/>
          <w:bCs/>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196215</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9.0pt,15.4pt" to="-8.9pt,15.4pt" filled="f" strokecolor="#000000" strokeweight="0.75pt"/>
            </w:pict>
          </mc:Fallback>
        </mc:AlternateContent>
      </w:r>
      <w:r>
        <w:rPr>
          <w:rFonts w:hint="eastAsia" w:ascii="宋体" w:hAnsi="宋体" w:eastAsia="宋体" w:cs="Times New Roman"/>
          <w:b/>
          <w:bCs/>
          <w:sz w:val="72"/>
          <w:szCs w:val="72"/>
        </w:rPr>
        <w:t xml:space="preserve">招　标　文　件</w:t>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ind w:left="3207" w:hanging="2249"/>
        <w:spacing w:line="360" w:lineRule="auto"/>
        <w:rPr>
          <w:rFonts w:hint="eastAsia" w:ascii="宋体" w:hAnsi="宋体" w:eastAsia="宋体" w:cs="Times New Roman"/>
          <w:bCs/>
          <w:sz w:val="32"/>
          <w:szCs w:val="24"/>
          <w:lang w:eastAsia="zh-CN"/>
        </w:rPr>
      </w:pPr>
      <w:r>
        <w:rPr>
          <w:rFonts w:hint="eastAsia" w:ascii="宋体" w:hAnsi="宋体" w:eastAsia="宋体" w:cs="Times New Roman"/>
          <w:b/>
          <w:sz w:val="32"/>
          <w:szCs w:val="32"/>
        </w:rPr>
        <w:t xml:space="preserve">采购项目名称</w:t>
      </w:r>
      <w:bookmarkStart w:id="0" w:name="_Toc311189771"/>
      <w:r/>
      <w:bookmarkStart w:id="1" w:name="_Toc311189700"/>
      <w:r>
        <w:rPr>
          <w:rFonts w:hint="eastAsia" w:ascii="宋体" w:hAnsi="宋体" w:eastAsia="宋体" w:cs="Times New Roman"/>
          <w:b/>
          <w:sz w:val="32"/>
          <w:szCs w:val="32"/>
        </w:rPr>
        <w:t xml:space="preserve">：</w:t>
      </w:r>
      <w:r>
        <w:rPr>
          <w:rFonts w:hint="eastAsia" w:ascii="宋体" w:hAnsi="宋体" w:eastAsia="宋体" w:cs="宋体"/>
          <w:bCs/>
          <w:sz w:val="32"/>
          <w:szCs w:val="32"/>
          <w:lang w:eastAsia="zh-CN"/>
        </w:rPr>
        <w:t xml:space="preserve">靖江办案中心智能化改造项目</w:t>
      </w:r>
      <w:r/>
    </w:p>
    <w:p>
      <w:pPr>
        <w:ind w:left="1279" w:hanging="321"/>
        <w:spacing w:line="360" w:lineRule="auto"/>
        <w:rPr>
          <w:rFonts w:hint="eastAsia" w:ascii="宋体" w:hAnsi="宋体" w:eastAsia="宋体" w:cs="Times New Roman"/>
          <w:bCs/>
          <w:sz w:val="32"/>
          <w:szCs w:val="24"/>
          <w:lang w:eastAsia="zh-CN"/>
        </w:rPr>
      </w:pPr>
      <w:r>
        <w:rPr>
          <w:rFonts w:hint="eastAsia" w:ascii="宋体" w:hAnsi="宋体" w:eastAsia="宋体" w:cs="Times New Roman"/>
          <w:b/>
          <w:sz w:val="32"/>
          <w:szCs w:val="32"/>
        </w:rPr>
        <w:t xml:space="preserve">采购项</w:t>
      </w:r>
      <w:r>
        <w:rPr>
          <w:rFonts w:hint="eastAsia" w:ascii="宋体" w:hAnsi="宋体" w:eastAsia="宋体" w:cs="Batang"/>
          <w:b/>
          <w:sz w:val="32"/>
          <w:szCs w:val="32"/>
        </w:rPr>
        <w:t xml:space="preserve">目</w:t>
      </w:r>
      <w:bookmarkEnd w:id="0"/>
      <w:r/>
      <w:bookmarkEnd w:id="1"/>
      <w:r>
        <w:rPr>
          <w:rFonts w:hint="eastAsia" w:ascii="宋体" w:hAnsi="宋体" w:eastAsia="宋体" w:cs="Times New Roman"/>
          <w:b/>
          <w:bCs/>
          <w:sz w:val="32"/>
          <w:szCs w:val="32"/>
        </w:rPr>
        <w:t xml:space="preserve">编号</w:t>
      </w:r>
      <w:r>
        <w:rPr>
          <w:rFonts w:hint="eastAsia" w:ascii="宋体" w:hAnsi="宋体" w:eastAsia="宋体" w:cs="Times New Roman"/>
          <w:bCs/>
          <w:sz w:val="32"/>
          <w:szCs w:val="24"/>
        </w:rPr>
        <w:t xml:space="preserve">：</w:t>
      </w:r>
      <w:r>
        <w:rPr>
          <w:rFonts w:hint="eastAsia" w:ascii="宋体" w:hAnsi="宋体" w:eastAsia="宋体" w:cs="宋体"/>
          <w:bCs/>
          <w:sz w:val="32"/>
          <w:szCs w:val="32"/>
          <w:lang w:eastAsia="zh-CN"/>
        </w:rPr>
        <w:t xml:space="preserve">JSZC-320281-JZCG-G2026-0035</w:t>
      </w:r>
      <w:r/>
    </w:p>
    <w:p>
      <w:pPr>
        <w:ind w:firstLine="964"/>
        <w:keepLines/>
        <w:keepNext/>
        <w:spacing w:line="360" w:lineRule="auto"/>
        <w:rPr>
          <w:rFonts w:ascii="宋体" w:hAnsi="宋体" w:eastAsia="宋体" w:cs="Times New Roman"/>
          <w:bCs/>
          <w:sz w:val="32"/>
          <w:szCs w:val="32"/>
        </w:rPr>
        <w:outlineLvl w:val="1"/>
      </w:pPr>
      <w:r/>
      <w:bookmarkStart w:id="2" w:name="_Toc311189772"/>
      <w:r/>
      <w:bookmarkStart w:id="3" w:name="_Toc311189701"/>
      <w:r>
        <w:rPr>
          <w:rFonts w:hint="eastAsia" w:ascii="宋体" w:hAnsi="宋体" w:eastAsia="宋体" w:cs="Times New Roman"/>
          <w:b/>
          <w:bCs/>
          <w:sz w:val="32"/>
          <w:szCs w:val="32"/>
        </w:rPr>
        <w:t xml:space="preserve">集中采</w:t>
      </w:r>
      <w:r>
        <w:rPr>
          <w:rFonts w:hint="eastAsia" w:ascii="宋体" w:hAnsi="宋体" w:eastAsia="宋体" w:cs="宋体"/>
          <w:b/>
          <w:bCs/>
          <w:sz w:val="32"/>
          <w:szCs w:val="32"/>
        </w:rPr>
        <w:t xml:space="preserve">购</w:t>
      </w:r>
      <w:r>
        <w:rPr>
          <w:rFonts w:hint="eastAsia" w:ascii="宋体" w:hAnsi="宋体" w:eastAsia="宋体" w:cs="Batang"/>
          <w:b/>
          <w:bCs/>
          <w:sz w:val="32"/>
          <w:szCs w:val="32"/>
        </w:rPr>
        <w:t xml:space="preserve">机</w:t>
      </w:r>
      <w:r>
        <w:rPr>
          <w:rFonts w:hint="eastAsia" w:ascii="宋体" w:hAnsi="宋体" w:eastAsia="宋体" w:cs="宋体"/>
          <w:b/>
          <w:bCs/>
          <w:sz w:val="32"/>
          <w:szCs w:val="32"/>
        </w:rPr>
        <w:t xml:space="preserve">构</w:t>
      </w:r>
      <w:r>
        <w:rPr>
          <w:rFonts w:hint="eastAsia" w:ascii="宋体" w:hAnsi="宋体" w:eastAsia="宋体" w:cs="Times New Roman"/>
          <w:b/>
          <w:bCs/>
          <w:sz w:val="32"/>
          <w:szCs w:val="32"/>
        </w:rPr>
        <w:t xml:space="preserve">: </w:t>
      </w:r>
      <w:r>
        <w:rPr>
          <w:rFonts w:hint="eastAsia" w:ascii="宋体" w:hAnsi="宋体" w:eastAsia="宋体" w:cs="Times New Roman"/>
          <w:bCs/>
          <w:sz w:val="32"/>
          <w:szCs w:val="32"/>
        </w:rPr>
        <w:t xml:space="preserve">江</w:t>
      </w:r>
      <w:r>
        <w:rPr>
          <w:rFonts w:hint="eastAsia" w:ascii="宋体" w:hAnsi="宋体" w:eastAsia="宋体" w:cs="宋体"/>
          <w:bCs/>
          <w:sz w:val="32"/>
          <w:szCs w:val="32"/>
        </w:rPr>
        <w:t xml:space="preserve">阴</w:t>
      </w:r>
      <w:r>
        <w:rPr>
          <w:rFonts w:hint="eastAsia" w:ascii="宋体" w:hAnsi="宋体" w:eastAsia="宋体" w:cs="Batang"/>
          <w:bCs/>
          <w:sz w:val="32"/>
          <w:szCs w:val="32"/>
        </w:rPr>
        <w:t xml:space="preserve">市政</w:t>
      </w:r>
      <w:r>
        <w:rPr>
          <w:rFonts w:hint="eastAsia" w:ascii="宋体" w:hAnsi="宋体" w:eastAsia="宋体" w:cs="Times New Roman"/>
          <w:bCs/>
          <w:sz w:val="32"/>
          <w:szCs w:val="32"/>
        </w:rPr>
        <w:t xml:space="preserve">府采</w:t>
      </w:r>
      <w:r>
        <w:rPr>
          <w:rFonts w:hint="eastAsia" w:ascii="宋体" w:hAnsi="宋体" w:eastAsia="宋体" w:cs="宋体"/>
          <w:bCs/>
          <w:sz w:val="32"/>
          <w:szCs w:val="32"/>
        </w:rPr>
        <w:t xml:space="preserve">购</w:t>
      </w:r>
      <w:r>
        <w:rPr>
          <w:rFonts w:hint="eastAsia" w:ascii="宋体" w:hAnsi="宋体" w:eastAsia="宋体" w:cs="Batang"/>
          <w:bCs/>
          <w:sz w:val="32"/>
          <w:szCs w:val="32"/>
        </w:rPr>
        <w:t xml:space="preserve">中心</w:t>
      </w:r>
      <w:bookmarkEnd w:id="2"/>
      <w:r/>
      <w:bookmarkEnd w:id="3"/>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sectPr>
          <w:headerReference w:type="default" r:id="rId9"/>
          <w:footerReference w:type="default" r:id="rId10"/>
          <w:footnotePr/>
          <w:endnotePr/>
          <w:type w:val="nextPage"/>
          <w:pgSz w:w="11906" w:h="16838" w:orient="portrait"/>
          <w:pgMar w:top="1247" w:right="1247" w:bottom="1247" w:left="1247" w:header="851" w:footer="992" w:gutter="0"/>
          <w:cols w:num="1" w:sep="0" w:space="425" w:equalWidth="1"/>
          <w:docGrid w:linePitch="360"/>
          <w:titlePg/>
        </w:sectPr>
      </w:pPr>
      <w:r>
        <w:rPr>
          <w:rFonts w:hint="eastAsia" w:ascii="宋体" w:hAnsi="宋体" w:eastAsia="宋体" w:cs="Times New Roman"/>
          <w:bCs/>
          <w:sz w:val="48"/>
          <w:szCs w:val="24"/>
        </w:rPr>
        <w:t xml:space="preserve">二○二六年</w:t>
      </w:r>
      <w:r>
        <w:rPr>
          <w:rFonts w:hint="eastAsia" w:ascii="宋体" w:hAnsi="宋体" w:eastAsia="宋体" w:cs="Times New Roman"/>
          <w:bCs/>
          <w:sz w:val="48"/>
          <w:szCs w:val="24"/>
          <w:lang w:eastAsia="zh-CN"/>
        </w:rPr>
        <w:t xml:space="preserve">六</w:t>
      </w:r>
      <w:r>
        <w:rPr>
          <w:rFonts w:hint="eastAsia" w:ascii="宋体" w:hAnsi="宋体" w:eastAsia="宋体" w:cs="Times New Roman"/>
          <w:bCs/>
          <w:sz w:val="48"/>
          <w:szCs w:val="24"/>
        </w:rPr>
        <w:t xml:space="preserve">月</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jc w:val="center"/>
        <w:spacing w:line="360" w:lineRule="auto"/>
        <w:rPr>
          <w:rFonts w:ascii="黑体" w:hAnsi="Times New Roman" w:eastAsia="黑体" w:cs="Times New Roman"/>
          <w:bCs/>
          <w:sz w:val="44"/>
          <w:szCs w:val="44"/>
        </w:rPr>
      </w:pPr>
      <w:r>
        <w:rPr>
          <w:rFonts w:hint="eastAsia" w:ascii="黑体" w:hAnsi="Times New Roman" w:eastAsia="黑体" w:cs="Times New Roman"/>
          <w:bCs/>
          <w:sz w:val="44"/>
          <w:szCs w:val="44"/>
        </w:rPr>
        <w:t xml:space="preserve">总　目　录</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pStyle w:val="883"/>
        <w:tabs>
          <w:tab w:val="right" w:pos="9412" w:leader="dot"/>
        </w:tabs>
        <w:rPr>
          <w:rFonts w:hint="eastAsia" w:ascii="宋体" w:hAnsi="宋体" w:eastAsia="宋体" w:cs="宋体"/>
          <w:b/>
          <w:bCs/>
          <w:sz w:val="30"/>
          <w:szCs w:val="30"/>
        </w:rPr>
      </w:pPr>
      <w:r>
        <w:rPr>
          <w:rFonts w:hint="eastAsia" w:ascii="宋体" w:hAnsi="宋体" w:eastAsia="宋体" w:cs="宋体"/>
          <w:b/>
          <w:bCs/>
          <w:sz w:val="30"/>
          <w:szCs w:val="30"/>
        </w:rPr>
        <w:fldChar w:fldCharType="begin"/>
      </w:r>
      <w:r>
        <w:rPr>
          <w:rFonts w:hint="eastAsia" w:ascii="宋体" w:hAnsi="宋体" w:eastAsia="宋体" w:cs="宋体"/>
          <w:b/>
          <w:bCs/>
          <w:sz w:val="30"/>
          <w:szCs w:val="30"/>
        </w:rPr>
        <w:instrText xml:space="preserve"> TOC \o "1-1" \h \z \u </w:instrText>
      </w:r>
      <w:r>
        <w:rPr>
          <w:rFonts w:hint="eastAsia" w:ascii="宋体" w:hAnsi="宋体" w:eastAsia="宋体" w:cs="宋体"/>
          <w:b/>
          <w:bCs/>
          <w:sz w:val="30"/>
          <w:szCs w:val="30"/>
        </w:rPr>
        <w:fldChar w:fldCharType="separate"/>
      </w:r>
      <w:r>
        <w:rPr>
          <w:rFonts w:hint="eastAsia" w:ascii="宋体" w:hAnsi="宋体" w:eastAsia="宋体" w:cs="宋体"/>
          <w:b/>
          <w:bCs/>
          <w:sz w:val="30"/>
          <w:szCs w:val="30"/>
        </w:rPr>
        <w:fldChar w:fldCharType="begin"/>
      </w:r>
      <w:r>
        <w:rPr>
          <w:rFonts w:hint="eastAsia" w:ascii="宋体" w:hAnsi="宋体" w:eastAsia="宋体" w:cs="宋体"/>
          <w:b/>
          <w:bCs/>
          <w:sz w:val="30"/>
          <w:szCs w:val="30"/>
        </w:rPr>
        <w:instrText xml:space="preserve"> HYPERLINK \l _Toc20359 </w:instrText>
      </w:r>
      <w:r>
        <w:rPr>
          <w:rFonts w:hint="eastAsia" w:ascii="宋体" w:hAnsi="宋体" w:eastAsia="宋体" w:cs="宋体"/>
          <w:b/>
          <w:bCs/>
          <w:sz w:val="30"/>
          <w:szCs w:val="30"/>
        </w:rPr>
        <w:fldChar w:fldCharType="separate"/>
      </w:r>
      <w:r>
        <w:rPr>
          <w:rFonts w:hint="eastAsia" w:ascii="宋体" w:hAnsi="宋体" w:eastAsia="宋体" w:cs="宋体"/>
          <w:b/>
          <w:bCs/>
          <w:sz w:val="30"/>
          <w:szCs w:val="30"/>
        </w:rPr>
        <w:t xml:space="preserve">第一章　投标邀请</w:t>
      </w:r>
      <w:r>
        <w:rPr>
          <w:rFonts w:hint="eastAsia" w:ascii="宋体" w:hAnsi="宋体" w:eastAsia="宋体" w:cs="宋体"/>
          <w:b/>
          <w:bCs/>
          <w:sz w:val="30"/>
          <w:szCs w:val="30"/>
        </w:rPr>
        <w:tab/>
      </w:r>
      <w:r>
        <w:rPr>
          <w:rFonts w:hint="eastAsia" w:ascii="宋体" w:hAnsi="宋体" w:eastAsia="宋体" w:cs="宋体"/>
          <w:b/>
          <w:bCs/>
          <w:sz w:val="30"/>
          <w:szCs w:val="30"/>
        </w:rPr>
        <w:fldChar w:fldCharType="begin"/>
      </w:r>
      <w:r>
        <w:rPr>
          <w:rFonts w:hint="eastAsia" w:ascii="宋体" w:hAnsi="宋体" w:eastAsia="宋体" w:cs="宋体"/>
          <w:b/>
          <w:bCs/>
          <w:sz w:val="30"/>
          <w:szCs w:val="30"/>
        </w:rPr>
        <w:instrText xml:space="preserve"> PAGEREF _Toc20359 \h </w:instrText>
      </w:r>
      <w:r>
        <w:rPr>
          <w:rFonts w:hint="eastAsia" w:ascii="宋体" w:hAnsi="宋体" w:eastAsia="宋体" w:cs="宋体"/>
          <w:b/>
          <w:bCs/>
          <w:sz w:val="30"/>
          <w:szCs w:val="30"/>
        </w:rPr>
        <w:fldChar w:fldCharType="separate"/>
      </w:r>
      <w:r>
        <w:rPr>
          <w:rFonts w:hint="eastAsia" w:ascii="宋体" w:hAnsi="宋体" w:eastAsia="宋体" w:cs="宋体"/>
          <w:b/>
          <w:bCs/>
          <w:sz w:val="30"/>
          <w:szCs w:val="30"/>
        </w:rPr>
        <w:t xml:space="preserve">- 2 -</w:t>
      </w:r>
      <w:r>
        <w:rPr>
          <w:rFonts w:hint="eastAsia" w:ascii="宋体" w:hAnsi="宋体" w:eastAsia="宋体" w:cs="宋体"/>
          <w:b/>
          <w:bCs/>
          <w:sz w:val="30"/>
          <w:szCs w:val="30"/>
        </w:rPr>
        <w:fldChar w:fldCharType="end"/>
      </w:r>
      <w:r>
        <w:rPr>
          <w:rFonts w:hint="eastAsia" w:ascii="宋体" w:hAnsi="宋体" w:eastAsia="宋体" w:cs="宋体"/>
          <w:b/>
          <w:bCs/>
          <w:sz w:val="30"/>
          <w:szCs w:val="30"/>
        </w:rPr>
        <w:fldChar w:fldCharType="end"/>
      </w:r>
      <w:r/>
    </w:p>
    <w:p>
      <w:pPr>
        <w:pStyle w:val="883"/>
        <w:tabs>
          <w:tab w:val="right" w:pos="9412" w:leader="dot"/>
        </w:tabs>
        <w:rPr>
          <w:rFonts w:hint="eastAsia" w:ascii="宋体" w:hAnsi="宋体" w:eastAsia="宋体" w:cs="宋体"/>
          <w:b/>
          <w:bCs/>
          <w:sz w:val="30"/>
          <w:szCs w:val="30"/>
        </w:rPr>
      </w:pPr>
      <w:r>
        <w:rPr>
          <w:rFonts w:hint="eastAsia" w:ascii="宋体" w:hAnsi="宋体" w:eastAsia="宋体" w:cs="宋体"/>
          <w:b/>
          <w:bCs/>
          <w:sz w:val="30"/>
          <w:szCs w:val="30"/>
        </w:rPr>
        <w:fldChar w:fldCharType="begin"/>
      </w:r>
      <w:r>
        <w:rPr>
          <w:rFonts w:hint="eastAsia" w:ascii="宋体" w:hAnsi="宋体" w:eastAsia="宋体" w:cs="宋体"/>
          <w:b/>
          <w:bCs/>
          <w:sz w:val="30"/>
          <w:szCs w:val="30"/>
        </w:rPr>
        <w:instrText xml:space="preserve"> HYPERLINK \l _Toc17123 </w:instrText>
      </w:r>
      <w:r>
        <w:rPr>
          <w:rFonts w:hint="eastAsia" w:ascii="宋体" w:hAnsi="宋体" w:eastAsia="宋体" w:cs="宋体"/>
          <w:b/>
          <w:bCs/>
          <w:sz w:val="30"/>
          <w:szCs w:val="30"/>
        </w:rPr>
        <w:fldChar w:fldCharType="separate"/>
      </w:r>
      <w:r>
        <w:rPr>
          <w:rFonts w:hint="eastAsia" w:ascii="宋体" w:hAnsi="宋体" w:eastAsia="宋体" w:cs="宋体"/>
          <w:b/>
          <w:bCs/>
          <w:sz w:val="30"/>
          <w:szCs w:val="30"/>
        </w:rPr>
        <w:t xml:space="preserve">第二章　投标人须知</w:t>
      </w:r>
      <w:r>
        <w:rPr>
          <w:rFonts w:hint="eastAsia" w:ascii="宋体" w:hAnsi="宋体" w:eastAsia="宋体" w:cs="宋体"/>
          <w:b/>
          <w:bCs/>
          <w:sz w:val="30"/>
          <w:szCs w:val="30"/>
        </w:rPr>
        <w:tab/>
      </w:r>
      <w:r>
        <w:rPr>
          <w:rFonts w:hint="eastAsia" w:ascii="宋体" w:hAnsi="宋体" w:eastAsia="宋体" w:cs="宋体"/>
          <w:b/>
          <w:bCs/>
          <w:sz w:val="30"/>
          <w:szCs w:val="30"/>
        </w:rPr>
        <w:fldChar w:fldCharType="begin"/>
      </w:r>
      <w:r>
        <w:rPr>
          <w:rFonts w:hint="eastAsia" w:ascii="宋体" w:hAnsi="宋体" w:eastAsia="宋体" w:cs="宋体"/>
          <w:b/>
          <w:bCs/>
          <w:sz w:val="30"/>
          <w:szCs w:val="30"/>
        </w:rPr>
        <w:instrText xml:space="preserve"> PAGEREF _Toc17123 \h </w:instrText>
      </w:r>
      <w:r>
        <w:rPr>
          <w:rFonts w:hint="eastAsia" w:ascii="宋体" w:hAnsi="宋体" w:eastAsia="宋体" w:cs="宋体"/>
          <w:b/>
          <w:bCs/>
          <w:sz w:val="30"/>
          <w:szCs w:val="30"/>
        </w:rPr>
        <w:fldChar w:fldCharType="separate"/>
      </w:r>
      <w:r>
        <w:rPr>
          <w:rFonts w:hint="eastAsia" w:ascii="宋体" w:hAnsi="宋体" w:eastAsia="宋体" w:cs="宋体"/>
          <w:b/>
          <w:bCs/>
          <w:sz w:val="30"/>
          <w:szCs w:val="30"/>
        </w:rPr>
        <w:t xml:space="preserve">- 5 -</w:t>
      </w:r>
      <w:r>
        <w:rPr>
          <w:rFonts w:hint="eastAsia" w:ascii="宋体" w:hAnsi="宋体" w:eastAsia="宋体" w:cs="宋体"/>
          <w:b/>
          <w:bCs/>
          <w:sz w:val="30"/>
          <w:szCs w:val="30"/>
        </w:rPr>
        <w:fldChar w:fldCharType="end"/>
      </w:r>
      <w:r>
        <w:rPr>
          <w:rFonts w:hint="eastAsia" w:ascii="宋体" w:hAnsi="宋体" w:eastAsia="宋体" w:cs="宋体"/>
          <w:b/>
          <w:bCs/>
          <w:sz w:val="30"/>
          <w:szCs w:val="30"/>
        </w:rPr>
        <w:fldChar w:fldCharType="end"/>
      </w:r>
      <w:r/>
    </w:p>
    <w:p>
      <w:pPr>
        <w:pStyle w:val="883"/>
        <w:tabs>
          <w:tab w:val="right" w:pos="9412" w:leader="dot"/>
        </w:tabs>
        <w:rPr>
          <w:rFonts w:hint="eastAsia" w:ascii="宋体" w:hAnsi="宋体" w:eastAsia="宋体" w:cs="宋体"/>
          <w:b/>
          <w:bCs/>
          <w:sz w:val="30"/>
          <w:szCs w:val="30"/>
        </w:rPr>
      </w:pPr>
      <w:r>
        <w:rPr>
          <w:rFonts w:hint="eastAsia" w:ascii="宋体" w:hAnsi="宋体" w:eastAsia="宋体" w:cs="宋体"/>
          <w:b/>
          <w:bCs/>
          <w:sz w:val="30"/>
          <w:szCs w:val="30"/>
        </w:rPr>
        <w:fldChar w:fldCharType="begin"/>
      </w:r>
      <w:r>
        <w:rPr>
          <w:rFonts w:hint="eastAsia" w:ascii="宋体" w:hAnsi="宋体" w:eastAsia="宋体" w:cs="宋体"/>
          <w:b/>
          <w:bCs/>
          <w:sz w:val="30"/>
          <w:szCs w:val="30"/>
        </w:rPr>
        <w:instrText xml:space="preserve"> HYPERLINK \l _Toc5268 </w:instrText>
      </w:r>
      <w:r>
        <w:rPr>
          <w:rFonts w:hint="eastAsia" w:ascii="宋体" w:hAnsi="宋体" w:eastAsia="宋体" w:cs="宋体"/>
          <w:b/>
          <w:bCs/>
          <w:sz w:val="30"/>
          <w:szCs w:val="30"/>
        </w:rPr>
        <w:fldChar w:fldCharType="separate"/>
      </w:r>
      <w:r>
        <w:rPr>
          <w:rFonts w:hint="eastAsia" w:ascii="宋体" w:hAnsi="宋体" w:eastAsia="宋体" w:cs="宋体"/>
          <w:b/>
          <w:bCs/>
          <w:sz w:val="30"/>
          <w:szCs w:val="30"/>
        </w:rPr>
        <w:t xml:space="preserve">第三章 项目要求和有关说明</w:t>
      </w:r>
      <w:r>
        <w:rPr>
          <w:rFonts w:hint="eastAsia" w:ascii="宋体" w:hAnsi="宋体" w:eastAsia="宋体" w:cs="宋体"/>
          <w:b/>
          <w:bCs/>
          <w:sz w:val="30"/>
          <w:szCs w:val="30"/>
        </w:rPr>
        <w:tab/>
      </w:r>
      <w:r>
        <w:rPr>
          <w:rFonts w:hint="eastAsia" w:ascii="宋体" w:hAnsi="宋体" w:eastAsia="宋体" w:cs="宋体"/>
          <w:b/>
          <w:bCs/>
          <w:sz w:val="30"/>
          <w:szCs w:val="30"/>
        </w:rPr>
        <w:fldChar w:fldCharType="begin"/>
      </w:r>
      <w:r>
        <w:rPr>
          <w:rFonts w:hint="eastAsia" w:ascii="宋体" w:hAnsi="宋体" w:eastAsia="宋体" w:cs="宋体"/>
          <w:b/>
          <w:bCs/>
          <w:sz w:val="30"/>
          <w:szCs w:val="30"/>
        </w:rPr>
        <w:instrText xml:space="preserve"> PAGEREF _Toc5268 \h </w:instrText>
      </w:r>
      <w:r>
        <w:rPr>
          <w:rFonts w:hint="eastAsia" w:ascii="宋体" w:hAnsi="宋体" w:eastAsia="宋体" w:cs="宋体"/>
          <w:b/>
          <w:bCs/>
          <w:sz w:val="30"/>
          <w:szCs w:val="30"/>
        </w:rPr>
        <w:fldChar w:fldCharType="separate"/>
      </w:r>
      <w:r>
        <w:rPr>
          <w:rFonts w:hint="eastAsia" w:ascii="宋体" w:hAnsi="宋体" w:eastAsia="宋体" w:cs="宋体"/>
          <w:b/>
          <w:bCs/>
          <w:sz w:val="30"/>
          <w:szCs w:val="30"/>
        </w:rPr>
        <w:t xml:space="preserve">- 18 -</w:t>
      </w:r>
      <w:r>
        <w:rPr>
          <w:rFonts w:hint="eastAsia" w:ascii="宋体" w:hAnsi="宋体" w:eastAsia="宋体" w:cs="宋体"/>
          <w:b/>
          <w:bCs/>
          <w:sz w:val="30"/>
          <w:szCs w:val="30"/>
        </w:rPr>
        <w:fldChar w:fldCharType="end"/>
      </w:r>
      <w:r>
        <w:rPr>
          <w:rFonts w:hint="eastAsia" w:ascii="宋体" w:hAnsi="宋体" w:eastAsia="宋体" w:cs="宋体"/>
          <w:b/>
          <w:bCs/>
          <w:sz w:val="30"/>
          <w:szCs w:val="30"/>
        </w:rPr>
        <w:fldChar w:fldCharType="end"/>
      </w:r>
      <w:r/>
    </w:p>
    <w:p>
      <w:pPr>
        <w:pStyle w:val="883"/>
        <w:tabs>
          <w:tab w:val="right" w:pos="9412" w:leader="dot"/>
        </w:tabs>
        <w:rPr>
          <w:rFonts w:hint="eastAsia" w:ascii="宋体" w:hAnsi="宋体" w:eastAsia="宋体" w:cs="宋体"/>
          <w:b/>
          <w:bCs/>
          <w:sz w:val="30"/>
          <w:szCs w:val="30"/>
        </w:rPr>
      </w:pPr>
      <w:r>
        <w:rPr>
          <w:rFonts w:hint="eastAsia" w:ascii="宋体" w:hAnsi="宋体" w:eastAsia="宋体" w:cs="宋体"/>
          <w:b/>
          <w:bCs/>
          <w:sz w:val="30"/>
          <w:szCs w:val="30"/>
        </w:rPr>
        <w:fldChar w:fldCharType="begin"/>
      </w:r>
      <w:r>
        <w:rPr>
          <w:rFonts w:hint="eastAsia" w:ascii="宋体" w:hAnsi="宋体" w:eastAsia="宋体" w:cs="宋体"/>
          <w:b/>
          <w:bCs/>
          <w:sz w:val="30"/>
          <w:szCs w:val="30"/>
        </w:rPr>
        <w:instrText xml:space="preserve"> HYPERLINK \l _Toc20917 </w:instrText>
      </w:r>
      <w:r>
        <w:rPr>
          <w:rFonts w:hint="eastAsia" w:ascii="宋体" w:hAnsi="宋体" w:eastAsia="宋体" w:cs="宋体"/>
          <w:b/>
          <w:bCs/>
          <w:sz w:val="30"/>
          <w:szCs w:val="30"/>
        </w:rPr>
        <w:fldChar w:fldCharType="separate"/>
      </w:r>
      <w:r>
        <w:rPr>
          <w:rFonts w:hint="eastAsia" w:ascii="宋体" w:hAnsi="宋体" w:eastAsia="宋体" w:cs="宋体"/>
          <w:b/>
          <w:bCs/>
          <w:sz w:val="30"/>
          <w:szCs w:val="30"/>
        </w:rPr>
        <w:t xml:space="preserve">第四章  评标方法和评标标准</w:t>
      </w:r>
      <w:r>
        <w:rPr>
          <w:rFonts w:hint="eastAsia" w:ascii="宋体" w:hAnsi="宋体" w:eastAsia="宋体" w:cs="宋体"/>
          <w:b/>
          <w:bCs/>
          <w:sz w:val="30"/>
          <w:szCs w:val="30"/>
        </w:rPr>
        <w:tab/>
      </w:r>
      <w:r>
        <w:rPr>
          <w:rFonts w:hint="eastAsia" w:ascii="宋体" w:hAnsi="宋体" w:eastAsia="宋体" w:cs="宋体"/>
          <w:b/>
          <w:bCs/>
          <w:sz w:val="30"/>
          <w:szCs w:val="30"/>
        </w:rPr>
        <w:fldChar w:fldCharType="begin"/>
      </w:r>
      <w:r>
        <w:rPr>
          <w:rFonts w:hint="eastAsia" w:ascii="宋体" w:hAnsi="宋体" w:eastAsia="宋体" w:cs="宋体"/>
          <w:b/>
          <w:bCs/>
          <w:sz w:val="30"/>
          <w:szCs w:val="30"/>
        </w:rPr>
        <w:instrText xml:space="preserve"> PAGEREF _Toc20917 \h </w:instrText>
      </w:r>
      <w:r>
        <w:rPr>
          <w:rFonts w:hint="eastAsia" w:ascii="宋体" w:hAnsi="宋体" w:eastAsia="宋体" w:cs="宋体"/>
          <w:b/>
          <w:bCs/>
          <w:sz w:val="30"/>
          <w:szCs w:val="30"/>
        </w:rPr>
        <w:fldChar w:fldCharType="separate"/>
      </w:r>
      <w:r>
        <w:rPr>
          <w:rFonts w:hint="eastAsia" w:ascii="宋体" w:hAnsi="宋体" w:eastAsia="宋体" w:cs="宋体"/>
          <w:b/>
          <w:bCs/>
          <w:sz w:val="30"/>
          <w:szCs w:val="30"/>
        </w:rPr>
        <w:t xml:space="preserve">- 53 -</w:t>
      </w:r>
      <w:r>
        <w:rPr>
          <w:rFonts w:hint="eastAsia" w:ascii="宋体" w:hAnsi="宋体" w:eastAsia="宋体" w:cs="宋体"/>
          <w:b/>
          <w:bCs/>
          <w:sz w:val="30"/>
          <w:szCs w:val="30"/>
        </w:rPr>
        <w:fldChar w:fldCharType="end"/>
      </w:r>
      <w:r>
        <w:rPr>
          <w:rFonts w:hint="eastAsia" w:ascii="宋体" w:hAnsi="宋体" w:eastAsia="宋体" w:cs="宋体"/>
          <w:b/>
          <w:bCs/>
          <w:sz w:val="30"/>
          <w:szCs w:val="30"/>
        </w:rPr>
        <w:fldChar w:fldCharType="end"/>
      </w:r>
      <w:r/>
    </w:p>
    <w:p>
      <w:pPr>
        <w:pStyle w:val="883"/>
        <w:tabs>
          <w:tab w:val="right" w:pos="9412" w:leader="dot"/>
        </w:tabs>
        <w:rPr>
          <w:rFonts w:hint="eastAsia" w:ascii="宋体" w:hAnsi="宋体" w:eastAsia="宋体" w:cs="宋体"/>
          <w:b/>
          <w:bCs/>
          <w:sz w:val="30"/>
          <w:szCs w:val="30"/>
        </w:rPr>
      </w:pPr>
      <w:r>
        <w:rPr>
          <w:rFonts w:hint="eastAsia" w:ascii="宋体" w:hAnsi="宋体" w:eastAsia="宋体" w:cs="宋体"/>
          <w:b/>
          <w:bCs/>
          <w:sz w:val="30"/>
          <w:szCs w:val="30"/>
        </w:rPr>
        <w:fldChar w:fldCharType="begin"/>
      </w:r>
      <w:r>
        <w:rPr>
          <w:rFonts w:hint="eastAsia" w:ascii="宋体" w:hAnsi="宋体" w:eastAsia="宋体" w:cs="宋体"/>
          <w:b/>
          <w:bCs/>
          <w:sz w:val="30"/>
          <w:szCs w:val="30"/>
        </w:rPr>
        <w:instrText xml:space="preserve"> HYPERLINK \l _Toc2599 </w:instrText>
      </w:r>
      <w:r>
        <w:rPr>
          <w:rFonts w:hint="eastAsia" w:ascii="宋体" w:hAnsi="宋体" w:eastAsia="宋体" w:cs="宋体"/>
          <w:b/>
          <w:bCs/>
          <w:sz w:val="30"/>
          <w:szCs w:val="30"/>
        </w:rPr>
        <w:fldChar w:fldCharType="separate"/>
      </w:r>
      <w:r>
        <w:rPr>
          <w:rFonts w:hint="eastAsia" w:ascii="宋体" w:hAnsi="宋体" w:eastAsia="宋体" w:cs="宋体"/>
          <w:b/>
          <w:bCs/>
          <w:sz w:val="30"/>
          <w:szCs w:val="30"/>
        </w:rPr>
        <w:t xml:space="preserve">第五章　合同书（格式）</w:t>
      </w:r>
      <w:r>
        <w:rPr>
          <w:rFonts w:hint="eastAsia" w:ascii="宋体" w:hAnsi="宋体" w:eastAsia="宋体" w:cs="宋体"/>
          <w:b/>
          <w:bCs/>
          <w:sz w:val="30"/>
          <w:szCs w:val="30"/>
        </w:rPr>
        <w:tab/>
      </w:r>
      <w:r>
        <w:rPr>
          <w:rFonts w:hint="eastAsia" w:ascii="宋体" w:hAnsi="宋体" w:eastAsia="宋体" w:cs="宋体"/>
          <w:b/>
          <w:bCs/>
          <w:sz w:val="30"/>
          <w:szCs w:val="30"/>
        </w:rPr>
        <w:fldChar w:fldCharType="begin"/>
      </w:r>
      <w:r>
        <w:rPr>
          <w:rFonts w:hint="eastAsia" w:ascii="宋体" w:hAnsi="宋体" w:eastAsia="宋体" w:cs="宋体"/>
          <w:b/>
          <w:bCs/>
          <w:sz w:val="30"/>
          <w:szCs w:val="30"/>
        </w:rPr>
        <w:instrText xml:space="preserve"> PAGEREF _Toc2599 \h </w:instrText>
      </w:r>
      <w:r>
        <w:rPr>
          <w:rFonts w:hint="eastAsia" w:ascii="宋体" w:hAnsi="宋体" w:eastAsia="宋体" w:cs="宋体"/>
          <w:b/>
          <w:bCs/>
          <w:sz w:val="30"/>
          <w:szCs w:val="30"/>
        </w:rPr>
        <w:fldChar w:fldCharType="separate"/>
      </w:r>
      <w:r>
        <w:rPr>
          <w:rFonts w:hint="eastAsia" w:ascii="宋体" w:hAnsi="宋体" w:eastAsia="宋体" w:cs="宋体"/>
          <w:b/>
          <w:bCs/>
          <w:sz w:val="30"/>
          <w:szCs w:val="30"/>
        </w:rPr>
        <w:t xml:space="preserve">- 57 -</w:t>
      </w:r>
      <w:r>
        <w:rPr>
          <w:rFonts w:hint="eastAsia" w:ascii="宋体" w:hAnsi="宋体" w:eastAsia="宋体" w:cs="宋体"/>
          <w:b/>
          <w:bCs/>
          <w:sz w:val="30"/>
          <w:szCs w:val="30"/>
        </w:rPr>
        <w:fldChar w:fldCharType="end"/>
      </w:r>
      <w:r>
        <w:rPr>
          <w:rFonts w:hint="eastAsia" w:ascii="宋体" w:hAnsi="宋体" w:eastAsia="宋体" w:cs="宋体"/>
          <w:b/>
          <w:bCs/>
          <w:sz w:val="30"/>
          <w:szCs w:val="30"/>
        </w:rPr>
        <w:fldChar w:fldCharType="end"/>
      </w:r>
      <w:r/>
    </w:p>
    <w:p>
      <w:pPr>
        <w:pStyle w:val="883"/>
        <w:tabs>
          <w:tab w:val="right" w:pos="9412" w:leader="dot"/>
        </w:tabs>
        <w:rPr>
          <w:rFonts w:hint="eastAsia" w:ascii="宋体" w:hAnsi="宋体" w:eastAsia="宋体" w:cs="宋体"/>
          <w:b/>
          <w:bCs/>
          <w:sz w:val="30"/>
          <w:szCs w:val="30"/>
        </w:rPr>
      </w:pPr>
      <w:r>
        <w:rPr>
          <w:rFonts w:hint="eastAsia" w:ascii="宋体" w:hAnsi="宋体" w:eastAsia="宋体" w:cs="宋体"/>
          <w:b/>
          <w:bCs/>
          <w:sz w:val="30"/>
          <w:szCs w:val="30"/>
        </w:rPr>
        <w:fldChar w:fldCharType="begin"/>
      </w:r>
      <w:r>
        <w:rPr>
          <w:rFonts w:hint="eastAsia" w:ascii="宋体" w:hAnsi="宋体" w:eastAsia="宋体" w:cs="宋体"/>
          <w:b/>
          <w:bCs/>
          <w:sz w:val="30"/>
          <w:szCs w:val="30"/>
        </w:rPr>
        <w:instrText xml:space="preserve"> HYPERLINK \l _Toc23457 </w:instrText>
      </w:r>
      <w:r>
        <w:rPr>
          <w:rFonts w:hint="eastAsia" w:ascii="宋体" w:hAnsi="宋体" w:eastAsia="宋体" w:cs="宋体"/>
          <w:b/>
          <w:bCs/>
          <w:sz w:val="30"/>
          <w:szCs w:val="30"/>
        </w:rPr>
        <w:fldChar w:fldCharType="separate"/>
      </w:r>
      <w:r>
        <w:rPr>
          <w:rFonts w:hint="eastAsia" w:ascii="宋体" w:hAnsi="宋体" w:eastAsia="宋体" w:cs="宋体"/>
          <w:b/>
          <w:bCs/>
          <w:sz w:val="30"/>
          <w:szCs w:val="30"/>
        </w:rPr>
        <w:t xml:space="preserve">第六章　投标文件的组成和格式</w:t>
      </w:r>
      <w:r>
        <w:rPr>
          <w:rFonts w:hint="eastAsia" w:ascii="宋体" w:hAnsi="宋体" w:eastAsia="宋体" w:cs="宋体"/>
          <w:b/>
          <w:bCs/>
          <w:sz w:val="30"/>
          <w:szCs w:val="30"/>
        </w:rPr>
        <w:tab/>
      </w:r>
      <w:r>
        <w:rPr>
          <w:rFonts w:hint="eastAsia" w:ascii="宋体" w:hAnsi="宋体" w:eastAsia="宋体" w:cs="宋体"/>
          <w:b/>
          <w:bCs/>
          <w:sz w:val="30"/>
          <w:szCs w:val="30"/>
        </w:rPr>
        <w:fldChar w:fldCharType="begin"/>
      </w:r>
      <w:r>
        <w:rPr>
          <w:rFonts w:hint="eastAsia" w:ascii="宋体" w:hAnsi="宋体" w:eastAsia="宋体" w:cs="宋体"/>
          <w:b/>
          <w:bCs/>
          <w:sz w:val="30"/>
          <w:szCs w:val="30"/>
        </w:rPr>
        <w:instrText xml:space="preserve"> PAGEREF _Toc23457 \h </w:instrText>
      </w:r>
      <w:r>
        <w:rPr>
          <w:rFonts w:hint="eastAsia" w:ascii="宋体" w:hAnsi="宋体" w:eastAsia="宋体" w:cs="宋体"/>
          <w:b/>
          <w:bCs/>
          <w:sz w:val="30"/>
          <w:szCs w:val="30"/>
        </w:rPr>
        <w:fldChar w:fldCharType="separate"/>
      </w:r>
      <w:r>
        <w:rPr>
          <w:rFonts w:hint="eastAsia" w:ascii="宋体" w:hAnsi="宋体" w:eastAsia="宋体" w:cs="宋体"/>
          <w:b/>
          <w:bCs/>
          <w:sz w:val="30"/>
          <w:szCs w:val="30"/>
        </w:rPr>
        <w:t xml:space="preserve">- 61 -</w:t>
      </w:r>
      <w:r>
        <w:rPr>
          <w:rFonts w:hint="eastAsia" w:ascii="宋体" w:hAnsi="宋体" w:eastAsia="宋体" w:cs="宋体"/>
          <w:b/>
          <w:bCs/>
          <w:sz w:val="30"/>
          <w:szCs w:val="30"/>
        </w:rPr>
        <w:fldChar w:fldCharType="end"/>
      </w:r>
      <w:r>
        <w:rPr>
          <w:rFonts w:hint="eastAsia" w:ascii="宋体" w:hAnsi="宋体" w:eastAsia="宋体" w:cs="宋体"/>
          <w:b/>
          <w:bCs/>
          <w:sz w:val="30"/>
          <w:szCs w:val="30"/>
        </w:rPr>
        <w:fldChar w:fldCharType="end"/>
      </w:r>
      <w:r/>
    </w:p>
    <w:p>
      <w:pPr>
        <w:pStyle w:val="889"/>
        <w:spacing w:before="120" w:after="120" w:line="600" w:lineRule="exact"/>
        <w:sectPr>
          <w:footerReference w:type="even" r:id="rId11"/>
          <w:footnotePr/>
          <w:endnotePr/>
          <w:type w:val="nextPage"/>
          <w:pgSz w:w="11906" w:h="16838" w:orient="portrait"/>
          <w:pgMar w:top="1247" w:right="1247" w:bottom="1247" w:left="1247" w:header="680" w:footer="992" w:gutter="0"/>
          <w:pgNumType w:start="1"/>
          <w:cols w:num="1" w:sep="0" w:space="720" w:equalWidth="1"/>
          <w:docGrid w:linePitch="360"/>
        </w:sectPr>
      </w:pPr>
      <w:r>
        <w:rPr>
          <w:rFonts w:hint="eastAsia" w:ascii="宋体" w:hAnsi="宋体" w:eastAsia="宋体" w:cs="宋体"/>
          <w:b/>
          <w:bCs/>
          <w:sz w:val="30"/>
          <w:szCs w:val="30"/>
        </w:rPr>
        <w:fldChar w:fldCharType="end"/>
      </w:r>
      <w:bookmarkStart w:id="4" w:name="_Toc166593357"/>
      <w:r/>
      <w:bookmarkStart w:id="5" w:name="_Toc166593155"/>
      <w:r/>
      <w:r/>
    </w:p>
    <w:p>
      <w:pPr>
        <w:pStyle w:val="889"/>
      </w:pPr>
      <w:r/>
      <w:r/>
    </w:p>
    <w:p>
      <w:pPr>
        <w:pStyle w:val="889"/>
      </w:pPr>
      <w:r/>
      <w:bookmarkStart w:id="6" w:name="_Toc20359"/>
      <w:r>
        <w:rPr>
          <w:rFonts w:hint="eastAsia"/>
        </w:rPr>
        <w:t xml:space="preserve">第一章　投标邀请</w:t>
      </w:r>
      <w:bookmarkEnd w:id="4"/>
      <w:r/>
      <w:bookmarkEnd w:id="5"/>
      <w:r/>
      <w:bookmarkEnd w:id="6"/>
      <w:r/>
      <w:r/>
    </w:p>
    <w:p>
      <w:pPr>
        <w:jc w:val="center"/>
        <w:spacing w:line="400" w:lineRule="exact"/>
        <w:rPr>
          <w:rFonts w:ascii="宋体" w:hAnsi="宋体" w:eastAsia="宋体" w:cs="Times New Roman"/>
          <w:b/>
          <w:bCs/>
          <w:sz w:val="24"/>
          <w:szCs w:val="24"/>
        </w:rPr>
        <w:outlineLvl w:val="0"/>
      </w:pPr>
      <w:r>
        <w:rPr>
          <w:rFonts w:ascii="宋体" w:hAnsi="宋体" w:eastAsia="宋体" w:cs="Times New Roman"/>
          <w:b/>
          <w:bCs/>
          <w:sz w:val="24"/>
          <w:szCs w:val="24"/>
        </w:rPr>
      </w:r>
      <w:r/>
    </w:p>
    <w:p>
      <w:pPr>
        <w:spacing w:line="400" w:lineRule="exact"/>
        <w:rPr>
          <w:rFonts w:ascii="宋体" w:hAnsi="宋体" w:eastAsia="宋体" w:cs="Times New Roman"/>
          <w:b/>
          <w:sz w:val="24"/>
          <w:szCs w:val="24"/>
        </w:rPr>
        <w:pBdr>
          <w:top w:val="single" w:color="auto" w:sz="4" w:space="1"/>
          <w:left w:val="single" w:color="auto" w:sz="4" w:space="4"/>
          <w:bottom w:val="single" w:color="auto" w:sz="4" w:space="1"/>
          <w:right w:val="single" w:color="auto" w:sz="4" w:space="4"/>
        </w:pBdr>
      </w:pPr>
      <w:r>
        <w:rPr>
          <w:rFonts w:ascii="宋体" w:hAnsi="宋体" w:eastAsia="宋体" w:cs="Times New Roman"/>
          <w:b/>
          <w:sz w:val="24"/>
          <w:szCs w:val="24"/>
        </w:rPr>
        <w:t xml:space="preserve">项目概况</w:t>
      </w:r>
      <w:r/>
    </w:p>
    <w:p>
      <w:pPr>
        <w:ind w:firstLine="480"/>
        <w:spacing w:line="400" w:lineRule="exact"/>
        <w:rPr>
          <w:rFonts w:ascii="宋体" w:hAnsi="宋体" w:eastAsia="宋体" w:cs="Times New Roman"/>
          <w:sz w:val="24"/>
          <w:szCs w:val="24"/>
          <w:highlight w:val="yellow"/>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sz w:val="24"/>
          <w:szCs w:val="24"/>
          <w:lang w:eastAsia="zh-CN"/>
        </w:rPr>
        <w:t xml:space="preserve">靖江办案中心智能化改造项目</w:t>
      </w:r>
      <w:r>
        <w:rPr>
          <w:rFonts w:hint="eastAsia" w:ascii="宋体" w:hAnsi="宋体" w:eastAsia="宋体" w:cs="Times New Roman"/>
          <w:bCs/>
          <w:sz w:val="24"/>
          <w:szCs w:val="24"/>
          <w:lang w:eastAsia="zh-CN"/>
        </w:rPr>
        <w:t xml:space="preserve">JSZC-320281-JZCG-G2026-0035</w:t>
      </w:r>
      <w:r>
        <w:rPr>
          <w:rFonts w:ascii="宋体" w:hAnsi="宋体" w:eastAsia="宋体" w:cs="Times New Roman"/>
          <w:sz w:val="24"/>
          <w:szCs w:val="24"/>
        </w:rPr>
        <w:t xml:space="preserve"> 招标项目的潜在投标人应在</w:t>
      </w:r>
      <w:r>
        <w:rPr>
          <w:rFonts w:hint="eastAsia" w:ascii="宋体" w:hAnsi="宋体" w:eastAsia="宋体" w:cs="Times New Roman"/>
          <w:sz w:val="24"/>
          <w:szCs w:val="24"/>
        </w:rPr>
        <w:t xml:space="preserve">江苏省政府采购（苏采云）平台</w:t>
      </w:r>
      <w:r>
        <w:rPr>
          <w:rFonts w:ascii="宋体" w:hAnsi="宋体" w:eastAsia="宋体" w:cs="Times New Roman"/>
          <w:sz w:val="24"/>
          <w:szCs w:val="24"/>
        </w:rPr>
        <w:t xml:space="preserve">获取招标文件，并</w:t>
      </w:r>
      <w:r>
        <w:rPr>
          <w:rFonts w:hint="eastAsia" w:ascii="宋体" w:hAnsi="宋体" w:eastAsia="宋体" w:cs="Times New Roman"/>
          <w:sz w:val="24"/>
          <w:szCs w:val="24"/>
          <w:highlight w:val="none"/>
        </w:rPr>
        <w:t xml:space="preserve">于</w:t>
      </w:r>
      <w:r>
        <w:rPr>
          <w:rFonts w:ascii="宋体" w:hAnsi="宋体" w:eastAsia="宋体" w:cs="Times New Roman"/>
          <w:sz w:val="24"/>
          <w:szCs w:val="24"/>
          <w:highlight w:val="none"/>
        </w:rPr>
        <w:t xml:space="preserve">202</w:t>
      </w:r>
      <w:r>
        <w:rPr>
          <w:rFonts w:hint="eastAsia" w:ascii="宋体" w:hAnsi="宋体" w:eastAsia="宋体" w:cs="Times New Roman"/>
          <w:sz w:val="24"/>
          <w:szCs w:val="24"/>
          <w:highlight w:val="none"/>
        </w:rPr>
        <w:t xml:space="preserve">6</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0</w:t>
      </w:r>
      <w:r>
        <w:rPr>
          <w:rFonts w:hint="eastAsia" w:ascii="宋体" w:hAnsi="宋体" w:eastAsia="宋体" w:cs="Times New Roman"/>
          <w:sz w:val="24"/>
          <w:szCs w:val="24"/>
          <w:highlight w:val="none"/>
          <w:lang w:val="en-US" w:eastAsia="zh-CN"/>
        </w:rPr>
        <w:t xml:space="preserve">6</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30   </w:t>
      </w:r>
      <w:r>
        <w:rPr>
          <w:rFonts w:hint="eastAsia" w:ascii="宋体" w:hAnsi="宋体" w:eastAsia="宋体" w:cs="Times New Roman"/>
          <w:sz w:val="24"/>
          <w:szCs w:val="24"/>
          <w:highlight w:val="none"/>
          <w:lang w:val="en-US" w:eastAsia="zh-CN"/>
        </w:rPr>
        <w:t xml:space="preserve">13</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3</w:t>
      </w:r>
      <w:r>
        <w:rPr>
          <w:rFonts w:ascii="宋体" w:hAnsi="宋体" w:eastAsia="宋体" w:cs="Times New Roman"/>
          <w:sz w:val="24"/>
          <w:szCs w:val="24"/>
          <w:highlight w:val="none"/>
        </w:rPr>
        <w:t xml:space="preserve">0 （北京时间）前递交投标文件。</w:t>
      </w:r>
      <w:r/>
    </w:p>
    <w:p>
      <w:pPr>
        <w:spacing w:line="400" w:lineRule="exact"/>
        <w:rPr>
          <w:rFonts w:ascii="宋体" w:hAnsi="宋体" w:eastAsia="宋体" w:cs="Times New Roman"/>
          <w:b/>
          <w:sz w:val="24"/>
          <w:szCs w:val="24"/>
        </w:rPr>
      </w:pPr>
      <w:r/>
      <w:bookmarkStart w:id="7" w:name="_Toc166593156"/>
      <w:r/>
      <w:bookmarkStart w:id="8" w:name="_Toc166593358"/>
      <w:r/>
      <w:r/>
    </w:p>
    <w:p>
      <w:pPr>
        <w:spacing w:line="400" w:lineRule="exact"/>
        <w:rPr>
          <w:rFonts w:ascii="宋体" w:hAnsi="宋体" w:eastAsia="宋体" w:cs="Times New Roman"/>
          <w:sz w:val="24"/>
          <w:szCs w:val="24"/>
        </w:rPr>
      </w:pPr>
      <w:r>
        <w:rPr>
          <w:rFonts w:ascii="宋体" w:hAnsi="宋体" w:eastAsia="宋体" w:cs="Times New Roman"/>
          <w:b/>
          <w:sz w:val="24"/>
          <w:szCs w:val="24"/>
        </w:rPr>
        <w:t xml:space="preserve">一、项目基本情况</w:t>
      </w:r>
      <w:r/>
    </w:p>
    <w:p>
      <w:pPr>
        <w:ind w:firstLine="480"/>
        <w:spacing w:line="400" w:lineRule="exact"/>
        <w:rPr>
          <w:rFonts w:hint="eastAsia" w:ascii="宋体" w:hAnsi="宋体" w:eastAsia="宋体" w:cs="Times New Roman"/>
          <w:sz w:val="24"/>
          <w:szCs w:val="24"/>
          <w:lang w:eastAsia="zh-CN"/>
        </w:rPr>
      </w:pPr>
      <w:r>
        <w:rPr>
          <w:rFonts w:ascii="宋体" w:hAnsi="宋体" w:eastAsia="宋体" w:cs="Times New Roman"/>
          <w:sz w:val="24"/>
          <w:szCs w:val="24"/>
        </w:rPr>
        <w:t xml:space="preserve">项目编号：</w:t>
      </w:r>
      <w:r>
        <w:rPr>
          <w:rFonts w:hint="eastAsia" w:ascii="宋体" w:hAnsi="宋体" w:eastAsia="宋体" w:cs="Times New Roman"/>
          <w:bCs/>
          <w:sz w:val="24"/>
          <w:szCs w:val="24"/>
          <w:lang w:eastAsia="zh-CN"/>
        </w:rPr>
        <w:t xml:space="preserve">JSZC-320281-JZCG-G2026-0035</w:t>
      </w:r>
      <w:r/>
    </w:p>
    <w:p>
      <w:pPr>
        <w:ind w:firstLine="480"/>
        <w:spacing w:line="400" w:lineRule="exact"/>
        <w:rPr>
          <w:rFonts w:hint="eastAsia" w:ascii="宋体" w:hAnsi="宋体" w:eastAsia="宋体" w:cs="Times New Roman"/>
          <w:sz w:val="24"/>
          <w:szCs w:val="24"/>
          <w:lang w:eastAsia="zh-CN"/>
        </w:rPr>
      </w:pPr>
      <w:r>
        <w:rPr>
          <w:rFonts w:ascii="宋体" w:hAnsi="宋体" w:eastAsia="宋体" w:cs="Times New Roman"/>
          <w:sz w:val="24"/>
          <w:szCs w:val="24"/>
        </w:rPr>
        <w:t xml:space="preserve">项目名称：</w:t>
      </w:r>
      <w:r>
        <w:rPr>
          <w:rFonts w:hint="eastAsia" w:ascii="宋体" w:hAnsi="宋体" w:eastAsia="宋体" w:cs="Times New Roman"/>
          <w:sz w:val="24"/>
          <w:szCs w:val="24"/>
          <w:lang w:eastAsia="zh-CN"/>
        </w:rPr>
        <w:t xml:space="preserve">靖江办案中心智能化改造项目</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预算金额：</w:t>
      </w:r>
      <w:r>
        <w:rPr>
          <w:rFonts w:hint="eastAsia" w:ascii="宋体" w:hAnsi="宋体" w:eastAsia="宋体" w:cs="Times New Roman"/>
          <w:sz w:val="24"/>
          <w:szCs w:val="24"/>
        </w:rPr>
        <w:t xml:space="preserve">275</w:t>
      </w:r>
      <w:r>
        <w:rPr>
          <w:rFonts w:ascii="宋体" w:hAnsi="宋体" w:eastAsia="宋体" w:cs="Times New Roman"/>
          <w:sz w:val="24"/>
          <w:szCs w:val="24"/>
        </w:rPr>
        <w:t xml:space="preserve">万元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最高限价：</w:t>
      </w:r>
      <w:r>
        <w:rPr>
          <w:rFonts w:hint="eastAsia" w:ascii="宋体" w:hAnsi="宋体" w:eastAsia="宋体" w:cs="Times New Roman"/>
          <w:sz w:val="24"/>
          <w:szCs w:val="24"/>
        </w:rPr>
        <w:t xml:space="preserve">275</w:t>
      </w:r>
      <w:r>
        <w:rPr>
          <w:rFonts w:ascii="宋体" w:hAnsi="宋体" w:eastAsia="宋体" w:cs="Times New Roman"/>
          <w:sz w:val="24"/>
          <w:szCs w:val="24"/>
        </w:rPr>
        <w:t xml:space="preserve">万元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采购方式：公开招标</w:t>
      </w:r>
      <w:r/>
    </w:p>
    <w:p>
      <w:pPr>
        <w:ind w:firstLine="480"/>
        <w:spacing w:line="400" w:lineRule="exact"/>
        <w:rPr>
          <w:rFonts w:ascii="宋体" w:hAnsi="宋体" w:eastAsia="宋体" w:cs="Times New Roman"/>
          <w:sz w:val="24"/>
          <w:szCs w:val="28"/>
        </w:rPr>
      </w:pPr>
      <w:r>
        <w:rPr>
          <w:rFonts w:ascii="宋体" w:hAnsi="宋体" w:eastAsia="宋体" w:cs="Times New Roman"/>
          <w:sz w:val="24"/>
          <w:szCs w:val="24"/>
        </w:rPr>
        <w:t xml:space="preserve">采购需求：</w:t>
      </w:r>
      <w:r>
        <w:rPr>
          <w:rFonts w:hint="eastAsia" w:ascii="宋体" w:hAnsi="宋体" w:eastAsia="宋体" w:cs="Times New Roman"/>
          <w:sz w:val="24"/>
          <w:szCs w:val="24"/>
        </w:rPr>
        <w:t xml:space="preserve">本项目为</w:t>
      </w:r>
      <w:r>
        <w:rPr>
          <w:rFonts w:hint="eastAsia" w:ascii="宋体" w:hAnsi="宋体" w:eastAsia="宋体" w:cs="Times New Roman"/>
          <w:sz w:val="24"/>
          <w:szCs w:val="24"/>
          <w:lang w:eastAsia="zh-CN"/>
        </w:rPr>
        <w:t xml:space="preserve">江阴市公安局靖江办案中心智能化改造项目</w:t>
      </w:r>
      <w:r>
        <w:rPr>
          <w:rFonts w:hint="eastAsia" w:ascii="宋体" w:hAnsi="宋体" w:eastAsia="宋体" w:cs="Times New Roman"/>
          <w:sz w:val="24"/>
          <w:szCs w:val="28"/>
        </w:rPr>
        <w:t xml:space="preserve">。</w:t>
      </w:r>
      <w:r>
        <w:rPr>
          <w:rFonts w:hint="eastAsia" w:ascii="宋体" w:hAnsi="宋体" w:eastAsia="宋体" w:cs="Times New Roman"/>
          <w:bCs/>
          <w:sz w:val="24"/>
          <w:szCs w:val="24"/>
        </w:rPr>
        <w:t xml:space="preserve">（详见招标文件）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合同履行期限：</w:t>
      </w:r>
      <w:r>
        <w:rPr>
          <w:rFonts w:hint="eastAsia" w:ascii="宋体" w:hAnsi="宋体" w:eastAsia="宋体" w:cs="Times New Roman"/>
          <w:sz w:val="24"/>
          <w:szCs w:val="24"/>
        </w:rPr>
        <w:t xml:space="preserve">详见招标文件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本项目（是/否）接受联合体投标</w:t>
      </w:r>
      <w:r>
        <w:rPr>
          <w:rFonts w:hint="eastAsia" w:ascii="宋体" w:hAnsi="宋体" w:eastAsia="宋体" w:cs="Times New Roman"/>
          <w:sz w:val="24"/>
          <w:szCs w:val="24"/>
        </w:rPr>
        <w:t xml:space="preserve">：否</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二、申请人的资格要求</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（一）满足《中华人民共和国政府采购法》第二十二条规定；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1.提供格式条款《关于资格的声明函》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2.法定代表人授权委托书（法定代表人签署投标/响应文件且亲自参与的必须提供《法定代表人亲自投标/磋商/谈判/询价声明》）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3.未被“信用中国”网站列入失信被执行人、重大税收违法失信主体、政府采购严重违法失信行为记录名单（无需提供证明材料）</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（二）落实政府采购政策需满足的资格要求：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项目不专门面向中小微企业采购，执行价格扣除优惠政策，对小微企业报价给予20%的扣除。提供《中小企业声明函》（格式见附件）；监狱和戒毒企业视同小型、微型企业，提供由省级以上监狱管理局、戒毒管理局(含新疆生产建设兵团)出具的属于监狱企业的证明文件；残疾人福利性单位视同小型、微型企业，提供《残疾人福利性单位声明函》（格式见附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（三）本项目的特定资格要求：</w:t>
      </w:r>
      <w:r>
        <w:rPr>
          <w:rFonts w:hint="eastAsia" w:ascii="宋体" w:hAnsi="宋体"/>
          <w:sz w:val="24"/>
        </w:rPr>
        <w:t xml:space="preserve">无</w:t>
      </w:r>
      <w:r>
        <w:rPr>
          <w:rFonts w:hint="eastAsia" w:ascii="宋体" w:hAnsi="宋体" w:eastAsia="宋体" w:cs="Times New Roman"/>
          <w:sz w:val="24"/>
          <w:szCs w:val="24"/>
        </w:rPr>
        <w:t xml:space="preserve">。</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三、获取招标文件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时间：</w:t>
      </w:r>
      <w:r>
        <w:rPr>
          <w:rFonts w:hint="eastAsia" w:ascii="宋体" w:hAnsi="宋体" w:eastAsia="宋体" w:cs="Times New Roman"/>
          <w:sz w:val="24"/>
          <w:szCs w:val="24"/>
        </w:rPr>
        <w:t xml:space="preserve">自招标文件公告发布之日起5个工作日</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江苏省政府采购（苏采云）平台</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方式：</w:t>
      </w:r>
      <w:r>
        <w:rPr>
          <w:rFonts w:hint="eastAsia" w:ascii="宋体" w:hAnsi="宋体" w:eastAsia="宋体" w:cs="Times New Roman"/>
          <w:sz w:val="24"/>
          <w:szCs w:val="24"/>
        </w:rPr>
        <w:t xml:space="preserve">请有参加意向的供应商在采购文件有效获取期内及时登录江苏省政府采购（苏采云）平台下载获取。在采购文件有效获取期限内，从江苏省政府采购（苏采云）平台获取的采购文件，视为依法获取的采购文件。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售价：0.00元 </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四、提交投标文件截止时间、开标时间和地点</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highlight w:val="none"/>
        </w:rPr>
        <w:t xml:space="preserve">202</w:t>
      </w:r>
      <w:r>
        <w:rPr>
          <w:rFonts w:hint="eastAsia" w:ascii="宋体" w:hAnsi="宋体" w:eastAsia="宋体" w:cs="Times New Roman"/>
          <w:sz w:val="24"/>
          <w:szCs w:val="24"/>
          <w:highlight w:val="none"/>
        </w:rPr>
        <w:t xml:space="preserve">6</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0</w:t>
      </w:r>
      <w:r>
        <w:rPr>
          <w:rFonts w:hint="eastAsia" w:ascii="宋体" w:hAnsi="宋体" w:eastAsia="宋体" w:cs="Times New Roman"/>
          <w:sz w:val="24"/>
          <w:szCs w:val="24"/>
          <w:highlight w:val="none"/>
          <w:lang w:val="en-US" w:eastAsia="zh-CN"/>
        </w:rPr>
        <w:t xml:space="preserve">6</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30   </w:t>
      </w:r>
      <w:r>
        <w:rPr>
          <w:rFonts w:hint="eastAsia" w:ascii="宋体" w:hAnsi="宋体" w:eastAsia="宋体" w:cs="Times New Roman"/>
          <w:sz w:val="24"/>
          <w:szCs w:val="24"/>
          <w:highlight w:val="none"/>
          <w:lang w:val="en-US" w:eastAsia="zh-CN"/>
        </w:rPr>
        <w:t xml:space="preserve">13</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3</w:t>
      </w:r>
      <w:r>
        <w:rPr>
          <w:rFonts w:ascii="宋体" w:hAnsi="宋体" w:eastAsia="宋体" w:cs="Times New Roman"/>
          <w:sz w:val="24"/>
          <w:szCs w:val="24"/>
          <w:highlight w:val="none"/>
        </w:rPr>
        <w:t xml:space="preserve">0（</w:t>
      </w:r>
      <w:r>
        <w:rPr>
          <w:rFonts w:ascii="宋体" w:hAnsi="宋体" w:eastAsia="宋体" w:cs="Times New Roman"/>
          <w:sz w:val="24"/>
          <w:szCs w:val="24"/>
        </w:rPr>
        <w:t xml:space="preserve">北京时间）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江苏省政府采购（苏采云）平台</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五、公告期限</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自本公告发布之日起5个工作日。</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六、其他补充事宜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（一）供应商注册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1.请有意参加本项目采购活动的供应商按以下流程进行操作：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（1）访问“江苏省政府采购（苏采云）平台”（以下简称“苏采云”）进行账号注册，注册完成后需在系统中填写资质信息并提交审核。也可以直接通过http://jszfcg.jsczt.cn/进入注册界面。</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（2）办理“意源”CA数字证书和“方正”电子签章（办理地址：无锡市滨湖区观山路199号12号楼二楼9号、10号窗口 咨询电话：</w:t>
      </w:r>
      <w:r>
        <w:rPr>
          <w:rFonts w:ascii="宋体" w:hAnsi="宋体" w:eastAsia="宋体" w:cs="Times New Roman"/>
          <w:sz w:val="24"/>
          <w:szCs w:val="24"/>
        </w:rPr>
        <w:t xml:space="preserve">0510-81827781</w:t>
      </w:r>
      <w:r>
        <w:rPr>
          <w:rFonts w:hint="eastAsia" w:ascii="宋体" w:hAnsi="宋体" w:eastAsia="宋体" w:cs="Times New Roman"/>
          <w:sz w:val="24"/>
          <w:szCs w:val="24"/>
        </w:rPr>
        <w:t xml:space="preserve">），办理指南链接：http://jsxcmm.com/help/help.html。</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（3）CA驱动下载：在“江苏省政府采购（苏采云）平台”账号登录页面，点击“驱动下载”链接中的“政务CA、方正签章控件驱动安装包及安装说明”可以直接下载驱动安装包，安装包中附有驱动安装手册。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2.完成苏采云注册的供应商方可在苏采云中进行CA绑定。登录“江苏省政府采购（苏采云）平台”，插入CA后，点击【账号设置】——【绑定CA】。</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3.供应商应按上述要求提供相关材料及注册登记信息，所提供的材料应均是真实的、准确的，若有违背，供应商自行承担由此而产生的一切后果。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技术服务电话：0510-88027623（服务时间：工作日 8:30-11:00,13:00-17:00）</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（二）获取采购文件，完成项目参与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供应商可在项目采购公告附件中查看采购文件，如确定参加本次采购活动，必须在采购文件提供期限内从苏采云平台中免费下载文件（“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2.供应商通过苏采云平台提交数据电文形式的响应文件，通过苏采云平台进入“开标大厅”开启（解密）响应文件。推荐使用谷歌浏览器，参与苏采云平台不见面开标。</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七、对本次招标提出询问，请按以下方式联系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1.采购人信息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单位名称：</w:t>
      </w:r>
      <w:r>
        <w:rPr>
          <w:rFonts w:hint="eastAsia" w:ascii="宋体" w:hAnsi="宋体" w:eastAsia="宋体" w:cs="Times New Roman"/>
          <w:sz w:val="24"/>
          <w:szCs w:val="24"/>
        </w:rPr>
        <w:t xml:space="preserve">江阴市公安局</w:t>
      </w:r>
      <w:r/>
    </w:p>
    <w:p>
      <w:pPr>
        <w:ind w:firstLine="480"/>
        <w:jc w:val="left"/>
        <w:spacing w:line="400" w:lineRule="exact"/>
        <w:rPr>
          <w:rFonts w:ascii="宋体" w:hAnsi="宋体" w:eastAsia="宋体" w:cs="Times New Roman"/>
          <w:sz w:val="24"/>
          <w:szCs w:val="28"/>
        </w:rPr>
      </w:pPr>
      <w:r>
        <w:rPr>
          <w:rFonts w:ascii="宋体" w:hAnsi="宋体" w:eastAsia="宋体" w:cs="Times New Roman"/>
          <w:sz w:val="24"/>
          <w:szCs w:val="24"/>
        </w:rPr>
        <w:t xml:space="preserve">单位</w:t>
      </w:r>
      <w:r>
        <w:rPr>
          <w:rFonts w:hint="eastAsia" w:ascii="宋体" w:hAnsi="宋体" w:eastAsia="宋体" w:cs="Times New Roman"/>
          <w:sz w:val="24"/>
          <w:szCs w:val="24"/>
        </w:rPr>
        <w:t xml:space="preserve">地址：</w:t>
      </w:r>
      <w:r>
        <w:rPr>
          <w:rFonts w:hint="eastAsia" w:ascii="宋体" w:hAnsi="宋体" w:eastAsia="宋体" w:cs="Times New Roman"/>
          <w:sz w:val="24"/>
          <w:szCs w:val="28"/>
        </w:rPr>
        <w:t xml:space="preserve">江阴市澄江中路110号</w:t>
      </w:r>
      <w:r/>
    </w:p>
    <w:p>
      <w:pPr>
        <w:ind w:firstLine="480"/>
        <w:jc w:val="left"/>
        <w:spacing w:line="400" w:lineRule="exact"/>
        <w:rPr>
          <w:rFonts w:ascii="宋体" w:hAnsi="宋体" w:eastAsia="宋体" w:cs="Times New Roman"/>
          <w:sz w:val="24"/>
          <w:szCs w:val="28"/>
        </w:rPr>
      </w:pPr>
      <w:r>
        <w:rPr>
          <w:rFonts w:hint="eastAsia" w:ascii="宋体" w:hAnsi="宋体" w:eastAsia="宋体" w:cs="Times New Roman"/>
          <w:sz w:val="24"/>
          <w:szCs w:val="28"/>
        </w:rPr>
        <w:t xml:space="preserve">项目联系人：李先生</w:t>
      </w:r>
      <w:r/>
    </w:p>
    <w:p>
      <w:pPr>
        <w:ind w:firstLine="480"/>
        <w:jc w:val="left"/>
        <w:spacing w:line="400" w:lineRule="exact"/>
        <w:rPr>
          <w:rFonts w:ascii="宋体" w:hAnsi="宋体" w:eastAsia="宋体" w:cs="Times New Roman"/>
          <w:sz w:val="24"/>
          <w:szCs w:val="28"/>
        </w:rPr>
      </w:pPr>
      <w:r>
        <w:rPr>
          <w:rFonts w:hint="eastAsia" w:ascii="宋体" w:hAnsi="宋体" w:eastAsia="宋体" w:cs="Times New Roman"/>
          <w:sz w:val="24"/>
          <w:szCs w:val="28"/>
        </w:rPr>
        <w:t xml:space="preserve">联系电话：0510-86826202</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2.采购代理机构信息</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单位名称：</w:t>
      </w:r>
      <w:r>
        <w:rPr>
          <w:rFonts w:hint="eastAsia" w:ascii="宋体" w:hAnsi="宋体" w:eastAsia="宋体" w:cs="Times New Roman"/>
          <w:sz w:val="24"/>
          <w:szCs w:val="24"/>
        </w:rPr>
        <w:t xml:space="preserve">江阴市政府采购中心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单位地址：</w:t>
      </w:r>
      <w:r>
        <w:rPr>
          <w:rFonts w:hint="eastAsia" w:ascii="宋体" w:hAnsi="宋体" w:eastAsia="宋体" w:cs="Times New Roman"/>
          <w:sz w:val="24"/>
          <w:szCs w:val="24"/>
        </w:rPr>
        <w:t xml:space="preserve">江阴市长江路188号6楼</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联系人：</w:t>
      </w:r>
      <w:r>
        <w:rPr>
          <w:rFonts w:hint="eastAsia" w:ascii="宋体" w:hAnsi="宋体" w:eastAsia="宋体" w:cs="Times New Roman"/>
          <w:sz w:val="24"/>
          <w:szCs w:val="24"/>
          <w:lang w:eastAsia="zh-CN"/>
        </w:rPr>
        <w:t xml:space="preserve">刘</w:t>
      </w:r>
      <w:r>
        <w:rPr>
          <w:rFonts w:hint="eastAsia" w:ascii="宋体" w:hAnsi="宋体" w:eastAsia="宋体" w:cs="Times New Roman"/>
          <w:sz w:val="24"/>
          <w:szCs w:val="24"/>
        </w:rPr>
        <w:t xml:space="preserve">先生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联系电话：0510-880276</w:t>
      </w:r>
      <w:r>
        <w:rPr>
          <w:rFonts w:hint="eastAsia" w:ascii="宋体" w:hAnsi="宋体" w:eastAsia="宋体" w:cs="Times New Roman"/>
          <w:sz w:val="24"/>
          <w:szCs w:val="24"/>
        </w:rPr>
        <w:t xml:space="preserve">21</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3.项目联系方式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项目联系人：</w:t>
      </w:r>
      <w:r>
        <w:rPr>
          <w:rFonts w:hint="eastAsia" w:ascii="宋体" w:hAnsi="宋体" w:eastAsia="宋体" w:cs="Times New Roman"/>
          <w:sz w:val="24"/>
          <w:szCs w:val="24"/>
          <w:lang w:eastAsia="zh-CN"/>
        </w:rPr>
        <w:t xml:space="preserve">刘</w:t>
      </w:r>
      <w:r>
        <w:rPr>
          <w:rFonts w:hint="eastAsia" w:ascii="宋体" w:hAnsi="宋体" w:eastAsia="宋体" w:cs="Times New Roman"/>
          <w:sz w:val="24"/>
          <w:szCs w:val="24"/>
        </w:rPr>
        <w:t xml:space="preserve">先生</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电话：0510-880276</w:t>
      </w:r>
      <w:r>
        <w:rPr>
          <w:rFonts w:hint="eastAsia" w:ascii="宋体" w:hAnsi="宋体" w:eastAsia="宋体" w:cs="Times New Roman"/>
          <w:sz w:val="24"/>
          <w:szCs w:val="24"/>
        </w:rPr>
        <w:t xml:space="preserve">21</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pStyle w:val="889"/>
      </w:pPr>
      <w:r/>
      <w:r/>
    </w:p>
    <w:p>
      <w:pPr>
        <w:pStyle w:val="889"/>
      </w:pPr>
      <w:r/>
      <w:bookmarkStart w:id="9" w:name="_Toc17123"/>
      <w:r>
        <w:rPr>
          <w:rFonts w:hint="eastAsia"/>
        </w:rPr>
        <w:t xml:space="preserve">第二章　</w:t>
      </w:r>
      <w:r>
        <w:rPr>
          <w:rFonts w:hint="eastAsia" w:hAnsi="宋体"/>
        </w:rPr>
        <w:t xml:space="preserve">投标人</w:t>
      </w:r>
      <w:r>
        <w:rPr>
          <w:rFonts w:hint="eastAsia"/>
        </w:rPr>
        <w:t xml:space="preserve">须知</w:t>
      </w:r>
      <w:bookmarkEnd w:id="7"/>
      <w:r/>
      <w:bookmarkEnd w:id="8"/>
      <w:r/>
      <w:bookmarkEnd w:id="9"/>
      <w:r/>
      <w:r/>
    </w:p>
    <w:p>
      <w:pPr>
        <w:spacing w:line="400" w:lineRule="exact"/>
        <w:rPr>
          <w:rFonts w:ascii="黑体" w:hAnsi="Times New Roman" w:eastAsia="黑体" w:cs="Times New Roman"/>
          <w:b/>
          <w:sz w:val="28"/>
          <w:szCs w:val="24"/>
        </w:rPr>
      </w:pPr>
      <w:r>
        <w:rPr>
          <w:rFonts w:ascii="黑体" w:hAnsi="Times New Roman" w:eastAsia="黑体" w:cs="Times New Roman"/>
          <w:b/>
          <w:sz w:val="28"/>
          <w:szCs w:val="24"/>
        </w:rPr>
      </w:r>
      <w:r/>
    </w:p>
    <w:p>
      <w:pPr>
        <w:spacing w:line="400" w:lineRule="exact"/>
        <w:rPr>
          <w:rFonts w:ascii="黑体" w:hAnsi="Times New Roman" w:eastAsia="黑体" w:cs="Times New Roman"/>
          <w:sz w:val="28"/>
          <w:szCs w:val="24"/>
        </w:rPr>
      </w:pPr>
      <w:r>
        <w:rPr>
          <w:rFonts w:hint="eastAsia" w:ascii="黑体" w:hAnsi="Times New Roman" w:eastAsia="黑体" w:cs="Times New Roman"/>
          <w:b/>
          <w:sz w:val="28"/>
          <w:szCs w:val="24"/>
        </w:rPr>
        <w:t xml:space="preserve">一、</w:t>
      </w:r>
      <w:r>
        <w:rPr>
          <w:rFonts w:hint="eastAsia" w:ascii="黑体" w:hAnsi="Times New Roman" w:eastAsia="黑体" w:cs="Times New Roman"/>
          <w:sz w:val="28"/>
          <w:szCs w:val="24"/>
        </w:rPr>
        <w:t xml:space="preserve">遵循原则：</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公开透明原则、公平竞争原则、公正原则和诚实信用原则。</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二、招标文件：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1、招标文件包括本文件目录所列全部内容，投标人应仔细阅读，并在投标文件中充分反映招标文件的所有要求。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2、招标文件中的“法定代表人”是指投标人的营业执照或相关部门的有效登记证明文件中的“法定代表人”或“负责人”。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3、投标人应在</w:t>
      </w:r>
      <w:r>
        <w:rPr>
          <w:rFonts w:ascii="宋体" w:hAnsi="宋体" w:eastAsia="宋体" w:cs="Times New Roman"/>
          <w:sz w:val="24"/>
          <w:szCs w:val="24"/>
        </w:rPr>
        <w:t xml:space="preserve">江苏省政府采购（苏采云）平台</w:t>
      </w:r>
      <w:r>
        <w:rPr>
          <w:rFonts w:hint="eastAsia" w:ascii="宋体" w:hAnsi="宋体" w:eastAsia="宋体" w:cs="Times New Roman"/>
          <w:sz w:val="24"/>
          <w:szCs w:val="24"/>
        </w:rPr>
        <w:t xml:space="preserve">下载招标文件及有关资料，按招标文件要求提交全部资料并对招标文件各项内容做出实质性响应，否则投标无效。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4、投标人一旦参加本项目，即被认为接受了本招标文件中的所有条件和规定。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5、招标文件仅作为本次采购投标使用。</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三、招标文件的解释：</w:t>
      </w:r>
      <w:r>
        <w:rPr>
          <w:rFonts w:hint="eastAsia" w:ascii="黑体" w:hAnsi="Times New Roman" w:eastAsia="黑体" w:cs="Times New Roman"/>
          <w:sz w:val="24"/>
          <w:szCs w:val="24"/>
        </w:rPr>
        <w:tab/>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1、投标单位如有需要对招标文件要求澄清的问题，均应在开标前十五日以书面形式提出（加盖公章），并送至江阴市政府采购中心。</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2、本文件的最终解释权归江阴市政府采购中心。</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四、招标文件的补充或修正：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1、江阴市政府采购中心可以对已发出的招标文件进行必要的澄清或者修改。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3、澄清或者修改的内容可能影响投标文件编制的，江阴市政府采购中心将在投标截止时间至少15日前发布澄清公告；不足15日的顺延提交投标文件的截止时间和开标时间。</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五、投标文件的要求：</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投标文件由下列部分组成：</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（1）</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投标函；</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（2）</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开标一览表；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（3）</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分项报价表；</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（4）</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商务、技术要求响应及偏离表；</w:t>
      </w:r>
      <w:r/>
    </w:p>
    <w:p>
      <w:pPr>
        <w:ind w:firstLine="480"/>
        <w:spacing w:line="400" w:lineRule="exact"/>
        <w:rPr>
          <w:rFonts w:hint="eastAsia" w:ascii="宋体" w:hAnsi="宋体" w:eastAsia="宋体" w:cs="Times New Roman"/>
          <w:b/>
          <w:bCs/>
          <w:sz w:val="24"/>
          <w:szCs w:val="24"/>
          <w:highlight w:val="none"/>
        </w:rPr>
      </w:pPr>
      <w:r>
        <w:rPr>
          <w:rFonts w:hint="eastAsia" w:ascii="宋体" w:hAnsi="宋体" w:eastAsia="宋体" w:cs="Times New Roman"/>
          <w:sz w:val="24"/>
          <w:szCs w:val="24"/>
        </w:rPr>
        <w:t xml:space="preserve">（5）</w:t>
      </w:r>
      <w:r>
        <w:rPr>
          <w:rFonts w:hint="eastAsia" w:ascii="宋体" w:hAnsi="宋体" w:eastAsia="宋体" w:cs="Times New Roman"/>
          <w:b/>
          <w:bCs/>
          <w:sz w:val="24"/>
          <w:szCs w:val="24"/>
          <w:highlight w:val="none"/>
        </w:rPr>
        <w:t xml:space="preserve">*第三章实质性要求中须提供的节能产品认证证书、</w:t>
      </w:r>
      <w:r>
        <w:rPr>
          <w:rFonts w:hint="eastAsia" w:ascii="宋体" w:hAnsi="宋体" w:eastAsia="宋体" w:cs="宋体"/>
          <w:b/>
          <w:bCs/>
          <w:sz w:val="24"/>
          <w:szCs w:val="24"/>
          <w:highlight w:val="none"/>
          <w:lang w:val="en-US" w:eastAsia="zh-CN"/>
        </w:rPr>
        <w:t xml:space="preserve">3C认证证书、</w:t>
      </w:r>
      <w:r>
        <w:rPr>
          <w:rFonts w:hint="eastAsia" w:ascii="宋体" w:hAnsi="宋体" w:eastAsia="宋体" w:cs="Times New Roman"/>
          <w:b/>
          <w:bCs/>
          <w:sz w:val="24"/>
          <w:szCs w:val="24"/>
          <w:highlight w:val="none"/>
        </w:rPr>
        <w:t xml:space="preserve">无缝对接承诺书；</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6</w:t>
      </w:r>
      <w:r>
        <w:rPr>
          <w:rFonts w:hint="eastAsia" w:ascii="宋体" w:hAnsi="宋体" w:eastAsia="宋体" w:cs="Times New Roman"/>
          <w:sz w:val="24"/>
          <w:szCs w:val="24"/>
        </w:rPr>
        <w:t xml:space="preserve">）</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资格证明文件：</w:t>
      </w:r>
      <w:r/>
    </w:p>
    <w:p>
      <w:pPr>
        <w:ind w:firstLine="964"/>
        <w:spacing w:line="400" w:lineRule="exact"/>
        <w:rPr>
          <w:rFonts w:ascii="宋体" w:hAnsi="宋体" w:eastAsia="宋体" w:cs="Times New Roman"/>
          <w:bCs/>
          <w:sz w:val="24"/>
          <w:szCs w:val="24"/>
        </w:rPr>
      </w:pPr>
      <w:r>
        <w:rPr>
          <w:rFonts w:hint="eastAsia" w:ascii="宋体" w:hAnsi="宋体" w:eastAsia="宋体" w:cs="Times New Roman"/>
          <w:b/>
          <w:bCs/>
          <w:sz w:val="24"/>
          <w:szCs w:val="28"/>
        </w:rPr>
        <w:t xml:space="preserve">文件1：提供格式条款《关于资格的声明函》</w:t>
      </w:r>
      <w:r/>
    </w:p>
    <w:p>
      <w:pPr>
        <w:ind w:firstLine="964"/>
        <w:spacing w:line="400" w:lineRule="exact"/>
        <w:rPr>
          <w:rFonts w:ascii="宋体" w:hAnsi="宋体" w:eastAsia="宋体" w:cs="Times New Roman"/>
          <w:b/>
          <w:bCs/>
          <w:sz w:val="24"/>
          <w:szCs w:val="24"/>
        </w:rPr>
      </w:pPr>
      <w:r>
        <w:rPr>
          <w:rFonts w:hint="eastAsia" w:ascii="宋体" w:hAnsi="宋体" w:eastAsia="宋体" w:cs="Times New Roman"/>
          <w:b/>
          <w:bCs/>
          <w:sz w:val="24"/>
          <w:szCs w:val="28"/>
        </w:rPr>
        <w:t xml:space="preserve">文件2：</w:t>
      </w:r>
      <w:r>
        <w:rPr>
          <w:rFonts w:hint="eastAsia" w:ascii="宋体" w:hAnsi="宋体" w:eastAsia="宋体" w:cs="Times New Roman"/>
          <w:bCs/>
          <w:sz w:val="24"/>
          <w:szCs w:val="24"/>
        </w:rPr>
        <w:t xml:space="preserve">法定代表人授权委托书</w:t>
      </w:r>
      <w:r>
        <w:rPr>
          <w:rFonts w:hint="eastAsia" w:ascii="宋体" w:hAnsi="宋体" w:eastAsia="宋体" w:cs="Times New Roman"/>
          <w:b/>
          <w:bCs/>
          <w:sz w:val="24"/>
          <w:szCs w:val="24"/>
        </w:rPr>
        <w:t xml:space="preserve">（法定代表人签署投标文件且亲自参与的必须提供《法定代表人亲自投标声明》）</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8"/>
        </w:rPr>
        <w:t xml:space="preserve">（</w:t>
      </w:r>
      <w:r>
        <w:rPr>
          <w:rFonts w:hint="eastAsia" w:ascii="宋体" w:hAnsi="宋体" w:eastAsia="宋体" w:cs="Times New Roman"/>
          <w:sz w:val="24"/>
          <w:szCs w:val="28"/>
          <w:lang w:val="en-US" w:eastAsia="zh-CN"/>
        </w:rPr>
        <w:t xml:space="preserve">7</w:t>
      </w:r>
      <w:r>
        <w:rPr>
          <w:rFonts w:hint="eastAsia" w:ascii="宋体" w:hAnsi="宋体" w:eastAsia="宋体" w:cs="Times New Roman"/>
          <w:sz w:val="24"/>
          <w:szCs w:val="28"/>
        </w:rPr>
        <w:t xml:space="preserve">）投标人</w:t>
      </w:r>
      <w:r>
        <w:rPr>
          <w:rFonts w:ascii="宋体" w:hAnsi="宋体" w:eastAsia="宋体" w:cs="Times New Roman"/>
          <w:sz w:val="24"/>
          <w:szCs w:val="28"/>
        </w:rPr>
        <w:t xml:space="preserve">认为需要提供的其他证明文件</w:t>
      </w:r>
      <w:r/>
    </w:p>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注：</w:t>
      </w:r>
      <w:r/>
    </w:p>
    <w:p>
      <w:pPr>
        <w:ind w:firstLine="480"/>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①其中加“*”项目若有缺失或无效，将作为无效投标文件。</w:t>
      </w:r>
      <w:r/>
    </w:p>
    <w:p>
      <w:pPr>
        <w:ind w:firstLine="480"/>
        <w:spacing w:line="400" w:lineRule="exact"/>
        <w:rPr>
          <w:rFonts w:ascii="Tahoma" w:hAnsi="Tahoma" w:eastAsia="宋体" w:cs="Tahoma"/>
          <w:sz w:val="24"/>
          <w:szCs w:val="24"/>
        </w:rPr>
      </w:pPr>
      <w:r>
        <w:rPr>
          <w:rFonts w:hint="eastAsia" w:ascii="宋体" w:hAnsi="宋体" w:eastAsia="宋体" w:cs="Times New Roman"/>
          <w:sz w:val="24"/>
          <w:szCs w:val="24"/>
        </w:rPr>
        <w:t xml:space="preserve">②</w:t>
      </w:r>
      <w:r>
        <w:rPr>
          <w:rFonts w:hint="eastAsia" w:ascii="Tahoma" w:hAnsi="Tahoma" w:eastAsia="宋体" w:cs="Tahoma"/>
          <w:sz w:val="24"/>
          <w:szCs w:val="24"/>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80"/>
        <w:spacing w:line="400" w:lineRule="exact"/>
        <w:rPr>
          <w:rFonts w:ascii="Tahoma" w:hAnsi="Tahoma" w:eastAsia="宋体" w:cs="Tahoma"/>
          <w:sz w:val="24"/>
          <w:szCs w:val="24"/>
        </w:rPr>
      </w:pPr>
      <w:r>
        <w:rPr>
          <w:rFonts w:hint="eastAsia" w:ascii="Tahoma" w:hAnsi="Tahoma" w:eastAsia="宋体" w:cs="Tahoma"/>
          <w:sz w:val="24"/>
          <w:szCs w:val="24"/>
        </w:rPr>
        <w:t xml:space="preserve">③提供以人事代理、控股子公司等代收代缴形式缴纳社保的证明的，属于无效证明文件。</w:t>
      </w:r>
      <w:r/>
    </w:p>
    <w:p>
      <w:pPr>
        <w:ind w:firstLine="480"/>
        <w:spacing w:line="400" w:lineRule="exact"/>
        <w:rPr>
          <w:rFonts w:hint="eastAsia" w:ascii="Tahoma" w:hAnsi="Tahoma" w:eastAsia="宋体" w:cs="Tahoma"/>
          <w:sz w:val="24"/>
          <w:szCs w:val="24"/>
        </w:rPr>
      </w:pPr>
      <w:r>
        <w:rPr>
          <w:rFonts w:hint="eastAsia" w:ascii="Tahoma" w:hAnsi="Tahoma" w:eastAsia="宋体" w:cs="Tahoma"/>
          <w:sz w:val="24"/>
          <w:szCs w:val="24"/>
        </w:rPr>
        <w:t xml:space="preserve">④制作电子投标文件时必须与投标文件制作软件目录一一对应，将相关资料上传至相应模块，如未按照系统中模块上传的，相关不利后果（如资格性审查不通过、符合性审查不通过等）由投标人自行承担。</w:t>
      </w:r>
      <w:r/>
    </w:p>
    <w:p>
      <w:pPr>
        <w:ind w:firstLine="480"/>
        <w:spacing w:line="400" w:lineRule="exact"/>
        <w:rPr>
          <w:rFonts w:ascii="Tahoma" w:hAnsi="Tahoma" w:eastAsia="宋体" w:cs="Tahoma"/>
          <w:sz w:val="24"/>
          <w:szCs w:val="24"/>
        </w:rPr>
      </w:pPr>
      <w:r>
        <w:rPr>
          <w:rFonts w:hint="eastAsia" w:ascii="宋体" w:hAnsi="宋体" w:eastAsia="宋体" w:cs="Times New Roman"/>
          <w:sz w:val="24"/>
          <w:szCs w:val="24"/>
        </w:rPr>
        <w:t xml:space="preserve">⑤投标文件构成资料为非中文时应提供中文译版。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⑥招标文件要求提供证书证件等原件电子件的，投标人提供的电子件应是对证书证件等原件通过扫描、拍照等方式进行数字化的可被电子交易平台识别的数字文件，否则评标委员会可以视其未提供。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⑦联合体投标的，由联合体牵头单位编制、提交投标文件。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⑧本项目不接受纸质投标文件。</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六、投标文件</w:t>
      </w:r>
      <w:r>
        <w:rPr>
          <w:rFonts w:hint="eastAsia" w:ascii="黑体" w:hAnsi="Times New Roman" w:eastAsia="黑体" w:cs="Times New Roman"/>
          <w:sz w:val="28"/>
          <w:szCs w:val="28"/>
        </w:rPr>
        <w:t xml:space="preserve">的制作、提交与远程交互</w:t>
      </w:r>
      <w:r>
        <w:rPr>
          <w:rFonts w:hint="eastAsia" w:ascii="黑体" w:hAnsi="Times New Roman" w:eastAsia="黑体" w:cs="Times New Roman"/>
          <w:sz w:val="28"/>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从</w:t>
      </w:r>
      <w:r>
        <w:rPr>
          <w:rFonts w:ascii="宋体" w:hAnsi="宋体" w:eastAsia="宋体" w:cs="Times New Roman"/>
          <w:sz w:val="24"/>
          <w:szCs w:val="24"/>
        </w:rPr>
        <w:t xml:space="preserve">苏采云平台中免费下载文件（“项目参与</w:t>
      </w:r>
      <w:r>
        <w:rPr>
          <w:rFonts w:hint="eastAsia" w:ascii="宋体" w:hAnsi="宋体" w:eastAsia="宋体" w:cs="Times New Roman"/>
          <w:sz w:val="24"/>
          <w:szCs w:val="24"/>
        </w:rPr>
        <w:t xml:space="preserve">”</w:t>
      </w:r>
      <w:r>
        <w:rPr>
          <w:rFonts w:ascii="宋体" w:hAnsi="宋体" w:eastAsia="宋体" w:cs="Times New Roman"/>
          <w:sz w:val="24"/>
          <w:szCs w:val="24"/>
        </w:rPr>
        <w:t xml:space="preserve">找到需要获取</w:t>
      </w:r>
      <w:r>
        <w:rPr>
          <w:rFonts w:hint="eastAsia" w:ascii="宋体" w:hAnsi="宋体" w:eastAsia="宋体" w:cs="Times New Roman"/>
          <w:sz w:val="24"/>
          <w:szCs w:val="24"/>
        </w:rPr>
        <w:t xml:space="preserve">招标文件</w:t>
      </w:r>
      <w:r>
        <w:rPr>
          <w:rFonts w:ascii="宋体" w:hAnsi="宋体" w:eastAsia="宋体" w:cs="Times New Roman"/>
          <w:sz w:val="24"/>
          <w:szCs w:val="24"/>
        </w:rPr>
        <w:t xml:space="preserve">的项目，点击“我要参与”——“参与投标”</w:t>
      </w:r>
      <w:r>
        <w:rPr>
          <w:rFonts w:hint="eastAsia" w:ascii="宋体" w:hAnsi="宋体" w:eastAsia="宋体" w:cs="Times New Roman"/>
          <w:sz w:val="24"/>
          <w:szCs w:val="24"/>
        </w:rPr>
        <w:t xml:space="preserve">——“</w:t>
      </w:r>
      <w:r>
        <w:rPr>
          <w:rFonts w:ascii="宋体" w:hAnsi="宋体" w:eastAsia="宋体" w:cs="Times New Roman"/>
          <w:sz w:val="24"/>
          <w:szCs w:val="24"/>
        </w:rPr>
        <w:t xml:space="preserve">下载文件</w:t>
      </w:r>
      <w:r>
        <w:rPr>
          <w:rFonts w:hint="eastAsia" w:ascii="宋体" w:hAnsi="宋体" w:eastAsia="宋体" w:cs="Times New Roman"/>
          <w:sz w:val="24"/>
          <w:szCs w:val="24"/>
        </w:rPr>
        <w:t xml:space="preserve">”</w:t>
      </w:r>
      <w:r>
        <w:rPr>
          <w:rFonts w:ascii="宋体" w:hAnsi="宋体" w:eastAsia="宋体" w:cs="Times New Roman"/>
          <w:sz w:val="24"/>
          <w:szCs w:val="24"/>
        </w:rPr>
        <w:t xml:space="preserve">），完成项目</w:t>
      </w:r>
      <w:r>
        <w:rPr>
          <w:rFonts w:hint="eastAsia" w:ascii="宋体" w:hAnsi="宋体" w:eastAsia="宋体" w:cs="Times New Roman"/>
          <w:sz w:val="24"/>
          <w:szCs w:val="24"/>
        </w:rPr>
        <w:t xml:space="preserve">参与</w:t>
      </w:r>
      <w:r>
        <w:rPr>
          <w:rFonts w:ascii="宋体" w:hAnsi="宋体" w:eastAsia="宋体" w:cs="Times New Roman"/>
          <w:sz w:val="24"/>
          <w:szCs w:val="24"/>
        </w:rPr>
        <w:t xml:space="preserve">，</w:t>
      </w:r>
      <w:r>
        <w:rPr>
          <w:rFonts w:hint="eastAsia" w:ascii="宋体" w:hAnsi="宋体" w:eastAsia="宋体" w:cs="Times New Roman"/>
          <w:sz w:val="24"/>
          <w:szCs w:val="24"/>
        </w:rPr>
        <w:t xml:space="preserve">将苏采云平台中</w:t>
      </w:r>
      <w:r>
        <w:rPr>
          <w:rFonts w:ascii="宋体" w:hAnsi="宋体" w:eastAsia="宋体" w:cs="Times New Roman"/>
          <w:sz w:val="24"/>
          <w:szCs w:val="24"/>
        </w:rPr>
        <w:t xml:space="preserve">下载的</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w:t>
      </w:r>
      <w:r>
        <w:rPr>
          <w:rFonts w:hint="eastAsia" w:ascii="宋体" w:hAnsi="宋体" w:eastAsia="宋体" w:cs="Times New Roman"/>
          <w:sz w:val="24"/>
          <w:szCs w:val="24"/>
        </w:rPr>
        <w:t xml:space="preserve">（后缀名为“.kedt”）</w:t>
      </w:r>
      <w:r>
        <w:rPr>
          <w:rFonts w:ascii="宋体" w:hAnsi="宋体" w:eastAsia="宋体" w:cs="Times New Roman"/>
          <w:sz w:val="24"/>
          <w:szCs w:val="24"/>
        </w:rPr>
        <w:t xml:space="preserve">导入到“政府采购客户端”，离线按要求</w:t>
      </w:r>
      <w:r>
        <w:rPr>
          <w:rFonts w:hint="eastAsia" w:ascii="宋体" w:hAnsi="宋体" w:eastAsia="宋体" w:cs="Times New Roman"/>
          <w:sz w:val="24"/>
          <w:szCs w:val="24"/>
        </w:rPr>
        <w:t xml:space="preserve">编制</w:t>
      </w:r>
      <w:r>
        <w:rPr>
          <w:rFonts w:ascii="宋体" w:hAnsi="宋体" w:eastAsia="宋体" w:cs="Times New Roman"/>
          <w:sz w:val="24"/>
          <w:szCs w:val="24"/>
        </w:rPr>
        <w:t xml:space="preserve">并加密响应文件</w:t>
      </w:r>
      <w:r>
        <w:rPr>
          <w:rFonts w:hint="eastAsia" w:ascii="宋体" w:hAnsi="宋体" w:eastAsia="宋体" w:cs="Times New Roman"/>
          <w:sz w:val="24"/>
          <w:szCs w:val="24"/>
        </w:rPr>
        <w:t xml:space="preserve">（使用“CA数字证书”），</w:t>
      </w:r>
      <w:r>
        <w:rPr>
          <w:rFonts w:ascii="宋体" w:hAnsi="宋体" w:eastAsia="宋体" w:cs="Times New Roman"/>
          <w:sz w:val="24"/>
          <w:szCs w:val="24"/>
        </w:rPr>
        <w:t xml:space="preserve">导出加密的响应文件</w:t>
      </w:r>
      <w:r>
        <w:rPr>
          <w:rFonts w:hint="eastAsia" w:ascii="宋体" w:hAnsi="宋体" w:eastAsia="宋体" w:cs="Times New Roman"/>
          <w:sz w:val="24"/>
          <w:szCs w:val="24"/>
        </w:rPr>
        <w:t xml:space="preserve">（后缀名为zip，不得超过150M）并在</w:t>
      </w:r>
      <w:r>
        <w:rPr>
          <w:rFonts w:ascii="宋体" w:hAnsi="宋体" w:eastAsia="宋体" w:cs="Times New Roman"/>
          <w:sz w:val="24"/>
          <w:szCs w:val="24"/>
        </w:rPr>
        <w:t xml:space="preserve">苏采云</w:t>
      </w:r>
      <w:r>
        <w:rPr>
          <w:rFonts w:hint="eastAsia" w:ascii="宋体" w:hAnsi="宋体" w:eastAsia="宋体" w:cs="Times New Roman"/>
          <w:sz w:val="24"/>
          <w:szCs w:val="24"/>
        </w:rPr>
        <w:t xml:space="preserve">平台</w:t>
      </w:r>
      <w:r>
        <w:rPr>
          <w:rFonts w:ascii="宋体" w:hAnsi="宋体" w:eastAsia="宋体" w:cs="Times New Roman"/>
          <w:sz w:val="24"/>
          <w:szCs w:val="24"/>
        </w:rPr>
        <w:t xml:space="preserve">上传该加密的响应文件，对</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文件各项内容做出实质性响应，否则其响应文件无效。</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本</w:t>
      </w:r>
      <w:r>
        <w:rPr>
          <w:rFonts w:hint="eastAsia" w:ascii="宋体" w:hAnsi="宋体" w:eastAsia="宋体" w:cs="宋体"/>
          <w:sz w:val="24"/>
          <w:szCs w:val="24"/>
        </w:rPr>
        <w:t xml:space="preserve">项目</w:t>
      </w:r>
      <w:r>
        <w:rPr>
          <w:rFonts w:ascii="宋体" w:hAnsi="宋体" w:eastAsia="宋体" w:cs="宋体"/>
          <w:sz w:val="24"/>
          <w:szCs w:val="24"/>
        </w:rPr>
        <w:t xml:space="preserve">采用远程不见面交易模式。通过不见面交易系统及相应的配套硬件设备（摄像头、话筒、麦克风等）完成远程解密、开标现场异议及回复、开标唱标、等交互环节。相关要求和说明如下：</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①</w:t>
      </w:r>
      <w:r>
        <w:rPr>
          <w:rFonts w:ascii="宋体" w:hAnsi="宋体" w:eastAsia="宋体" w:cs="宋体"/>
          <w:sz w:val="24"/>
          <w:szCs w:val="24"/>
        </w:rPr>
        <w:t xml:space="preserve">远程开标项目的时间均以国家授时中心发布的时间为准；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②</w:t>
      </w:r>
      <w:r>
        <w:rPr>
          <w:rFonts w:ascii="宋体" w:hAnsi="宋体" w:eastAsia="宋体" w:cs="宋体"/>
          <w:sz w:val="24"/>
          <w:szCs w:val="24"/>
        </w:rPr>
        <w:t xml:space="preserve">开标当日，投标人不必抵达开标现场</w:t>
      </w:r>
      <w:r>
        <w:rPr>
          <w:rFonts w:hint="eastAsia" w:ascii="宋体" w:hAnsi="宋体" w:eastAsia="宋体" w:cs="宋体"/>
          <w:sz w:val="24"/>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采云平台中《报价记录表》宣布后5分钟内未提出的，视同认可开启结果。</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⑦</w:t>
      </w:r>
      <w:r>
        <w:rPr>
          <w:rFonts w:ascii="宋体" w:hAnsi="宋体" w:eastAsia="宋体" w:cs="宋体"/>
          <w:sz w:val="24"/>
          <w:szCs w:val="24"/>
        </w:rPr>
        <w:t xml:space="preserve">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⑧</w:t>
      </w:r>
      <w:r>
        <w:rPr>
          <w:rFonts w:ascii="宋体" w:hAnsi="宋体" w:eastAsia="宋体" w:cs="宋体"/>
          <w:sz w:val="24"/>
          <w:szCs w:val="24"/>
        </w:rPr>
        <w:t xml:space="preserve">为顺利实现本项目开评标的远程交互，建议</w:t>
      </w:r>
      <w:r>
        <w:rPr>
          <w:rFonts w:hint="eastAsia" w:ascii="宋体" w:hAnsi="宋体" w:eastAsia="宋体" w:cs="宋体"/>
          <w:sz w:val="24"/>
          <w:szCs w:val="24"/>
        </w:rPr>
        <w:t xml:space="preserve">供应商</w:t>
      </w:r>
      <w:r>
        <w:rPr>
          <w:rFonts w:ascii="宋体" w:hAnsi="宋体" w:eastAsia="宋体" w:cs="宋体"/>
          <w:sz w:val="24"/>
          <w:szCs w:val="24"/>
        </w:rPr>
        <w:t xml:space="preserve">配置的硬件设施有：高配置电脑、高速稳定的网络、电源（不间断）、CA锁、音视频设备（话筒、耳麦、高清摄像头、音响）、扫描仪、打印机、传真机、高清视频监控等；建议</w:t>
      </w:r>
      <w:r>
        <w:rPr>
          <w:rFonts w:hint="eastAsia" w:ascii="宋体" w:hAnsi="宋体" w:eastAsia="宋体" w:cs="宋体"/>
          <w:sz w:val="24"/>
          <w:szCs w:val="24"/>
        </w:rPr>
        <w:t xml:space="preserve">供应商</w:t>
      </w:r>
      <w:r>
        <w:rPr>
          <w:rFonts w:ascii="宋体" w:hAnsi="宋体" w:eastAsia="宋体" w:cs="宋体"/>
          <w:sz w:val="24"/>
          <w:szCs w:val="24"/>
        </w:rPr>
        <w:t xml:space="preserve">具备的软件设施有：</w:t>
      </w:r>
      <w:r>
        <w:rPr>
          <w:rFonts w:hint="eastAsia" w:ascii="宋体" w:hAnsi="宋体" w:eastAsia="宋体" w:cs="宋体"/>
          <w:sz w:val="24"/>
          <w:szCs w:val="24"/>
        </w:rPr>
        <w:t xml:space="preserve">谷歌浏览器、政府采购客户端、CA驱动等</w:t>
      </w:r>
      <w:r>
        <w:rPr>
          <w:rFonts w:ascii="宋体" w:hAnsi="宋体" w:eastAsia="宋体" w:cs="宋体"/>
          <w:sz w:val="24"/>
          <w:szCs w:val="24"/>
        </w:rPr>
        <w:t xml:space="preserve">。为保证交互效果，建议</w:t>
      </w:r>
      <w:r>
        <w:rPr>
          <w:rFonts w:hint="eastAsia" w:ascii="宋体" w:hAnsi="宋体" w:eastAsia="宋体" w:cs="宋体"/>
          <w:sz w:val="24"/>
          <w:szCs w:val="24"/>
        </w:rPr>
        <w:t xml:space="preserve">供应商</w:t>
      </w:r>
      <w:r>
        <w:rPr>
          <w:rFonts w:ascii="宋体" w:hAnsi="宋体" w:eastAsia="宋体" w:cs="宋体"/>
          <w:sz w:val="24"/>
          <w:szCs w:val="24"/>
        </w:rPr>
        <w:t xml:space="preserve">选择封闭安静的地点参与远程交互。因</w:t>
      </w:r>
      <w:r>
        <w:rPr>
          <w:rFonts w:hint="eastAsia" w:ascii="宋体" w:hAnsi="宋体" w:eastAsia="宋体" w:cs="宋体"/>
          <w:sz w:val="24"/>
          <w:szCs w:val="24"/>
        </w:rPr>
        <w:t xml:space="preserve">供应商</w:t>
      </w:r>
      <w:r>
        <w:rPr>
          <w:rFonts w:ascii="宋体" w:hAnsi="宋体" w:eastAsia="宋体" w:cs="宋体"/>
          <w:sz w:val="24"/>
          <w:szCs w:val="24"/>
        </w:rPr>
        <w:t xml:space="preserve">自身软硬件配备不齐全或发生故障等问题而导致在交互过程中出现不稳定或中断等情况的，由</w:t>
      </w:r>
      <w:r>
        <w:rPr>
          <w:rFonts w:hint="eastAsia" w:ascii="宋体" w:hAnsi="宋体" w:eastAsia="宋体" w:cs="宋体"/>
          <w:sz w:val="24"/>
          <w:szCs w:val="24"/>
        </w:rPr>
        <w:t xml:space="preserve">供应商</w:t>
      </w:r>
      <w:r>
        <w:rPr>
          <w:rFonts w:ascii="宋体" w:hAnsi="宋体" w:eastAsia="宋体" w:cs="宋体"/>
          <w:sz w:val="24"/>
          <w:szCs w:val="24"/>
        </w:rPr>
        <w:t xml:space="preserve">自身承担一切后果。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3、投标的有效期为开标后90天。</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4、投标费用自理。</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七、无效投标文件的确认：</w:t>
      </w:r>
      <w:r/>
    </w:p>
    <w:p>
      <w:pPr>
        <w:ind w:firstLine="482"/>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（一）投标人存在下列情况之一的，其投标无效：</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1、投标文件未按招标文件要求签署、盖章的；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2、不具备招标文件中规定的资格要求的，未提供格式条款《关于资格的声明函》承诺书或者对该承诺书作实质性修改的；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3、报价超过招标文件中规定的预算金额或者最高限价的；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4、投标文件含有采购人不能接受的附加条件的；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5、投标文件未按规定的期限、地点送达的；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6、投标文件内容未实质性响应或不符合法律法规和招标文件中规定的其它实质性要求的；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7、投标文件中同一方案有选择性报价且未声明以哪一个为准的；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8、不响应招标文件中的付款方式的；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9、苏采云平台中不同投标单位的MAC地址一致或标书制作工具客户端标识码一致的；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10、其他法律、法规及本招标文件规定的属无效投标的情形。</w:t>
      </w:r>
      <w:r/>
    </w:p>
    <w:p>
      <w:pPr>
        <w:ind w:firstLine="482"/>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（二）投标人有下列情形之一的，视为串通投标，其投标无效，并按《中华人民共和国政府采购法》第七十七条规定追究法律责任：</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1、投标单位直接或间接从采购人或采购代理机构处获得其他投标单位的投标情况，并修改其投标文件；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2、评审活动开始前投标单位直接或间接从采购人或采购代理机构处获得评标委员会组成人员情况；</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3、投标单位接受采购人或采购代理机构授意撤换、修改投标文件；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4、投标单位之间协商投标报价、技术方案等投标文件实质性内容；</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5、属于同一集团、协会、商会等组织成员的投标单位按照该组织要求协同投标；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6、投标单位之间事先约定由某一特定投标单位中标；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7、投标单位之间商定部分投标单位放弃投标或者放弃中标；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8、投标单位与采购人或采购代理机构之间、投标单位相互之间为谋求特定投标单位中标成交或者排斥其他投标单位的其他串通行为；</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9、不同投标人的投标文件由同一单位或者个人编制；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10、不同投标人委托同一单位或者个人办理投标事宜；</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11、不同投标人的投标文件载明的项目管理成员为同一人；</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12、不同投标人的投标文件异常一致或者投标报价呈规律性差异；</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13、不同投标人的投标文件相互混装。</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八、开标、评标：</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（一）开标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bCs/>
          <w:sz w:val="24"/>
          <w:szCs w:val="24"/>
        </w:rPr>
        <w:t xml:space="preserve">开标由江阴市政府采购中心主持。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开标过程由</w:t>
      </w:r>
      <w:r>
        <w:rPr>
          <w:rFonts w:hint="eastAsia" w:ascii="宋体" w:hAnsi="宋体" w:eastAsia="宋体" w:cs="Times New Roman"/>
          <w:sz w:val="24"/>
          <w:szCs w:val="24"/>
        </w:rPr>
        <w:t xml:space="preserve">江阴市政府采购中心</w:t>
      </w:r>
      <w:r>
        <w:rPr>
          <w:rFonts w:ascii="宋体" w:hAnsi="宋体" w:eastAsia="宋体" w:cs="Times New Roman"/>
          <w:sz w:val="24"/>
          <w:szCs w:val="24"/>
        </w:rPr>
        <w:t xml:space="preserve">负责记录。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投标人未参加开标的，视同认可开标结果。</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（二）评标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工作由江阴市政府采购中心负责组织，具体评标事务由依法组建的评标委员会负责。采购人依法组成资格审查小组对投标人的资格进行审查。采购人代表和评审专家依法组建评标委员会，评审专家实行回避制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2、投标文件初审。初审分为资格性检查和符合性检查。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A、资格性检查：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（1）依据法律法规和招标文件的规定，资格审查小组对投标文件组成中的资格证明文件（文件1-文件2）等进行审查，以确定投标单位是否具备投标资格。</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通过“信用中国”网站查询投标供应商在投标截止时间之前，是否被列入失信被执行人、重大税收违法失信主体、政府采购严重违法失信行为记录名单，以确定投标供应商是否具备投标资格。信用查询结果以网页打印的形式留存并归档。</w:t>
      </w:r>
      <w:r>
        <w:rPr>
          <w:rFonts w:hint="eastAsia" w:ascii="宋体" w:hAnsi="宋体" w:eastAsia="宋体" w:cs="Times New Roman"/>
          <w:sz w:val="24"/>
          <w:szCs w:val="24"/>
        </w:rPr>
        <w:t xml:space="preserve">接受联合体的项目，两个以上的自然人、法人或者其他组织组成一个联合体，以一个投标单位的身份共同参加政府采购活动的，联合体成员存在不良信用记录的，视同联合体存在不良信用记录。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B、符合性检查：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（1）评标委员会依据招标文件的规定，从投标文件的有效性、完整性和对招标文件的响应程度进行审查，以确定是否对招标文件的实质性要求作出响应。</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（a）投标文件载明的采购项目的完成期限超过招标文件规定的期限</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（b）投标文件严重背离招标文件中确定的技术功能要求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（c）投标文件附有采购人不能接受的商务条件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（d）不符合招标文件中规定的其他实质性要求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确定投标文件的响应性只根据投标文件本身的内容，而不寻求外部证据。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如果投标文件没有实质上响应招标文件的要求，</w:t>
      </w:r>
      <w:r>
        <w:rPr>
          <w:rFonts w:ascii="宋体" w:hAnsi="宋体" w:eastAsia="宋体" w:cs="Times New Roman"/>
          <w:sz w:val="24"/>
          <w:szCs w:val="24"/>
        </w:rPr>
        <w:t xml:space="preserve">评标委员会</w:t>
      </w:r>
      <w:r>
        <w:rPr>
          <w:rFonts w:hint="eastAsia" w:ascii="宋体" w:hAnsi="宋体" w:eastAsia="宋体" w:cs="Times New Roman"/>
          <w:sz w:val="24"/>
          <w:szCs w:val="24"/>
        </w:rPr>
        <w:t xml:space="preserve">将予以拒绝。投标人不得通过修正或撤消不合要求的偏离或保留从而使其投标成为实质上响应的投标。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3、评标方法：具体办法和标准详见招标文件第四章《评标方法和评标标准》。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4、投标文件的澄清：</w:t>
      </w:r>
      <w:r>
        <w:rPr>
          <w:rFonts w:ascii="宋体" w:hAnsi="宋体" w:eastAsia="宋体" w:cs="Times New Roman"/>
          <w:sz w:val="24"/>
          <w:szCs w:val="24"/>
        </w:rPr>
        <w:t xml:space="preserve">对于投标文件中含义不明确、同类问题表述不一致或者有明显文字和计算错误的内容，评标委员会应当以书面形式要求投标人作出必要的澄清、说明或者补正。</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投标人的澄清、说明或者补正应当采用书面形式，并加盖其单位电子公章。投标人的澄清、说明或者补正不得超出投标文件的范围或者改变投标文件的实质性内容。</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投标人应随时保持系统在线，如因投标人自身原因未在规定时间内提交澄清确认资料的，导致的不利后果由投标人自行承担）</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投标文件报价出现前后不一致的，按照下列规定修正：</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（一）投标文件中开标一览表（报价表）内容与投标文件中相应内容不一致的，以开标一览表（报价表）为准；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（二）大写金额和小写金额不一致的，以大写金额为准；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（三）单价金额小数点或者百分比有明显错位的，以开标一览表的总价为准，并修改单价；</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（四）总价金额与按单价汇总金额不一致的，以单价金额计算结果为准。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同时出现两种以上不一致的，按照前款规定的顺序修正。修正后的报价按照</w:t>
      </w:r>
      <w:r>
        <w:rPr>
          <w:rFonts w:hint="eastAsia" w:ascii="宋体" w:hAnsi="宋体" w:eastAsia="宋体" w:cs="Times New Roman"/>
          <w:sz w:val="24"/>
          <w:szCs w:val="24"/>
        </w:rPr>
        <w:t xml:space="preserve">《政府采购货物和服务招标投标管理办法》</w:t>
      </w:r>
      <w:r>
        <w:rPr>
          <w:rFonts w:ascii="宋体" w:hAnsi="宋体" w:eastAsia="宋体" w:cs="Times New Roman"/>
          <w:sz w:val="24"/>
          <w:szCs w:val="24"/>
        </w:rPr>
        <w:t xml:space="preserve">第五十一条第二款的规定经投标人确认后产生约束力，投标人不确认的，其投标无效。</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6、异常低价投标（响应）审查</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（1）评标（评审）过程中出现下列情形之一的，评标（评审）委员会应当启动异常低价投标（响应）审查程序：</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（a）投标（响应）报价低于全部通过符合性审查供应商投标（响应）报价平均值50%的，即投标（响应）报价&lt;全部通过符合性审查供应商投标（响应）报价平均值×50%；</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（b）投标（响应）报价低于通过符合性审查的次低报价供应商投标（响应）报价50%的，即投标（响应）报价&lt;通过符合性审查的次低报价供应商投标（响应）报价×50%；</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（c）投标（响应）报价低于采购项目最高限价45%的，即投标（响应）报价&lt;采购项目最高限价×45%；</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（d）评审委员会基于专业判断，认为供应商报价过低，有可能影响产品质量或者不能诚信履约的其他情形。</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2）启动异常低价投标（响应）审查后，评标（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评审委员会借助互联网等渠道查询相关信息的，应当严格遵守评审工作纪律，不得实施影响评审公正的行为。</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（3）异常低价投标（响应）审查的启动原因、审查意见和审查结果应当在评审报告中记录，并随供应商提供的相关书面说明及证明材料，以及评审委员会有关互联网浏览、查询历史一并归档。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w:t>
      </w:r>
      <w:r>
        <w:rPr>
          <w:rFonts w:ascii="宋体" w:hAnsi="宋体" w:eastAsia="宋体" w:cs="Times New Roman"/>
          <w:sz w:val="24"/>
          <w:szCs w:val="24"/>
        </w:rPr>
        <w:t xml:space="preserve">评标委员会发现招标文件存在歧义、重大缺陷导致评标工作无法进行，或者招标文件内容违反国家有关强制性规定的，应当停止评标工作，与采购人或者</w:t>
      </w:r>
      <w:r>
        <w:rPr>
          <w:rFonts w:hint="eastAsia" w:ascii="宋体" w:hAnsi="宋体" w:eastAsia="宋体" w:cs="Times New Roman"/>
          <w:sz w:val="24"/>
          <w:szCs w:val="24"/>
        </w:rPr>
        <w:t xml:space="preserve">政府采购中心</w:t>
      </w:r>
      <w:r>
        <w:rPr>
          <w:rFonts w:ascii="宋体" w:hAnsi="宋体" w:eastAsia="宋体" w:cs="Times New Roman"/>
          <w:sz w:val="24"/>
          <w:szCs w:val="24"/>
        </w:rPr>
        <w:t xml:space="preserve">沟通并作书面记录。采购人或者</w:t>
      </w:r>
      <w:r>
        <w:rPr>
          <w:rFonts w:hint="eastAsia" w:ascii="宋体" w:hAnsi="宋体" w:eastAsia="宋体" w:cs="Times New Roman"/>
          <w:sz w:val="24"/>
          <w:szCs w:val="24"/>
        </w:rPr>
        <w:t xml:space="preserve">政府采购中心</w:t>
      </w:r>
      <w:r>
        <w:rPr>
          <w:rFonts w:ascii="宋体" w:hAnsi="宋体" w:eastAsia="宋体" w:cs="Times New Roman"/>
          <w:sz w:val="24"/>
          <w:szCs w:val="24"/>
        </w:rPr>
        <w:t xml:space="preserve">确认后，应当修改招标文件，重新组织采购活动。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九、确定中标单位：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1、评标委员会根据</w:t>
      </w:r>
      <w:r>
        <w:rPr>
          <w:rFonts w:hint="eastAsia" w:ascii="宋体" w:hAnsi="宋体" w:eastAsia="宋体" w:cs="Times New Roman"/>
          <w:bCs/>
          <w:sz w:val="24"/>
          <w:szCs w:val="24"/>
        </w:rPr>
        <w:t xml:space="preserve">评标方法和评标标准确定</w:t>
      </w:r>
      <w:r>
        <w:rPr>
          <w:rFonts w:hint="eastAsia" w:ascii="宋体" w:hAnsi="宋体" w:eastAsia="宋体" w:cs="Times New Roman"/>
          <w:sz w:val="24"/>
          <w:szCs w:val="24"/>
        </w:rPr>
        <w:t xml:space="preserve">第一中标候选单位，采购人确定为中标单位。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2、确定中标单位2个工作日内发布中标公告，并向中标单位发出中标通知书。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3、投标、评标及确定中标单位的整个过程均由相关部门进行现场监督。</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4、江阴市政府采购中心不负责向任何投标单位说明中标或不中标的原因。</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十、质疑处理：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质疑按《中华人民共和国政府采购法》、《中华人民共和国政府采购法实施条例》、《政府采购货物和服务招标投标管理办法》、《政府采购质疑和投诉办法》、《江苏省政府采购供应商监督管理暂行办法》有关规定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2、投标单位认为采购文件、采购过程和中标结果使自己的权益受到损害的，可以在知道或者应知其权益受到损害之日起七个工作日内，以书面形式向采购人或采购中心提出质疑。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3、投标单位提出质疑应当提交质疑函和必要的证明材料。质疑函应当包括下列内容：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（1）投标单位的姓名或者名称、地址、邮编、联系人及联系电话；</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（2）质疑项目的名称、编号；</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（3）具体、明确的质疑事项和与质疑事项相关的请求；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（4）事实依据；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（5）必要的法律依据；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（6）提出质疑的日期。</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（7）质疑人以联合体形式参加采购活动的，其质疑应由组成联合体的所有供应商共同提出。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（8）质疑函、授权委托书格式请到江阴市公共资源交易中心网站的“政府采购</w:t>
      </w:r>
      <w:r>
        <w:rPr>
          <w:rFonts w:hint="eastAsia" w:ascii="宋体" w:hAnsi="宋体" w:eastAsia="宋体" w:cs="Times New Roman"/>
          <w:bCs/>
          <w:sz w:val="24"/>
          <w:szCs w:val="24"/>
        </w:rPr>
        <w:t xml:space="preserve">——＞</w:t>
      </w:r>
      <w:r>
        <w:rPr>
          <w:rFonts w:hint="eastAsia" w:ascii="宋体" w:hAnsi="宋体" w:eastAsia="宋体" w:cs="Times New Roman"/>
          <w:sz w:val="24"/>
          <w:szCs w:val="24"/>
        </w:rPr>
        <w:t xml:space="preserve">资料下载”中下载；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（9）未按上述要求提交的质疑函（仅限于原件）采购人、采购中心有权不予受理。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单位须在法定质疑期内一次性提出针对同一采购程序环节的质疑，已受理的质疑事项，不再接受投标单位主动提出的相关补充材料。投标单位如在法定期限内对同一采购程序环节提出多次质疑的，采购人、采购中心将只对其第一次质疑作出答复。提出质疑的投标单位应当是参与所质疑项目采购活动的投标单位。</w:t>
      </w:r>
      <w:r/>
    </w:p>
    <w:p>
      <w:pPr>
        <w:ind w:firstLine="480"/>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5、</w:t>
      </w:r>
      <w:r>
        <w:rPr>
          <w:rFonts w:hint="eastAsia" w:ascii="宋体" w:hAnsi="宋体" w:eastAsia="宋体" w:cs="Times New Roman"/>
          <w:b/>
          <w:sz w:val="24"/>
          <w:szCs w:val="24"/>
        </w:rPr>
        <w:t xml:space="preserve">投标单位（含潜在投标单位）对采购方式、采购需求、供应商资格条件及审查结果、评标方法和评标标准、合同文本的询问、质疑请向采购人提出，由采购人负责答复。对除上述事项以外其他事项的询问、质疑请向采购中心提出，由采购中心配合答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采购人、采购中心只接收以纸质原件形式送达的质疑,投标单位可采用现场递交或邮寄递交方式送达（采购人和采购中心不接受未填写快递运单的快件）。</w:t>
      </w:r>
      <w:r/>
    </w:p>
    <w:p>
      <w:pPr>
        <w:ind w:firstLine="480"/>
        <w:jc w:val="left"/>
        <w:spacing w:line="400" w:lineRule="exact"/>
        <w:rPr>
          <w:rFonts w:ascii="宋体" w:hAnsi="宋体" w:eastAsia="宋体" w:cs="Times New Roman"/>
          <w:sz w:val="24"/>
          <w:szCs w:val="24"/>
          <w:u w:val="single"/>
        </w:rPr>
      </w:pPr>
      <w:r>
        <w:rPr>
          <w:rFonts w:hint="eastAsia" w:ascii="宋体" w:hAnsi="宋体" w:eastAsia="宋体" w:cs="Times New Roman"/>
          <w:sz w:val="24"/>
          <w:szCs w:val="24"/>
          <w:u w:val="single"/>
        </w:rPr>
        <w:t xml:space="preserve">采购人收件人：</w:t>
      </w:r>
      <w:r>
        <w:rPr>
          <w:rFonts w:hint="eastAsia" w:ascii="宋体" w:hAnsi="宋体" w:eastAsia="宋体" w:cs="Times New Roman"/>
          <w:sz w:val="24"/>
          <w:szCs w:val="24"/>
          <w:u w:val="single"/>
          <w:lang w:eastAsia="zh-CN"/>
        </w:rPr>
        <w:t xml:space="preserve">李</w:t>
      </w:r>
      <w:r>
        <w:rPr>
          <w:rFonts w:hint="eastAsia" w:ascii="宋体" w:hAnsi="宋体" w:eastAsia="宋体" w:cs="Times New Roman"/>
          <w:sz w:val="24"/>
          <w:szCs w:val="24"/>
          <w:u w:val="single"/>
        </w:rPr>
        <w:t xml:space="preserve">先生  收件地址：</w:t>
      </w:r>
      <w:r>
        <w:rPr>
          <w:rFonts w:hint="eastAsia" w:ascii="宋体" w:hAnsi="宋体" w:eastAsia="宋体" w:cs="Times New Roman"/>
          <w:sz w:val="24"/>
          <w:szCs w:val="28"/>
          <w:u w:val="single"/>
        </w:rPr>
        <w:t xml:space="preserve">江阴市澄江中路110号</w:t>
      </w:r>
      <w:r>
        <w:rPr>
          <w:rFonts w:hint="eastAsia" w:ascii="宋体" w:hAnsi="宋体" w:eastAsia="宋体" w:cs="Times New Roman"/>
          <w:sz w:val="24"/>
          <w:szCs w:val="24"/>
          <w:u w:val="single"/>
        </w:rPr>
        <w:t xml:space="preserve"> 收件电话：</w:t>
      </w:r>
      <w:r>
        <w:rPr>
          <w:rFonts w:hint="eastAsia" w:ascii="宋体" w:hAnsi="宋体" w:eastAsia="宋体" w:cs="Times New Roman"/>
          <w:sz w:val="24"/>
          <w:szCs w:val="28"/>
          <w:u w:val="single"/>
        </w:rPr>
        <w:t xml:space="preserve">0510-86826202</w:t>
      </w:r>
      <w:r>
        <w:rPr>
          <w:rFonts w:hint="eastAsia" w:ascii="宋体" w:hAnsi="宋体" w:eastAsia="宋体" w:cs="Times New Roman"/>
          <w:sz w:val="24"/>
          <w:szCs w:val="24"/>
          <w:u w:val="single"/>
        </w:rPr>
        <w:t xml:space="preserve">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u w:val="single"/>
        </w:rPr>
        <w:t xml:space="preserve">采购中心收件人：张先生  收件地址：江阴市长江路188号江阴市政务服务中心619、621室  收件电话：18961621156</w:t>
      </w:r>
      <w:r/>
    </w:p>
    <w:p>
      <w:pPr>
        <w:ind w:firstLine="482"/>
        <w:spacing w:line="400" w:lineRule="exact"/>
        <w:rPr>
          <w:rFonts w:ascii="宋体" w:hAnsi="宋体" w:eastAsia="宋体" w:cs="Times New Roman"/>
          <w:sz w:val="24"/>
          <w:szCs w:val="24"/>
        </w:rPr>
      </w:pPr>
      <w:r>
        <w:rPr>
          <w:rFonts w:hint="eastAsia" w:ascii="宋体" w:hAnsi="宋体" w:eastAsia="宋体" w:cs="Times New Roman"/>
          <w:b/>
          <w:sz w:val="24"/>
          <w:szCs w:val="24"/>
        </w:rPr>
        <w:t xml:space="preserve">投标单位应当在快递寄出后联系采购人或采购中心告知质疑函接收时间及质疑函快递单号</w:t>
      </w:r>
      <w:r>
        <w:rPr>
          <w:rFonts w:hint="eastAsia" w:ascii="宋体" w:hAnsi="宋体" w:eastAsia="宋体" w:cs="Times New Roman"/>
          <w:sz w:val="24"/>
          <w:szCs w:val="24"/>
        </w:rPr>
        <w:t xml:space="preserve">，因未告知接收时间导致未及时答复质疑的，采购人、采购中心将不予承担责任。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6、潜在投标单位已依法获取其可质疑的采购文件的，可以对该文件提出质疑。</w:t>
      </w:r>
      <w:r>
        <w:rPr>
          <w:rFonts w:hint="eastAsia" w:ascii="宋体" w:hAnsi="宋体" w:eastAsia="宋体" w:cs="Times New Roman"/>
          <w:b/>
          <w:sz w:val="24"/>
          <w:szCs w:val="24"/>
        </w:rPr>
        <w:t xml:space="preserve">潜在投标单位针对采购文件提出书面质疑的，须同时提供对可质疑的采购文件已进行依法获取的证明（即“苏采云”系统中本项目《投标供应商确认函》），且采购人、采购中心有权向“苏采云”系统平台方进行核实。</w:t>
      </w:r>
      <w:r>
        <w:rPr>
          <w:rFonts w:hint="eastAsia" w:ascii="宋体" w:hAnsi="宋体" w:eastAsia="宋体" w:cs="Times New Roman"/>
          <w:sz w:val="24"/>
          <w:szCs w:val="24"/>
        </w:rPr>
        <w:t xml:space="preserve">对采购文件提出质疑时，以非书面形式、属于对采购文件解释澄清范围、采购公告期限届满之日起七个工作日之外提交、未同时提供依法获取采购文件的证明以及匿名的质疑将不予受理。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投标单位提出质疑的应当有明确的请求和必要的证明材料，投标人提出书面质疑必须有理、有据，不得恶意质疑或提交虚假质疑。否则，一经查实，采购人、采购中心有权依据政府采购的有关规定，报请政府采购监管部门对该投标人进行相应的行政处罚。</w:t>
      </w:r>
      <w:r/>
    </w:p>
    <w:p>
      <w:pPr>
        <w:ind w:firstLine="480"/>
        <w:spacing w:line="400" w:lineRule="exact"/>
        <w:rPr>
          <w:rFonts w:ascii="宋体" w:hAnsi="宋体" w:eastAsia="宋体" w:cs="Times New Roman"/>
          <w:szCs w:val="24"/>
        </w:rPr>
      </w:pPr>
      <w:r>
        <w:rPr>
          <w:rFonts w:hint="eastAsia" w:ascii="宋体" w:hAnsi="宋体" w:eastAsia="宋体" w:cs="Times New Roman"/>
          <w:sz w:val="24"/>
          <w:szCs w:val="24"/>
        </w:rPr>
        <w:t xml:space="preserve">9、采购人、采购中心将在收到投标单位的有效书面质疑函后七个工作日内作出答复，并以书面形式通知质疑投标单位和其他有关投标单位，但答复的内容不得涉及商业秘密。 </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十一、采购项目的废标：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在评标采购中，出现下列情况之一的，应予废标；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1、符合专业条件的投标人或者对招标文件作出实质性响应的投标人不足三家的；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2、出现影响采购公正的违法、违规行为的；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3、投标单位的报价均超过采购预算，采购人不能支付的；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4、因重大变故，采购任务取消的。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满足《政府采购货物和服务招标投标管理办法》第四十三条的情形时，经评标委员会审查出具了“招标文件没有不合理条款、招标公告时间及程序符合规定、投标单位资格要求和采购需求等没有倾向性和限制性”书面意见的，并经财政部门批准同意后，可转为其他采购方式采购。</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十二、投标保证金：</w:t>
      </w:r>
      <w:r>
        <w:rPr>
          <w:rFonts w:hint="eastAsia" w:ascii="宋体" w:hAnsi="宋体" w:eastAsia="宋体" w:cs="Times New Roman"/>
          <w:bCs/>
          <w:sz w:val="24"/>
          <w:szCs w:val="24"/>
        </w:rPr>
        <w:t xml:space="preserve">本项目免收投标保证金。</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十三、中标无效的确认：</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（一）提供虚假材料谋取中标、成交的；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（二）采取不正当手段诋毁、排挤其他投标单位的；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（三）与采购人、其他投标单位或者采购代理机构恶意串通的；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（四）向采购人、采购代理机构行贿或者提供其他不正当利益的；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（五）在招标采购过程中与采购人进行协商谈判的；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（六）拒绝有关部门监督检查或者提供虚假情况的。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投标单位有前款第（一）至（五）项情形之一的，中标无效。</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十四、签订合同：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采购中心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在江阴市政府采购中心档案留存。</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2、签订合同时，中标方须向采购人提供1份与网上投标文件一致的纸质打印投标文件。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ascii="宋体" w:hAnsi="宋体" w:eastAsia="宋体" w:cs="Times New Roman"/>
          <w:sz w:val="24"/>
          <w:szCs w:val="24"/>
        </w:rPr>
        <w:t xml:space="preserve">、履约保证金的收取：合同签署</w:t>
      </w:r>
      <w:r>
        <w:rPr>
          <w:rFonts w:hint="eastAsia" w:ascii="宋体" w:hAnsi="宋体" w:eastAsia="宋体" w:cs="Times New Roman"/>
          <w:sz w:val="24"/>
          <w:szCs w:val="24"/>
        </w:rPr>
        <w:t xml:space="preserve">时</w:t>
      </w:r>
      <w:r>
        <w:rPr>
          <w:rFonts w:ascii="宋体" w:hAnsi="宋体" w:eastAsia="宋体" w:cs="Times New Roman"/>
          <w:sz w:val="24"/>
          <w:szCs w:val="24"/>
        </w:rPr>
        <w:t xml:space="preserve">，中标方向采购单位缴纳履约保证金。</w:t>
      </w:r>
      <w:r>
        <w:rPr>
          <w:rFonts w:hint="eastAsia" w:ascii="宋体" w:hAnsi="宋体" w:eastAsia="宋体" w:cs="Times New Roman"/>
          <w:bCs/>
          <w:sz w:val="24"/>
          <w:szCs w:val="24"/>
        </w:rPr>
        <w:t xml:space="preserve">中标方向采购单位缴纳的履约保证金不超过政府采购合同金额的10%。收取履约保证金的，采购人应当允许</w:t>
      </w:r>
      <w:r>
        <w:rPr>
          <w:rFonts w:ascii="宋体" w:hAnsi="宋体" w:eastAsia="宋体" w:cs="Times New Roman"/>
          <w:bCs/>
          <w:sz w:val="24"/>
          <w:szCs w:val="24"/>
        </w:rPr>
        <w:t xml:space="preserve">供应商自主选择以支票、 汇票、 本票、 保函等非现金形式缴纳或提交，</w:t>
      </w:r>
      <w:r>
        <w:rPr>
          <w:rFonts w:hint="eastAsia" w:ascii="宋体" w:hAnsi="宋体" w:eastAsia="宋体" w:cs="Times New Roman"/>
          <w:bCs/>
          <w:sz w:val="24"/>
          <w:szCs w:val="24"/>
        </w:rPr>
        <w:t xml:space="preserve">并与中标供应商在采购合同中约定履约保证金退还的方式、时间、条件和不予退还的情形，明确逾期退还履约保证金的违约责任。</w:t>
      </w:r>
      <w:r>
        <w:rPr>
          <w:rFonts w:hint="eastAsia" w:ascii="宋体" w:hAnsi="宋体" w:eastAsia="宋体" w:cs="Times New Roman"/>
          <w:sz w:val="24"/>
          <w:szCs w:val="24"/>
        </w:rPr>
        <w:t xml:space="preserve">采购单位收到缴纳的履约保证金后需向中标单位出具有效的履约保证金收款凭证。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、履约保证金的管理及退还：采购单位应做好履约保证金的账务处理工作，实行专项管理，</w:t>
      </w:r>
      <w:r>
        <w:rPr>
          <w:rFonts w:hint="eastAsia" w:ascii="宋体" w:hAnsi="宋体" w:eastAsia="宋体" w:cs="Times New Roman"/>
          <w:sz w:val="24"/>
          <w:szCs w:val="24"/>
        </w:rPr>
        <w:t xml:space="preserve">不得违规收取、挪用、截留等</w:t>
      </w:r>
      <w:r>
        <w:rPr>
          <w:rFonts w:ascii="宋体" w:hAnsi="宋体" w:eastAsia="宋体" w:cs="Times New Roman"/>
          <w:sz w:val="24"/>
          <w:szCs w:val="24"/>
        </w:rPr>
        <w:t xml:space="preserve">其他用途。</w:t>
      </w:r>
      <w:r>
        <w:rPr>
          <w:rFonts w:hint="eastAsia" w:ascii="宋体" w:hAnsi="宋体" w:eastAsia="宋体" w:cs="Times New Roman"/>
          <w:sz w:val="24"/>
          <w:szCs w:val="24"/>
        </w:rPr>
        <w:t xml:space="preserve">采购单位按照采购合同约定及时退还履约保证金，不计利息。</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十五、付款方式：</w:t>
      </w:r>
      <w:r>
        <w:rPr>
          <w:rFonts w:hint="eastAsia" w:ascii="宋体" w:hAnsi="宋体" w:eastAsia="宋体" w:cs="Times New Roman"/>
          <w:sz w:val="24"/>
          <w:szCs w:val="24"/>
        </w:rPr>
        <w:t xml:space="preserve">详见项目要求。</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十六、政策功能（包括但不限于下列具体政策要求）：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val="zh-CN"/>
        </w:rPr>
        <w:t xml:space="preserve">1、根据《财政部、工业和信息化部关于印发《政府采购促进中小企业发展管理办法》的通知》（财库</w:t>
      </w:r>
      <w:r>
        <w:rPr>
          <w:rFonts w:hint="eastAsia" w:ascii="宋体" w:hAnsi="宋体" w:eastAsia="宋体" w:cs="Times New Roman"/>
          <w:sz w:val="24"/>
          <w:szCs w:val="24"/>
        </w:rPr>
        <w:t xml:space="preserve">[2020]</w:t>
      </w:r>
      <w:r>
        <w:rPr>
          <w:rFonts w:hint="eastAsia" w:ascii="宋体" w:hAnsi="宋体" w:eastAsia="宋体" w:cs="Times New Roman"/>
          <w:sz w:val="24"/>
          <w:szCs w:val="24"/>
          <w:lang w:val="zh-CN"/>
        </w:rPr>
        <w:t xml:space="preserve">46号）的规定，符合《政府采购促进中小企业发展管理办法》第四条所述情形的小型、微型企业参加本项目</w:t>
      </w:r>
      <w:r>
        <w:rPr>
          <w:rFonts w:hint="eastAsia" w:ascii="宋体" w:hAnsi="宋体" w:eastAsia="宋体" w:cs="Times New Roman"/>
          <w:sz w:val="24"/>
          <w:szCs w:val="24"/>
        </w:rPr>
        <w:t xml:space="preserve">，给予20%的价格扣除，用扣除后的价格参与评审。参加投标的</w:t>
      </w:r>
      <w:r>
        <w:rPr>
          <w:rFonts w:hint="eastAsia" w:ascii="宋体" w:hAnsi="宋体" w:eastAsia="宋体" w:cs="Times New Roman"/>
          <w:sz w:val="24"/>
          <w:szCs w:val="24"/>
          <w:lang w:val="zh-CN"/>
        </w:rPr>
        <w:t xml:space="preserve">小型、微型企业</w:t>
      </w:r>
      <w:r>
        <w:rPr>
          <w:rFonts w:hint="eastAsia" w:ascii="宋体" w:hAnsi="宋体" w:eastAsia="宋体" w:cs="Times New Roman"/>
          <w:sz w:val="24"/>
          <w:szCs w:val="24"/>
        </w:rPr>
        <w:t xml:space="preserve">，应当出具</w:t>
      </w:r>
      <w:r>
        <w:rPr>
          <w:rFonts w:hint="eastAsia" w:ascii="宋体" w:hAnsi="宋体" w:eastAsia="宋体" w:cs="Times New Roman"/>
          <w:sz w:val="24"/>
          <w:szCs w:val="24"/>
          <w:lang w:val="zh-CN"/>
        </w:rPr>
        <w:t xml:space="preserve">《政府采购促进中小企业发展管理办法》规定的</w:t>
      </w:r>
      <w:r>
        <w:rPr>
          <w:rFonts w:hint="eastAsia" w:ascii="宋体" w:hAnsi="宋体" w:eastAsia="宋体" w:cs="Times New Roman"/>
          <w:sz w:val="24"/>
          <w:szCs w:val="24"/>
        </w:rPr>
        <w:t xml:space="preserve">《中小企业声明函》（格式见后）（“中小企业划型标准”详见《关于印发中小企业划型标准规定的通知》工信部联企业〔2011〕300号及《国家统计局关于印发统计上大中小微型企业划分办法（2017）的通知》国统字〔2017〕213号）。</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2、监狱企业视同小型、微型企业，给予20%的价格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残疾人福利性单位视同小型、微型企业，给予20%的价格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4、同一投标人，上述三项价格扣除优惠不得重复享受。</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接受大中型企业与小微企业（残疾人福利单位、监狱企业）组成联合体或者允许大中型企业向一家或者多家小微企业（残疾人福利单位、监狱企业）分包的采购项目，对于联合协议或者分包意向协议约定小微企业（残疾人福利单位、监狱企业）的合同份额占到合同总金额30%以上的，可给予联合体或者大中型企业4%的价格扣除，用扣除后的价格参与评审。</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6、中标供应商享受中小企业扶持政策的，江阴市政府采购中心将随中标结果公开中标供应商的《中小企业声明函》。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7、供应商提供声明函内容不实的，属于提供虚假材料谋取中标，依照《中华人民共和国政府采购法》等国家有关规定追究相应责任。</w:t>
      </w:r>
      <w:r/>
    </w:p>
    <w:p>
      <w:pPr>
        <w:ind w:firstLine="482"/>
        <w:jc w:val="left"/>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8、根据《国务院办公厅关于在政府采购中实施本国产品标准及相关政策的通知》（国办发〔2025〕34号）要求，本项目对采购本国产品给与政策支持。（如采购项目或者采购包中仅有服务的，则该采购项目或者采购包将不涉及本国产品的支持政策）【关于本国产品标准和本国产品标准的适用范围详见《国务院办公厅关于在政府采购中实施本国产品标准及相关政策的通知》（国办发〔2025〕34号）】</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（1）政府采购活动中既有本国产品又有非本国产品参与竞争的，依法对本国产品给予价格评审优惠，对本国产品的报价给予20%的价格扣除，用扣除后的价格参与评审。</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的组成和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（3）提供本国产品进行</w:t>
      </w:r>
      <w:r>
        <w:rPr>
          <w:rFonts w:hint="eastAsia" w:ascii="宋体" w:hAnsi="宋体" w:eastAsia="宋体" w:cs="Times New Roman"/>
          <w:sz w:val="24"/>
          <w:szCs w:val="24"/>
        </w:rPr>
        <w:t xml:space="preserve">投标（报价）的供应商需在其投标（响应）文件中提供《关于符合本国产品标准的声明函》（格式见附件）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不得享受本国产品价格扣除政策。</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对于非专门面向中小企业的采购项目或采购包，既有本国产品也有非本国产品参与竞争，且提供本国产品的供应商同时为小微企业的，对该供应商的产品同时给予支持本国产品和小微企业产品的价格评审优惠。</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9、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10、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11、本项目中如有涉及数据库、操作系统、通用服务器、</w:t>
      </w:r>
      <w:r>
        <w:rPr>
          <w:rFonts w:hint="eastAsia" w:ascii="宋体" w:hAnsi="宋体" w:eastAsia="宋体" w:cs="Times New Roman"/>
          <w:sz w:val="24"/>
          <w:szCs w:val="24"/>
        </w:rPr>
        <w:t xml:space="preserve">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12、本项目中如有涉及采购数据中心相关设备、运维服务的，应当按《关于印发〈绿色数据中心政府采购需求标准（试行）〉的通知》（财库〔2023〕7号）文件执行。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13、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14、机关、事业单位从中小企业采购货物、工程、服务，应当遵守《保障中小企业款项支付条例》（中华人民共和国国务院令第802号）。</w:t>
      </w:r>
      <w:r/>
    </w:p>
    <w:p>
      <w:pPr>
        <w:spacing w:line="400" w:lineRule="exact"/>
        <w:rPr>
          <w:rFonts w:ascii="黑体" w:hAnsi="宋体" w:eastAsia="黑体" w:cs="Times New Roman"/>
          <w:sz w:val="28"/>
          <w:szCs w:val="28"/>
        </w:rPr>
      </w:pPr>
      <w:r>
        <w:rPr>
          <w:rFonts w:hint="eastAsia" w:ascii="黑体" w:hAnsi="宋体" w:eastAsia="黑体" w:cs="Times New Roman"/>
          <w:sz w:val="28"/>
          <w:szCs w:val="28"/>
        </w:rPr>
        <w:t xml:space="preserve">十七、履约保函政策：</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电子履约保函（保险）办理业务流程：江苏省 “政府采购电子履约保函（保险）平台”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jc w:val="left"/>
        <w:spacing w:line="400" w:lineRule="exact"/>
        <w:rPr>
          <w:rFonts w:ascii="宋体" w:hAnsi="宋体" w:eastAsia="宋体" w:cs="Times New Roman"/>
          <w:szCs w:val="24"/>
        </w:rPr>
      </w:pPr>
      <w:r>
        <w:rPr>
          <w:rFonts w:hint="eastAsia" w:ascii="黑体" w:hAnsi="宋体" w:eastAsia="黑体" w:cs="Times New Roman"/>
          <w:sz w:val="28"/>
          <w:szCs w:val="28"/>
        </w:rPr>
        <w:t xml:space="preserve">十八、政府采购合同融资：</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根据国家扶持中小企业的有关政策，在我中心组织的采购项目中标、成交的供应商可根据自身情况，自行决定是否选择采用合同融资形式，如需要政府采购合同融资，请按锡财购【2020】17号文件执行。</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合同融资，是指参与政府采购的供应商，凭借中标、成</w:t>
      </w:r>
      <w:r>
        <w:rPr>
          <w:rFonts w:ascii="宋体" w:hAnsi="宋体" w:eastAsia="宋体" w:cs="Times New Roman"/>
          <w:sz w:val="24"/>
          <w:szCs w:val="24"/>
        </w:rPr>
        <w:t xml:space="preserve">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十九、质量及验收：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项目完毕后，中标方书面通知采购人验收，采购人依据为国家有关规定、招标文件、中标方的投标文件以及其他相关文件和资料，根据实际按照《江苏省政府采购履约验收管理办法》（苏财规〔2024〕7号）组织验收。对项目验收发生的检测（检验）费、劳务报酬等费用支出，采购合同有约定的按照约定执行；无约定的，由采购人承担。因供应商问题导致重新组织项目验收的，由供应商负担验收费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二十、中标服务费：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本次采购，江阴市政府采购中心为中标单位提供免费服务。 </w:t>
      </w:r>
      <w:r/>
    </w:p>
    <w:p>
      <w:pPr>
        <w:pStyle w:val="889"/>
        <w:sectPr>
          <w:footnotePr/>
          <w:endnotePr/>
          <w:type w:val="nextPage"/>
          <w:pgSz w:w="11906" w:h="16838" w:orient="portrait"/>
          <w:pgMar w:top="1247" w:right="1247" w:bottom="1247" w:left="1247" w:header="680" w:footer="992" w:gutter="0"/>
          <w:cols w:num="1" w:sep="0" w:space="720" w:equalWidth="1"/>
          <w:docGrid w:linePitch="360"/>
        </w:sectPr>
      </w:pPr>
      <w:r/>
      <w:r/>
    </w:p>
    <w:p>
      <w:pPr>
        <w:pStyle w:val="889"/>
      </w:pPr>
      <w:r/>
      <w:r/>
    </w:p>
    <w:p>
      <w:pPr>
        <w:pStyle w:val="889"/>
        <w:numPr>
          <w:ilvl w:val="0"/>
          <w:numId w:val="1"/>
        </w:numPr>
        <w:rPr>
          <w:rFonts w:hint="eastAsia"/>
        </w:rPr>
      </w:pPr>
      <w:r/>
      <w:bookmarkStart w:id="10" w:name="_Toc5268"/>
      <w:r>
        <w:rPr>
          <w:rFonts w:hint="eastAsia"/>
        </w:rPr>
        <w:t xml:space="preserve">项目要求和有关说明</w:t>
      </w:r>
      <w:bookmarkEnd w:id="10"/>
      <w:r/>
      <w:bookmarkStart w:id="11" w:name="_Toc251268361"/>
      <w:r/>
      <w:r/>
    </w:p>
    <w:p>
      <w:pPr>
        <w:jc w:val="center"/>
        <w:rPr>
          <w:rFonts w:hint="eastAsia" w:eastAsiaTheme="minorEastAsia"/>
          <w:b/>
          <w:bCs/>
          <w:lang w:eastAsia="zh-CN"/>
        </w:rPr>
      </w:pPr>
      <w:r>
        <w:rPr>
          <w:rFonts w:hint="eastAsia"/>
          <w:b/>
          <w:bCs/>
          <w:lang w:eastAsia="zh-CN"/>
        </w:rPr>
        <w:t xml:space="preserve">（以下除技术参数外，均为实质性要求）</w:t>
      </w:r>
      <w:r/>
    </w:p>
    <w:p>
      <w:pPr>
        <w:numPr>
          <w:ilvl w:val="0"/>
          <w:numId w:val="0"/>
        </w:numPr>
        <w:jc w:val="both"/>
        <w:widowControl w:val="off"/>
      </w:pPr>
      <w:r/>
      <w:r/>
    </w:p>
    <w:p>
      <w:pPr>
        <w:keepLines w:val="0"/>
        <w:keepNext w:val="0"/>
        <w:pageBreakBefore w:val="0"/>
        <w:spacing w:line="400" w:lineRule="exact"/>
        <w:rPr>
          <w:rFonts w:hint="eastAsia" w:ascii="黑体" w:hAnsi="黑体" w:eastAsia="黑体" w:cs="黑体"/>
          <w:bCs/>
          <w:sz w:val="28"/>
          <w:szCs w:val="28"/>
        </w:rPr>
      </w:pPr>
      <w:r>
        <w:rPr>
          <w:rFonts w:hint="eastAsia" w:ascii="黑体" w:hAnsi="黑体" w:eastAsia="黑体" w:cs="黑体"/>
          <w:bCs/>
          <w:sz w:val="28"/>
          <w:szCs w:val="28"/>
        </w:rPr>
        <w:t xml:space="preserve">一、项目介绍：</w:t>
      </w:r>
      <w:r/>
    </w:p>
    <w:p>
      <w:pPr>
        <w:pStyle w:val="947"/>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本项目主要是根据上级关于公安执法规范化建设的相关工作要求，按照“执法规范化、职能前置化、效能最大化、服务人性化”的设计原则，对江苏省原大桥公安执法办案管理中心（靖江市八圩镇同康路18号）进行升级改造，通过综合运用规范化的硬件设施、流程化的运行方式、标准化的管理模式，在充分利旧使用原有各类信息化设备设施基础上，</w:t>
      </w:r>
      <w:r/>
    </w:p>
    <w:p>
      <w:pPr>
        <w:pStyle w:val="947"/>
        <w:jc w:val="both"/>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改造建成具有11间审讯室及15间监视居住室的靖江执法办案中心，配套改造面积约1200㎡。</w:t>
      </w:r>
      <w:r/>
    </w:p>
    <w:p>
      <w:pPr>
        <w:pStyle w:val="947"/>
        <w:ind w:firstLine="480"/>
        <w:jc w:val="both"/>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本次办案区域内采用结构化视频轨迹跟踪定位管理方式，实现对办案区内办案民警及违法犯罪嫌疑人全流程、无死角、实时的监督管理，提高民警执法办案工作效率，构建起全程公开透明、全程规范智能、全程监督可控的公安智慧执法办案管理示范区。通过本次项目改造，将实现对复杂、重大或指定管辖的刑事案件集中办案，实现对公安机关执法办案的集中化、集约化、智能化监督及管理，同时将会进一步提升公安执法规范化建设水平。</w:t>
      </w:r>
      <w:r/>
    </w:p>
    <w:p>
      <w:pPr>
        <w:pStyle w:val="947"/>
        <w:ind w:firstLine="480"/>
        <w:jc w:val="both"/>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本项目最高限价：275万元。</w:t>
      </w:r>
      <w:r/>
    </w:p>
    <w:p>
      <w:pPr>
        <w:pStyle w:val="947"/>
        <w:ind w:firstLine="482"/>
        <w:jc w:val="both"/>
        <w:keepLines w:val="0"/>
        <w:keepNext w:val="0"/>
        <w:pageBreakBefore w:val="0"/>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本项目标的所属行业：工业。</w:t>
      </w:r>
      <w:r/>
    </w:p>
    <w:p>
      <w:pPr>
        <w:keepLines w:val="0"/>
        <w:keepNext w:val="0"/>
        <w:pageBreakBefore w:val="0"/>
        <w:spacing w:line="400" w:lineRule="exact"/>
        <w:rPr>
          <w:rFonts w:hint="eastAsia" w:ascii="宋体" w:hAnsi="宋体" w:eastAsia="宋体" w:cs="宋体"/>
          <w:b/>
          <w:bCs/>
          <w:sz w:val="24"/>
          <w:szCs w:val="24"/>
          <w:highlight w:val="yellow"/>
        </w:rPr>
      </w:pPr>
      <w:r>
        <w:rPr>
          <w:rFonts w:hint="eastAsia" w:ascii="宋体" w:hAnsi="宋体" w:eastAsia="宋体" w:cs="宋体"/>
          <w:b/>
          <w:bCs/>
          <w:sz w:val="24"/>
          <w:szCs w:val="24"/>
          <w:highlight w:val="yellow"/>
        </w:rPr>
      </w:r>
      <w:r/>
    </w:p>
    <w:p>
      <w:pPr>
        <w:keepLines w:val="0"/>
        <w:keepNext w:val="0"/>
        <w:pageBreakBefore w:val="0"/>
        <w:spacing w:line="400" w:lineRule="exact"/>
        <w:rPr>
          <w:rFonts w:hint="eastAsia" w:ascii="黑体" w:hAnsi="黑体" w:eastAsia="黑体" w:cs="黑体"/>
          <w:bCs/>
          <w:sz w:val="28"/>
          <w:szCs w:val="28"/>
        </w:rPr>
      </w:pPr>
      <w:r>
        <w:rPr>
          <w:rFonts w:hint="eastAsia" w:ascii="黑体" w:hAnsi="黑体" w:eastAsia="黑体" w:cs="黑体"/>
          <w:bCs/>
          <w:sz w:val="28"/>
          <w:szCs w:val="28"/>
          <w:lang w:eastAsia="zh-CN"/>
        </w:rPr>
        <w:t xml:space="preserve">二</w:t>
      </w:r>
      <w:r>
        <w:rPr>
          <w:rFonts w:hint="eastAsia" w:ascii="黑体" w:hAnsi="黑体" w:eastAsia="黑体" w:cs="黑体"/>
          <w:bCs/>
          <w:sz w:val="28"/>
          <w:szCs w:val="28"/>
        </w:rPr>
        <w:t xml:space="preserve">、</w:t>
      </w:r>
      <w:r>
        <w:rPr>
          <w:rFonts w:hint="eastAsia" w:ascii="黑体" w:hAnsi="黑体" w:eastAsia="黑体" w:cs="黑体"/>
          <w:sz w:val="28"/>
          <w:szCs w:val="28"/>
        </w:rPr>
        <w:t xml:space="preserve">项目需遵循的有关标准和规范：</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除本采购文件明确标出的技术要求外，各投标文件还必须满足下述文件、国家及行业有关标准规范等隐性要求（如有矛盾，以最新的文件为准）。包括但不限于以下标准：</w:t>
      </w:r>
      <w:r/>
    </w:p>
    <w:p>
      <w:pPr>
        <w:numPr>
          <w:ilvl w:val="0"/>
          <w:numId w:val="2"/>
        </w:num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《中华人民共和国刑事诉讼法》</w:t>
      </w:r>
      <w:r/>
    </w:p>
    <w:p>
      <w:pPr>
        <w:numPr>
          <w:ilvl w:val="0"/>
          <w:numId w:val="2"/>
        </w:num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《中华人民共和国刑事诉讼法修正案》</w:t>
      </w:r>
      <w:r/>
    </w:p>
    <w:p>
      <w:pPr>
        <w:numPr>
          <w:ilvl w:val="0"/>
          <w:numId w:val="2"/>
        </w:num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《数字化审讯(讯问)记录系统技术要求》 GA/T882-2014</w:t>
      </w:r>
      <w:r/>
    </w:p>
    <w:p>
      <w:pPr>
        <w:numPr>
          <w:ilvl w:val="0"/>
          <w:numId w:val="2"/>
        </w:num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《中华人民共和国公共安全行业标准》GA38-92</w:t>
      </w:r>
      <w:r/>
    </w:p>
    <w:p>
      <w:pPr>
        <w:numPr>
          <w:ilvl w:val="0"/>
          <w:numId w:val="2"/>
        </w:num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《防盗报警控制台设计规范》 GB/T16572-1996</w:t>
      </w:r>
      <w:r/>
    </w:p>
    <w:p>
      <w:pPr>
        <w:numPr>
          <w:ilvl w:val="0"/>
          <w:numId w:val="2"/>
        </w:num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《入侵报警系统项目设计规范》 GB50394-2007</w:t>
      </w:r>
      <w:r/>
    </w:p>
    <w:p>
      <w:pPr>
        <w:numPr>
          <w:ilvl w:val="0"/>
          <w:numId w:val="2"/>
        </w:num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《计算机软件开发规范》 GB8566-88</w:t>
      </w:r>
      <w:r/>
    </w:p>
    <w:p>
      <w:pPr>
        <w:numPr>
          <w:ilvl w:val="0"/>
          <w:numId w:val="2"/>
        </w:num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《安全防范工程系统通用图形符号》 GA/T74-1994</w:t>
      </w:r>
      <w:r/>
    </w:p>
    <w:p>
      <w:pPr>
        <w:numPr>
          <w:ilvl w:val="0"/>
          <w:numId w:val="2"/>
        </w:num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《工业电视系统设计规范》 GBJ115-87</w:t>
      </w:r>
      <w:r/>
    </w:p>
    <w:p>
      <w:pPr>
        <w:numPr>
          <w:ilvl w:val="0"/>
          <w:numId w:val="2"/>
        </w:num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《IEC914—会议系统———电子及音频设备标准》</w:t>
      </w:r>
      <w:r/>
    </w:p>
    <w:p>
      <w:pPr>
        <w:numPr>
          <w:ilvl w:val="0"/>
          <w:numId w:val="2"/>
        </w:num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《电子计算机机房设计规范》 GB50174-93 </w:t>
      </w:r>
      <w:r/>
    </w:p>
    <w:p>
      <w:pPr>
        <w:numPr>
          <w:ilvl w:val="0"/>
          <w:numId w:val="2"/>
        </w:num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《电子计算机机房施工及验收规范》 ST/T30003</w:t>
      </w:r>
      <w:r/>
    </w:p>
    <w:p>
      <w:pPr>
        <w:numPr>
          <w:ilvl w:val="0"/>
          <w:numId w:val="2"/>
        </w:num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《以太网10Base-T标准》 IEEE802.3 </w:t>
      </w:r>
      <w:r/>
    </w:p>
    <w:p>
      <w:pPr>
        <w:numPr>
          <w:ilvl w:val="0"/>
          <w:numId w:val="2"/>
        </w:num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《以太网100Base-T标准》 IEEE802.3u </w:t>
      </w:r>
      <w:r/>
    </w:p>
    <w:p>
      <w:pPr>
        <w:numPr>
          <w:ilvl w:val="0"/>
          <w:numId w:val="2"/>
        </w:num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《中国电气装置安装工程施工及验收规范》GBJ232-90.92</w:t>
      </w:r>
      <w:r/>
    </w:p>
    <w:p>
      <w:pPr>
        <w:numPr>
          <w:ilvl w:val="0"/>
          <w:numId w:val="2"/>
        </w:num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《计算机软件开发规范》 GB8566-88 </w:t>
      </w:r>
      <w:r/>
    </w:p>
    <w:p>
      <w:pPr>
        <w:numPr>
          <w:ilvl w:val="0"/>
          <w:numId w:val="2"/>
        </w:num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《电气装置安装工程电缆线路施工及验收规范》 GB50168-92 </w:t>
      </w:r>
      <w:r/>
    </w:p>
    <w:p>
      <w:pPr>
        <w:numPr>
          <w:ilvl w:val="0"/>
          <w:numId w:val="2"/>
        </w:num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《安全防范工程程序与要求》 GA/T75-94 </w:t>
      </w:r>
      <w:r/>
    </w:p>
    <w:p>
      <w:pPr>
        <w:numPr>
          <w:ilvl w:val="0"/>
          <w:numId w:val="2"/>
        </w:num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《建筑物电子信息系统防雷技术规范》 GB50343-2004</w:t>
      </w:r>
      <w:r/>
    </w:p>
    <w:p>
      <w:pPr>
        <w:numPr>
          <w:ilvl w:val="0"/>
          <w:numId w:val="2"/>
        </w:num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《信息技术设备（包括电气事务设备）的安全》 GB4943-95</w:t>
      </w:r>
      <w:r/>
    </w:p>
    <w:p>
      <w:pPr>
        <w:numPr>
          <w:ilvl w:val="0"/>
          <w:numId w:val="2"/>
        </w:num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《电气装置安装工程施工及验收规范》 GBJ232-92</w:t>
      </w:r>
      <w:r/>
    </w:p>
    <w:p>
      <w:pPr>
        <w:numPr>
          <w:ilvl w:val="0"/>
          <w:numId w:val="2"/>
        </w:num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《安全防范视频业务联网系统信息传输、交换、控制技术要求》（GB/T2818-2011及修改补充文件）</w:t>
      </w:r>
      <w:r/>
    </w:p>
    <w:p>
      <w:pPr>
        <w:numPr>
          <w:ilvl w:val="0"/>
          <w:numId w:val="2"/>
        </w:num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《讯问同步录音录像系统技术要求》 GB/T882-2014</w:t>
      </w:r>
      <w:r/>
    </w:p>
    <w:p>
      <w:pPr>
        <w:numPr>
          <w:ilvl w:val="0"/>
          <w:numId w:val="2"/>
        </w:num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《公安机关执法办案场所设置规范》（公通字〔2010〕56号）</w:t>
      </w:r>
      <w:r/>
    </w:p>
    <w:p>
      <w:pPr>
        <w:numPr>
          <w:ilvl w:val="0"/>
          <w:numId w:val="2"/>
        </w:num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《公安机关执法办案场所办案区使用管理规定》（公法〔2013〕1102号）</w:t>
      </w:r>
      <w:r/>
    </w:p>
    <w:p>
      <w:pPr>
        <w:numPr>
          <w:ilvl w:val="0"/>
          <w:numId w:val="2"/>
        </w:num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《公安机关涉案财物管理若干规定》（公通字〔2015〕21号）</w:t>
      </w:r>
      <w:r/>
    </w:p>
    <w:p>
      <w:pPr>
        <w:numPr>
          <w:ilvl w:val="0"/>
          <w:numId w:val="2"/>
        </w:num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《出入口控制系统工程设计规范》</w:t>
      </w:r>
      <w:r>
        <w:rPr>
          <w:rFonts w:hint="eastAsia" w:ascii="宋体" w:hAnsi="宋体" w:eastAsia="宋体" w:cs="宋体"/>
          <w:sz w:val="24"/>
          <w:szCs w:val="24"/>
        </w:rPr>
        <w:tab/>
      </w:r>
      <w:r>
        <w:rPr>
          <w:rFonts w:hint="eastAsia" w:ascii="宋体" w:hAnsi="宋体" w:eastAsia="宋体" w:cs="宋体"/>
          <w:sz w:val="24"/>
          <w:szCs w:val="24"/>
        </w:rPr>
        <w:t xml:space="preserve">GB50396-2007</w:t>
      </w:r>
      <w:r/>
    </w:p>
    <w:p>
      <w:pPr>
        <w:numPr>
          <w:ilvl w:val="0"/>
          <w:numId w:val="2"/>
        </w:num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《防盗报警控制器通用技术条件》</w:t>
      </w:r>
      <w:r>
        <w:rPr>
          <w:rFonts w:hint="eastAsia" w:ascii="宋体" w:hAnsi="宋体" w:eastAsia="宋体" w:cs="宋体"/>
          <w:sz w:val="24"/>
          <w:szCs w:val="24"/>
        </w:rPr>
        <w:tab/>
      </w:r>
      <w:r>
        <w:rPr>
          <w:rFonts w:hint="eastAsia" w:ascii="宋体" w:hAnsi="宋体" w:eastAsia="宋体" w:cs="宋体"/>
          <w:sz w:val="24"/>
          <w:szCs w:val="24"/>
        </w:rPr>
        <w:t xml:space="preserve">GB12663-2001•</w:t>
      </w:r>
      <w:r/>
    </w:p>
    <w:p>
      <w:pPr>
        <w:numPr>
          <w:ilvl w:val="0"/>
          <w:numId w:val="2"/>
        </w:num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《入侵探测器通用技术条件》</w:t>
      </w:r>
      <w:r>
        <w:rPr>
          <w:rFonts w:hint="eastAsia" w:ascii="宋体" w:hAnsi="宋体" w:eastAsia="宋体" w:cs="宋体"/>
          <w:sz w:val="24"/>
          <w:szCs w:val="24"/>
        </w:rPr>
        <w:tab/>
      </w:r>
      <w:r>
        <w:rPr>
          <w:rFonts w:hint="eastAsia" w:ascii="宋体" w:hAnsi="宋体" w:eastAsia="宋体" w:cs="宋体"/>
          <w:sz w:val="24"/>
          <w:szCs w:val="24"/>
        </w:rPr>
        <w:t xml:space="preserve">GB10408.1-2000</w:t>
      </w:r>
      <w:r/>
    </w:p>
    <w:p>
      <w:pPr>
        <w:numPr>
          <w:ilvl w:val="0"/>
          <w:numId w:val="2"/>
        </w:num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《民用闭路电视系统工程技术规范》GB50198-94</w:t>
      </w:r>
      <w:r/>
    </w:p>
    <w:p>
      <w:pPr>
        <w:numPr>
          <w:ilvl w:val="0"/>
          <w:numId w:val="2"/>
        </w:num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《安防视频监控系统技术要求》GA/T367-2001</w:t>
      </w:r>
      <w:r/>
    </w:p>
    <w:p>
      <w:pPr>
        <w:numPr>
          <w:ilvl w:val="0"/>
          <w:numId w:val="2"/>
        </w:num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《中华人民共和国公共安全行业标准》GA38-92</w:t>
      </w:r>
      <w:r/>
    </w:p>
    <w:p>
      <w:pPr>
        <w:numPr>
          <w:ilvl w:val="0"/>
          <w:numId w:val="2"/>
        </w:num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《安全防范工程费用预算编制办法》GAT_70-2004</w:t>
      </w:r>
      <w:r/>
    </w:p>
    <w:p>
      <w:pPr>
        <w:numPr>
          <w:ilvl w:val="0"/>
          <w:numId w:val="2"/>
        </w:num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《公安信息网络管理系统技术规范》GA/T 608-2006</w:t>
      </w:r>
      <w:r/>
    </w:p>
    <w:p>
      <w:pPr>
        <w:numPr>
          <w:ilvl w:val="0"/>
          <w:numId w:val="2"/>
        </w:num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《中国电气装置安装工程施工及验收规范》GBJ232-90.92</w:t>
      </w:r>
      <w:r/>
    </w:p>
    <w:p>
      <w:pPr>
        <w:numPr>
          <w:ilvl w:val="0"/>
          <w:numId w:val="2"/>
        </w:num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《公安信息系统应用开发管理规范》GA/T 715-2007</w:t>
      </w:r>
      <w:r/>
    </w:p>
    <w:p>
      <w:pPr>
        <w:numPr>
          <w:ilvl w:val="0"/>
          <w:numId w:val="2"/>
        </w:num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所有规范均以最新标准为准（含工程测量、勘察及物探资料等。）</w:t>
      </w:r>
      <w:r/>
    </w:p>
    <w:p>
      <w:pPr>
        <w:keepLines w:val="0"/>
        <w:keepNext w:val="0"/>
        <w:pageBreakBefore w:val="0"/>
        <w:spacing w:line="400" w:lineRule="exact"/>
        <w:rPr>
          <w:rFonts w:hint="eastAsia" w:ascii="宋体" w:hAnsi="宋体" w:eastAsia="宋体" w:cs="宋体"/>
          <w:b/>
          <w:bCs/>
          <w:sz w:val="24"/>
          <w:szCs w:val="24"/>
          <w:highlight w:val="yellow"/>
        </w:rPr>
      </w:pPr>
      <w:r>
        <w:rPr>
          <w:rFonts w:hint="eastAsia" w:ascii="宋体" w:hAnsi="宋体" w:eastAsia="宋体" w:cs="宋体"/>
          <w:b/>
          <w:bCs/>
          <w:sz w:val="24"/>
          <w:szCs w:val="24"/>
          <w:highlight w:val="yellow"/>
        </w:rPr>
      </w:r>
      <w:r/>
    </w:p>
    <w:p>
      <w:pPr>
        <w:keepLines w:val="0"/>
        <w:keepNext w:val="0"/>
        <w:pageBreakBefore w:val="0"/>
        <w:spacing w:line="400" w:lineRule="exact"/>
        <w:rPr>
          <w:rFonts w:hint="eastAsia" w:ascii="黑体" w:hAnsi="黑体" w:eastAsia="黑体" w:cs="黑体"/>
          <w:bCs/>
          <w:sz w:val="28"/>
          <w:szCs w:val="28"/>
        </w:rPr>
      </w:pPr>
      <w:r>
        <w:rPr>
          <w:rFonts w:hint="eastAsia" w:ascii="黑体" w:hAnsi="黑体" w:eastAsia="黑体" w:cs="黑体"/>
          <w:bCs/>
          <w:sz w:val="28"/>
          <w:szCs w:val="28"/>
          <w:lang w:eastAsia="zh-CN"/>
        </w:rPr>
        <w:t xml:space="preserve">三</w:t>
      </w:r>
      <w:r>
        <w:rPr>
          <w:rFonts w:hint="eastAsia" w:ascii="黑体" w:hAnsi="黑体" w:eastAsia="黑体" w:cs="黑体"/>
          <w:bCs/>
          <w:sz w:val="28"/>
          <w:szCs w:val="28"/>
        </w:rPr>
        <w:t xml:space="preserve">、</w:t>
      </w:r>
      <w:bookmarkStart w:id="12" w:name="_Toc51772648"/>
      <w:r>
        <w:rPr>
          <w:rFonts w:hint="eastAsia" w:ascii="黑体" w:hAnsi="黑体" w:eastAsia="黑体" w:cs="黑体"/>
          <w:bCs/>
          <w:sz w:val="28"/>
          <w:szCs w:val="28"/>
        </w:rPr>
        <w:t xml:space="preserve">项目建设内容</w:t>
      </w:r>
      <w:bookmarkEnd w:id="12"/>
      <w:r>
        <w:rPr>
          <w:rFonts w:hint="eastAsia" w:ascii="黑体" w:hAnsi="黑体" w:eastAsia="黑体" w:cs="黑体"/>
          <w:bCs/>
          <w:sz w:val="28"/>
          <w:szCs w:val="28"/>
        </w:rPr>
        <w:t xml:space="preserve">：</w:t>
      </w:r>
      <w:r/>
    </w:p>
    <w:p>
      <w:pPr>
        <w:jc w:val="left"/>
        <w:keepLines w:val="0"/>
        <w:keepNext w:val="0"/>
        <w:pageBreakBefore w:val="0"/>
        <w:spacing w:line="400" w:lineRule="exact"/>
        <w:rPr>
          <w:rFonts w:hint="eastAsia" w:ascii="宋体" w:hAnsi="宋体" w:eastAsia="宋体" w:cs="宋体"/>
          <w:b/>
          <w:sz w:val="24"/>
          <w:szCs w:val="24"/>
        </w:rPr>
        <w:outlineLvl w:val="0"/>
      </w:pPr>
      <w:r/>
      <w:bookmarkStart w:id="13" w:name="_Toc15334"/>
      <w:r>
        <w:rPr>
          <w:rFonts w:hint="eastAsia" w:ascii="宋体" w:hAnsi="宋体" w:eastAsia="宋体" w:cs="宋体"/>
          <w:b/>
          <w:sz w:val="24"/>
          <w:szCs w:val="24"/>
        </w:rPr>
        <w:t xml:space="preserve">1、概述：</w:t>
      </w:r>
      <w:bookmarkEnd w:id="13"/>
      <w:r/>
      <w:r/>
    </w:p>
    <w:p>
      <w:pPr>
        <w:ind w:firstLine="480"/>
        <w:jc w:val="left"/>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次项目主要是对江苏省原大桥公安执法办案中心在充分利旧的基础上进行智能化升级改造，通过建设全新公安执法办案区智能管理系统，实现执法办案区数据的统一管理、视频统一存储调度以及业务综合管理应用，即将嫌疑人从入区到出区的每一个流程进行全程管控，包括入区登记、人身安全检查、随身物品暂存、信息采集、候问管理、讯（询）问管理、物品返还及出区登记等，确保嫌疑人在办案区内的全部视频轨迹能够无死角记录下来，同时将涉案人员相关资料能够自动形成完整的“一案一包”专用档案，以便后期管理与应用。</w:t>
      </w:r>
      <w:r/>
    </w:p>
    <w:p>
      <w:pPr>
        <w:ind w:firstLine="480"/>
        <w:jc w:val="left"/>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此次改造将建成具有11间审讯室及15间监视居住室的办案中心，配套改造面积约1200㎡。整个办案中心由入区登记室、人身安全检查室、随身物品暂存区、信息采集室、尿检室、候问室、候问管理室、讯（询）问室、卫生间、中心机房等组成；此外还包含监视居住中心区域的监视居住室、民警值班室、监居登记室及视频巡查室等功能室，从而形成完整的办案业务流程，实现从信息、安全、物证资料到案件资料以及在区人员的全流程化智能管理。</w:t>
      </w:r>
      <w:r/>
    </w:p>
    <w:p>
      <w:pPr>
        <w:ind w:firstLine="480"/>
        <w:jc w:val="left"/>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次项目建设内容包括：新建各类视频监控摄像机、出入口人体结构化摄像机、拾音器、网络存储服务器、地图服务器、流媒体服务器、对接网关主机、AI智能分析服务器等（以上服务器设备均需满足国家信创产品相关标准与要求），以及视频轨迹定位分析与3D可视化建模、智慧执法办案区管理系统平台；此外还有与之配套的机房UPS系统、门禁系统改造、</w:t>
      </w:r>
      <w:r>
        <w:rPr>
          <w:rFonts w:hint="eastAsia" w:ascii="宋体" w:hAnsi="宋体" w:eastAsia="宋体" w:cs="宋体"/>
          <w:color w:val="000000"/>
          <w:sz w:val="24"/>
          <w:szCs w:val="24"/>
        </w:rPr>
        <w:t xml:space="preserve">网络设备更新及综合布线施工等；同时本次项目需充分利旧使用原大桥公安执法办案管理区原有各类信息化设备，包括各类视频监控摄像机、拾音器、审讯主机、随身物品柜、信息采集一体机等设备，要求须对原有全部信息化设备（原有旧设备均已列入公安固定资产目录）进行全面检测、维修与更换恢复至正常状态后，正式启用并视情接入本次项目新建智慧执法办案中心管理系统平台。另外，本次项目新建系统还应根据公安不同业务场景的实际需求情况，将各类业务数据无缝接入或对接推送至江苏省公安厅、无锡及江阴市公安局相关业务系统平台，以满足公安实战应用需求。</w:t>
      </w:r>
      <w:r/>
    </w:p>
    <w:p>
      <w:pPr>
        <w:jc w:val="left"/>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keepLines w:val="0"/>
        <w:keepNext w:val="0"/>
        <w:pageBreakBefore w:val="0"/>
        <w:spacing w:line="4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2、系统组成</w:t>
      </w:r>
      <w:r/>
    </w:p>
    <w:p>
      <w:pPr>
        <w:keepLines w:val="0"/>
        <w:keepNext w:val="0"/>
        <w:pageBreakBefore w:val="0"/>
        <w:spacing w:line="400" w:lineRule="exact"/>
        <w:rPr>
          <w:rFonts w:hint="eastAsia" w:ascii="宋体" w:hAnsi="宋体" w:eastAsia="宋体" w:cs="宋体"/>
          <w:b/>
          <w:sz w:val="24"/>
          <w:szCs w:val="24"/>
        </w:rPr>
        <w:outlineLvl w:val="1"/>
      </w:pPr>
      <w:r/>
      <w:bookmarkStart w:id="14" w:name="_Toc53840751"/>
      <w:r/>
      <w:bookmarkStart w:id="15" w:name="_Toc468265776"/>
      <w:r>
        <w:rPr>
          <w:rFonts w:hint="eastAsia" w:ascii="宋体" w:hAnsi="宋体" w:eastAsia="宋体" w:cs="宋体"/>
          <w:b/>
          <w:sz w:val="24"/>
          <w:szCs w:val="24"/>
        </w:rPr>
        <w:t xml:space="preserve">2.1</w:t>
      </w:r>
      <w:bookmarkEnd w:id="14"/>
      <w:r>
        <w:rPr>
          <w:rFonts w:hint="eastAsia" w:ascii="宋体" w:hAnsi="宋体" w:eastAsia="宋体" w:cs="宋体"/>
          <w:b/>
          <w:sz w:val="24"/>
          <w:szCs w:val="24"/>
        </w:rPr>
        <w:t xml:space="preserve">系统架构</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本次系统采用集中式部署、集中式管理的方式，通过新建的执法办案区管理系统向上级联可以实现与无锡市局、江苏省厅的大范围联网，上级机关统一调度、集中管理与应用。</w:t>
      </w:r>
      <w:r/>
    </w:p>
    <w:p>
      <w:pPr>
        <w:keepLines w:val="0"/>
        <w:keepNext w:val="0"/>
        <w:pageBreakBefore w:val="0"/>
        <w:spacing w:line="400" w:lineRule="exact"/>
        <w:rPr>
          <w:rFonts w:hint="eastAsia" w:ascii="宋体" w:hAnsi="宋体" w:eastAsia="宋体" w:cs="宋体"/>
          <w:b/>
          <w:sz w:val="24"/>
          <w:szCs w:val="24"/>
        </w:rPr>
        <w:outlineLvl w:val="1"/>
      </w:pPr>
      <w:r>
        <w:rPr>
          <w:rFonts w:hint="eastAsia" w:ascii="宋体" w:hAnsi="宋体" w:eastAsia="宋体" w:cs="宋体"/>
          <w:b/>
          <w:sz w:val="24"/>
          <w:szCs w:val="24"/>
        </w:rPr>
        <w:t xml:space="preserve">2.2网络规划要求</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本项目建设需最大限度充分利旧原有办案区视频监控设备，包括但不限于摄像机、拾音器、审讯主机、硬盘录像机NVR及存储服务器等。项目建设要求系统网络规划需满足公安相关规范要求并结合实际状况，公安内网部署核心管理设备，如执法办案管理平台、审讯主机、流媒体服务器等；虚拟专网部署结构化相机等定位设备，所有前端采集需要按照人脸结构化方式采集实现定位信息在地图上实时标注，通过双网卡物理隔离方式实现人员定位数据同步进公安内网服务器，实现定位信息的无延时展示，便于上级平台监督查阅。</w:t>
      </w:r>
      <w:bookmarkEnd w:id="15"/>
      <w:r/>
      <w:r/>
    </w:p>
    <w:p>
      <w:pPr>
        <w:keepLines w:val="0"/>
        <w:keepNext w:val="0"/>
        <w:pageBreakBefore w:val="0"/>
        <w:spacing w:line="400" w:lineRule="exact"/>
        <w:rPr>
          <w:rFonts w:hint="eastAsia" w:ascii="宋体" w:hAnsi="宋体" w:eastAsia="宋体" w:cs="宋体"/>
          <w:b/>
          <w:sz w:val="24"/>
          <w:szCs w:val="24"/>
        </w:rPr>
        <w:outlineLvl w:val="1"/>
      </w:pPr>
      <w:r>
        <w:rPr>
          <w:rFonts w:hint="eastAsia" w:ascii="宋体" w:hAnsi="宋体" w:eastAsia="宋体" w:cs="宋体"/>
          <w:b/>
          <w:sz w:val="24"/>
          <w:szCs w:val="24"/>
        </w:rPr>
        <w:t xml:space="preserve">2.3系统存储要求</w:t>
      </w:r>
      <w:r/>
    </w:p>
    <w:p>
      <w:pPr>
        <w:ind w:firstLine="480"/>
        <w:keepLines w:val="0"/>
        <w:keepNext w:val="0"/>
        <w:pageBreakBefore w:val="0"/>
        <w:spacing w:line="400" w:lineRule="exact"/>
        <w:rPr>
          <w:rFonts w:hint="eastAsia" w:ascii="宋体" w:hAnsi="宋体" w:eastAsia="宋体" w:cs="宋体"/>
          <w:sz w:val="24"/>
          <w:szCs w:val="24"/>
        </w:rPr>
        <w:outlineLvl w:val="2"/>
      </w:pPr>
      <w:r>
        <w:rPr>
          <w:rFonts w:hint="eastAsia" w:ascii="宋体" w:hAnsi="宋体" w:eastAsia="宋体" w:cs="宋体"/>
          <w:sz w:val="24"/>
          <w:szCs w:val="24"/>
        </w:rPr>
        <w:t xml:space="preserve">根据上级公安机关工作要求，办案区的声像监控资料应当保存不少于六个月，“一案一包”办案区音视频资料保存不少于一年。因此根据公安实际需求，每间审讯室配置一台公安审讯主机，用于存储在审讯过程中产生的音频、视频及图像等证据资料；在中心机房配置网络存储服务器，用于存储嫌疑人被带到办案区后全程活动视频录像以及审讯同步录音录像，并整合打包后按照案件类型集中存储，真正做到证据和资料的合法合规性、可追溯性及安全性。</w:t>
      </w:r>
      <w:r/>
    </w:p>
    <w:p>
      <w:pPr>
        <w:ind w:firstLine="480"/>
        <w:keepLines w:val="0"/>
        <w:keepNext w:val="0"/>
        <w:pageBreakBefore w:val="0"/>
        <w:spacing w:line="400" w:lineRule="exact"/>
        <w:rPr>
          <w:rFonts w:hint="eastAsia" w:ascii="宋体" w:hAnsi="宋体" w:eastAsia="宋体" w:cs="宋体"/>
          <w:sz w:val="24"/>
          <w:szCs w:val="24"/>
        </w:rPr>
        <w:outlineLvl w:val="2"/>
      </w:pPr>
      <w:r>
        <w:rPr>
          <w:rFonts w:hint="eastAsia" w:ascii="宋体" w:hAnsi="宋体" w:eastAsia="宋体" w:cs="宋体"/>
          <w:sz w:val="24"/>
          <w:szCs w:val="24"/>
        </w:rPr>
        <w:t xml:space="preserve">本次项目为确保视频数据安全可靠，执法办案区及监视居住区视频均需按照3M码流、六个月存储时长（其中“一案一包”资料不少于一年）的标准，全部采用全新16TB企业级硬盘，存储磁盘阵列则利旧使用原有设备（需采用RAID6存储模式）；原磁盘阵列设备中替换下的4T旧硬盘，则调配至办案区各审讯主机及外围监控硬盘录像机中，作为视频录像冗余备份使用。</w:t>
      </w:r>
      <w:r/>
    </w:p>
    <w:p>
      <w:pPr>
        <w:keepLines w:val="0"/>
        <w:keepNext w:val="0"/>
        <w:pageBreakBefore w:val="0"/>
        <w:spacing w:line="400" w:lineRule="exact"/>
        <w:rPr>
          <w:rFonts w:hint="eastAsia" w:ascii="宋体" w:hAnsi="宋体" w:eastAsia="宋体" w:cs="宋体"/>
          <w:b/>
          <w:sz w:val="24"/>
          <w:szCs w:val="24"/>
        </w:rPr>
        <w:outlineLvl w:val="2"/>
      </w:pPr>
      <w:r>
        <w:rPr>
          <w:rFonts w:hint="eastAsia" w:ascii="宋体" w:hAnsi="宋体" w:eastAsia="宋体" w:cs="宋体"/>
          <w:b/>
          <w:sz w:val="24"/>
          <w:szCs w:val="24"/>
        </w:rPr>
        <w:t xml:space="preserve">2.4执法办案区</w:t>
      </w:r>
      <w:r/>
    </w:p>
    <w:p>
      <w:pPr>
        <w:ind w:firstLine="480"/>
        <w:keepLines w:val="0"/>
        <w:keepNext w:val="0"/>
        <w:pageBreakBefore w:val="0"/>
        <w:spacing w:line="400" w:lineRule="exact"/>
        <w:rPr>
          <w:rFonts w:hint="eastAsia" w:ascii="宋体" w:hAnsi="宋体" w:eastAsia="宋体" w:cs="宋体"/>
          <w:sz w:val="24"/>
          <w:szCs w:val="24"/>
        </w:rPr>
        <w:outlineLvl w:val="2"/>
      </w:pPr>
      <w:r>
        <w:rPr>
          <w:rFonts w:hint="eastAsia" w:ascii="宋体" w:hAnsi="宋体" w:eastAsia="宋体" w:cs="宋体"/>
          <w:sz w:val="24"/>
          <w:szCs w:val="24"/>
        </w:rPr>
        <w:t xml:space="preserve">整个执法办案区由入区登记区、人身安全检查室、随身物品保管区、信息采集室、尿检区、候问室、讯问室（11间）、会商室、卫生间及中心机房等组成。</w:t>
      </w:r>
      <w:r/>
    </w:p>
    <w:p>
      <w:pPr>
        <w:ind w:firstLine="480"/>
        <w:keepLines w:val="0"/>
        <w:keepNext w:val="0"/>
        <w:pageBreakBefore w:val="0"/>
        <w:spacing w:line="400" w:lineRule="exact"/>
        <w:rPr>
          <w:rFonts w:hint="eastAsia" w:ascii="宋体" w:hAnsi="宋体" w:eastAsia="宋体" w:cs="宋体"/>
          <w:sz w:val="24"/>
          <w:szCs w:val="24"/>
        </w:rPr>
        <w:outlineLvl w:val="2"/>
      </w:pPr>
      <w:r>
        <w:rPr>
          <w:rFonts w:hint="eastAsia" w:ascii="宋体" w:hAnsi="宋体" w:eastAsia="宋体" w:cs="宋体"/>
          <w:sz w:val="24"/>
          <w:szCs w:val="24"/>
        </w:rPr>
        <w:t xml:space="preserve">入区登记区部署在办案区大厅内，为民警和嫌疑人进入办案区前登记的功能区，配置人体结构化摄像机用于视频定位，并配置全景摄像机和拾音器。</w:t>
      </w:r>
      <w:r/>
    </w:p>
    <w:p>
      <w:pPr>
        <w:ind w:firstLine="480"/>
        <w:keepLines w:val="0"/>
        <w:keepNext w:val="0"/>
        <w:pageBreakBefore w:val="0"/>
        <w:spacing w:line="400" w:lineRule="exact"/>
        <w:rPr>
          <w:rFonts w:hint="eastAsia" w:ascii="宋体" w:hAnsi="宋体" w:eastAsia="宋体" w:cs="宋体"/>
          <w:sz w:val="24"/>
          <w:szCs w:val="24"/>
        </w:rPr>
        <w:outlineLvl w:val="2"/>
      </w:pPr>
      <w:r>
        <w:rPr>
          <w:rFonts w:hint="eastAsia" w:ascii="宋体" w:hAnsi="宋体" w:eastAsia="宋体" w:cs="宋体"/>
          <w:sz w:val="24"/>
          <w:szCs w:val="24"/>
        </w:rPr>
        <w:t xml:space="preserve">候问室为嫌疑人等候被讯问时所关押的功能室，房间内配置人体结构化摄像机用于视频定位，并配置单目摄像机和拾音器。</w:t>
      </w:r>
      <w:r/>
    </w:p>
    <w:p>
      <w:pPr>
        <w:ind w:firstLine="480"/>
        <w:keepLines w:val="0"/>
        <w:keepNext w:val="0"/>
        <w:pageBreakBefore w:val="0"/>
        <w:spacing w:line="400" w:lineRule="exact"/>
        <w:rPr>
          <w:rFonts w:hint="eastAsia" w:ascii="宋体" w:hAnsi="宋体" w:eastAsia="宋体" w:cs="宋体"/>
          <w:sz w:val="24"/>
          <w:szCs w:val="24"/>
        </w:rPr>
        <w:outlineLvl w:val="2"/>
      </w:pPr>
      <w:r>
        <w:rPr>
          <w:rFonts w:hint="eastAsia" w:ascii="宋体" w:hAnsi="宋体" w:eastAsia="宋体" w:cs="宋体"/>
          <w:sz w:val="24"/>
          <w:szCs w:val="24"/>
        </w:rPr>
        <w:t xml:space="preserve">卫生间为供嫌疑人使用的洗手间，屋内配置人体结构化摄像机用于视频定位，并配置单目摄像机、拾音器及尿检抓拍摄像机。</w:t>
      </w:r>
      <w:r/>
    </w:p>
    <w:p>
      <w:pPr>
        <w:ind w:firstLine="480"/>
        <w:keepLines w:val="0"/>
        <w:keepNext w:val="0"/>
        <w:pageBreakBefore w:val="0"/>
        <w:spacing w:line="400" w:lineRule="exact"/>
        <w:rPr>
          <w:rFonts w:hint="eastAsia" w:ascii="宋体" w:hAnsi="宋体" w:eastAsia="宋体" w:cs="宋体"/>
          <w:sz w:val="24"/>
          <w:szCs w:val="24"/>
        </w:rPr>
        <w:outlineLvl w:val="2"/>
      </w:pPr>
      <w:r>
        <w:rPr>
          <w:rFonts w:hint="eastAsia" w:ascii="宋体" w:hAnsi="宋体" w:eastAsia="宋体" w:cs="宋体"/>
          <w:sz w:val="24"/>
          <w:szCs w:val="24"/>
        </w:rPr>
        <w:t xml:space="preserve">中心机房作为整个办案区的管理核心，既部署整个系统的平台相关服务器设备，又负责对前端的音视频资料统一采集和管理，屋内配置全景摄像机和拾音器。</w:t>
      </w:r>
      <w:r/>
    </w:p>
    <w:p>
      <w:pPr>
        <w:keepLines w:val="0"/>
        <w:keepNext w:val="0"/>
        <w:pageBreakBefore w:val="0"/>
        <w:spacing w:line="400" w:lineRule="exact"/>
        <w:rPr>
          <w:rFonts w:hint="eastAsia" w:ascii="宋体" w:hAnsi="宋体" w:eastAsia="宋体" w:cs="宋体"/>
          <w:b/>
          <w:sz w:val="24"/>
          <w:szCs w:val="24"/>
        </w:rPr>
        <w:outlineLvl w:val="2"/>
      </w:pPr>
      <w:r>
        <w:rPr>
          <w:rFonts w:hint="eastAsia" w:ascii="宋体" w:hAnsi="宋体" w:eastAsia="宋体" w:cs="宋体"/>
          <w:b/>
          <w:sz w:val="24"/>
          <w:szCs w:val="24"/>
        </w:rPr>
        <w:t xml:space="preserve">2.5监视居住区</w:t>
      </w:r>
      <w:r/>
    </w:p>
    <w:p>
      <w:pPr>
        <w:ind w:firstLine="480"/>
        <w:keepLines w:val="0"/>
        <w:keepNext w:val="0"/>
        <w:pageBreakBefore w:val="0"/>
        <w:spacing w:line="400" w:lineRule="exact"/>
        <w:rPr>
          <w:rFonts w:hint="eastAsia" w:ascii="宋体" w:hAnsi="宋体" w:eastAsia="宋体" w:cs="宋体"/>
          <w:sz w:val="24"/>
          <w:szCs w:val="24"/>
        </w:rPr>
        <w:outlineLvl w:val="2"/>
      </w:pPr>
      <w:r>
        <w:rPr>
          <w:rFonts w:hint="eastAsia" w:ascii="宋体" w:hAnsi="宋体" w:eastAsia="宋体" w:cs="宋体"/>
          <w:sz w:val="24"/>
          <w:szCs w:val="24"/>
        </w:rPr>
        <w:t xml:space="preserve">整个监视居住区由入区登记室、监居视频巡查室、监居室（15间）、民警值班室及备勤室等组成。</w:t>
      </w:r>
      <w:r/>
    </w:p>
    <w:p>
      <w:pPr>
        <w:ind w:firstLine="480"/>
        <w:keepLines w:val="0"/>
        <w:keepNext w:val="0"/>
        <w:pageBreakBefore w:val="0"/>
        <w:spacing w:line="400" w:lineRule="exact"/>
        <w:rPr>
          <w:rFonts w:hint="eastAsia" w:ascii="宋体" w:hAnsi="宋体" w:eastAsia="宋体" w:cs="宋体"/>
          <w:sz w:val="24"/>
          <w:szCs w:val="24"/>
        </w:rPr>
        <w:outlineLvl w:val="2"/>
      </w:pPr>
      <w:r>
        <w:rPr>
          <w:rFonts w:hint="eastAsia" w:ascii="宋体" w:hAnsi="宋体" w:eastAsia="宋体" w:cs="宋体"/>
          <w:sz w:val="24"/>
          <w:szCs w:val="24"/>
        </w:rPr>
        <w:t xml:space="preserve">入区登记室部署在监视居住区入口处，为民警和嫌疑人进入监居区前登记的功能室，房间内配置全景摄像机和拾音器。</w:t>
      </w:r>
      <w:r/>
    </w:p>
    <w:p>
      <w:pPr>
        <w:ind w:firstLine="480"/>
        <w:keepLines w:val="0"/>
        <w:keepNext w:val="0"/>
        <w:pageBreakBefore w:val="0"/>
        <w:spacing w:line="400" w:lineRule="exact"/>
        <w:rPr>
          <w:rFonts w:hint="eastAsia" w:ascii="宋体" w:hAnsi="宋体" w:eastAsia="宋体" w:cs="宋体"/>
          <w:sz w:val="24"/>
          <w:szCs w:val="24"/>
        </w:rPr>
        <w:outlineLvl w:val="2"/>
      </w:pPr>
      <w:r>
        <w:rPr>
          <w:rFonts w:hint="eastAsia" w:ascii="宋体" w:hAnsi="宋体" w:eastAsia="宋体" w:cs="宋体"/>
          <w:sz w:val="24"/>
          <w:szCs w:val="24"/>
        </w:rPr>
        <w:t xml:space="preserve">监居视频巡查室为监视居住区日常秩序管理督导监控室，房间内配置监控大屏显示器、解码器、全景摄像机和拾音器。</w:t>
      </w:r>
      <w:r/>
    </w:p>
    <w:p>
      <w:pPr>
        <w:ind w:firstLine="480"/>
        <w:keepLines w:val="0"/>
        <w:keepNext w:val="0"/>
        <w:pageBreakBefore w:val="0"/>
        <w:spacing w:line="400" w:lineRule="exact"/>
        <w:rPr>
          <w:rFonts w:hint="eastAsia" w:ascii="宋体" w:hAnsi="宋体" w:eastAsia="宋体" w:cs="宋体"/>
          <w:sz w:val="24"/>
          <w:szCs w:val="24"/>
        </w:rPr>
        <w:outlineLvl w:val="2"/>
      </w:pPr>
      <w:r>
        <w:rPr>
          <w:rFonts w:hint="eastAsia" w:ascii="宋体" w:hAnsi="宋体" w:eastAsia="宋体" w:cs="宋体"/>
          <w:sz w:val="24"/>
          <w:szCs w:val="24"/>
        </w:rPr>
        <w:t xml:space="preserve">监居室为嫌疑人生活起居功能室，配备独立卫生间，配置单目摄像机和拾音器。</w:t>
      </w:r>
      <w:r/>
    </w:p>
    <w:p>
      <w:pPr>
        <w:ind w:firstLine="480"/>
        <w:keepLines w:val="0"/>
        <w:keepNext w:val="0"/>
        <w:pageBreakBefore w:val="0"/>
        <w:spacing w:line="400" w:lineRule="exact"/>
        <w:rPr>
          <w:rFonts w:hint="eastAsia" w:ascii="宋体" w:hAnsi="宋体" w:eastAsia="宋体" w:cs="宋体"/>
          <w:sz w:val="24"/>
          <w:szCs w:val="24"/>
        </w:rPr>
        <w:outlineLvl w:val="2"/>
      </w:pPr>
      <w:r>
        <w:rPr>
          <w:rFonts w:hint="eastAsia" w:ascii="宋体" w:hAnsi="宋体" w:eastAsia="宋体" w:cs="宋体"/>
          <w:sz w:val="24"/>
          <w:szCs w:val="24"/>
        </w:rPr>
        <w:t xml:space="preserve">民警值班室及备勤室为监视居住区日常管理民警与值班辅警的办公与备勤休息室，配置单目摄像机和拾音器。</w:t>
      </w:r>
      <w:r/>
    </w:p>
    <w:p>
      <w:pPr>
        <w:keepLines w:val="0"/>
        <w:keepNext w:val="0"/>
        <w:pageBreakBefore w:val="0"/>
        <w:spacing w:line="400" w:lineRule="exact"/>
        <w:rPr>
          <w:rFonts w:hint="eastAsia" w:ascii="宋体" w:hAnsi="宋体" w:eastAsia="宋体" w:cs="宋体"/>
          <w:b/>
          <w:sz w:val="24"/>
          <w:szCs w:val="24"/>
        </w:rPr>
        <w:outlineLvl w:val="2"/>
      </w:pPr>
      <w:r>
        <w:rPr>
          <w:rFonts w:hint="eastAsia" w:ascii="宋体" w:hAnsi="宋体" w:eastAsia="宋体" w:cs="宋体"/>
          <w:b/>
          <w:sz w:val="24"/>
          <w:szCs w:val="24"/>
        </w:rPr>
        <w:t xml:space="preserve">2.6视频定位系统</w:t>
      </w:r>
      <w:r/>
    </w:p>
    <w:p>
      <w:pPr>
        <w:ind w:firstLine="480"/>
        <w:jc w:val="left"/>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本次新建公安智慧执法办案区管理系统平台，为实现嫌疑人入出区活动轨迹全程跟踪录像，需在中心机房部署视频轨迹定位系统，在各功能室及办案区通道等区域部署人体结构化摄像机。</w:t>
      </w:r>
      <w:r/>
    </w:p>
    <w:p>
      <w:pPr>
        <w:ind w:firstLine="480"/>
        <w:jc w:val="left"/>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嫌</w:t>
      </w:r>
      <w:r>
        <w:rPr>
          <w:rFonts w:hint="eastAsia" w:ascii="宋体" w:hAnsi="宋体" w:eastAsia="宋体" w:cs="宋体"/>
          <w:color w:val="000000"/>
          <w:sz w:val="24"/>
          <w:szCs w:val="24"/>
        </w:rPr>
        <w:t xml:space="preserve">疑人进行入区登记时，通过建模设备进行人脸及人体结构化采集，上传至跟踪分析主机进行特征提取，并进行3D重建绑定成人员唯一身份识别的信号数据；办案区部署的结构化摄像机抓拍所有在区人员，并将图片推送给跟踪分析主机；主机提取画面中所出现人员的人像、体征的信号数据，与已建立的特征模型进行匹配，并将人员与区域进行关联，最终实现按嫌疑人活动轨迹视频录像的进行整合、统一管理，事后统一归档处理。此外通过将平台数据接入或推送上级平台系统，实现数据互通，以解决各业务子系统间彼此孤立、多个平台使用不便、无法跨子系统业务功能等问题。</w:t>
      </w:r>
      <w:r/>
    </w:p>
    <w:p>
      <w:pPr>
        <w:ind w:firstLine="480"/>
        <w:jc w:val="left"/>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轨迹定位系统组成示意图如下：</w:t>
      </w:r>
      <w:r/>
    </w:p>
    <w:p>
      <w:pPr>
        <w:ind w:firstLine="480"/>
        <w:jc w:val="left"/>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both"/>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1788160</wp:posOffset>
                </wp:positionH>
                <wp:positionV relativeFrom="paragraph">
                  <wp:posOffset>-48895</wp:posOffset>
                </wp:positionV>
                <wp:extent cx="2144395" cy="1905635"/>
                <wp:effectExtent l="0" t="0" r="8255" b="18415"/>
                <wp:wrapTopAndBottom/>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4"/>
                        <a:srcRect l="0" t="8332" r="0" b="35217"/>
                        <a:stretch/>
                      </pic:blipFill>
                      <pic:spPr bwMode="auto">
                        <a:xfrm>
                          <a:off x="0" y="0"/>
                          <a:ext cx="2145030" cy="1906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40.8pt;mso-position-horizontal:absolute;mso-position-vertical-relative:text;margin-top:-3.8pt;mso-position-vertical:absolute;width:168.8pt;height:150.0pt;mso-wrap-distance-left:0.0pt;mso-wrap-distance-top:0.0pt;mso-wrap-distance-right:0.0pt;mso-wrap-distance-bottom:0.0pt;" stroked="f">
                <v:path textboxrect="0,0,0,0"/>
                <w10:wrap type="topAndBottom"/>
                <v:imagedata r:id="rId14" o:title=""/>
              </v:shape>
            </w:pict>
          </mc:Fallback>
        </mc:AlternateContent>
      </w:r>
      <w:r/>
    </w:p>
    <w:p>
      <w:pPr>
        <w:keepLines w:val="0"/>
        <w:keepNext w:val="0"/>
        <w:pageBreakBefore w:val="0"/>
        <w:spacing w:line="400" w:lineRule="exact"/>
        <w:rPr>
          <w:rFonts w:hint="eastAsia" w:ascii="宋体" w:hAnsi="宋体" w:eastAsia="宋体" w:cs="宋体"/>
          <w:b/>
          <w:sz w:val="24"/>
          <w:szCs w:val="24"/>
        </w:rPr>
        <w:outlineLvl w:val="2"/>
      </w:pPr>
      <w:r>
        <w:rPr>
          <w:rFonts w:hint="eastAsia" w:ascii="宋体" w:hAnsi="宋体" w:eastAsia="宋体" w:cs="宋体"/>
          <w:b/>
          <w:sz w:val="24"/>
          <w:szCs w:val="24"/>
        </w:rPr>
        <w:t xml:space="preserve">2.7门禁系统</w:t>
      </w:r>
      <w:r/>
    </w:p>
    <w:p>
      <w:pPr>
        <w:ind w:firstLine="480"/>
        <w:keepLines w:val="0"/>
        <w:keepNext w:val="0"/>
        <w:pageBreakBefore w:val="0"/>
        <w:spacing w:line="400" w:lineRule="exact"/>
        <w:rPr>
          <w:rFonts w:hint="eastAsia" w:ascii="宋体" w:hAnsi="宋体" w:eastAsia="宋体" w:cs="宋体"/>
          <w:sz w:val="24"/>
          <w:szCs w:val="24"/>
        </w:rPr>
        <w:outlineLvl w:val="2"/>
      </w:pPr>
      <w:r>
        <w:rPr>
          <w:rFonts w:hint="eastAsia" w:ascii="宋体" w:hAnsi="宋体" w:eastAsia="宋体" w:cs="宋体"/>
          <w:sz w:val="24"/>
          <w:szCs w:val="24"/>
        </w:rPr>
        <w:t xml:space="preserve">门禁系统主要用于对执法办案区及监视居住区各出入口、通道门等实施电子控制。本次项目中门禁系统主要是对原有门禁系统（总计63个非国密密码门禁），在充分利旧（线路等）的基础上进行整体改造，替换为满足国密标准的刷卡门禁。</w:t>
      </w:r>
      <w:r/>
    </w:p>
    <w:p>
      <w:pPr>
        <w:ind w:firstLine="480"/>
        <w:keepLines w:val="0"/>
        <w:keepNext w:val="0"/>
        <w:pageBreakBefore w:val="0"/>
        <w:spacing w:line="400" w:lineRule="exact"/>
        <w:rPr>
          <w:rFonts w:hint="eastAsia" w:ascii="宋体" w:hAnsi="宋体" w:eastAsia="宋体" w:cs="宋体"/>
          <w:sz w:val="24"/>
          <w:szCs w:val="24"/>
        </w:rPr>
        <w:outlineLvl w:val="2"/>
      </w:pPr>
      <w:r>
        <w:rPr>
          <w:rFonts w:hint="eastAsia" w:ascii="宋体" w:hAnsi="宋体" w:eastAsia="宋体" w:cs="宋体"/>
          <w:sz w:val="24"/>
          <w:szCs w:val="24"/>
        </w:rPr>
        <w:t xml:space="preserve">门禁综合管理系统设置在值班室，前端设备安装在办案区大厅入区登记门口、人身安全检查室、候问室门口等，采用刷卡门禁方式进入。办案区及监居区门禁系统可提供实时的人员进出时间及门禁状态；当门被非法打开（如串岗、破坏）时，可自动报警。</w:t>
      </w:r>
      <w:r/>
    </w:p>
    <w:p>
      <w:pPr>
        <w:keepLines w:val="0"/>
        <w:keepNext w:val="0"/>
        <w:pageBreakBefore w:val="0"/>
        <w:spacing w:line="400" w:lineRule="exact"/>
        <w:rPr>
          <w:rFonts w:hint="eastAsia" w:ascii="宋体" w:hAnsi="宋体" w:eastAsia="宋体" w:cs="宋体"/>
          <w:b/>
          <w:sz w:val="24"/>
          <w:szCs w:val="24"/>
        </w:rPr>
        <w:outlineLvl w:val="2"/>
      </w:pPr>
      <w:r>
        <w:rPr>
          <w:rFonts w:hint="eastAsia" w:ascii="宋体" w:hAnsi="宋体" w:eastAsia="宋体" w:cs="宋体"/>
          <w:b/>
          <w:sz w:val="24"/>
          <w:szCs w:val="24"/>
        </w:rPr>
        <w:t xml:space="preserve">2.8网络综合布线系统</w:t>
      </w:r>
      <w:r/>
    </w:p>
    <w:p>
      <w:pPr>
        <w:ind w:firstLine="480"/>
        <w:keepLines w:val="0"/>
        <w:keepNext w:val="0"/>
        <w:pageBreakBefore w:val="0"/>
        <w:spacing w:line="400" w:lineRule="exact"/>
        <w:rPr>
          <w:rFonts w:hint="eastAsia" w:ascii="宋体" w:hAnsi="宋体" w:eastAsia="宋体" w:cs="宋体"/>
          <w:sz w:val="24"/>
          <w:szCs w:val="24"/>
        </w:rPr>
        <w:outlineLvl w:val="2"/>
      </w:pPr>
      <w:r>
        <w:rPr>
          <w:rFonts w:hint="eastAsia" w:ascii="宋体" w:hAnsi="宋体" w:eastAsia="宋体" w:cs="宋体"/>
          <w:sz w:val="24"/>
          <w:szCs w:val="24"/>
        </w:rPr>
        <w:t xml:space="preserve">本次项目需对原执法办案区综合布线进行整体利旧并升级改造，其中包含对原有63路监控摄像机和25台拾音器、12个声光报警器及手动报警按钮、随身物品柜等全部信息化设备与线路的综合利旧。综合布线施工时还需根据本次项目现场装饰工程改造平面图，对原有线路进行全面梳理、整改优化与修复（或重新布线），并统筹执法办案区、监视居住区的新增信息点位的线路优化调整及施工，以提升项目整体综合布线施工质量，增强安全可靠性。</w:t>
      </w:r>
      <w:r/>
    </w:p>
    <w:p>
      <w:pPr>
        <w:jc w:val="left"/>
        <w:keepLines w:val="0"/>
        <w:keepNext w:val="0"/>
        <w:pageBreakBefore w:val="0"/>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3、项目建设清单、技术参数与功能要求：</w:t>
      </w:r>
      <w:r/>
    </w:p>
    <w:tbl>
      <w:tblPr>
        <w:tblStyle w:val="866"/>
        <w:tblW w:w="9554" w:type="dxa"/>
        <w:tblInd w:w="93" w:type="dxa"/>
        <w:tblLayout w:type="fixed"/>
        <w:tblCellMar>
          <w:left w:w="108" w:type="dxa"/>
          <w:top w:w="0" w:type="dxa"/>
          <w:right w:w="108" w:type="dxa"/>
          <w:bottom w:w="0" w:type="dxa"/>
        </w:tblCellMar>
        <w:tblLook w:val="04A0" w:firstRow="1" w:lastRow="0" w:firstColumn="1" w:lastColumn="0" w:noHBand="0" w:noVBand="1"/>
      </w:tblPr>
      <w:tblGrid>
        <w:gridCol w:w="396"/>
        <w:gridCol w:w="1037"/>
        <w:gridCol w:w="5953"/>
        <w:gridCol w:w="142"/>
        <w:gridCol w:w="567"/>
        <w:gridCol w:w="425"/>
        <w:gridCol w:w="567"/>
        <w:gridCol w:w="467"/>
      </w:tblGrid>
      <w:tr>
        <w:trPr>
          <w:trHeight w:val="403"/>
        </w:trPr>
        <w:tc>
          <w:tcPr>
            <w:shd w:val="clear" w:color="auto" w:fill="auto"/>
            <w:tcBorders>
              <w:top w:val="single" w:color="auto" w:sz="4" w:space="0"/>
              <w:left w:val="single" w:color="auto"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shd w:val="clear" w:color="auto" w:fill="auto"/>
            <w:tcBorders>
              <w:top w:val="single" w:color="auto" w:sz="4" w:space="0"/>
              <w:left w:val="none" w:color="000000" w:sz="4" w:space="0"/>
              <w:bottom w:val="single" w:color="auto" w:sz="4" w:space="0"/>
              <w:right w:val="none" w:color="000000" w:sz="4" w:space="0"/>
            </w:tcBorders>
            <w:tcW w:w="103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设备名称</w:t>
            </w:r>
            <w:r/>
          </w:p>
        </w:tc>
        <w:tc>
          <w:tcPr>
            <w:gridSpan w:val="2"/>
            <w:shd w:val="clear" w:color="auto" w:fill="auto"/>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　功能要求及设备性能参数描述</w:t>
            </w:r>
            <w:r/>
          </w:p>
        </w:tc>
        <w:tc>
          <w:tcPr>
            <w:shd w:val="clear" w:color="auto" w:fill="auto"/>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42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单价</w:t>
            </w:r>
            <w:r/>
          </w:p>
        </w:tc>
        <w:tc>
          <w:tcPr>
            <w:shd w:val="clear" w:color="auto" w:fill="auto"/>
            <w:tcBorders>
              <w:top w:val="single" w:color="auto" w:sz="4" w:space="0"/>
              <w:left w:val="none" w:color="000000" w:sz="4" w:space="0"/>
              <w:bottom w:val="single" w:color="auto" w:sz="4" w:space="0"/>
              <w:right w:val="single" w:color="auto" w:sz="4" w:space="0"/>
            </w:tcBorders>
            <w:tcW w:w="4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备注</w:t>
            </w:r>
            <w:r/>
          </w:p>
        </w:tc>
      </w:tr>
      <w:tr>
        <w:trPr>
          <w:trHeight w:val="403"/>
        </w:trPr>
        <w:tc>
          <w:tcPr>
            <w:gridSpan w:val="8"/>
            <w:shd w:val="clear" w:color="auto" w:fill="auto"/>
            <w:tcBorders>
              <w:top w:val="single" w:color="auto" w:sz="4" w:space="0"/>
              <w:left w:val="single" w:color="auto" w:sz="4" w:space="0"/>
              <w:bottom w:val="single" w:color="auto" w:sz="4" w:space="0"/>
              <w:right w:val="single" w:color="auto" w:sz="4" w:space="0"/>
            </w:tcBorders>
            <w:tcW w:w="9554"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一、办案区</w:t>
            </w:r>
            <w:r/>
          </w:p>
        </w:tc>
      </w:tr>
      <w:tr>
        <w:trPr>
          <w:trHeight w:val="403"/>
        </w:trPr>
        <w:tc>
          <w:tcPr>
            <w:gridSpan w:val="8"/>
            <w:shd w:val="clear" w:color="auto" w:fill="auto"/>
            <w:tcBorders>
              <w:top w:val="single" w:color="auto" w:sz="4" w:space="0"/>
              <w:left w:val="single" w:color="auto" w:sz="4" w:space="0"/>
              <w:bottom w:val="single" w:color="auto" w:sz="4" w:space="0"/>
              <w:right w:val="single" w:color="auto" w:sz="4" w:space="0"/>
            </w:tcBorders>
            <w:tcW w:w="9554"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（一）入区登记、随身物品、人身检查、信息采集、医务室</w:t>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single" w:color="auto" w:sz="4" w:space="0"/>
              <w:left w:val="none" w:color="000000" w:sz="4" w:space="0"/>
              <w:bottom w:val="single" w:color="auto" w:sz="4" w:space="0"/>
              <w:right w:val="none" w:color="000000" w:sz="4" w:space="0"/>
            </w:tcBorders>
            <w:tcW w:w="103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人证核验设备</w:t>
            </w:r>
            <w:r/>
          </w:p>
        </w:tc>
        <w:tc>
          <w:tcPr>
            <w:gridSpan w:val="2"/>
            <w:shd w:val="clear" w:color="auto" w:fill="auto"/>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1、系统内存不低于2GB；</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2、触控屏尺寸不低于10.1英寸，分辨率不低于1280x800，支持5点触控，屏幕亮度可调；</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3、内置双目摄像机不低于300万像素；</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4、支持人脸活体检测功能；</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5、支持拍摄人脸照片并进行人证比对；</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6、支持人脸识别功能，支持智能逆光补偿，增强人脸轮廓边缘，通过程序自动化采集人脸照片；</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7、内置公安部最新推出居民身份证阅读器，自动读取居民身份证芯片中的文字、人脸等特征信息；</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b/>
                <w:sz w:val="24"/>
                <w:szCs w:val="24"/>
              </w:rPr>
              <w:t xml:space="preserve">★</w:t>
            </w:r>
            <w:r>
              <w:rPr>
                <w:rFonts w:hint="eastAsia" w:ascii="宋体" w:hAnsi="宋体" w:eastAsia="宋体" w:cs="宋体"/>
                <w:sz w:val="24"/>
                <w:szCs w:val="24"/>
              </w:rPr>
              <w:t xml:space="preserve">8、支持防掉电数据安全保护，在完全掉电的情况下，数据不丢失；支持将获取的身份证号码、人员照片等信息自动录入公安执法办案管理平台。</w:t>
            </w:r>
            <w:r>
              <w:rPr>
                <w:rFonts w:hint="eastAsia" w:ascii="宋体" w:hAnsi="宋体" w:eastAsia="宋体" w:cs="宋体"/>
                <w:b/>
                <w:sz w:val="24"/>
                <w:szCs w:val="24"/>
              </w:rPr>
              <w:t xml:space="preserve">（提供第三方权威检测机构出具的检测报告扫描件）</w:t>
            </w:r>
            <w:r/>
          </w:p>
        </w:tc>
        <w:tc>
          <w:tcPr>
            <w:shd w:val="clear" w:color="auto" w:fill="auto"/>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42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台</w:t>
            </w:r>
            <w:r/>
          </w:p>
        </w:tc>
        <w:tc>
          <w:tcPr>
            <w:shd w:val="clear" w:color="auto" w:fill="auto"/>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4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none" w:color="000000" w:sz="4" w:space="0"/>
              <w:left w:val="none" w:color="000000" w:sz="4" w:space="0"/>
              <w:bottom w:val="single" w:color="auto" w:sz="4" w:space="0"/>
              <w:right w:val="none" w:color="000000" w:sz="4" w:space="0"/>
            </w:tcBorders>
            <w:tcW w:w="103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显示屏</w:t>
            </w:r>
            <w:r/>
          </w:p>
        </w:tc>
        <w:tc>
          <w:tcPr>
            <w:gridSpan w:val="2"/>
            <w:shd w:val="clear" w:color="auto" w:fill="auto"/>
            <w:tcBorders>
              <w:top w:val="none" w:color="000000" w:sz="4" w:space="0"/>
              <w:left w:val="single" w:color="auto" w:sz="4" w:space="0"/>
              <w:bottom w:val="single" w:color="auto" w:sz="4" w:space="0"/>
              <w:right w:val="single" w:color="auto" w:sz="4" w:space="0"/>
            </w:tcBorders>
            <w:tcW w:w="609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55寸Mini-LED，性能参数不低于：</w:t>
            </w:r>
            <w:r/>
          </w:p>
          <w:p>
            <w:pPr>
              <w:jc w:val="left"/>
              <w:keepLines w:val="0"/>
              <w:keepNext w:val="0"/>
              <w:pageBreakBefore w:val="0"/>
              <w:spacing w:line="400" w:lineRule="exact"/>
              <w:widowControl/>
              <w:rPr>
                <w:rFonts w:hint="eastAsia" w:ascii="宋体" w:hAnsi="宋体" w:eastAsia="宋体" w:cs="宋体"/>
                <w:sz w:val="24"/>
                <w:szCs w:val="24"/>
                <w:lang w:eastAsia="zh-CN"/>
              </w:rPr>
            </w:pPr>
            <w:r>
              <w:rPr>
                <w:rFonts w:hint="eastAsia" w:ascii="宋体" w:hAnsi="宋体" w:eastAsia="宋体" w:cs="宋体"/>
                <w:sz w:val="24"/>
                <w:szCs w:val="24"/>
              </w:rPr>
              <w:t xml:space="preserve">超高清4K/四核4G/64G内存/6.5ms/屏占比16:9/1000尼特/背光分区数300/色域值94%。</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Borders>
              <w:top w:val="none" w:color="000000" w:sz="4" w:space="0"/>
              <w:left w:val="none" w:color="000000" w:sz="4" w:space="0"/>
              <w:bottom w:val="single" w:color="auto" w:sz="4" w:space="0"/>
              <w:right w:val="none" w:color="000000" w:sz="4" w:space="0"/>
            </w:tcBorders>
            <w:tcW w:w="103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解码器</w:t>
            </w:r>
            <w:r/>
          </w:p>
        </w:tc>
        <w:tc>
          <w:tcPr>
            <w:gridSpan w:val="2"/>
            <w:shd w:val="clear" w:color="auto" w:fill="auto"/>
            <w:tcBorders>
              <w:top w:val="none" w:color="000000" w:sz="4" w:space="0"/>
              <w:left w:val="single" w:color="auto" w:sz="4" w:space="0"/>
              <w:bottom w:val="single" w:color="auto" w:sz="4" w:space="0"/>
              <w:right w:val="single" w:color="auto" w:sz="4" w:space="0"/>
            </w:tcBorders>
            <w:tcW w:w="609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1、支持1路HDMI+1路VGA同源输出；</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2、支持语音对讲;画面分割：1/2/4/6/8/9/10/13/16/20A/20B/25；解码能力2路8MP/ 2路6MP/ 3路5MP/ 4路4MP/ 5路3MP/8路1080P/ 16路720P；</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3、支持报警输入/输出功能设置，支持布撤防时间设置;支持报警联动切换;</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4、支持单画面添加36路通道轮巡切换解码;</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5、支持录像文件解码输出上墙;支持网络键盘/RS485键盘通过解码器控制前端;支持透明通道传输;</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6、支持解码H.264/265编码格式;支持ONVIF标准协议接入前端设备;</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7、支持RTP/RTSP协议进行设备预览;支持平台以SDK方式集成设备;</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8、支持GB28181协议接入平台;支持WEB方式或平台访问、配置和管理;</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9、支持远程获取系统运行状态、系统日志;支持远程重启、恢复默认配置、升级等日常维护。</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4</w:t>
            </w:r>
            <w:r/>
          </w:p>
        </w:tc>
        <w:tc>
          <w:tcPr>
            <w:shd w:val="clear" w:color="auto" w:fill="auto"/>
            <w:tcBorders>
              <w:top w:val="none" w:color="000000" w:sz="4" w:space="0"/>
              <w:left w:val="none" w:color="000000" w:sz="4" w:space="0"/>
              <w:bottom w:val="single" w:color="auto" w:sz="4" w:space="0"/>
              <w:right w:val="none" w:color="000000" w:sz="4" w:space="0"/>
            </w:tcBorders>
            <w:tcW w:w="103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电子签名、指纹捺印设备</w:t>
            </w:r>
            <w:r/>
          </w:p>
        </w:tc>
        <w:tc>
          <w:tcPr>
            <w:gridSpan w:val="2"/>
            <w:shd w:val="clear" w:color="auto" w:fill="auto"/>
            <w:tcBorders>
              <w:top w:val="none" w:color="000000" w:sz="4" w:space="0"/>
              <w:left w:val="single" w:color="auto" w:sz="4" w:space="0"/>
              <w:bottom w:val="single" w:color="auto" w:sz="4" w:space="0"/>
              <w:right w:val="single" w:color="auto" w:sz="4" w:space="0"/>
            </w:tcBorders>
            <w:tcW w:w="609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1、具备指纹采集、电子签名等功能，实现电子签章、电子指纹采集过程同步录音录像，实现证据链的不间断和可追溯性；</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2、集成了视频、音频（录/播）、笔迹书写等诸多功能模块；</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3、内置国密芯片，对整机用户静态数据能进行加密处理；</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4、国产四核CPU≥1.8GHz；系统内存≥2G；存储容量≥16G；</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5、电磁电容一体屏≥10.1寸；分辨率≥1280*800；</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6、电磁感应签名，标配无源电磁笔，无故障点击次数 ≥100万次；</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7、人像鱼眼摄像机像素≥300W CMOS 传感器；</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9、帧率≥15fps (2048×1536)、30fps (1920×1080)；</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10、支持畸变矫正、3D 降噪、颜色矫正、亮度矫正等功能；</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11、半导体电容式指纹仪传感器，传感器尺寸：23.0×35.0mm；有效图像尺寸：12.8×18.0mm；图像大小：256×360pixel；图像分辨率：≥508dpi</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比对方式：1:1 / 1:N；</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12、支持USB HID 免驱；支持扬声器（语音提示）与麦克风；</w:t>
            </w:r>
            <w:r/>
          </w:p>
          <w:p>
            <w:pPr>
              <w:jc w:val="left"/>
              <w:keepLines w:val="0"/>
              <w:keepNext w:val="0"/>
              <w:pageBreakBefore w:val="0"/>
              <w:spacing w:line="400" w:lineRule="exact"/>
              <w:widowControl/>
              <w:rPr>
                <w:rFonts w:hint="eastAsia" w:ascii="宋体" w:hAnsi="宋体" w:eastAsia="宋体" w:cs="宋体"/>
                <w:b/>
                <w:sz w:val="24"/>
                <w:szCs w:val="24"/>
              </w:rPr>
            </w:pPr>
            <w:r>
              <w:rPr>
                <w:rFonts w:hint="eastAsia" w:ascii="宋体" w:hAnsi="宋体" w:eastAsia="宋体" w:cs="宋体"/>
                <w:sz w:val="24"/>
                <w:szCs w:val="24"/>
              </w:rPr>
              <w:t xml:space="preserve">13、参考尺寸：长 × 宽 × 高 (mm)：355×168×16.5。</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shd w:val="clear" w:color="auto" w:fill="auto"/>
            <w:tcBorders>
              <w:top w:val="none" w:color="000000" w:sz="4" w:space="0"/>
              <w:left w:val="none" w:color="000000" w:sz="4" w:space="0"/>
              <w:bottom w:val="single" w:color="auto" w:sz="4" w:space="0"/>
              <w:right w:val="none" w:color="000000" w:sz="4" w:space="0"/>
            </w:tcBorders>
            <w:tcW w:w="103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高拍仪</w:t>
            </w:r>
            <w:r/>
          </w:p>
        </w:tc>
        <w:tc>
          <w:tcPr>
            <w:gridSpan w:val="2"/>
            <w:shd w:val="clear" w:color="auto" w:fill="auto"/>
            <w:tcBorders>
              <w:top w:val="none" w:color="000000" w:sz="4" w:space="0"/>
              <w:left w:val="single" w:color="auto" w:sz="4" w:space="0"/>
              <w:bottom w:val="single" w:color="auto" w:sz="4" w:space="0"/>
              <w:right w:val="single" w:color="auto" w:sz="4" w:space="0"/>
            </w:tcBorders>
            <w:tcW w:w="609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1、可折叠设计；</w:t>
            </w:r>
            <w:r>
              <w:rPr>
                <w:rFonts w:hint="eastAsia" w:ascii="宋体" w:hAnsi="宋体" w:eastAsia="宋体" w:cs="宋体"/>
                <w:sz w:val="24"/>
                <w:szCs w:val="24"/>
              </w:rPr>
              <w:br/>
            </w:r>
            <w:r>
              <w:rPr>
                <w:rFonts w:hint="eastAsia" w:ascii="宋体" w:hAnsi="宋体" w:eastAsia="宋体" w:cs="宋体"/>
                <w:sz w:val="24"/>
                <w:szCs w:val="24"/>
              </w:rPr>
              <w:t xml:space="preserve">2、最大拍摄A4幅面；</w:t>
            </w:r>
            <w:r>
              <w:rPr>
                <w:rFonts w:hint="eastAsia" w:ascii="宋体" w:hAnsi="宋体" w:eastAsia="宋体" w:cs="宋体"/>
                <w:sz w:val="24"/>
                <w:szCs w:val="24"/>
              </w:rPr>
              <w:br/>
            </w:r>
            <w:r>
              <w:rPr>
                <w:rFonts w:hint="eastAsia" w:ascii="宋体" w:hAnsi="宋体" w:eastAsia="宋体" w:cs="宋体"/>
                <w:sz w:val="24"/>
                <w:szCs w:val="24"/>
              </w:rPr>
              <w:t xml:space="preserve">3、高清晰CMOS定焦镜头；</w:t>
            </w:r>
            <w:r>
              <w:rPr>
                <w:rFonts w:hint="eastAsia" w:ascii="宋体" w:hAnsi="宋体" w:eastAsia="宋体" w:cs="宋体"/>
                <w:sz w:val="24"/>
                <w:szCs w:val="24"/>
              </w:rPr>
              <w:br/>
            </w:r>
            <w:r>
              <w:rPr>
                <w:rFonts w:hint="eastAsia" w:ascii="宋体" w:hAnsi="宋体" w:eastAsia="宋体" w:cs="宋体"/>
                <w:sz w:val="24"/>
                <w:szCs w:val="24"/>
              </w:rPr>
              <w:t xml:space="preserve">4、标配LED三级调光；</w:t>
            </w:r>
            <w:r>
              <w:rPr>
                <w:rFonts w:hint="eastAsia" w:ascii="宋体" w:hAnsi="宋体" w:eastAsia="宋体" w:cs="宋体"/>
                <w:sz w:val="24"/>
                <w:szCs w:val="24"/>
              </w:rPr>
              <w:br/>
            </w:r>
            <w:r>
              <w:rPr>
                <w:rFonts w:hint="eastAsia" w:ascii="宋体" w:hAnsi="宋体" w:eastAsia="宋体" w:cs="宋体"/>
                <w:sz w:val="24"/>
                <w:szCs w:val="24"/>
              </w:rPr>
              <w:t xml:space="preserve">5、标配纸张定位软垫。</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375"/>
        </w:trPr>
        <w:tc>
          <w:tcPr>
            <w:gridSpan w:val="8"/>
            <w:shd w:val="clear" w:color="auto" w:fill="auto"/>
            <w:tcBorders>
              <w:top w:val="single" w:color="auto" w:sz="4" w:space="0"/>
              <w:left w:val="single" w:color="auto" w:sz="4" w:space="0"/>
              <w:bottom w:val="single" w:color="auto" w:sz="4" w:space="0"/>
              <w:right w:val="none" w:color="000000" w:sz="4" w:space="0"/>
            </w:tcBorders>
            <w:tcW w:w="9554"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（二）候问室</w:t>
            </w:r>
            <w:r/>
          </w:p>
        </w:tc>
      </w:tr>
      <w:tr>
        <w:trPr>
          <w:trHeight w:val="403"/>
        </w:trPr>
        <w:tc>
          <w:tcPr>
            <w:shd w:val="clear" w:color="auto" w:fill="auto"/>
            <w:tcBorders>
              <w:top w:val="none" w:color="000000" w:sz="4" w:space="0"/>
              <w:left w:val="single" w:color="auto" w:sz="4" w:space="0"/>
              <w:bottom w:val="single" w:color="auto" w:sz="4" w:space="0"/>
              <w:right w:val="single" w:color="auto" w:sz="4" w:space="0"/>
            </w:tcBorders>
            <w:tcW w:w="396" w:type="dxa"/>
            <w:vAlign w:val="center"/>
            <w:textDirection w:val="lrTb"/>
            <w:noWrap/>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none" w:color="000000" w:sz="4" w:space="0"/>
              <w:left w:val="none" w:color="000000" w:sz="4" w:space="0"/>
              <w:bottom w:val="single" w:color="auto" w:sz="4" w:space="0"/>
              <w:right w:val="none" w:color="000000" w:sz="4" w:space="0"/>
            </w:tcBorders>
            <w:tcW w:w="1037" w:type="dxa"/>
            <w:vAlign w:val="center"/>
            <w:textDirection w:val="lrTb"/>
            <w:noWrap/>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高保真拾音器</w:t>
            </w:r>
            <w:r/>
          </w:p>
        </w:tc>
        <w:tc>
          <w:tcPr>
            <w:gridSpan w:val="2"/>
            <w:shd w:val="clear" w:color="auto" w:fill="auto"/>
            <w:tcBorders>
              <w:top w:val="none" w:color="000000" w:sz="4" w:space="0"/>
              <w:left w:val="single" w:color="auto" w:sz="4" w:space="0"/>
              <w:bottom w:val="single" w:color="auto" w:sz="4" w:space="0"/>
              <w:right w:val="single" w:color="auto" w:sz="4" w:space="0"/>
            </w:tcBorders>
            <w:tcW w:w="6095" w:type="dxa"/>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1、采用高保真预极化电容传声器，对前期音频无差别拾取；</w:t>
            </w:r>
            <w:r>
              <w:rPr>
                <w:rFonts w:hint="eastAsia" w:ascii="宋体" w:hAnsi="宋体" w:eastAsia="宋体" w:cs="宋体"/>
                <w:sz w:val="24"/>
                <w:szCs w:val="24"/>
              </w:rPr>
              <w:br/>
            </w:r>
            <w:r>
              <w:rPr>
                <w:rFonts w:hint="eastAsia" w:ascii="宋体" w:hAnsi="宋体" w:eastAsia="宋体" w:cs="宋体"/>
                <w:sz w:val="24"/>
                <w:szCs w:val="24"/>
              </w:rPr>
              <w:t xml:space="preserve">2、实时对拾取到的音频信号进行噪音滤除；</w:t>
            </w:r>
            <w:r>
              <w:rPr>
                <w:rFonts w:hint="eastAsia" w:ascii="宋体" w:hAnsi="宋体" w:eastAsia="宋体" w:cs="宋体"/>
                <w:sz w:val="24"/>
                <w:szCs w:val="24"/>
              </w:rPr>
              <w:br/>
            </w:r>
            <w:r>
              <w:rPr>
                <w:rFonts w:hint="eastAsia" w:ascii="宋体" w:hAnsi="宋体" w:eastAsia="宋体" w:cs="宋体"/>
                <w:sz w:val="24"/>
                <w:szCs w:val="24"/>
              </w:rPr>
              <w:t xml:space="preserve">3、内置雷击保护、电源极性反接保护和静电保护；</w:t>
            </w:r>
            <w:r>
              <w:rPr>
                <w:rFonts w:hint="eastAsia" w:ascii="宋体" w:hAnsi="宋体" w:eastAsia="宋体" w:cs="宋体"/>
                <w:sz w:val="24"/>
                <w:szCs w:val="24"/>
              </w:rPr>
              <w:br/>
            </w:r>
            <w:r>
              <w:rPr>
                <w:rFonts w:hint="eastAsia" w:ascii="宋体" w:hAnsi="宋体" w:eastAsia="宋体" w:cs="宋体"/>
                <w:sz w:val="24"/>
                <w:szCs w:val="24"/>
              </w:rPr>
              <w:t xml:space="preserve">4、内置可调电位器，音量调节最小可关闭（无声音输出）。</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利旧7台</w:t>
            </w:r>
            <w:r/>
          </w:p>
        </w:tc>
      </w:tr>
      <w:tr>
        <w:trPr>
          <w:trHeight w:val="403"/>
        </w:trPr>
        <w:tc>
          <w:tcPr>
            <w:shd w:val="clear" w:color="auto" w:fill="auto"/>
            <w:tcBorders>
              <w:top w:val="none" w:color="000000" w:sz="4" w:space="0"/>
              <w:left w:val="single" w:color="auto" w:sz="4" w:space="0"/>
              <w:bottom w:val="single" w:color="auto" w:sz="4" w:space="0"/>
              <w:right w:val="single" w:color="auto" w:sz="4" w:space="0"/>
            </w:tcBorders>
            <w:tcW w:w="396" w:type="dxa"/>
            <w:vAlign w:val="center"/>
            <w:textDirection w:val="lrTb"/>
            <w:noWrap/>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none" w:color="000000" w:sz="4" w:space="0"/>
              <w:left w:val="none" w:color="000000" w:sz="4" w:space="0"/>
              <w:bottom w:val="single" w:color="auto" w:sz="4" w:space="0"/>
              <w:right w:val="none" w:color="000000" w:sz="4" w:space="0"/>
            </w:tcBorders>
            <w:tcW w:w="1037" w:type="dxa"/>
            <w:vAlign w:val="center"/>
            <w:textDirection w:val="lrTb"/>
            <w:noWrap/>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巡更系统</w:t>
            </w:r>
            <w:r/>
          </w:p>
        </w:tc>
        <w:tc>
          <w:tcPr>
            <w:gridSpan w:val="2"/>
            <w:shd w:val="clear" w:color="auto" w:fill="auto"/>
            <w:tcBorders>
              <w:top w:val="none" w:color="000000" w:sz="4" w:space="0"/>
              <w:left w:val="single" w:color="auto" w:sz="4" w:space="0"/>
              <w:bottom w:val="single" w:color="auto" w:sz="4" w:space="0"/>
              <w:right w:val="single" w:color="auto" w:sz="4" w:space="0"/>
            </w:tcBorders>
            <w:tcW w:w="6095" w:type="dxa"/>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1、全自动感应读卡，无须按键；</w:t>
            </w:r>
            <w:r>
              <w:rPr>
                <w:rFonts w:hint="eastAsia" w:ascii="宋体" w:hAnsi="宋体" w:eastAsia="宋体" w:cs="宋体"/>
                <w:sz w:val="24"/>
                <w:szCs w:val="24"/>
              </w:rPr>
              <w:br/>
            </w:r>
            <w:r>
              <w:rPr>
                <w:rFonts w:hint="eastAsia" w:ascii="宋体" w:hAnsi="宋体" w:eastAsia="宋体" w:cs="宋体"/>
                <w:sz w:val="24"/>
                <w:szCs w:val="24"/>
              </w:rPr>
              <w:t xml:space="preserve">2、金属外壳、防水、防震、防高温、低温；</w:t>
            </w:r>
            <w:r>
              <w:rPr>
                <w:rFonts w:hint="eastAsia" w:ascii="宋体" w:hAnsi="宋体" w:eastAsia="宋体" w:cs="宋体"/>
                <w:sz w:val="24"/>
                <w:szCs w:val="24"/>
              </w:rPr>
              <w:br/>
            </w:r>
            <w:r>
              <w:rPr>
                <w:rFonts w:hint="eastAsia" w:ascii="宋体" w:hAnsi="宋体" w:eastAsia="宋体" w:cs="宋体"/>
                <w:sz w:val="24"/>
                <w:szCs w:val="24"/>
              </w:rPr>
              <w:t xml:space="preserve">3、支持简体、繁体、英文等多种语言；</w:t>
            </w:r>
            <w:r>
              <w:rPr>
                <w:rFonts w:hint="eastAsia" w:ascii="宋体" w:hAnsi="宋体" w:eastAsia="宋体" w:cs="宋体"/>
                <w:sz w:val="24"/>
                <w:szCs w:val="24"/>
              </w:rPr>
              <w:br/>
            </w:r>
            <w:r>
              <w:rPr>
                <w:rFonts w:hint="eastAsia" w:ascii="宋体" w:hAnsi="宋体" w:eastAsia="宋体" w:cs="宋体"/>
                <w:sz w:val="24"/>
                <w:szCs w:val="24"/>
              </w:rPr>
              <w:t xml:space="preserve">4、灯光+震动+中文显示提示读卡成功；</w:t>
            </w:r>
            <w:r>
              <w:rPr>
                <w:rFonts w:hint="eastAsia" w:ascii="宋体" w:hAnsi="宋体" w:eastAsia="宋体" w:cs="宋体"/>
                <w:sz w:val="24"/>
                <w:szCs w:val="24"/>
              </w:rPr>
              <w:br/>
            </w:r>
            <w:r>
              <w:rPr>
                <w:rFonts w:hint="eastAsia" w:ascii="宋体" w:hAnsi="宋体" w:eastAsia="宋体" w:cs="宋体"/>
                <w:sz w:val="24"/>
                <w:szCs w:val="24"/>
              </w:rPr>
              <w:t xml:space="preserve">5、EM感应读卡；</w:t>
            </w:r>
            <w:r>
              <w:rPr>
                <w:rFonts w:hint="eastAsia" w:ascii="宋体" w:hAnsi="宋体" w:eastAsia="宋体" w:cs="宋体"/>
                <w:sz w:val="24"/>
                <w:szCs w:val="24"/>
              </w:rPr>
              <w:br/>
            </w:r>
            <w:r>
              <w:rPr>
                <w:rFonts w:hint="eastAsia" w:ascii="宋体" w:hAnsi="宋体" w:eastAsia="宋体" w:cs="宋体"/>
                <w:sz w:val="24"/>
                <w:szCs w:val="24"/>
              </w:rPr>
              <w:t xml:space="preserve">6、数据存储记录数不少于80000条；</w:t>
            </w:r>
            <w:r>
              <w:rPr>
                <w:rFonts w:hint="eastAsia" w:ascii="宋体" w:hAnsi="宋体" w:eastAsia="宋体" w:cs="宋体"/>
                <w:sz w:val="24"/>
                <w:szCs w:val="24"/>
              </w:rPr>
              <w:br/>
            </w:r>
            <w:r>
              <w:rPr>
                <w:rFonts w:hint="eastAsia" w:ascii="宋体" w:hAnsi="宋体" w:eastAsia="宋体" w:cs="宋体"/>
                <w:sz w:val="24"/>
                <w:szCs w:val="24"/>
              </w:rPr>
              <w:t xml:space="preserve">7、掉电后数据可保存30年；</w:t>
            </w:r>
            <w:r>
              <w:rPr>
                <w:rFonts w:hint="eastAsia" w:ascii="宋体" w:hAnsi="宋体" w:eastAsia="宋体" w:cs="宋体"/>
                <w:sz w:val="24"/>
                <w:szCs w:val="24"/>
              </w:rPr>
              <w:br/>
            </w:r>
            <w:r>
              <w:rPr>
                <w:rFonts w:hint="eastAsia" w:ascii="宋体" w:hAnsi="宋体" w:eastAsia="宋体" w:cs="宋体"/>
                <w:sz w:val="24"/>
                <w:szCs w:val="24"/>
              </w:rPr>
              <w:t xml:space="preserve">8、不低于32000条抗摔记录；</w:t>
            </w:r>
            <w:r>
              <w:rPr>
                <w:rFonts w:hint="eastAsia" w:ascii="宋体" w:hAnsi="宋体" w:eastAsia="宋体" w:cs="宋体"/>
                <w:sz w:val="24"/>
                <w:szCs w:val="24"/>
              </w:rPr>
              <w:br/>
            </w:r>
            <w:r>
              <w:rPr>
                <w:rFonts w:hint="eastAsia" w:ascii="宋体" w:hAnsi="宋体" w:eastAsia="宋体" w:cs="宋体"/>
                <w:sz w:val="24"/>
                <w:szCs w:val="24"/>
              </w:rPr>
              <w:t xml:space="preserve">9、不低于IP65防水等级；</w:t>
            </w:r>
            <w:r>
              <w:rPr>
                <w:rFonts w:hint="eastAsia" w:ascii="宋体" w:hAnsi="宋体" w:eastAsia="宋体" w:cs="宋体"/>
                <w:sz w:val="24"/>
                <w:szCs w:val="24"/>
              </w:rPr>
              <w:br/>
            </w:r>
            <w:r>
              <w:rPr>
                <w:rFonts w:hint="eastAsia" w:ascii="宋体" w:hAnsi="宋体" w:eastAsia="宋体" w:cs="宋体"/>
                <w:sz w:val="24"/>
                <w:szCs w:val="24"/>
              </w:rPr>
              <w:t xml:space="preserve">10、支持强、中、弱、暴闪、SOS求救5种模式，最远射程可达50米；</w:t>
            </w:r>
            <w:r>
              <w:rPr>
                <w:rFonts w:hint="eastAsia" w:ascii="宋体" w:hAnsi="宋体" w:eastAsia="宋体" w:cs="宋体"/>
                <w:sz w:val="24"/>
                <w:szCs w:val="24"/>
              </w:rPr>
              <w:br/>
            </w:r>
            <w:r>
              <w:rPr>
                <w:rFonts w:hint="eastAsia" w:ascii="宋体" w:hAnsi="宋体" w:eastAsia="宋体" w:cs="宋体"/>
                <w:sz w:val="24"/>
                <w:szCs w:val="24"/>
              </w:rPr>
              <w:t xml:space="preserve">11、触点USB通讯。</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403"/>
        </w:trPr>
        <w:tc>
          <w:tcPr>
            <w:gridSpan w:val="8"/>
            <w:shd w:val="clear" w:color="auto" w:fill="auto"/>
            <w:tcBorders>
              <w:top w:val="single" w:color="auto" w:sz="4" w:space="0"/>
              <w:left w:val="single" w:color="auto" w:sz="4" w:space="0"/>
              <w:bottom w:val="single" w:color="auto" w:sz="4" w:space="0"/>
              <w:right w:val="none" w:color="000000" w:sz="4" w:space="0"/>
            </w:tcBorders>
            <w:tcW w:w="9554" w:type="dxa"/>
            <w:vAlign w:val="center"/>
            <w:textDirection w:val="lrTb"/>
            <w:noWrap/>
          </w:tcPr>
          <w:p>
            <w:pPr>
              <w:jc w:val="left"/>
              <w:keepLines w:val="0"/>
              <w:keepNext w:val="0"/>
              <w:pageBreakBefore w:val="0"/>
              <w:spacing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（三）审讯室11间</w:t>
            </w:r>
            <w:r/>
          </w:p>
        </w:tc>
      </w:tr>
      <w:tr>
        <w:trPr>
          <w:trHeight w:val="403"/>
        </w:trPr>
        <w:tc>
          <w:tcPr>
            <w:shd w:val="clear" w:color="auto" w:fill="auto"/>
            <w:tcBorders>
              <w:top w:val="none" w:color="000000" w:sz="4" w:space="0"/>
              <w:left w:val="single" w:color="auto"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none" w:color="000000" w:sz="4" w:space="0"/>
              <w:left w:val="none" w:color="000000" w:sz="4" w:space="0"/>
              <w:bottom w:val="single" w:color="auto" w:sz="4" w:space="0"/>
              <w:right w:val="none" w:color="000000" w:sz="4" w:space="0"/>
            </w:tcBorders>
            <w:tcW w:w="1037" w:type="dxa"/>
            <w:vAlign w:val="center"/>
            <w:textDirection w:val="lrTb"/>
            <w:noWrap/>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高保真拾音器</w:t>
            </w:r>
            <w:r/>
          </w:p>
        </w:tc>
        <w:tc>
          <w:tcPr>
            <w:gridSpan w:val="2"/>
            <w:shd w:val="clear" w:color="auto" w:fill="auto"/>
            <w:tcBorders>
              <w:top w:val="none" w:color="000000" w:sz="4" w:space="0"/>
              <w:left w:val="single" w:color="auto" w:sz="4" w:space="0"/>
              <w:bottom w:val="single" w:color="auto" w:sz="4" w:space="0"/>
              <w:right w:val="single" w:color="auto" w:sz="4" w:space="0"/>
            </w:tcBorders>
            <w:tcW w:w="6095" w:type="dxa"/>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1、采用高保真预极化电容传声器，对前期音频无差别拾取；</w:t>
            </w:r>
            <w:r>
              <w:rPr>
                <w:rFonts w:hint="eastAsia" w:ascii="宋体" w:hAnsi="宋体" w:eastAsia="宋体" w:cs="宋体"/>
                <w:sz w:val="24"/>
                <w:szCs w:val="24"/>
              </w:rPr>
              <w:br/>
            </w:r>
            <w:r>
              <w:rPr>
                <w:rFonts w:hint="eastAsia" w:ascii="宋体" w:hAnsi="宋体" w:eastAsia="宋体" w:cs="宋体"/>
                <w:sz w:val="24"/>
                <w:szCs w:val="24"/>
              </w:rPr>
              <w:t xml:space="preserve">2、实时对拾取到的音频信号进行噪音滤除；</w:t>
            </w:r>
            <w:r>
              <w:rPr>
                <w:rFonts w:hint="eastAsia" w:ascii="宋体" w:hAnsi="宋体" w:eastAsia="宋体" w:cs="宋体"/>
                <w:sz w:val="24"/>
                <w:szCs w:val="24"/>
              </w:rPr>
              <w:br/>
            </w:r>
            <w:r>
              <w:rPr>
                <w:rFonts w:hint="eastAsia" w:ascii="宋体" w:hAnsi="宋体" w:eastAsia="宋体" w:cs="宋体"/>
                <w:sz w:val="24"/>
                <w:szCs w:val="24"/>
              </w:rPr>
              <w:t xml:space="preserve">3、内置雷击保护、电源极性反接保护和静电保护；</w:t>
            </w:r>
            <w:r>
              <w:rPr>
                <w:rFonts w:hint="eastAsia" w:ascii="宋体" w:hAnsi="宋体" w:eastAsia="宋体" w:cs="宋体"/>
                <w:sz w:val="24"/>
                <w:szCs w:val="24"/>
              </w:rPr>
              <w:br/>
            </w:r>
            <w:r>
              <w:rPr>
                <w:rFonts w:hint="eastAsia" w:ascii="宋体" w:hAnsi="宋体" w:eastAsia="宋体" w:cs="宋体"/>
                <w:sz w:val="24"/>
                <w:szCs w:val="24"/>
              </w:rPr>
              <w:t xml:space="preserve">4、内置可调电位器，音量调节最小可关闭（无声音输出）。</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利旧9台</w:t>
            </w:r>
            <w:r/>
          </w:p>
        </w:tc>
      </w:tr>
      <w:tr>
        <w:trPr>
          <w:trHeight w:val="403"/>
        </w:trPr>
        <w:tc>
          <w:tcPr>
            <w:shd w:val="clear" w:color="auto" w:fill="auto"/>
            <w:tcBorders>
              <w:top w:val="none" w:color="000000" w:sz="4" w:space="0"/>
              <w:left w:val="single" w:color="auto"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none" w:color="000000" w:sz="4" w:space="0"/>
              <w:left w:val="none" w:color="000000" w:sz="4" w:space="0"/>
              <w:bottom w:val="single" w:color="auto" w:sz="4" w:space="0"/>
              <w:right w:val="none" w:color="000000" w:sz="4" w:space="0"/>
            </w:tcBorders>
            <w:tcW w:w="1037" w:type="dxa"/>
            <w:vAlign w:val="center"/>
            <w:textDirection w:val="lrTb"/>
            <w:noWrap/>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对讲机</w:t>
            </w:r>
            <w:r/>
          </w:p>
        </w:tc>
        <w:tc>
          <w:tcPr>
            <w:gridSpan w:val="2"/>
            <w:shd w:val="clear" w:color="auto" w:fill="auto"/>
            <w:tcBorders>
              <w:top w:val="none" w:color="000000" w:sz="4" w:space="0"/>
              <w:left w:val="single" w:color="auto" w:sz="4" w:space="0"/>
              <w:bottom w:val="single" w:color="auto" w:sz="4" w:space="0"/>
              <w:right w:val="single" w:color="auto" w:sz="4" w:space="0"/>
            </w:tcBorders>
            <w:tcW w:w="6095" w:type="dxa"/>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便携式双向对讲机,5W功率,长续航，快充锂电池2000mAh,带显示屏，通话距离1-5公里，16个通话信道，采用语音亚扩技术，抗跌落防爆结构。</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375"/>
        </w:trPr>
        <w:tc>
          <w:tcPr>
            <w:shd w:val="clear" w:color="auto" w:fill="auto"/>
            <w:tcBorders>
              <w:top w:val="none" w:color="000000" w:sz="4" w:space="0"/>
              <w:left w:val="single" w:color="auto"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Borders>
              <w:top w:val="none" w:color="000000" w:sz="4" w:space="0"/>
              <w:left w:val="none" w:color="000000" w:sz="4" w:space="0"/>
              <w:bottom w:val="single" w:color="auto" w:sz="4" w:space="0"/>
              <w:right w:val="none" w:color="000000" w:sz="4" w:space="0"/>
            </w:tcBorders>
            <w:tcW w:w="1037" w:type="dxa"/>
            <w:vAlign w:val="center"/>
            <w:textDirection w:val="lrTb"/>
            <w:noWrap/>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时间温湿度数码屏</w:t>
            </w:r>
            <w:r/>
          </w:p>
        </w:tc>
        <w:tc>
          <w:tcPr>
            <w:gridSpan w:val="2"/>
            <w:shd w:val="clear" w:color="auto" w:fill="auto"/>
            <w:tcBorders>
              <w:top w:val="none" w:color="000000" w:sz="4" w:space="0"/>
              <w:left w:val="single" w:color="auto" w:sz="4" w:space="0"/>
              <w:bottom w:val="single" w:color="auto" w:sz="4" w:space="0"/>
              <w:right w:val="single" w:color="auto" w:sz="4" w:space="0"/>
            </w:tcBorders>
            <w:tcW w:w="6095" w:type="dxa"/>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1、标准时钟温湿度屏设计，具有RS485接口；</w:t>
            </w:r>
            <w:r>
              <w:rPr>
                <w:rFonts w:hint="eastAsia" w:ascii="宋体" w:hAnsi="宋体" w:eastAsia="宋体" w:cs="宋体"/>
                <w:sz w:val="24"/>
                <w:szCs w:val="24"/>
              </w:rPr>
              <w:br/>
            </w:r>
            <w:r>
              <w:rPr>
                <w:rFonts w:hint="eastAsia" w:ascii="宋体" w:hAnsi="宋体" w:eastAsia="宋体" w:cs="宋体"/>
                <w:sz w:val="24"/>
                <w:szCs w:val="24"/>
              </w:rPr>
              <w:t xml:space="preserve">2、静态数字显示，适于同步录音录像；</w:t>
            </w:r>
            <w:r>
              <w:rPr>
                <w:rFonts w:hint="eastAsia" w:ascii="宋体" w:hAnsi="宋体" w:eastAsia="宋体" w:cs="宋体"/>
                <w:sz w:val="24"/>
                <w:szCs w:val="24"/>
              </w:rPr>
              <w:br/>
            </w:r>
            <w:r>
              <w:rPr>
                <w:rFonts w:hint="eastAsia" w:ascii="宋体" w:hAnsi="宋体" w:eastAsia="宋体" w:cs="宋体"/>
                <w:sz w:val="24"/>
                <w:szCs w:val="24"/>
              </w:rPr>
              <w:t xml:space="preserve">3、采用超高精度时钟，精度可达2PPM；</w:t>
            </w:r>
            <w:r>
              <w:rPr>
                <w:rFonts w:hint="eastAsia" w:ascii="宋体" w:hAnsi="宋体" w:eastAsia="宋体" w:cs="宋体"/>
                <w:sz w:val="24"/>
                <w:szCs w:val="24"/>
              </w:rPr>
              <w:br/>
            </w:r>
            <w:r>
              <w:rPr>
                <w:rFonts w:hint="eastAsia" w:ascii="宋体" w:hAnsi="宋体" w:eastAsia="宋体" w:cs="宋体"/>
                <w:sz w:val="24"/>
                <w:szCs w:val="24"/>
              </w:rPr>
              <w:t xml:space="preserve">4、最大功率5W；12V低压供电，支持POE供电；</w:t>
            </w:r>
            <w:r>
              <w:rPr>
                <w:rFonts w:hint="eastAsia" w:ascii="宋体" w:hAnsi="宋体" w:eastAsia="宋体" w:cs="宋体"/>
                <w:sz w:val="24"/>
                <w:szCs w:val="24"/>
              </w:rPr>
              <w:br/>
            </w:r>
            <w:r>
              <w:rPr>
                <w:rFonts w:hint="eastAsia" w:ascii="宋体" w:hAnsi="宋体" w:eastAsia="宋体" w:cs="宋体"/>
                <w:sz w:val="24"/>
                <w:szCs w:val="24"/>
              </w:rPr>
              <w:t xml:space="preserve">5、支持自动校准时钟，与摄像机、审讯主机时间同步；</w:t>
            </w:r>
            <w:r>
              <w:rPr>
                <w:rFonts w:hint="eastAsia" w:ascii="宋体" w:hAnsi="宋体" w:eastAsia="宋体" w:cs="宋体"/>
                <w:sz w:val="24"/>
                <w:szCs w:val="24"/>
              </w:rPr>
              <w:br/>
            </w:r>
            <w:r>
              <w:rPr>
                <w:rFonts w:hint="eastAsia" w:ascii="宋体" w:hAnsi="宋体" w:eastAsia="宋体" w:cs="宋体"/>
                <w:sz w:val="24"/>
                <w:szCs w:val="24"/>
              </w:rPr>
              <w:t xml:space="preserve">6、温湿度和紧急情况报警设定及处理；</w:t>
            </w:r>
            <w:r>
              <w:rPr>
                <w:rFonts w:hint="eastAsia" w:ascii="宋体" w:hAnsi="宋体" w:eastAsia="宋体" w:cs="宋体"/>
                <w:sz w:val="24"/>
                <w:szCs w:val="24"/>
              </w:rPr>
              <w:br/>
            </w:r>
            <w:r>
              <w:rPr>
                <w:rFonts w:hint="eastAsia" w:ascii="宋体" w:hAnsi="宋体" w:eastAsia="宋体" w:cs="宋体"/>
                <w:sz w:val="24"/>
                <w:szCs w:val="24"/>
              </w:rPr>
              <w:t xml:space="preserve">7、支持年月日、时间、星期、温度、湿度显示；</w:t>
            </w:r>
            <w:r>
              <w:rPr>
                <w:rFonts w:hint="eastAsia" w:ascii="宋体" w:hAnsi="宋体" w:eastAsia="宋体" w:cs="宋体"/>
                <w:sz w:val="24"/>
                <w:szCs w:val="24"/>
              </w:rPr>
              <w:br/>
            </w:r>
            <w:r>
              <w:rPr>
                <w:rFonts w:hint="eastAsia" w:ascii="宋体" w:hAnsi="宋体" w:eastAsia="宋体" w:cs="宋体"/>
                <w:sz w:val="24"/>
                <w:szCs w:val="24"/>
              </w:rPr>
              <w:t xml:space="preserve">8、支持时间调节、显示屏开关等。</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利旧9台</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4</w:t>
            </w:r>
            <w:r/>
          </w:p>
        </w:tc>
        <w:tc>
          <w:tcPr>
            <w:shd w:val="clear" w:color="auto" w:fill="auto"/>
            <w:tcBorders>
              <w:top w:val="none" w:color="000000" w:sz="4" w:space="0"/>
              <w:left w:val="none" w:color="000000" w:sz="4" w:space="0"/>
              <w:bottom w:val="single" w:color="auto" w:sz="4" w:space="0"/>
              <w:right w:val="none" w:color="000000" w:sz="4" w:space="0"/>
            </w:tcBorders>
            <w:tcW w:w="1037" w:type="dxa"/>
            <w:vAlign w:val="center"/>
            <w:textDirection w:val="lrTb"/>
            <w:noWrap/>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手动报警按钮</w:t>
            </w:r>
            <w:r/>
          </w:p>
        </w:tc>
        <w:tc>
          <w:tcPr>
            <w:gridSpan w:val="2"/>
            <w:shd w:val="clear" w:color="auto" w:fill="auto"/>
            <w:tcBorders>
              <w:top w:val="none" w:color="000000" w:sz="4" w:space="0"/>
              <w:left w:val="single" w:color="auto" w:sz="4" w:space="0"/>
              <w:bottom w:val="none" w:color="000000" w:sz="4" w:space="0"/>
              <w:right w:val="single" w:color="auto" w:sz="4" w:space="0"/>
            </w:tcBorders>
            <w:tcW w:w="6095" w:type="dxa"/>
            <w:vAlign w:val="center"/>
            <w:textDirection w:val="lrTb"/>
            <w:noWrap/>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1、支持报警信号传至候问值班室提示。</w:t>
            </w:r>
            <w:r/>
          </w:p>
        </w:tc>
        <w:tc>
          <w:tcPr>
            <w:shd w:val="clear" w:color="auto" w:fill="auto"/>
            <w:tcBorders>
              <w:top w:val="none" w:color="000000" w:sz="4" w:space="0"/>
              <w:left w:val="none" w:color="000000" w:sz="4" w:space="0"/>
              <w:bottom w:val="none" w:color="000000"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none" w:color="000000" w:sz="4" w:space="0"/>
              <w:left w:val="none" w:color="000000" w:sz="4" w:space="0"/>
              <w:bottom w:val="none" w:color="000000" w:sz="4" w:space="0"/>
              <w:right w:val="single" w:color="auto" w:sz="4" w:space="0"/>
            </w:tcBorders>
            <w:tcW w:w="42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个</w:t>
            </w:r>
            <w:r/>
          </w:p>
        </w:tc>
        <w:tc>
          <w:tcPr>
            <w:shd w:val="clear" w:color="auto" w:fill="auto"/>
            <w:tcBorders>
              <w:top w:val="none" w:color="000000" w:sz="4" w:space="0"/>
              <w:left w:val="none" w:color="000000" w:sz="4" w:space="0"/>
              <w:bottom w:val="none" w:color="000000"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利旧9个</w:t>
            </w:r>
            <w:r/>
          </w:p>
        </w:tc>
      </w:tr>
      <w:tr>
        <w:trPr>
          <w:trHeight w:val="1630"/>
        </w:trPr>
        <w:tc>
          <w:tcPr>
            <w:shd w:val="clear" w:color="auto" w:fill="auto"/>
            <w:tcBorders>
              <w:top w:val="none" w:color="000000" w:sz="4" w:space="0"/>
              <w:left w:val="single" w:color="auto"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shd w:val="clear" w:color="auto" w:fill="auto"/>
            <w:tcBorders>
              <w:top w:val="none" w:color="000000" w:sz="4" w:space="0"/>
              <w:left w:val="none" w:color="000000" w:sz="4" w:space="0"/>
              <w:bottom w:val="single" w:color="auto" w:sz="4" w:space="0"/>
              <w:right w:val="none" w:color="000000" w:sz="4" w:space="0"/>
            </w:tcBorders>
            <w:tcW w:w="1037" w:type="dxa"/>
            <w:vAlign w:val="center"/>
            <w:textDirection w:val="lrTb"/>
            <w:noWrap/>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公安审讯主机</w:t>
            </w:r>
            <w:r/>
          </w:p>
        </w:tc>
        <w:tc>
          <w:tcPr>
            <w:gridSpan w:val="2"/>
            <w:shd w:val="clear" w:color="auto" w:fill="auto"/>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keepLines w:val="0"/>
              <w:keepNext w:val="0"/>
              <w:pageBreakBefore w:val="0"/>
              <w:spacing w:line="40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详见“</w:t>
            </w:r>
            <w:r>
              <w:rPr>
                <w:rFonts w:hint="eastAsia" w:ascii="宋体" w:hAnsi="宋体" w:eastAsia="宋体" w:cs="宋体"/>
                <w:b/>
                <w:sz w:val="24"/>
                <w:szCs w:val="24"/>
                <w:lang w:eastAsia="zh-CN"/>
              </w:rPr>
              <w:t xml:space="preserve">四</w:t>
            </w:r>
            <w:r>
              <w:rPr>
                <w:rFonts w:hint="eastAsia" w:ascii="宋体" w:hAnsi="宋体" w:eastAsia="宋体" w:cs="宋体"/>
                <w:b/>
                <w:sz w:val="24"/>
                <w:szCs w:val="24"/>
              </w:rPr>
              <w:t xml:space="preserve">、主要设备详细参数及功能要求”。</w:t>
            </w:r>
            <w:r/>
          </w:p>
        </w:tc>
        <w:tc>
          <w:tcPr>
            <w:shd w:val="clear" w:color="auto" w:fill="auto"/>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42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台</w:t>
            </w:r>
            <w:r/>
          </w:p>
        </w:tc>
        <w:tc>
          <w:tcPr>
            <w:shd w:val="clear" w:color="auto" w:fill="auto"/>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利旧9台</w:t>
            </w:r>
            <w:r/>
          </w:p>
        </w:tc>
      </w:tr>
      <w:tr>
        <w:trPr>
          <w:trHeight w:val="405"/>
        </w:trPr>
        <w:tc>
          <w:tcPr>
            <w:shd w:val="clear" w:color="auto" w:fill="auto"/>
            <w:tcBorders>
              <w:top w:val="none" w:color="000000" w:sz="4" w:space="0"/>
              <w:left w:val="single" w:color="auto"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6</w:t>
            </w:r>
            <w:r/>
          </w:p>
        </w:tc>
        <w:tc>
          <w:tcPr>
            <w:shd w:val="clear" w:color="auto" w:fill="auto"/>
            <w:tcBorders>
              <w:top w:val="none" w:color="000000" w:sz="4" w:space="0"/>
              <w:left w:val="none" w:color="000000" w:sz="4" w:space="0"/>
              <w:bottom w:val="single" w:color="auto" w:sz="4" w:space="0"/>
              <w:right w:val="none" w:color="000000" w:sz="4" w:space="0"/>
            </w:tcBorders>
            <w:tcW w:w="1037" w:type="dxa"/>
            <w:vAlign w:val="center"/>
            <w:textDirection w:val="lrTb"/>
            <w:noWrap/>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签名捺印版</w:t>
            </w:r>
            <w:r/>
          </w:p>
        </w:tc>
        <w:tc>
          <w:tcPr>
            <w:gridSpan w:val="2"/>
            <w:shd w:val="clear" w:color="auto" w:fill="auto"/>
            <w:tcBorders>
              <w:top w:val="none" w:color="000000" w:sz="4" w:space="0"/>
              <w:left w:val="single" w:color="auto" w:sz="4" w:space="0"/>
              <w:bottom w:val="single" w:color="auto" w:sz="4" w:space="0"/>
              <w:right w:val="single" w:color="auto" w:sz="4" w:space="0"/>
            </w:tcBorders>
            <w:tcW w:w="609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b/>
                <w:sz w:val="24"/>
                <w:szCs w:val="24"/>
              </w:rPr>
            </w:pPr>
            <w:r>
              <w:rPr>
                <w:rFonts w:hint="eastAsia" w:ascii="宋体" w:hAnsi="宋体" w:eastAsia="宋体" w:cs="宋体"/>
                <w:sz w:val="24"/>
                <w:szCs w:val="24"/>
              </w:rPr>
              <w:t xml:space="preserve">1、 尺寸:10.1寸；</w:t>
            </w:r>
            <w:r>
              <w:rPr>
                <w:rFonts w:hint="eastAsia" w:ascii="宋体" w:hAnsi="宋体" w:eastAsia="宋体" w:cs="宋体"/>
                <w:sz w:val="24"/>
                <w:szCs w:val="24"/>
              </w:rPr>
              <w:br/>
            </w:r>
            <w:r>
              <w:rPr>
                <w:rFonts w:hint="eastAsia" w:ascii="宋体" w:hAnsi="宋体" w:eastAsia="宋体" w:cs="宋体"/>
                <w:sz w:val="24"/>
                <w:szCs w:val="24"/>
              </w:rPr>
              <w:t xml:space="preserve">2、 分辨率:1280*800；</w:t>
            </w:r>
            <w:r>
              <w:rPr>
                <w:rFonts w:hint="eastAsia" w:ascii="宋体" w:hAnsi="宋体" w:eastAsia="宋体" w:cs="宋体"/>
                <w:sz w:val="24"/>
                <w:szCs w:val="24"/>
              </w:rPr>
              <w:br/>
            </w:r>
            <w:r>
              <w:rPr>
                <w:rFonts w:hint="eastAsia" w:ascii="宋体" w:hAnsi="宋体" w:eastAsia="宋体" w:cs="宋体"/>
                <w:sz w:val="24"/>
                <w:szCs w:val="24"/>
              </w:rPr>
              <w:t xml:space="preserve">3、 屏幕保护:6H钢化玻璃；</w:t>
            </w:r>
            <w:r>
              <w:rPr>
                <w:rFonts w:hint="eastAsia" w:ascii="宋体" w:hAnsi="宋体" w:eastAsia="宋体" w:cs="宋体"/>
                <w:sz w:val="24"/>
                <w:szCs w:val="24"/>
              </w:rPr>
              <w:br/>
            </w:r>
            <w:r>
              <w:rPr>
                <w:rFonts w:hint="eastAsia" w:ascii="宋体" w:hAnsi="宋体" w:eastAsia="宋体" w:cs="宋体"/>
                <w:sz w:val="24"/>
                <w:szCs w:val="24"/>
              </w:rPr>
              <w:t xml:space="preserve">4、 手写技术:电磁式；</w:t>
            </w:r>
            <w:r>
              <w:rPr>
                <w:rFonts w:hint="eastAsia" w:ascii="宋体" w:hAnsi="宋体" w:eastAsia="宋体" w:cs="宋体"/>
                <w:sz w:val="24"/>
                <w:szCs w:val="24"/>
              </w:rPr>
              <w:br/>
            </w:r>
            <w:r>
              <w:rPr>
                <w:rFonts w:hint="eastAsia" w:ascii="宋体" w:hAnsi="宋体" w:eastAsia="宋体" w:cs="宋体"/>
                <w:sz w:val="24"/>
                <w:szCs w:val="24"/>
              </w:rPr>
              <w:t xml:space="preserve">5、 笔类型:无线无源电磁笔；</w:t>
            </w:r>
            <w:r>
              <w:rPr>
                <w:rFonts w:hint="eastAsia" w:ascii="宋体" w:hAnsi="宋体" w:eastAsia="宋体" w:cs="宋体"/>
                <w:sz w:val="24"/>
                <w:szCs w:val="24"/>
              </w:rPr>
              <w:br/>
            </w:r>
            <w:r>
              <w:rPr>
                <w:rFonts w:hint="eastAsia" w:ascii="宋体" w:hAnsi="宋体" w:eastAsia="宋体" w:cs="宋体"/>
                <w:sz w:val="24"/>
                <w:szCs w:val="24"/>
              </w:rPr>
              <w:t xml:space="preserve">6、 手写分辨率:5080LPI；</w:t>
            </w:r>
            <w:r>
              <w:rPr>
                <w:rFonts w:hint="eastAsia" w:ascii="宋体" w:hAnsi="宋体" w:eastAsia="宋体" w:cs="宋体"/>
                <w:sz w:val="24"/>
                <w:szCs w:val="24"/>
              </w:rPr>
              <w:br/>
            </w:r>
            <w:r>
              <w:rPr>
                <w:rFonts w:hint="eastAsia" w:ascii="宋体" w:hAnsi="宋体" w:eastAsia="宋体" w:cs="宋体"/>
                <w:sz w:val="24"/>
                <w:szCs w:val="24"/>
              </w:rPr>
              <w:t xml:space="preserve">7、 笔压等级:8192 Levels；</w:t>
            </w:r>
            <w:r>
              <w:rPr>
                <w:rFonts w:hint="eastAsia" w:ascii="宋体" w:hAnsi="宋体" w:eastAsia="宋体" w:cs="宋体"/>
                <w:sz w:val="24"/>
                <w:szCs w:val="24"/>
              </w:rPr>
              <w:br/>
            </w:r>
            <w:r>
              <w:rPr>
                <w:rFonts w:hint="eastAsia" w:ascii="宋体" w:hAnsi="宋体" w:eastAsia="宋体" w:cs="宋体"/>
                <w:sz w:val="24"/>
                <w:szCs w:val="24"/>
              </w:rPr>
              <w:t xml:space="preserve">8、 笔写速度:200 点/秒（典型值）；</w:t>
            </w:r>
            <w:r>
              <w:rPr>
                <w:rFonts w:hint="eastAsia" w:ascii="宋体" w:hAnsi="宋体" w:eastAsia="宋体" w:cs="宋体"/>
                <w:sz w:val="24"/>
                <w:szCs w:val="24"/>
              </w:rPr>
              <w:br/>
            </w:r>
            <w:r>
              <w:rPr>
                <w:rFonts w:hint="eastAsia" w:ascii="宋体" w:hAnsi="宋体" w:eastAsia="宋体" w:cs="宋体"/>
                <w:sz w:val="24"/>
                <w:szCs w:val="24"/>
              </w:rPr>
              <w:t xml:space="preserve">9、 坐标精度:中心 ±0.5mm, 最大偏差 ±2mm；</w:t>
            </w:r>
            <w:r>
              <w:rPr>
                <w:rFonts w:hint="eastAsia" w:ascii="宋体" w:hAnsi="宋体" w:eastAsia="宋体" w:cs="宋体"/>
                <w:sz w:val="24"/>
                <w:szCs w:val="24"/>
              </w:rPr>
              <w:br/>
            </w:r>
            <w:r>
              <w:rPr>
                <w:rFonts w:hint="eastAsia" w:ascii="宋体" w:hAnsi="宋体" w:eastAsia="宋体" w:cs="宋体"/>
                <w:sz w:val="24"/>
                <w:szCs w:val="24"/>
              </w:rPr>
              <w:t xml:space="preserve">10、 最大感应距离:7-10mm（玻璃表面上方）；</w:t>
            </w:r>
            <w:r>
              <w:rPr>
                <w:rFonts w:hint="eastAsia" w:ascii="宋体" w:hAnsi="宋体" w:eastAsia="宋体" w:cs="宋体"/>
                <w:sz w:val="24"/>
                <w:szCs w:val="24"/>
              </w:rPr>
              <w:br/>
            </w:r>
            <w:r>
              <w:rPr>
                <w:rFonts w:hint="eastAsia" w:ascii="宋体" w:hAnsi="宋体" w:eastAsia="宋体" w:cs="宋体"/>
                <w:sz w:val="24"/>
                <w:szCs w:val="24"/>
              </w:rPr>
              <w:t xml:space="preserve">11、 最大感应角度:60°（最大值，与显示屏法线夹角）；</w:t>
            </w:r>
            <w:r>
              <w:rPr>
                <w:rFonts w:hint="eastAsia" w:ascii="宋体" w:hAnsi="宋体" w:eastAsia="宋体" w:cs="宋体"/>
                <w:sz w:val="24"/>
                <w:szCs w:val="24"/>
              </w:rPr>
              <w:br/>
            </w:r>
            <w:r>
              <w:rPr>
                <w:rFonts w:hint="eastAsia" w:ascii="宋体" w:hAnsi="宋体" w:eastAsia="宋体" w:cs="宋体"/>
                <w:sz w:val="24"/>
                <w:szCs w:val="24"/>
              </w:rPr>
              <w:t xml:space="preserve">12、 芯片类型:电容按压式；</w:t>
            </w:r>
            <w:r>
              <w:rPr>
                <w:rFonts w:hint="eastAsia" w:ascii="宋体" w:hAnsi="宋体" w:eastAsia="宋体" w:cs="宋体"/>
                <w:sz w:val="24"/>
                <w:szCs w:val="24"/>
              </w:rPr>
              <w:br/>
            </w:r>
            <w:r>
              <w:rPr>
                <w:rFonts w:hint="eastAsia" w:ascii="宋体" w:hAnsi="宋体" w:eastAsia="宋体" w:cs="宋体"/>
                <w:sz w:val="24"/>
                <w:szCs w:val="24"/>
              </w:rPr>
              <w:t xml:space="preserve">13、 图像大小:256*360（符合二代身份证采集标准）；</w:t>
            </w:r>
            <w:r>
              <w:rPr>
                <w:rFonts w:hint="eastAsia" w:ascii="宋体" w:hAnsi="宋体" w:eastAsia="宋体" w:cs="宋体"/>
                <w:sz w:val="24"/>
                <w:szCs w:val="24"/>
              </w:rPr>
              <w:br/>
            </w:r>
            <w:r>
              <w:rPr>
                <w:rFonts w:hint="eastAsia" w:ascii="宋体" w:hAnsi="宋体" w:eastAsia="宋体" w:cs="宋体"/>
                <w:sz w:val="24"/>
                <w:szCs w:val="24"/>
              </w:rPr>
              <w:t xml:space="preserve">14、 分辨率:500DPI；</w:t>
            </w:r>
            <w:r>
              <w:rPr>
                <w:rFonts w:hint="eastAsia" w:ascii="宋体" w:hAnsi="宋体" w:eastAsia="宋体" w:cs="宋体"/>
                <w:sz w:val="24"/>
                <w:szCs w:val="24"/>
              </w:rPr>
              <w:br/>
            </w:r>
            <w:r>
              <w:rPr>
                <w:rFonts w:hint="eastAsia" w:ascii="宋体" w:hAnsi="宋体" w:eastAsia="宋体" w:cs="宋体"/>
                <w:sz w:val="24"/>
                <w:szCs w:val="24"/>
              </w:rPr>
              <w:t xml:space="preserve">15、 双触控:电磁屏；</w:t>
            </w:r>
            <w:r>
              <w:rPr>
                <w:rFonts w:hint="eastAsia" w:ascii="宋体" w:hAnsi="宋体" w:eastAsia="宋体" w:cs="宋体"/>
                <w:sz w:val="24"/>
                <w:szCs w:val="24"/>
              </w:rPr>
              <w:br/>
            </w:r>
            <w:r>
              <w:rPr>
                <w:rFonts w:hint="eastAsia" w:ascii="宋体" w:hAnsi="宋体" w:eastAsia="宋体" w:cs="宋体"/>
                <w:sz w:val="24"/>
                <w:szCs w:val="24"/>
              </w:rPr>
              <w:t xml:space="preserve">16、 电磁屏加密模块:硬件加密电子签名；</w:t>
            </w:r>
            <w:r>
              <w:rPr>
                <w:rFonts w:hint="eastAsia" w:ascii="宋体" w:hAnsi="宋体" w:eastAsia="宋体" w:cs="宋体"/>
                <w:sz w:val="24"/>
                <w:szCs w:val="24"/>
              </w:rPr>
              <w:br/>
            </w:r>
            <w:r>
              <w:rPr>
                <w:rFonts w:hint="eastAsia" w:ascii="宋体" w:hAnsi="宋体" w:eastAsia="宋体" w:cs="宋体"/>
                <w:sz w:val="24"/>
                <w:szCs w:val="24"/>
              </w:rPr>
              <w:t xml:space="preserve">17、 无故障点击次数 ≥100万次；　</w:t>
            </w:r>
            <w:r>
              <w:rPr>
                <w:rFonts w:hint="eastAsia" w:ascii="宋体" w:hAnsi="宋体" w:eastAsia="宋体" w:cs="宋体"/>
                <w:sz w:val="24"/>
                <w:szCs w:val="24"/>
              </w:rPr>
              <w:br/>
            </w:r>
            <w:r>
              <w:rPr>
                <w:rFonts w:hint="eastAsia" w:ascii="宋体" w:hAnsi="宋体" w:eastAsia="宋体" w:cs="宋体"/>
                <w:sz w:val="24"/>
                <w:szCs w:val="24"/>
              </w:rPr>
              <w:t xml:space="preserve">18、 接口类型:Type-C；</w:t>
            </w:r>
            <w:r>
              <w:rPr>
                <w:rFonts w:hint="eastAsia" w:ascii="宋体" w:hAnsi="宋体" w:eastAsia="宋体" w:cs="宋体"/>
                <w:sz w:val="24"/>
                <w:szCs w:val="24"/>
              </w:rPr>
              <w:br/>
            </w:r>
            <w:r>
              <w:rPr>
                <w:rFonts w:hint="eastAsia" w:ascii="宋体" w:hAnsi="宋体" w:eastAsia="宋体" w:cs="宋体"/>
                <w:sz w:val="24"/>
                <w:szCs w:val="24"/>
              </w:rPr>
              <w:t xml:space="preserve">19、 防盗锁孔:支持；</w:t>
            </w:r>
            <w:r>
              <w:rPr>
                <w:rFonts w:hint="eastAsia" w:ascii="宋体" w:hAnsi="宋体" w:eastAsia="宋体" w:cs="宋体"/>
                <w:sz w:val="24"/>
                <w:szCs w:val="24"/>
              </w:rPr>
              <w:br/>
            </w:r>
            <w:r>
              <w:rPr>
                <w:rFonts w:hint="eastAsia" w:ascii="宋体" w:hAnsi="宋体" w:eastAsia="宋体" w:cs="宋体"/>
                <w:sz w:val="24"/>
                <w:szCs w:val="24"/>
              </w:rPr>
              <w:t xml:space="preserve">20、 底部装置:支持底部防滑，提供多档角度支架。</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403"/>
        </w:trPr>
        <w:tc>
          <w:tcPr>
            <w:shd w:val="clear" w:color="auto" w:fill="auto"/>
            <w:tcBorders>
              <w:top w:val="none" w:color="000000" w:sz="4" w:space="0"/>
              <w:left w:val="single" w:color="auto"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7</w:t>
            </w:r>
            <w:r/>
          </w:p>
        </w:tc>
        <w:tc>
          <w:tcPr>
            <w:shd w:val="clear" w:color="auto" w:fill="auto"/>
            <w:tcBorders>
              <w:top w:val="none" w:color="000000" w:sz="4" w:space="0"/>
              <w:left w:val="none" w:color="000000" w:sz="4" w:space="0"/>
              <w:bottom w:val="single" w:color="auto" w:sz="4" w:space="0"/>
              <w:right w:val="none" w:color="000000" w:sz="4" w:space="0"/>
            </w:tcBorders>
            <w:tcW w:w="1037" w:type="dxa"/>
            <w:vAlign w:val="center"/>
            <w:textDirection w:val="lrTb"/>
            <w:noWrap/>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嫌疑人特写摄像机</w:t>
            </w:r>
            <w:r/>
          </w:p>
        </w:tc>
        <w:tc>
          <w:tcPr>
            <w:gridSpan w:val="2"/>
            <w:shd w:val="clear" w:color="auto" w:fill="auto"/>
            <w:tcBorders>
              <w:top w:val="none" w:color="000000" w:sz="4" w:space="0"/>
              <w:left w:val="single" w:color="auto" w:sz="4" w:space="0"/>
              <w:bottom w:val="single" w:color="auto" w:sz="4" w:space="0"/>
              <w:right w:val="single" w:color="auto" w:sz="4" w:space="0"/>
            </w:tcBorders>
            <w:tcW w:w="6095" w:type="dxa"/>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1、不低于500万像素CMOS传感器，变焦范围4.3-142mm；</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2、球机支持不少于1对音频输入/输出接口、1个TF卡槽、1个复位按钮、内置MIC，支持3路报警输入，2路报警输出；</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3、至少支持H.265、H.264（Main Profile，High Profile，Baseline Profile）、M-JPEG视频编码方式；</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4、数字变焦不低于33倍；</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5、宽动态范围不低于120dB；</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6、球机（F=1.6）彩色模式所需最低照度不高于0.002 lx，能基本分辨被摄目标的轮廓特征；黑白模式最低照度不高于0.001 lx，能基本分辨被摄目标的轮廓特征；。</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7、支持水平360°旋转；垂直旋转范围可达到-30°~90°；</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8、水平手控最大速度不小于300°/s；</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9、支持三码流同时输出，主码流最大支持不低于3072×1728@30fps。</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10、可通过客户端或者IE对亮度、对比度、饱和度等进行调整；</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11、支持通过连接温湿度屏、温湿度传感器，将温湿度信息在视频上进行叠加； </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12、具有白平衡、开启/关闭背光补偿、开启/关闭强光抑制、画面镜像及旋转功能；</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13、可将视频图像及抓拍图片存储至TF卡或客户端；设备能够最大支持512GB内存卡；</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14、操作系统支持文件双重备份，当操作系统文件损坏或异常时，重启后仍可正常运行； </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15、同一静止场景相同图像质量下，在H.265编码方式时，开启智能编码功能和不开启智能编码相比，码率节约不少于90%；</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16、亮度鉴别等级不小于11级，当环境照度低于一定值时，通过红外灯照射，可分辨距离不少于100米的所摄目标的轮廓和状态； </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17、IP防护等级不低于IP50。</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利旧9台</w:t>
            </w:r>
            <w:r/>
          </w:p>
        </w:tc>
      </w:tr>
      <w:tr>
        <w:trPr>
          <w:trHeight w:val="460"/>
        </w:trPr>
        <w:tc>
          <w:tcPr>
            <w:shd w:val="clear" w:color="auto" w:fill="auto"/>
            <w:tcBorders>
              <w:top w:val="none" w:color="000000" w:sz="4" w:space="0"/>
              <w:left w:val="single" w:color="auto"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8</w:t>
            </w:r>
            <w:r/>
          </w:p>
        </w:tc>
        <w:tc>
          <w:tcPr>
            <w:shd w:val="clear" w:color="auto" w:fill="auto"/>
            <w:tcBorders>
              <w:top w:val="none" w:color="000000" w:sz="4" w:space="0"/>
              <w:left w:val="none" w:color="000000" w:sz="4" w:space="0"/>
              <w:bottom w:val="single" w:color="auto" w:sz="4" w:space="0"/>
              <w:right w:val="none" w:color="000000" w:sz="4" w:space="0"/>
            </w:tcBorders>
            <w:tcW w:w="1037" w:type="dxa"/>
            <w:vAlign w:val="center"/>
            <w:textDirection w:val="lrTb"/>
            <w:noWrap/>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智能审讯桌</w:t>
            </w:r>
            <w:r/>
          </w:p>
        </w:tc>
        <w:tc>
          <w:tcPr>
            <w:gridSpan w:val="2"/>
            <w:shd w:val="clear" w:color="auto" w:fill="auto"/>
            <w:tcBorders>
              <w:top w:val="none" w:color="000000" w:sz="4" w:space="0"/>
              <w:left w:val="single" w:color="auto" w:sz="4" w:space="0"/>
              <w:bottom w:val="single" w:color="auto" w:sz="4" w:space="0"/>
              <w:right w:val="single" w:color="auto" w:sz="4" w:space="0"/>
            </w:tcBorders>
            <w:tcW w:w="6095" w:type="dxa"/>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1、公安定制专用，钢制+抗倍特板材质，整体无尖锐棱角，边角经过圆润处理，无裸露线缆，避免磕碰；</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2、框架结构稳固，支撑性强，可集成国内审讯终端、桌面显示器、同步录音录像终端、打印刻录终端、实物展台等问讯设备，预留审讯主机、电子签名捺印设备的安装位置；</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3、可提供配套万向LCD支臂及有线键鼠；</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4、审讯桌强度检验：审讯桌的正面、桌面在受到30kg沙袋冲击时，整体及焊接处不应出现断裂或局部开裂现象，桌板上的台板承受2000N均匀载荷，不应被破坏；</w:t>
            </w:r>
            <w:r>
              <w:rPr>
                <w:rFonts w:hint="eastAsia" w:ascii="宋体" w:hAnsi="宋体" w:eastAsia="宋体" w:cs="宋体"/>
                <w:b/>
                <w:sz w:val="24"/>
                <w:szCs w:val="24"/>
              </w:rPr>
              <w:t xml:space="preserve">（提供第三方权威检测机构出具的检测报告扫描件）</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5、审讯桌耐腐蚀性检验：耐腐蚀性不低于9级；</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6、桌面提供接口不少于：5个USB接口、1个AC 220V插口、1个RJ45接口、1个HDMI接口；</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7、参考尺寸：1600mm（宽）x800mm（高）x760mm（深）。</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利旧8张</w:t>
            </w:r>
            <w:r/>
          </w:p>
        </w:tc>
      </w:tr>
      <w:tr>
        <w:trPr>
          <w:trHeight w:val="403"/>
        </w:trPr>
        <w:tc>
          <w:tcPr>
            <w:shd w:val="clear" w:color="auto" w:fill="auto"/>
            <w:tcBorders>
              <w:top w:val="none" w:color="000000" w:sz="4" w:space="0"/>
              <w:left w:val="single" w:color="auto"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9</w:t>
            </w:r>
            <w:r/>
          </w:p>
        </w:tc>
        <w:tc>
          <w:tcPr>
            <w:shd w:val="clear" w:color="auto" w:fill="auto"/>
            <w:tcBorders>
              <w:top w:val="none" w:color="000000" w:sz="4" w:space="0"/>
              <w:left w:val="none" w:color="000000" w:sz="4" w:space="0"/>
              <w:bottom w:val="single" w:color="auto" w:sz="4" w:space="0"/>
              <w:right w:val="none" w:color="000000" w:sz="4" w:space="0"/>
            </w:tcBorders>
            <w:tcW w:w="1037" w:type="dxa"/>
            <w:vAlign w:val="center"/>
            <w:textDirection w:val="lrTb"/>
            <w:noWrap/>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智能审讯椅</w:t>
            </w:r>
            <w:r/>
          </w:p>
        </w:tc>
        <w:tc>
          <w:tcPr>
            <w:gridSpan w:val="2"/>
            <w:shd w:val="clear" w:color="auto" w:fill="auto"/>
            <w:tcBorders>
              <w:top w:val="none" w:color="000000" w:sz="4" w:space="0"/>
              <w:left w:val="single" w:color="auto" w:sz="4" w:space="0"/>
              <w:bottom w:val="single" w:color="auto" w:sz="4" w:space="0"/>
              <w:right w:val="single" w:color="auto" w:sz="4" w:space="0"/>
            </w:tcBorders>
            <w:tcW w:w="6095"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1、公安定制专用，采用全金属钢制框架，人体接触面模压缓冲防撞设计，座椅为直靠椅，并配有坐垫、靠垫、扶手垫，整体表面光滑，无尖锐棱角； </w:t>
            </w:r>
            <w:r/>
          </w:p>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2、具备左右手约束腕带、腿部约束舱，机械力学原理，无需借助辅助工具或钥匙，无需通电，落座即锁定； </w:t>
            </w:r>
            <w:r/>
          </w:p>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3、腿部约束舱在嫌疑人落座后自动锁定，且双脚可完全着地，并具有一定范围的活动空间；</w:t>
            </w:r>
            <w:r/>
          </w:p>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4、后置解锁踏板，轻踩即打开，紧急情况下可一键快速解锁及复位；</w:t>
            </w:r>
            <w:r/>
          </w:p>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5、前置约束舱顶板须配置模压缓冲防撞软体。可有效避免嫌疑人在接受讯（询）问期间产生过激行为伤及自身或他人；</w:t>
            </w:r>
            <w:r/>
          </w:p>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6、审讯椅强度检验：椅面、桌面、椅背在受到30kg沙袋冲击时，整体不应出现断裂或局部开焊，试验后变形量应小于15mm；腿部固定装置在受到2500N的拉力作用下，不可被开启，能够正常使用；以及腕部固定装置和腕带在分别受到2500N和2000N作用力下，不应被破坏和开启，能够正常使用。</w:t>
            </w:r>
            <w:r>
              <w:rPr>
                <w:rFonts w:hint="eastAsia" w:ascii="宋体" w:hAnsi="宋体" w:eastAsia="宋体" w:cs="宋体"/>
                <w:b/>
                <w:sz w:val="24"/>
                <w:szCs w:val="24"/>
              </w:rPr>
              <w:t xml:space="preserve">（提供第三方权威检测机构出具的检测报告扫描件）</w:t>
            </w:r>
            <w:r/>
          </w:p>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7、审讯椅可靠性检验：腿部固定装置、腕部固定装置、腕带等在3000次循环工作后，应能正常使用。</w:t>
            </w:r>
            <w:r/>
          </w:p>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8、参考尺寸：660mm（W）x975mm（H）x700mm（D）。</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利旧8张</w:t>
            </w:r>
            <w:r/>
          </w:p>
        </w:tc>
      </w:tr>
      <w:tr>
        <w:trPr>
          <w:trHeight w:val="403"/>
        </w:trPr>
        <w:tc>
          <w:tcPr>
            <w:shd w:val="clear" w:color="auto" w:fill="auto"/>
            <w:tcBorders>
              <w:top w:val="none" w:color="000000" w:sz="4" w:space="0"/>
              <w:left w:val="single" w:color="auto"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0</w:t>
            </w:r>
            <w:r/>
          </w:p>
        </w:tc>
        <w:tc>
          <w:tcPr>
            <w:shd w:val="clear" w:color="auto" w:fill="auto"/>
            <w:tcBorders>
              <w:top w:val="none" w:color="000000" w:sz="4" w:space="0"/>
              <w:left w:val="none" w:color="000000" w:sz="4" w:space="0"/>
              <w:bottom w:val="single" w:color="auto" w:sz="4" w:space="0"/>
              <w:right w:val="none" w:color="000000" w:sz="4" w:space="0"/>
            </w:tcBorders>
            <w:tcW w:w="1037" w:type="dxa"/>
            <w:vAlign w:val="center"/>
            <w:textDirection w:val="lrTb"/>
            <w:noWrap/>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声光报警器</w:t>
            </w:r>
            <w:r/>
          </w:p>
        </w:tc>
        <w:tc>
          <w:tcPr>
            <w:gridSpan w:val="2"/>
            <w:shd w:val="clear" w:color="auto" w:fill="auto"/>
            <w:tcBorders>
              <w:top w:val="none" w:color="000000" w:sz="4" w:space="0"/>
              <w:left w:val="single" w:color="auto" w:sz="4" w:space="0"/>
              <w:bottom w:val="single" w:color="auto" w:sz="4" w:space="0"/>
              <w:right w:val="single" w:color="auto" w:sz="4" w:space="0"/>
            </w:tcBorders>
            <w:tcW w:w="6095" w:type="dxa"/>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1、额定工作电压(V/DC) 12V；</w:t>
            </w:r>
            <w:r>
              <w:rPr>
                <w:rFonts w:hint="eastAsia" w:ascii="宋体" w:hAnsi="宋体" w:eastAsia="宋体" w:cs="宋体"/>
                <w:sz w:val="24"/>
                <w:szCs w:val="24"/>
              </w:rPr>
              <w:br/>
            </w:r>
            <w:r>
              <w:rPr>
                <w:rFonts w:hint="eastAsia" w:ascii="宋体" w:hAnsi="宋体" w:eastAsia="宋体" w:cs="宋体"/>
                <w:sz w:val="24"/>
                <w:szCs w:val="24"/>
              </w:rPr>
              <w:t xml:space="preserve">2、工作电压范围(V) 9-15V；</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3、工作电流范围(mA) ≤300；</w:t>
            </w:r>
            <w:r>
              <w:rPr>
                <w:rFonts w:hint="eastAsia" w:ascii="宋体" w:hAnsi="宋体" w:eastAsia="宋体" w:cs="宋体"/>
                <w:sz w:val="24"/>
                <w:szCs w:val="24"/>
              </w:rPr>
              <w:br/>
            </w:r>
            <w:r>
              <w:rPr>
                <w:rFonts w:hint="eastAsia" w:ascii="宋体" w:hAnsi="宋体" w:eastAsia="宋体" w:cs="宋体"/>
                <w:sz w:val="24"/>
                <w:szCs w:val="24"/>
              </w:rPr>
              <w:t xml:space="preserve">4、工作温度(℃) ﹣20~﹢60℃；</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5、声压(dB) ≥105dB/m；</w:t>
            </w:r>
            <w:r>
              <w:rPr>
                <w:rFonts w:hint="eastAsia" w:ascii="宋体" w:hAnsi="宋体" w:eastAsia="宋体" w:cs="宋体"/>
                <w:sz w:val="24"/>
                <w:szCs w:val="24"/>
              </w:rPr>
              <w:br/>
            </w:r>
            <w:r>
              <w:rPr>
                <w:rFonts w:hint="eastAsia" w:ascii="宋体" w:hAnsi="宋体" w:eastAsia="宋体" w:cs="宋体"/>
                <w:sz w:val="24"/>
                <w:szCs w:val="24"/>
              </w:rPr>
              <w:t xml:space="preserve">6、连续工作时间 ≥45min DC12V；</w:t>
            </w:r>
            <w:r>
              <w:rPr>
                <w:rFonts w:hint="eastAsia" w:ascii="宋体" w:hAnsi="宋体" w:eastAsia="宋体" w:cs="宋体"/>
                <w:sz w:val="24"/>
                <w:szCs w:val="24"/>
              </w:rPr>
              <w:br/>
            </w:r>
            <w:r>
              <w:rPr>
                <w:rFonts w:hint="eastAsia" w:ascii="宋体" w:hAnsi="宋体" w:eastAsia="宋体" w:cs="宋体"/>
                <w:sz w:val="24"/>
                <w:szCs w:val="24"/>
              </w:rPr>
              <w:t xml:space="preserve">7、闪灯次数(分钟) 200±30。</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利旧9个</w:t>
            </w:r>
            <w:r/>
          </w:p>
        </w:tc>
      </w:tr>
      <w:tr>
        <w:trPr>
          <w:trHeight w:val="403"/>
        </w:trPr>
        <w:tc>
          <w:tcPr>
            <w:shd w:val="clear" w:color="auto" w:fill="auto"/>
            <w:tcBorders>
              <w:top w:val="none" w:color="000000" w:sz="4" w:space="0"/>
              <w:left w:val="single" w:color="auto"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none" w:color="000000" w:sz="4" w:space="0"/>
            </w:tcBorders>
            <w:tcW w:w="1037" w:type="dxa"/>
            <w:vAlign w:val="center"/>
            <w:textDirection w:val="lrTb"/>
            <w:noWrap/>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电子门牌显示器</w:t>
            </w:r>
            <w:r/>
          </w:p>
        </w:tc>
        <w:tc>
          <w:tcPr>
            <w:gridSpan w:val="2"/>
            <w:shd w:val="clear" w:color="auto" w:fill="auto"/>
            <w:tcBorders>
              <w:top w:val="none" w:color="000000" w:sz="4" w:space="0"/>
              <w:left w:val="single" w:color="auto" w:sz="4" w:space="0"/>
              <w:bottom w:val="single" w:color="auto" w:sz="4" w:space="0"/>
              <w:right w:val="single" w:color="auto" w:sz="4" w:space="0"/>
            </w:tcBorders>
            <w:tcW w:w="609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1、支持双行双色显示，第一行显示房间号，第二行显示房间状态；</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2、第二行可以通过平台联动显示办案中、空闲中、预约中等；</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3、每行可同时显示5个汉字，超过5字支持滚动显示；</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4、采用网络控制协议，RJ45接口；</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5、功率：20~30W；</w:t>
            </w:r>
            <w:r>
              <w:rPr>
                <w:rFonts w:hint="eastAsia" w:ascii="宋体" w:hAnsi="宋体" w:eastAsia="宋体" w:cs="宋体"/>
                <w:sz w:val="24"/>
                <w:szCs w:val="24"/>
              </w:rPr>
              <w:br/>
            </w:r>
            <w:r>
              <w:rPr>
                <w:rFonts w:hint="eastAsia" w:ascii="宋体" w:hAnsi="宋体" w:eastAsia="宋体" w:cs="宋体"/>
                <w:sz w:val="24"/>
                <w:szCs w:val="24"/>
              </w:rPr>
              <w:t xml:space="preserve">6、参考尺寸：长53cm，宽23cm，高 3.5cm；背孔间距30cm。</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60"/>
        </w:trPr>
        <w:tc>
          <w:tcPr>
            <w:gridSpan w:val="8"/>
            <w:shd w:val="clear" w:color="auto" w:fill="auto"/>
            <w:tcBorders>
              <w:top w:val="single" w:color="auto" w:sz="4" w:space="0"/>
              <w:left w:val="single" w:color="auto" w:sz="4" w:space="0"/>
              <w:bottom w:val="single" w:color="auto" w:sz="4" w:space="0"/>
              <w:right w:val="none" w:color="000000" w:sz="4" w:space="0"/>
            </w:tcBorders>
            <w:tcW w:w="9554"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（五）视频结构化定位</w:t>
            </w:r>
            <w:r/>
          </w:p>
        </w:tc>
      </w:tr>
      <w:tr>
        <w:trPr>
          <w:trHeight w:val="403"/>
        </w:trPr>
        <w:tc>
          <w:tcPr>
            <w:shd w:val="clear" w:color="auto" w:fill="auto"/>
            <w:tcBorders>
              <w:top w:val="none" w:color="000000" w:sz="4" w:space="0"/>
              <w:left w:val="single" w:color="auto" w:sz="4" w:space="0"/>
              <w:bottom w:val="single" w:color="auto" w:sz="4" w:space="0"/>
              <w:right w:val="single" w:color="auto" w:sz="4" w:space="0"/>
            </w:tcBorders>
            <w:tcW w:w="396" w:type="dxa"/>
            <w:vAlign w:val="center"/>
            <w:textDirection w:val="lrTb"/>
            <w:noWrap/>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none" w:color="000000" w:sz="4" w:space="0"/>
              <w:left w:val="none" w:color="000000" w:sz="4" w:space="0"/>
              <w:bottom w:val="single" w:color="auto" w:sz="4" w:space="0"/>
              <w:right w:val="none" w:color="000000" w:sz="4" w:space="0"/>
            </w:tcBorders>
            <w:tcW w:w="1037"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ff0000"/>
                <w:sz w:val="24"/>
                <w:szCs w:val="24"/>
              </w:rPr>
            </w:pPr>
            <w:r>
              <w:rPr>
                <w:rFonts w:hint="eastAsia" w:ascii="宋体" w:hAnsi="宋体" w:eastAsia="宋体" w:cs="宋体"/>
                <w:sz w:val="24"/>
                <w:szCs w:val="24"/>
              </w:rPr>
              <w:t xml:space="preserve">视频算力主机</w:t>
            </w:r>
            <w:r/>
          </w:p>
        </w:tc>
        <w:tc>
          <w:tcPr>
            <w:gridSpan w:val="2"/>
            <w:shd w:val="clear" w:color="auto" w:fill="auto"/>
            <w:tcBorders>
              <w:top w:val="none" w:color="000000" w:sz="4" w:space="0"/>
              <w:left w:val="single" w:color="auto" w:sz="4" w:space="0"/>
              <w:bottom w:val="single" w:color="auto" w:sz="4" w:space="0"/>
              <w:right w:val="single" w:color="auto" w:sz="4" w:space="0"/>
            </w:tcBorders>
            <w:tcW w:w="6095" w:type="dxa"/>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1、人脸人体抓拍相机视频接入处理能力不低于200路；</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2、支持不少于1个VGA接口、4个USB接口；</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3、支持人体结构化数据分析和人脸识别分析 ；</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4、支持通过人脸与人员信息关联 ；</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5、支持抓拍人脸或人体并存入系统，作为身份标识 ； </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b/>
                <w:sz w:val="24"/>
                <w:szCs w:val="24"/>
              </w:rPr>
              <w:t xml:space="preserve">★</w:t>
            </w:r>
            <w:r>
              <w:rPr>
                <w:rFonts w:hint="eastAsia" w:ascii="宋体" w:hAnsi="宋体" w:eastAsia="宋体" w:cs="宋体"/>
                <w:sz w:val="24"/>
                <w:szCs w:val="24"/>
              </w:rPr>
              <w:t xml:space="preserve">6、支持对实时视频进行人脸比对分析；</w:t>
            </w:r>
            <w:r>
              <w:rPr>
                <w:rFonts w:hint="eastAsia" w:ascii="宋体" w:hAnsi="宋体" w:eastAsia="宋体" w:cs="宋体"/>
                <w:b/>
                <w:sz w:val="24"/>
                <w:szCs w:val="24"/>
              </w:rPr>
              <w:t xml:space="preserve">（提供第三方权威检测机构出具的检测报告扫描件）</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7、支持对图片和录像进行人脸比对分析 ；</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b/>
                <w:sz w:val="24"/>
                <w:szCs w:val="24"/>
              </w:rPr>
              <w:t xml:space="preserve">★</w:t>
            </w:r>
            <w:r>
              <w:rPr>
                <w:rFonts w:hint="eastAsia" w:ascii="宋体" w:hAnsi="宋体" w:eastAsia="宋体" w:cs="宋体"/>
                <w:sz w:val="24"/>
                <w:szCs w:val="24"/>
              </w:rPr>
              <w:t xml:space="preserve">8、支持对嫌疑人从入区到出区的全过程轨迹进行视频拼接 ；</w:t>
            </w:r>
            <w:r>
              <w:rPr>
                <w:rFonts w:hint="eastAsia" w:ascii="宋体" w:hAnsi="宋体" w:eastAsia="宋体" w:cs="宋体"/>
                <w:b/>
                <w:sz w:val="24"/>
                <w:szCs w:val="24"/>
              </w:rPr>
              <w:t xml:space="preserve">（提供第三方权威检测机构出具的检测报告扫描件）</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9、支持在办案区地图界面，实时显示嫌疑人、民警及其它人员位置。</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396" w:type="dxa"/>
            <w:vAlign w:val="center"/>
            <w:textDirection w:val="lrTb"/>
            <w:noWrap/>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none" w:color="000000" w:sz="4" w:space="0"/>
              <w:left w:val="none" w:color="000000" w:sz="4" w:space="0"/>
              <w:bottom w:val="single" w:color="auto" w:sz="4" w:space="0"/>
              <w:right w:val="none" w:color="000000" w:sz="4" w:space="0"/>
            </w:tcBorders>
            <w:tcW w:w="1037" w:type="dxa"/>
            <w:vAlign w:val="center"/>
            <w:textDirection w:val="lrTb"/>
            <w:noWrap/>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4K结构化摄像机</w:t>
            </w:r>
            <w:r/>
          </w:p>
        </w:tc>
        <w:tc>
          <w:tcPr>
            <w:gridSpan w:val="2"/>
            <w:shd w:val="clear" w:color="auto" w:fill="auto"/>
            <w:tcBorders>
              <w:top w:val="none" w:color="000000" w:sz="4" w:space="0"/>
              <w:left w:val="single" w:color="auto" w:sz="4" w:space="0"/>
              <w:bottom w:val="single" w:color="auto" w:sz="4" w:space="0"/>
              <w:right w:val="single" w:color="auto" w:sz="4" w:space="0"/>
            </w:tcBorders>
            <w:tcW w:w="6095" w:type="dxa"/>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1、不低于800万像素CMOS传感器；</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2、2.7~13.5mm电动变焦，支持一键聚焦；</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3、支持三码流同时输出，主码流最高分辨率达8MP@20fps；</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4、支持人脸抓拍，单画面同时检测人脸数不低于32张，单画面同时抓拍人脸数不低于16张；</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5、人脸识别距离不少于10米；</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6、支持通过浏览器显示人员表情、戴眼镜、戴口罩、是否有胡子、衣服颜色、上衣类型、是否背包、戴帽子等 ；</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7、人脸抓拍率不低于97%；</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8、红外补光距离不低于50米，支持补光变倍匹配功能；</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9、支持对经过设定区域内的行人进行人体检测并抓拍，可抓拍人体正面、背面、侧面人体图片并上传至平台； </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10、支持人脸大小过滤功能和人脸抓拍质量过滤功能；</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11、接口不少于：音频输入/输出各一个、内置MIC、报警输入2个，报警输出1个，支持SD卡槽（最大支持512G）；</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12、支持宽动态、背光补偿、强光抑制、3D降噪和图像翻转功能；</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13、防护等级不低于：外壳防尘防水IP67，防暴等级IK10，4级防雷；</w:t>
            </w:r>
            <w:r/>
          </w:p>
          <w:p>
            <w:pPr>
              <w:jc w:val="left"/>
              <w:keepLines w:val="0"/>
              <w:keepNext w:val="0"/>
              <w:pageBreakBefore w:val="0"/>
              <w:spacing w:line="400" w:lineRule="exact"/>
              <w:widowControl/>
              <w:rPr>
                <w:rFonts w:hint="eastAsia" w:ascii="宋体" w:hAnsi="宋体" w:eastAsia="宋体" w:cs="宋体"/>
                <w:b/>
                <w:sz w:val="24"/>
                <w:szCs w:val="24"/>
              </w:rPr>
            </w:pPr>
            <w:r>
              <w:rPr>
                <w:rFonts w:hint="eastAsia" w:ascii="宋体" w:hAnsi="宋体" w:eastAsia="宋体" w:cs="宋体"/>
                <w:sz w:val="24"/>
                <w:szCs w:val="24"/>
              </w:rPr>
              <w:t xml:space="preserve">14、支持POE、DC12V供电。</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70</w:t>
            </w:r>
            <w:r/>
          </w:p>
        </w:tc>
        <w:tc>
          <w:tcPr>
            <w:shd w:val="clear" w:color="auto" w:fill="auto"/>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396" w:type="dxa"/>
            <w:vAlign w:val="center"/>
            <w:textDirection w:val="lrTb"/>
            <w:noWrap/>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Borders>
              <w:top w:val="none" w:color="000000" w:sz="4" w:space="0"/>
              <w:left w:val="none" w:color="000000" w:sz="4" w:space="0"/>
              <w:bottom w:val="single" w:color="auto" w:sz="4" w:space="0"/>
              <w:right w:val="none" w:color="000000" w:sz="4" w:space="0"/>
            </w:tcBorders>
            <w:tcW w:w="1037" w:type="dxa"/>
            <w:vAlign w:val="center"/>
            <w:textDirection w:val="lrTb"/>
            <w:noWrap/>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无感定位分析（地图）服务器</w:t>
            </w:r>
            <w:r/>
          </w:p>
        </w:tc>
        <w:tc>
          <w:tcPr>
            <w:gridSpan w:val="2"/>
            <w:shd w:val="clear" w:color="auto" w:fill="auto"/>
            <w:tcBorders>
              <w:top w:val="none" w:color="000000" w:sz="4" w:space="0"/>
              <w:left w:val="single" w:color="auto" w:sz="4" w:space="0"/>
              <w:bottom w:val="single" w:color="auto" w:sz="4" w:space="0"/>
              <w:right w:val="single" w:color="auto" w:sz="4" w:space="0"/>
            </w:tcBorders>
            <w:tcW w:w="6095" w:type="dxa"/>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1、企业级高性能平台服务器，1U高度4盘位，前置硬盘；</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2、不小于8核16线程处理器，主频≥2.8GHz；</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3、不小于16GB</w:t>
            </w:r>
            <w:r>
              <w:rPr>
                <w:rFonts w:hint="eastAsia" w:ascii="宋体" w:hAnsi="宋体" w:eastAsia="宋体" w:cs="宋体"/>
                <w:sz w:val="24"/>
                <w:szCs w:val="24"/>
              </w:rPr>
              <w:t xml:space="preserve"> </w:t>
            </w:r>
            <w:r>
              <w:rPr>
                <w:rFonts w:hint="eastAsia" w:ascii="宋体" w:hAnsi="宋体" w:eastAsia="宋体" w:cs="宋体"/>
                <w:sz w:val="24"/>
                <w:szCs w:val="24"/>
              </w:rPr>
              <w:t xml:space="preserve">DDR4 3200MHz内存，4个内存插槽，容量最高支持至256G；</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4、不小于4T企业级系统盘；</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5、支持4个3.5/2.5寸SATA硬盘，支持热插拔；</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6、不少于4个千兆以太网口（RJ45）、1个VGA、 1个RS-232。</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396" w:type="dxa"/>
            <w:vAlign w:val="center"/>
            <w:textDirection w:val="lrTb"/>
            <w:noWrap/>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4</w:t>
            </w:r>
            <w:r/>
          </w:p>
        </w:tc>
        <w:tc>
          <w:tcPr>
            <w:shd w:val="clear" w:color="auto" w:fill="auto"/>
            <w:tcBorders>
              <w:top w:val="none" w:color="000000" w:sz="4" w:space="0"/>
              <w:left w:val="none" w:color="000000" w:sz="4" w:space="0"/>
              <w:bottom w:val="single" w:color="auto" w:sz="4" w:space="0"/>
              <w:right w:val="none" w:color="000000" w:sz="4" w:space="0"/>
            </w:tcBorders>
            <w:tcW w:w="1037" w:type="dxa"/>
            <w:vAlign w:val="center"/>
            <w:textDirection w:val="lrTb"/>
            <w:noWrap/>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无感定位轨迹软件</w:t>
            </w:r>
            <w:r/>
          </w:p>
        </w:tc>
        <w:tc>
          <w:tcPr>
            <w:gridSpan w:val="2"/>
            <w:shd w:val="clear" w:color="auto" w:fill="auto"/>
            <w:tcBorders>
              <w:top w:val="none" w:color="000000" w:sz="4" w:space="0"/>
              <w:left w:val="single" w:color="auto" w:sz="4" w:space="0"/>
              <w:bottom w:val="single" w:color="auto" w:sz="4" w:space="0"/>
              <w:right w:val="single" w:color="auto" w:sz="4" w:space="0"/>
            </w:tcBorders>
            <w:tcW w:w="609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b/>
                <w:sz w:val="24"/>
                <w:szCs w:val="24"/>
              </w:rPr>
            </w:pPr>
            <w:r>
              <w:rPr>
                <w:rFonts w:hint="eastAsia" w:ascii="宋体" w:hAnsi="宋体" w:eastAsia="宋体" w:cs="宋体"/>
                <w:sz w:val="24"/>
                <w:szCs w:val="24"/>
              </w:rPr>
              <w:t xml:space="preserve">1、实时处理人员行动轨迹和位置/进入区域时间及停留时长；</w:t>
            </w:r>
            <w:r>
              <w:rPr>
                <w:rFonts w:hint="eastAsia" w:ascii="宋体" w:hAnsi="宋体" w:eastAsia="宋体" w:cs="宋体"/>
                <w:sz w:val="24"/>
                <w:szCs w:val="24"/>
              </w:rPr>
              <w:br/>
            </w:r>
            <w:r>
              <w:rPr>
                <w:rFonts w:hint="eastAsia" w:ascii="宋体" w:hAnsi="宋体" w:eastAsia="宋体" w:cs="宋体"/>
                <w:sz w:val="24"/>
                <w:szCs w:val="24"/>
              </w:rPr>
              <w:t xml:space="preserve">2、对危险区域/禁入区域动态监控，有人禁入，联动管理平台报警；</w:t>
            </w:r>
            <w:r>
              <w:rPr>
                <w:rFonts w:hint="eastAsia" w:ascii="宋体" w:hAnsi="宋体" w:eastAsia="宋体" w:cs="宋体"/>
                <w:sz w:val="24"/>
                <w:szCs w:val="24"/>
              </w:rPr>
              <w:br/>
            </w:r>
            <w:r>
              <w:rPr>
                <w:rFonts w:hint="eastAsia" w:ascii="宋体" w:hAnsi="宋体" w:eastAsia="宋体" w:cs="宋体"/>
                <w:sz w:val="24"/>
                <w:szCs w:val="24"/>
              </w:rPr>
              <w:t xml:space="preserve">3、嫌疑人人员数量/信息/位置等需实时同步管理系统平台；</w:t>
            </w:r>
            <w:r>
              <w:rPr>
                <w:rFonts w:hint="eastAsia" w:ascii="宋体" w:hAnsi="宋体" w:eastAsia="宋体" w:cs="宋体"/>
                <w:sz w:val="24"/>
                <w:szCs w:val="24"/>
              </w:rPr>
              <w:br/>
            </w:r>
            <w:r>
              <w:rPr>
                <w:rFonts w:hint="eastAsia" w:ascii="宋体" w:hAnsi="宋体" w:eastAsia="宋体" w:cs="宋体"/>
                <w:sz w:val="24"/>
                <w:szCs w:val="24"/>
              </w:rPr>
              <w:t xml:space="preserve">4、人员位置发生变化实时更新人员位置信息，数据同步传输地图服务器显示人员位置和视频；</w:t>
            </w:r>
            <w:r>
              <w:rPr>
                <w:rFonts w:hint="eastAsia" w:ascii="宋体" w:hAnsi="宋体" w:eastAsia="宋体" w:cs="宋体"/>
                <w:sz w:val="24"/>
                <w:szCs w:val="24"/>
              </w:rPr>
              <w:br/>
            </w:r>
            <w:r>
              <w:rPr>
                <w:rFonts w:hint="eastAsia" w:ascii="宋体" w:hAnsi="宋体" w:eastAsia="宋体" w:cs="宋体"/>
                <w:sz w:val="24"/>
                <w:szCs w:val="24"/>
              </w:rPr>
              <w:t xml:space="preserve">5、汇总各区域工作人员数量，对于越权的行为进行及时告警，联动摄像头，查看人员视频信息等；</w:t>
            </w:r>
            <w:r>
              <w:rPr>
                <w:rFonts w:hint="eastAsia" w:ascii="宋体" w:hAnsi="宋体" w:eastAsia="宋体" w:cs="宋体"/>
                <w:sz w:val="24"/>
                <w:szCs w:val="24"/>
              </w:rPr>
              <w:br/>
            </w:r>
            <w:r>
              <w:rPr>
                <w:rFonts w:hint="eastAsia" w:ascii="宋体" w:hAnsi="宋体" w:eastAsia="宋体" w:cs="宋体"/>
                <w:sz w:val="24"/>
                <w:szCs w:val="24"/>
              </w:rPr>
              <w:t xml:space="preserve">6、支持人员的基本信息和详细信息的处理和数据关联；</w:t>
            </w:r>
            <w:r>
              <w:rPr>
                <w:rFonts w:hint="eastAsia" w:ascii="宋体" w:hAnsi="宋体" w:eastAsia="宋体" w:cs="宋体"/>
                <w:sz w:val="24"/>
                <w:szCs w:val="24"/>
              </w:rPr>
              <w:br/>
            </w:r>
            <w:r>
              <w:rPr>
                <w:rFonts w:hint="eastAsia" w:ascii="宋体" w:hAnsi="宋体" w:eastAsia="宋体" w:cs="宋体"/>
                <w:sz w:val="24"/>
                <w:szCs w:val="24"/>
              </w:rPr>
              <w:t xml:space="preserve">7、监控记录查询对进出人员的区域记录，并提供关联查询到其进入区域的登记信息功能。监控记录信息包括记录时间、监控区域、监控对象。</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396" w:type="dxa"/>
            <w:vAlign w:val="center"/>
            <w:textDirection w:val="lrTb"/>
            <w:noWrap/>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shd w:val="clear" w:color="auto" w:fill="auto"/>
            <w:tcBorders>
              <w:top w:val="none" w:color="000000" w:sz="4" w:space="0"/>
              <w:left w:val="none" w:color="000000" w:sz="4" w:space="0"/>
              <w:bottom w:val="single" w:color="auto" w:sz="4" w:space="0"/>
              <w:right w:val="none" w:color="000000" w:sz="4" w:space="0"/>
            </w:tcBorders>
            <w:tcW w:w="1037" w:type="dxa"/>
            <w:vAlign w:val="center"/>
            <w:textDirection w:val="lrTb"/>
            <w:noWrap/>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3D地图（含可视化建模服务）</w:t>
            </w:r>
            <w:r/>
          </w:p>
        </w:tc>
        <w:tc>
          <w:tcPr>
            <w:gridSpan w:val="2"/>
            <w:shd w:val="clear" w:color="auto" w:fill="auto"/>
            <w:tcBorders>
              <w:top w:val="none" w:color="000000" w:sz="4" w:space="0"/>
              <w:left w:val="single" w:color="auto" w:sz="4" w:space="0"/>
              <w:bottom w:val="single" w:color="auto" w:sz="4" w:space="0"/>
              <w:right w:val="single" w:color="auto" w:sz="4" w:space="0"/>
            </w:tcBorders>
            <w:tcW w:w="609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1、3D地图建模根据本次办案区现场实际房间布局现场定制；</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2、需能满足高精度要求，支持嫌疑人和民警顶气泡功能，支持查看嫌疑人信息等。</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360"/>
        </w:trPr>
        <w:tc>
          <w:tcPr>
            <w:gridSpan w:val="8"/>
            <w:shd w:val="clear" w:color="auto" w:fill="auto"/>
            <w:tcBorders>
              <w:top w:val="single" w:color="auto" w:sz="4" w:space="0"/>
              <w:left w:val="single" w:color="auto" w:sz="4" w:space="0"/>
              <w:bottom w:val="single" w:color="auto" w:sz="4" w:space="0"/>
              <w:right w:val="none" w:color="000000" w:sz="4" w:space="0"/>
            </w:tcBorders>
            <w:tcW w:w="9554"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（六）监视居住15间</w:t>
            </w:r>
            <w:r/>
          </w:p>
        </w:tc>
      </w:tr>
      <w:tr>
        <w:trPr>
          <w:trHeight w:val="403"/>
        </w:trPr>
        <w:tc>
          <w:tcPr>
            <w:shd w:val="clear" w:color="auto" w:fill="auto"/>
            <w:tcBorders>
              <w:top w:val="none" w:color="000000" w:sz="4" w:space="0"/>
              <w:left w:val="single" w:color="auto" w:sz="4" w:space="0"/>
              <w:bottom w:val="single" w:color="auto" w:sz="4" w:space="0"/>
              <w:right w:val="single" w:color="auto" w:sz="4" w:space="0"/>
            </w:tcBorders>
            <w:tcW w:w="396" w:type="dxa"/>
            <w:vAlign w:val="center"/>
            <w:textDirection w:val="lrTb"/>
            <w:noWrap/>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none" w:color="000000" w:sz="4" w:space="0"/>
              <w:left w:val="none" w:color="000000" w:sz="4" w:space="0"/>
              <w:bottom w:val="single" w:color="auto" w:sz="4" w:space="0"/>
              <w:right w:val="none" w:color="000000" w:sz="4" w:space="0"/>
            </w:tcBorders>
            <w:tcW w:w="1037" w:type="dxa"/>
            <w:vAlign w:val="center"/>
            <w:textDirection w:val="lrTb"/>
            <w:noWrap/>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全景摄像机</w:t>
            </w:r>
            <w:r/>
          </w:p>
        </w:tc>
        <w:tc>
          <w:tcPr>
            <w:shd w:val="clear" w:color="auto" w:fill="auto"/>
            <w:tcBorders>
              <w:top w:val="none" w:color="000000" w:sz="4" w:space="0"/>
              <w:left w:val="single" w:color="auto" w:sz="4" w:space="0"/>
              <w:bottom w:val="single" w:color="auto" w:sz="4" w:space="0"/>
              <w:right w:val="single" w:color="auto" w:sz="4" w:space="0"/>
            </w:tcBorders>
            <w:tcW w:w="5953" w:type="dxa"/>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1、采用不低于200万像素1/2.7英寸CMOS图像传感器；</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2、分辨率不低于2560x1440；</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3、内置暖光和红外补光灯，照度：彩色：0.002Lux、黑白：0.001Lux；</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4、支持音频1入1出，报警1入1出、内置MIC、扬声器；</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5、支持音频异常检测，支持声光报警联动，当报警产生时，可触发联动声音警报和灯光闪烁；</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6、支持DC12V/POE供电方式，支持反向供电。</w:t>
            </w:r>
            <w:r/>
          </w:p>
        </w:tc>
        <w:tc>
          <w:tcPr>
            <w:gridSpan w:val="2"/>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利旧9台</w:t>
            </w:r>
            <w:r/>
          </w:p>
        </w:tc>
      </w:tr>
      <w:tr>
        <w:trPr>
          <w:trHeight w:val="403"/>
        </w:trPr>
        <w:tc>
          <w:tcPr>
            <w:shd w:val="clear" w:color="auto" w:fill="auto"/>
            <w:tcBorders>
              <w:top w:val="none" w:color="000000" w:sz="4" w:space="0"/>
              <w:left w:val="single" w:color="auto"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none" w:color="000000" w:sz="4" w:space="0"/>
              <w:left w:val="none" w:color="000000" w:sz="4" w:space="0"/>
              <w:bottom w:val="single" w:color="auto" w:sz="4" w:space="0"/>
              <w:right w:val="none" w:color="000000" w:sz="4" w:space="0"/>
            </w:tcBorders>
            <w:tcW w:w="1037" w:type="dxa"/>
            <w:vAlign w:val="center"/>
            <w:textDirection w:val="lrTb"/>
            <w:noWrap/>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显示屏</w:t>
            </w:r>
            <w:r/>
          </w:p>
        </w:tc>
        <w:tc>
          <w:tcPr>
            <w:shd w:val="clear" w:color="auto" w:fill="auto"/>
            <w:tcBorders>
              <w:top w:val="none" w:color="000000" w:sz="4" w:space="0"/>
              <w:left w:val="single" w:color="auto" w:sz="4" w:space="0"/>
              <w:bottom w:val="single" w:color="auto" w:sz="4" w:space="0"/>
              <w:right w:val="single" w:color="auto" w:sz="4" w:space="0"/>
            </w:tcBorders>
            <w:tcW w:w="595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55寸Mini-LED，性能参数不低于：超高清4K/四核4G/64G内存/6.5ms/屏占比16:9/1000尼特/背光分区数300/色域值94%。</w:t>
            </w:r>
            <w:r/>
          </w:p>
        </w:tc>
        <w:tc>
          <w:tcPr>
            <w:gridSpan w:val="2"/>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403"/>
        </w:trPr>
        <w:tc>
          <w:tcPr>
            <w:shd w:val="clear" w:color="auto" w:fill="auto"/>
            <w:tcBorders>
              <w:top w:val="none" w:color="000000" w:sz="4" w:space="0"/>
              <w:left w:val="single" w:color="auto"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Borders>
              <w:top w:val="none" w:color="000000" w:sz="4" w:space="0"/>
              <w:left w:val="none" w:color="000000" w:sz="4" w:space="0"/>
              <w:bottom w:val="single" w:color="auto" w:sz="4" w:space="0"/>
              <w:right w:val="none" w:color="000000" w:sz="4" w:space="0"/>
            </w:tcBorders>
            <w:tcW w:w="1037" w:type="dxa"/>
            <w:vAlign w:val="center"/>
            <w:textDirection w:val="lrTb"/>
            <w:noWrap/>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解码器</w:t>
            </w:r>
            <w:r/>
          </w:p>
        </w:tc>
        <w:tc>
          <w:tcPr>
            <w:shd w:val="clear" w:color="auto" w:fill="auto"/>
            <w:tcBorders>
              <w:top w:val="none" w:color="000000" w:sz="4" w:space="0"/>
              <w:left w:val="single" w:color="auto" w:sz="4" w:space="0"/>
              <w:bottom w:val="single" w:color="auto" w:sz="4" w:space="0"/>
              <w:right w:val="single" w:color="auto" w:sz="4" w:space="0"/>
            </w:tcBorders>
            <w:tcW w:w="595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1、支持1路HDMI+1路VGA同源输出；</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2、支持语音对讲;画面分割：1/2/4/6/8/9/10/13/16/20A/20B/25；解码能力2路8MP/ 2路6MP/ 3路5MP/ 4路4MP/ 5路3MP/8路1080P/ 16路720P；</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3、支持报警输入/输出功能设置，支持布撤防时间设置;支持报警联动切换;</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4、支持单画面添加36路通道轮巡切换解码;</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5、支持录像文件解码输出上墙;支持网络键盘/RS485键盘通过解码器控制前端;支持透明通道传输;</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6、支持解码H.264/265编码格式;支持ONVIF标准协议接入前端设备;</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7、支持RTP/RTSP协议进行设备预览;支持平台以SDK方式集成设备;</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8、支持GB28181协议接入平台;支持WEB方式或平台访问、配置和管理;</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9、支持远程获取系统运行状态、系统日志;支持远程重启、恢复默认配置、升级等日常维护。</w:t>
            </w:r>
            <w:r/>
          </w:p>
        </w:tc>
        <w:tc>
          <w:tcPr>
            <w:gridSpan w:val="2"/>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403"/>
        </w:trPr>
        <w:tc>
          <w:tcPr>
            <w:shd w:val="clear" w:color="auto" w:fill="auto"/>
            <w:tcBorders>
              <w:top w:val="none" w:color="000000" w:sz="4" w:space="0"/>
              <w:left w:val="single" w:color="auto"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4</w:t>
            </w:r>
            <w:r/>
          </w:p>
        </w:tc>
        <w:tc>
          <w:tcPr>
            <w:shd w:val="clear" w:color="auto" w:fill="auto"/>
            <w:tcBorders>
              <w:top w:val="none" w:color="000000" w:sz="4" w:space="0"/>
              <w:left w:val="none" w:color="000000" w:sz="4" w:space="0"/>
              <w:bottom w:val="single" w:color="auto" w:sz="4" w:space="0"/>
              <w:right w:val="none" w:color="000000" w:sz="4" w:space="0"/>
            </w:tcBorders>
            <w:tcW w:w="1037" w:type="dxa"/>
            <w:vAlign w:val="center"/>
            <w:textDirection w:val="lrTb"/>
            <w:noWrap/>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巡更系统</w:t>
            </w:r>
            <w:r/>
          </w:p>
        </w:tc>
        <w:tc>
          <w:tcPr>
            <w:shd w:val="clear" w:color="auto" w:fill="auto"/>
            <w:tcBorders>
              <w:top w:val="none" w:color="000000" w:sz="4" w:space="0"/>
              <w:left w:val="single" w:color="auto" w:sz="4" w:space="0"/>
              <w:bottom w:val="single" w:color="auto" w:sz="4" w:space="0"/>
              <w:right w:val="single" w:color="auto" w:sz="4" w:space="0"/>
            </w:tcBorders>
            <w:tcW w:w="5953" w:type="dxa"/>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1、全自动感应读卡，无须按键；</w:t>
            </w:r>
            <w:r>
              <w:rPr>
                <w:rFonts w:hint="eastAsia" w:ascii="宋体" w:hAnsi="宋体" w:eastAsia="宋体" w:cs="宋体"/>
                <w:sz w:val="24"/>
                <w:szCs w:val="24"/>
              </w:rPr>
              <w:br/>
            </w:r>
            <w:r>
              <w:rPr>
                <w:rFonts w:hint="eastAsia" w:ascii="宋体" w:hAnsi="宋体" w:eastAsia="宋体" w:cs="宋体"/>
                <w:sz w:val="24"/>
                <w:szCs w:val="24"/>
              </w:rPr>
              <w:t xml:space="preserve">2、金属外壳、防水、防震、防高温、低温；</w:t>
            </w:r>
            <w:r>
              <w:rPr>
                <w:rFonts w:hint="eastAsia" w:ascii="宋体" w:hAnsi="宋体" w:eastAsia="宋体" w:cs="宋体"/>
                <w:sz w:val="24"/>
                <w:szCs w:val="24"/>
              </w:rPr>
              <w:br/>
            </w:r>
            <w:r>
              <w:rPr>
                <w:rFonts w:hint="eastAsia" w:ascii="宋体" w:hAnsi="宋体" w:eastAsia="宋体" w:cs="宋体"/>
                <w:sz w:val="24"/>
                <w:szCs w:val="24"/>
              </w:rPr>
              <w:t xml:space="preserve">3、支持简体、繁体、英文等多种语言；</w:t>
            </w:r>
            <w:r>
              <w:rPr>
                <w:rFonts w:hint="eastAsia" w:ascii="宋体" w:hAnsi="宋体" w:eastAsia="宋体" w:cs="宋体"/>
                <w:sz w:val="24"/>
                <w:szCs w:val="24"/>
              </w:rPr>
              <w:br/>
            </w:r>
            <w:r>
              <w:rPr>
                <w:rFonts w:hint="eastAsia" w:ascii="宋体" w:hAnsi="宋体" w:eastAsia="宋体" w:cs="宋体"/>
                <w:sz w:val="24"/>
                <w:szCs w:val="24"/>
              </w:rPr>
              <w:t xml:space="preserve">4、灯光+震动+中文显示提示读卡成功；</w:t>
            </w:r>
            <w:r>
              <w:rPr>
                <w:rFonts w:hint="eastAsia" w:ascii="宋体" w:hAnsi="宋体" w:eastAsia="宋体" w:cs="宋体"/>
                <w:sz w:val="24"/>
                <w:szCs w:val="24"/>
              </w:rPr>
              <w:br/>
            </w:r>
            <w:r>
              <w:rPr>
                <w:rFonts w:hint="eastAsia" w:ascii="宋体" w:hAnsi="宋体" w:eastAsia="宋体" w:cs="宋体"/>
                <w:sz w:val="24"/>
                <w:szCs w:val="24"/>
              </w:rPr>
              <w:t xml:space="preserve">5、EM感应读卡；</w:t>
            </w:r>
            <w:r>
              <w:rPr>
                <w:rFonts w:hint="eastAsia" w:ascii="宋体" w:hAnsi="宋体" w:eastAsia="宋体" w:cs="宋体"/>
                <w:sz w:val="24"/>
                <w:szCs w:val="24"/>
              </w:rPr>
              <w:br/>
            </w:r>
            <w:r>
              <w:rPr>
                <w:rFonts w:hint="eastAsia" w:ascii="宋体" w:hAnsi="宋体" w:eastAsia="宋体" w:cs="宋体"/>
                <w:sz w:val="24"/>
                <w:szCs w:val="24"/>
              </w:rPr>
              <w:t xml:space="preserve">6、数据存储记录数不少于80000条；</w:t>
            </w:r>
            <w:r>
              <w:rPr>
                <w:rFonts w:hint="eastAsia" w:ascii="宋体" w:hAnsi="宋体" w:eastAsia="宋体" w:cs="宋体"/>
                <w:sz w:val="24"/>
                <w:szCs w:val="24"/>
              </w:rPr>
              <w:br/>
            </w:r>
            <w:r>
              <w:rPr>
                <w:rFonts w:hint="eastAsia" w:ascii="宋体" w:hAnsi="宋体" w:eastAsia="宋体" w:cs="宋体"/>
                <w:sz w:val="24"/>
                <w:szCs w:val="24"/>
              </w:rPr>
              <w:t xml:space="preserve">7、掉电后数据可保存30年；</w:t>
            </w:r>
            <w:r>
              <w:rPr>
                <w:rFonts w:hint="eastAsia" w:ascii="宋体" w:hAnsi="宋体" w:eastAsia="宋体" w:cs="宋体"/>
                <w:sz w:val="24"/>
                <w:szCs w:val="24"/>
              </w:rPr>
              <w:br/>
            </w:r>
            <w:r>
              <w:rPr>
                <w:rFonts w:hint="eastAsia" w:ascii="宋体" w:hAnsi="宋体" w:eastAsia="宋体" w:cs="宋体"/>
                <w:sz w:val="24"/>
                <w:szCs w:val="24"/>
              </w:rPr>
              <w:t xml:space="preserve">8、不低于32000条抗摔记录；</w:t>
            </w:r>
            <w:r>
              <w:rPr>
                <w:rFonts w:hint="eastAsia" w:ascii="宋体" w:hAnsi="宋体" w:eastAsia="宋体" w:cs="宋体"/>
                <w:sz w:val="24"/>
                <w:szCs w:val="24"/>
              </w:rPr>
              <w:br/>
            </w:r>
            <w:r>
              <w:rPr>
                <w:rFonts w:hint="eastAsia" w:ascii="宋体" w:hAnsi="宋体" w:eastAsia="宋体" w:cs="宋体"/>
                <w:sz w:val="24"/>
                <w:szCs w:val="24"/>
              </w:rPr>
              <w:t xml:space="preserve">9、不低于IP65防水等级；</w:t>
            </w:r>
            <w:r>
              <w:rPr>
                <w:rFonts w:hint="eastAsia" w:ascii="宋体" w:hAnsi="宋体" w:eastAsia="宋体" w:cs="宋体"/>
                <w:sz w:val="24"/>
                <w:szCs w:val="24"/>
              </w:rPr>
              <w:br/>
            </w:r>
            <w:r>
              <w:rPr>
                <w:rFonts w:hint="eastAsia" w:ascii="宋体" w:hAnsi="宋体" w:eastAsia="宋体" w:cs="宋体"/>
                <w:sz w:val="24"/>
                <w:szCs w:val="24"/>
              </w:rPr>
              <w:t xml:space="preserve">10、支持强、中、弱、暴闪、SOS求救5种模式，最远射程可达50米；</w:t>
            </w:r>
            <w:r>
              <w:rPr>
                <w:rFonts w:hint="eastAsia" w:ascii="宋体" w:hAnsi="宋体" w:eastAsia="宋体" w:cs="宋体"/>
                <w:sz w:val="24"/>
                <w:szCs w:val="24"/>
              </w:rPr>
              <w:br/>
            </w:r>
            <w:r>
              <w:rPr>
                <w:rFonts w:hint="eastAsia" w:ascii="宋体" w:hAnsi="宋体" w:eastAsia="宋体" w:cs="宋体"/>
                <w:sz w:val="24"/>
                <w:szCs w:val="24"/>
              </w:rPr>
              <w:t xml:space="preserve">11、触点USB通讯。</w:t>
            </w:r>
            <w:r/>
          </w:p>
        </w:tc>
        <w:tc>
          <w:tcPr>
            <w:gridSpan w:val="2"/>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403"/>
        </w:trPr>
        <w:tc>
          <w:tcPr>
            <w:shd w:val="clear" w:color="auto" w:fill="auto"/>
            <w:tcBorders>
              <w:top w:val="none" w:color="000000" w:sz="4" w:space="0"/>
              <w:left w:val="single" w:color="auto"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shd w:val="clear" w:color="auto" w:fill="auto"/>
            <w:tcBorders>
              <w:top w:val="none" w:color="000000" w:sz="4" w:space="0"/>
              <w:left w:val="none" w:color="000000" w:sz="4" w:space="0"/>
              <w:bottom w:val="single" w:color="auto" w:sz="4" w:space="0"/>
              <w:right w:val="none" w:color="000000" w:sz="4" w:space="0"/>
            </w:tcBorders>
            <w:tcW w:w="1037" w:type="dxa"/>
            <w:vAlign w:val="center"/>
            <w:textDirection w:val="lrTb"/>
            <w:noWrap/>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对讲机</w:t>
            </w:r>
            <w:r/>
          </w:p>
        </w:tc>
        <w:tc>
          <w:tcPr>
            <w:shd w:val="clear" w:color="auto" w:fill="auto"/>
            <w:tcBorders>
              <w:top w:val="none" w:color="000000" w:sz="4" w:space="0"/>
              <w:left w:val="single" w:color="auto" w:sz="4" w:space="0"/>
              <w:bottom w:val="single" w:color="auto" w:sz="4" w:space="0"/>
              <w:right w:val="single" w:color="auto" w:sz="4" w:space="0"/>
            </w:tcBorders>
            <w:tcW w:w="5953" w:type="dxa"/>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便携式双向对讲机,5W功率,长续航，快充锂电池2000mAh,带显示屏，通话距离1-5公里，16个通话信道，采用语音亚扩技术，抗跌落防爆结构。</w:t>
            </w:r>
            <w:r/>
          </w:p>
        </w:tc>
        <w:tc>
          <w:tcPr>
            <w:gridSpan w:val="2"/>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396" w:type="dxa"/>
            <w:vAlign w:val="center"/>
            <w:textDirection w:val="lrTb"/>
            <w:noWrap/>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6</w:t>
            </w:r>
            <w:r/>
          </w:p>
        </w:tc>
        <w:tc>
          <w:tcPr>
            <w:shd w:val="clear" w:color="auto" w:fill="auto"/>
            <w:tcBorders>
              <w:top w:val="none" w:color="000000" w:sz="4" w:space="0"/>
              <w:left w:val="none" w:color="000000" w:sz="4" w:space="0"/>
              <w:bottom w:val="single" w:color="auto" w:sz="4" w:space="0"/>
              <w:right w:val="none" w:color="000000" w:sz="4" w:space="0"/>
            </w:tcBorders>
            <w:tcW w:w="1037" w:type="dxa"/>
            <w:vAlign w:val="center"/>
            <w:textDirection w:val="lrTb"/>
            <w:noWrap/>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高保真拾音器</w:t>
            </w:r>
            <w:r/>
          </w:p>
        </w:tc>
        <w:tc>
          <w:tcPr>
            <w:shd w:val="clear" w:color="auto" w:fill="auto"/>
            <w:tcBorders>
              <w:top w:val="none" w:color="000000" w:sz="4" w:space="0"/>
              <w:left w:val="single" w:color="auto" w:sz="4" w:space="0"/>
              <w:bottom w:val="single" w:color="auto" w:sz="4" w:space="0"/>
              <w:right w:val="single" w:color="auto" w:sz="4" w:space="0"/>
            </w:tcBorders>
            <w:tcW w:w="5953" w:type="dxa"/>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1、采用高保真预极化电容传声器，对前期音频无差别拾取；</w:t>
            </w:r>
            <w:r>
              <w:rPr>
                <w:rFonts w:hint="eastAsia" w:ascii="宋体" w:hAnsi="宋体" w:eastAsia="宋体" w:cs="宋体"/>
                <w:sz w:val="24"/>
                <w:szCs w:val="24"/>
              </w:rPr>
              <w:br/>
            </w:r>
            <w:r>
              <w:rPr>
                <w:rFonts w:hint="eastAsia" w:ascii="宋体" w:hAnsi="宋体" w:eastAsia="宋体" w:cs="宋体"/>
                <w:sz w:val="24"/>
                <w:szCs w:val="24"/>
              </w:rPr>
              <w:t xml:space="preserve">2、实时对拾取到的音频信号进行噪音滤除；</w:t>
            </w:r>
            <w:r>
              <w:rPr>
                <w:rFonts w:hint="eastAsia" w:ascii="宋体" w:hAnsi="宋体" w:eastAsia="宋体" w:cs="宋体"/>
                <w:sz w:val="24"/>
                <w:szCs w:val="24"/>
              </w:rPr>
              <w:br/>
            </w:r>
            <w:r>
              <w:rPr>
                <w:rFonts w:hint="eastAsia" w:ascii="宋体" w:hAnsi="宋体" w:eastAsia="宋体" w:cs="宋体"/>
                <w:sz w:val="24"/>
                <w:szCs w:val="24"/>
              </w:rPr>
              <w:t xml:space="preserve">3、内置雷击保护、电源极性反接保护和静电保护；</w:t>
            </w:r>
            <w:r>
              <w:rPr>
                <w:rFonts w:hint="eastAsia" w:ascii="宋体" w:hAnsi="宋体" w:eastAsia="宋体" w:cs="宋体"/>
                <w:sz w:val="24"/>
                <w:szCs w:val="24"/>
              </w:rPr>
              <w:br/>
            </w:r>
            <w:r>
              <w:rPr>
                <w:rFonts w:hint="eastAsia" w:ascii="宋体" w:hAnsi="宋体" w:eastAsia="宋体" w:cs="宋体"/>
                <w:sz w:val="24"/>
                <w:szCs w:val="24"/>
              </w:rPr>
              <w:t xml:space="preserve">4、内置可调电位器，音量调节最小可关闭（无声音输出）。</w:t>
            </w:r>
            <w:r/>
          </w:p>
        </w:tc>
        <w:tc>
          <w:tcPr>
            <w:gridSpan w:val="2"/>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利旧9台</w:t>
            </w:r>
            <w:r/>
          </w:p>
        </w:tc>
      </w:tr>
      <w:tr>
        <w:trPr>
          <w:trHeight w:val="360"/>
        </w:trPr>
        <w:tc>
          <w:tcPr>
            <w:gridSpan w:val="3"/>
            <w:shd w:val="clear" w:color="auto" w:fill="auto"/>
            <w:tcBorders>
              <w:top w:val="single" w:color="auto" w:sz="4" w:space="0"/>
              <w:left w:val="single" w:color="auto" w:sz="4" w:space="0"/>
              <w:bottom w:val="single" w:color="auto" w:sz="4" w:space="0"/>
              <w:right w:val="single" w:color="000000" w:sz="4" w:space="0"/>
            </w:tcBorders>
            <w:tcW w:w="7386"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二、中心机房设备</w:t>
            </w:r>
            <w:r/>
          </w:p>
        </w:tc>
        <w:tc>
          <w:tcPr>
            <w:gridSpan w:val="2"/>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none" w:color="000000" w:sz="4" w:space="0"/>
              <w:left w:val="none" w:color="000000" w:sz="4" w:space="0"/>
              <w:bottom w:val="single" w:color="auto" w:sz="4" w:space="0"/>
              <w:right w:val="none" w:color="000000" w:sz="4" w:space="0"/>
            </w:tcBorders>
            <w:tcW w:w="1037" w:type="dxa"/>
            <w:vAlign w:val="center"/>
            <w:textDirection w:val="lrTb"/>
            <w:noWrap/>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平台管理服务器</w:t>
            </w:r>
            <w:r/>
          </w:p>
        </w:tc>
        <w:tc>
          <w:tcPr>
            <w:shd w:val="clear" w:color="auto" w:fill="auto"/>
            <w:tcBorders>
              <w:top w:val="none" w:color="000000" w:sz="4" w:space="0"/>
              <w:left w:val="single" w:color="auto" w:sz="4" w:space="0"/>
              <w:bottom w:val="single" w:color="auto" w:sz="4" w:space="0"/>
              <w:right w:val="single" w:color="auto" w:sz="4" w:space="0"/>
            </w:tcBorders>
            <w:tcW w:w="5953" w:type="dxa"/>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1、2U机架式服务器；</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2、不低于2颗8核16线程处理器，主频3.0GHz；</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3、不低于64GB</w:t>
            </w:r>
            <w:r>
              <w:rPr>
                <w:rFonts w:hint="eastAsia" w:ascii="宋体" w:hAnsi="宋体" w:eastAsia="宋体" w:cs="宋体"/>
                <w:sz w:val="24"/>
                <w:szCs w:val="24"/>
              </w:rPr>
              <w:t xml:space="preserve"> </w:t>
            </w:r>
            <w:r>
              <w:rPr>
                <w:rFonts w:hint="eastAsia" w:ascii="宋体" w:hAnsi="宋体" w:eastAsia="宋体" w:cs="宋体"/>
                <w:sz w:val="24"/>
                <w:szCs w:val="24"/>
              </w:rPr>
              <w:t xml:space="preserve">DDR4 3200MHz内存，整机容量最高支持扩容至512GB；</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4、不低于4个千兆以太网口，不低于1个VGA视频接口；</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5、不低于1块4T企业级硬盘作为数据盘；</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6、支持2.5寸或3.5寸SATA硬盘，支持热插拔；</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7、不低于4个USB接口；</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8、标配1+1冗余电源，AC100V～AC240V。</w:t>
            </w:r>
            <w:r/>
          </w:p>
        </w:tc>
        <w:tc>
          <w:tcPr>
            <w:gridSpan w:val="2"/>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none" w:color="000000" w:sz="4" w:space="0"/>
              <w:left w:val="none" w:color="000000" w:sz="4" w:space="0"/>
              <w:bottom w:val="single" w:color="auto" w:sz="4" w:space="0"/>
              <w:right w:val="none" w:color="000000" w:sz="4" w:space="0"/>
            </w:tcBorders>
            <w:tcW w:w="1037" w:type="dxa"/>
            <w:vAlign w:val="center"/>
            <w:textDirection w:val="lrTb"/>
            <w:noWrap/>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执法办案区管理系统软件</w:t>
            </w:r>
            <w:r/>
          </w:p>
        </w:tc>
        <w:tc>
          <w:tcPr>
            <w:shd w:val="clear" w:color="auto" w:fill="auto"/>
            <w:tcBorders>
              <w:top w:val="none" w:color="000000" w:sz="4" w:space="0"/>
              <w:left w:val="single" w:color="auto" w:sz="4" w:space="0"/>
              <w:bottom w:val="single" w:color="auto" w:sz="4" w:space="0"/>
              <w:right w:val="single" w:color="auto" w:sz="4" w:space="0"/>
            </w:tcBorders>
            <w:tcW w:w="5953" w:type="dxa"/>
            <w:vAlign w:val="center"/>
            <w:textDirection w:val="lrTb"/>
            <w:noWrap w:val="false"/>
          </w:tcPr>
          <w:p>
            <w:pPr>
              <w:keepLines w:val="0"/>
              <w:keepNext w:val="0"/>
              <w:pageBreakBefore w:val="0"/>
              <w:spacing w:line="40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详见“</w:t>
            </w:r>
            <w:r>
              <w:rPr>
                <w:rFonts w:hint="eastAsia" w:ascii="宋体" w:hAnsi="宋体" w:eastAsia="宋体" w:cs="宋体"/>
                <w:b/>
                <w:sz w:val="24"/>
                <w:szCs w:val="24"/>
                <w:lang w:eastAsia="zh-CN"/>
              </w:rPr>
              <w:t xml:space="preserve">四</w:t>
            </w:r>
            <w:r>
              <w:rPr>
                <w:rFonts w:hint="eastAsia" w:ascii="宋体" w:hAnsi="宋体" w:eastAsia="宋体" w:cs="宋体"/>
                <w:b/>
                <w:sz w:val="24"/>
                <w:szCs w:val="24"/>
              </w:rPr>
              <w:t xml:space="preserve">、主要设备详细参数及功能要求”。</w:t>
            </w:r>
            <w:r/>
          </w:p>
        </w:tc>
        <w:tc>
          <w:tcPr>
            <w:gridSpan w:val="2"/>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Borders>
              <w:top w:val="none" w:color="000000" w:sz="4" w:space="0"/>
              <w:left w:val="none" w:color="000000" w:sz="4" w:space="0"/>
              <w:bottom w:val="single" w:color="auto" w:sz="4" w:space="0"/>
              <w:right w:val="none" w:color="000000" w:sz="4" w:space="0"/>
            </w:tcBorders>
            <w:tcW w:w="1037" w:type="dxa"/>
            <w:vAlign w:val="center"/>
            <w:textDirection w:val="lrTb"/>
            <w:noWrap/>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流媒体服务器</w:t>
            </w:r>
            <w:r/>
          </w:p>
        </w:tc>
        <w:tc>
          <w:tcPr>
            <w:shd w:val="clear" w:color="auto" w:fill="auto"/>
            <w:tcBorders>
              <w:top w:val="none" w:color="000000" w:sz="4" w:space="0"/>
              <w:left w:val="single" w:color="auto" w:sz="4" w:space="0"/>
              <w:bottom w:val="single" w:color="auto" w:sz="4" w:space="0"/>
              <w:right w:val="single" w:color="auto" w:sz="4" w:space="0"/>
            </w:tcBorders>
            <w:tcW w:w="5953" w:type="dxa"/>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1、不少于64位多核处理器、16G内存；</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2、具有PCIE插槽；具有不少于4个RJ-45网络接口、4个USB、1个RS232、1个VGA接口；具有不少于4个SATA硬盘接口； </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3、接入/转发带宽均不低于2000Mbps；RTSP接入通道不低于250路；</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4、支持Onvif，兼容主流品牌网络视频设备，可接入IPC、NVR/DVR、解码器等多种设备；</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5、支持平台级联服务，支持上下级平台间的信令转分发，支持跨网段/网关传输；</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6、可被多个上级管理平台级联访问，资源可多次共享；</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7、采用中间件技术，可分布式部署；</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8、支持管理平台根据指定路由规则，自动组建中间件集群路由连接；</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9、基于平台客户端，录像回放定位准确，支持多路回放、切片快照、录像标签、单帧播放、快放慢放、电子放大、回放抓拍，可实现秒级检索、录像解码上墙、地图回放录像；</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10、支持报警联动和报警转发。</w:t>
            </w:r>
            <w:r/>
          </w:p>
        </w:tc>
        <w:tc>
          <w:tcPr>
            <w:gridSpan w:val="2"/>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利旧1台</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6</w:t>
            </w:r>
            <w:r/>
          </w:p>
        </w:tc>
        <w:tc>
          <w:tcPr>
            <w:shd w:val="clear" w:color="auto" w:fill="auto"/>
            <w:tcBorders>
              <w:top w:val="none" w:color="000000" w:sz="4" w:space="0"/>
              <w:left w:val="none" w:color="000000" w:sz="4" w:space="0"/>
              <w:bottom w:val="single" w:color="auto" w:sz="4" w:space="0"/>
              <w:right w:val="none" w:color="000000" w:sz="4" w:space="0"/>
            </w:tcBorders>
            <w:tcW w:w="1037" w:type="dxa"/>
            <w:vAlign w:val="center"/>
            <w:textDirection w:val="lrTb"/>
            <w:noWrap/>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数据中心服务器</w:t>
            </w:r>
            <w:r/>
          </w:p>
        </w:tc>
        <w:tc>
          <w:tcPr>
            <w:shd w:val="clear" w:color="auto" w:fill="auto"/>
            <w:tcBorders>
              <w:top w:val="none" w:color="000000" w:sz="4" w:space="0"/>
              <w:left w:val="single" w:color="auto" w:sz="4" w:space="0"/>
              <w:bottom w:val="single" w:color="auto" w:sz="4" w:space="0"/>
              <w:right w:val="single" w:color="auto" w:sz="4" w:space="0"/>
            </w:tcBorders>
            <w:tcW w:w="5953" w:type="dxa"/>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1、2U机架式服务器；</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2、不低于1颗16核32线程处理器，主频2.8GHz；</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3、不低于128GB</w:t>
            </w:r>
            <w:r>
              <w:rPr>
                <w:rFonts w:hint="eastAsia" w:ascii="宋体" w:hAnsi="宋体" w:eastAsia="宋体" w:cs="宋体"/>
                <w:sz w:val="24"/>
                <w:szCs w:val="24"/>
              </w:rPr>
              <w:t xml:space="preserve"> </w:t>
            </w:r>
            <w:r>
              <w:rPr>
                <w:rFonts w:hint="eastAsia" w:ascii="宋体" w:hAnsi="宋体" w:eastAsia="宋体" w:cs="宋体"/>
                <w:sz w:val="24"/>
                <w:szCs w:val="24"/>
              </w:rPr>
              <w:t xml:space="preserve">DDR4 3200MHz内存，整机容量最高支持扩容至256GB；</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4、不低于4个千兆以太网口，不低于1个VGA视频接口；</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5、不低于2块480G SSD作为系统盘，2块4T企业级硬盘作为数据盘；</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6、支持2.5寸或3.5寸SATA硬盘，支持热插拔；</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7、不低于4个USB接口；</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8、标配1+1冗余电源，AC100V～AC240V。</w:t>
            </w:r>
            <w:r/>
          </w:p>
        </w:tc>
        <w:tc>
          <w:tcPr>
            <w:gridSpan w:val="2"/>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129"/>
        </w:trPr>
        <w:tc>
          <w:tcPr>
            <w:shd w:val="clear" w:color="auto" w:fill="auto"/>
            <w:tcBorders>
              <w:top w:val="none" w:color="000000" w:sz="4" w:space="0"/>
              <w:left w:val="single" w:color="auto"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w:t>
            </w:r>
            <w:r/>
          </w:p>
        </w:tc>
        <w:tc>
          <w:tcPr>
            <w:shd w:val="clear" w:color="auto" w:fill="auto"/>
            <w:tcBorders>
              <w:top w:val="none" w:color="000000" w:sz="4" w:space="0"/>
              <w:left w:val="none" w:color="000000" w:sz="4" w:space="0"/>
              <w:bottom w:val="single" w:color="auto" w:sz="4" w:space="0"/>
              <w:right w:val="none" w:color="000000" w:sz="4" w:space="0"/>
            </w:tcBorders>
            <w:tcW w:w="1037" w:type="dxa"/>
            <w:vAlign w:val="center"/>
            <w:textDirection w:val="lrTb"/>
            <w:noWrap/>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数据对接接口</w:t>
            </w:r>
            <w:r>
              <w:rPr>
                <w:rFonts w:hint="eastAsia" w:ascii="宋体" w:hAnsi="宋体" w:eastAsia="宋体" w:cs="宋体"/>
                <w:sz w:val="24"/>
                <w:szCs w:val="24"/>
              </w:rPr>
              <w:t xml:space="preserve">（本地化适配部署版）</w:t>
            </w:r>
            <w:r/>
          </w:p>
        </w:tc>
        <w:tc>
          <w:tcPr>
            <w:shd w:val="clear" w:color="auto" w:fill="auto"/>
            <w:tcBorders>
              <w:top w:val="none" w:color="000000" w:sz="4" w:space="0"/>
              <w:left w:val="single" w:color="auto" w:sz="4" w:space="0"/>
              <w:bottom w:val="single" w:color="auto" w:sz="4" w:space="0"/>
              <w:right w:val="single" w:color="auto" w:sz="4" w:space="0"/>
            </w:tcBorders>
            <w:tcW w:w="5953" w:type="dxa"/>
            <w:vAlign w:val="center"/>
            <w:textDirection w:val="lrTb"/>
            <w:noWrap w:val="false"/>
          </w:tcPr>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执法办案中心系统平台本地化部署数据对接接口。定制办案中心信息对接接口、办案区入区出区人员信息对接接口、办案区预警信息对接接口，将入办案中心人员、案件信息等数据推送江苏省公安厅及无锡、江阴公安相关业务平台系统，满足公安实战业务需求。</w:t>
            </w:r>
            <w:r/>
          </w:p>
        </w:tc>
        <w:tc>
          <w:tcPr>
            <w:gridSpan w:val="2"/>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p>
        </w:tc>
        <w:tc>
          <w:tcPr>
            <w:shd w:val="clear" w:color="auto" w:fill="auto"/>
            <w:tcBorders>
              <w:top w:val="none" w:color="000000" w:sz="4" w:space="0"/>
              <w:left w:val="none" w:color="000000" w:sz="4" w:space="0"/>
              <w:bottom w:val="single" w:color="auto" w:sz="4" w:space="0"/>
              <w:right w:val="none" w:color="000000" w:sz="4" w:space="0"/>
            </w:tcBorders>
            <w:tcW w:w="1037" w:type="dxa"/>
            <w:vAlign w:val="center"/>
            <w:textDirection w:val="lrTb"/>
            <w:noWrap/>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AI智能分析服务器</w:t>
            </w:r>
            <w:r/>
          </w:p>
        </w:tc>
        <w:tc>
          <w:tcPr>
            <w:shd w:val="clear" w:color="auto" w:fill="auto"/>
            <w:tcBorders>
              <w:top w:val="none" w:color="000000" w:sz="4" w:space="0"/>
              <w:left w:val="single" w:color="auto" w:sz="4" w:space="0"/>
              <w:bottom w:val="single" w:color="auto" w:sz="4" w:space="0"/>
              <w:right w:val="single" w:color="auto" w:sz="4" w:space="0"/>
            </w:tcBorders>
            <w:tcW w:w="5953" w:type="dxa"/>
            <w:textDirection w:val="lrTb"/>
            <w:noWrap w:val="false"/>
          </w:tcPr>
          <w:p>
            <w:pPr>
              <w:jc w:val="left"/>
              <w:keepLines w:val="0"/>
              <w:keepNext w:val="0"/>
              <w:pageBreakBefore w:val="0"/>
              <w:spacing w:line="400" w:lineRule="exact"/>
              <w:widowControl/>
              <w:rPr>
                <w:rFonts w:hint="eastAsia" w:ascii="宋体" w:hAnsi="宋体" w:eastAsia="宋体" w:cs="宋体"/>
                <w:b/>
                <w:sz w:val="24"/>
                <w:szCs w:val="24"/>
              </w:rPr>
            </w:pPr>
            <w:r>
              <w:rPr>
                <w:rFonts w:hint="eastAsia" w:ascii="宋体" w:hAnsi="宋体" w:eastAsia="宋体" w:cs="宋体"/>
                <w:sz w:val="24"/>
                <w:szCs w:val="24"/>
              </w:rPr>
              <w:t xml:space="preserve">1、配置2颗不低于32核CPU，主频不低于2.6GHz；</w:t>
            </w:r>
            <w:r>
              <w:rPr>
                <w:rFonts w:hint="eastAsia" w:ascii="宋体" w:hAnsi="宋体" w:eastAsia="宋体" w:cs="宋体"/>
                <w:sz w:val="24"/>
                <w:szCs w:val="24"/>
              </w:rPr>
              <w:br/>
            </w:r>
            <w:r>
              <w:rPr>
                <w:rFonts w:hint="eastAsia" w:ascii="宋体" w:hAnsi="宋体" w:eastAsia="宋体" w:cs="宋体"/>
                <w:sz w:val="24"/>
                <w:szCs w:val="24"/>
              </w:rPr>
              <w:t xml:space="preserve">2、配置不少于8张高性能GPU卡；单卡提供140TOPS INT8、70TFLOPS FP16（48G，128路1080P 30FPS，72W）算力；</w:t>
            </w:r>
            <w:r>
              <w:rPr>
                <w:rFonts w:hint="eastAsia" w:ascii="宋体" w:hAnsi="宋体" w:eastAsia="宋体" w:cs="宋体"/>
                <w:sz w:val="24"/>
                <w:szCs w:val="24"/>
              </w:rPr>
              <w:br/>
            </w:r>
            <w:r>
              <w:rPr>
                <w:rFonts w:hint="eastAsia" w:ascii="宋体" w:hAnsi="宋体" w:eastAsia="宋体" w:cs="宋体"/>
                <w:sz w:val="24"/>
                <w:szCs w:val="24"/>
              </w:rPr>
              <w:t xml:space="preserve">3、内存：不低于64GB 3200M DDR4；</w:t>
            </w:r>
            <w:r>
              <w:rPr>
                <w:rFonts w:hint="eastAsia" w:ascii="宋体" w:hAnsi="宋体" w:eastAsia="宋体" w:cs="宋体"/>
                <w:sz w:val="24"/>
                <w:szCs w:val="24"/>
              </w:rPr>
              <w:br/>
            </w:r>
            <w:r>
              <w:rPr>
                <w:rFonts w:hint="eastAsia" w:ascii="宋体" w:hAnsi="宋体" w:eastAsia="宋体" w:cs="宋体"/>
                <w:sz w:val="24"/>
                <w:szCs w:val="24"/>
              </w:rPr>
              <w:t xml:space="preserve">4、硬盘：配置不少于960G SSD * 2；</w:t>
            </w:r>
            <w:r>
              <w:rPr>
                <w:rFonts w:hint="eastAsia" w:ascii="宋体" w:hAnsi="宋体" w:eastAsia="宋体" w:cs="宋体"/>
                <w:sz w:val="24"/>
                <w:szCs w:val="24"/>
              </w:rPr>
              <w:br/>
            </w:r>
            <w:r>
              <w:rPr>
                <w:rFonts w:hint="eastAsia" w:ascii="宋体" w:hAnsi="宋体" w:eastAsia="宋体" w:cs="宋体"/>
                <w:sz w:val="24"/>
                <w:szCs w:val="24"/>
              </w:rPr>
              <w:t xml:space="preserve">5、网络接口：配置不少于2个千兆电口，2个万兆光口，1个RJ45管理口；</w:t>
            </w:r>
            <w:r>
              <w:rPr>
                <w:rFonts w:hint="eastAsia" w:ascii="宋体" w:hAnsi="宋体" w:eastAsia="宋体" w:cs="宋体"/>
                <w:sz w:val="24"/>
                <w:szCs w:val="24"/>
              </w:rPr>
              <w:br/>
            </w:r>
            <w:r>
              <w:rPr>
                <w:rFonts w:hint="eastAsia" w:ascii="宋体" w:hAnsi="宋体" w:eastAsia="宋体" w:cs="宋体"/>
                <w:sz w:val="24"/>
                <w:szCs w:val="24"/>
              </w:rPr>
              <w:t xml:space="preserve">6、其它接口：提供不少于8个PCIe4.0X8槽位，均支持75W以下GPU；</w:t>
            </w:r>
            <w:r>
              <w:rPr>
                <w:rFonts w:hint="eastAsia" w:ascii="宋体" w:hAnsi="宋体" w:eastAsia="宋体" w:cs="宋体"/>
                <w:sz w:val="24"/>
                <w:szCs w:val="24"/>
              </w:rPr>
              <w:br/>
            </w:r>
            <w:r>
              <w:rPr>
                <w:rFonts w:hint="eastAsia" w:ascii="宋体" w:hAnsi="宋体" w:eastAsia="宋体" w:cs="宋体"/>
                <w:sz w:val="24"/>
                <w:szCs w:val="24"/>
              </w:rPr>
              <w:t xml:space="preserve">7、电源模块：配置不低于2000W 白金AC电源。</w:t>
            </w:r>
            <w:r/>
          </w:p>
        </w:tc>
        <w:tc>
          <w:tcPr>
            <w:gridSpan w:val="2"/>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9</w:t>
            </w:r>
            <w:r/>
          </w:p>
        </w:tc>
        <w:tc>
          <w:tcPr>
            <w:shd w:val="clear" w:color="auto" w:fill="auto"/>
            <w:tcBorders>
              <w:top w:val="none" w:color="000000" w:sz="4" w:space="0"/>
              <w:left w:val="none" w:color="000000" w:sz="4" w:space="0"/>
              <w:bottom w:val="single" w:color="auto" w:sz="4" w:space="0"/>
              <w:right w:val="none" w:color="000000" w:sz="4" w:space="0"/>
            </w:tcBorders>
            <w:tcW w:w="1037" w:type="dxa"/>
            <w:vAlign w:val="center"/>
            <w:textDirection w:val="lrTb"/>
            <w:noWrap/>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网关主机</w:t>
            </w:r>
            <w:r/>
          </w:p>
        </w:tc>
        <w:tc>
          <w:tcPr>
            <w:shd w:val="clear" w:color="auto" w:fill="auto"/>
            <w:tcBorders>
              <w:top w:val="none" w:color="000000" w:sz="4" w:space="0"/>
              <w:left w:val="single" w:color="auto" w:sz="4" w:space="0"/>
              <w:bottom w:val="single" w:color="auto" w:sz="4" w:space="0"/>
              <w:right w:val="single" w:color="auto" w:sz="4" w:space="0"/>
            </w:tcBorders>
            <w:tcW w:w="5953" w:type="dxa"/>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1、不少于64位多核处理器、16G内存；</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2、具有PCIE插槽；具有不少于4个RJ-45网络接口、4个USB、1个RS232、1个VGA接口；</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3、具有不少于4个SATA硬盘接口；</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4、支持国标GB/T 28181视频监控接口协议和基于SIP标准规范的其他协议；</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5、支持同时向多个上级平台注册，支持同时对接多个下级平台，视频通道数量管理能力不低于5万路，接入/转发带宽均不低于：TCP模式1000Mbps、UDP模式400Mbps；</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6、可接入符合国标GB/T 28181协议的IPC、NVR/DVR、解码器等主流品牌设备；</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7、支持负载均衡，保证部署多台网关转发视频的可靠性；</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8、支持穿越网闸或视频安全接入平台，实现外网视频资源对接到内网；</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9、支持安全认证及权限管理，保证调用监控资源的合规性；</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10、支持设备注册注销、心跳保活、目录查询、实时预览、云台控制、录像文件的检索回放下载、手动录像、报警管理、布撤防、设备信息查询、设备状态查询、设备远程启动、设备校时等国标联网功能；</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11、支持目录主动推送、资源实时同步、冗余资源处理、资源选择性共享等扩展联网功能；</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12、可实现设备信息及状态查询、实时点播、云台控制、视音频文件检索及下载、回放及回放控制、布撤防、设备远程启动等功能；</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13、可查看网关的工作状态，可对接入的设备资源进行统计；</w:t>
            </w:r>
            <w:r/>
          </w:p>
          <w:p>
            <w:pPr>
              <w:jc w:val="left"/>
              <w:keepLines w:val="0"/>
              <w:keepNext w:val="0"/>
              <w:pageBreakBefore w:val="0"/>
              <w:spacing w:line="400" w:lineRule="exact"/>
              <w:widowControl/>
              <w:rPr>
                <w:rFonts w:hint="eastAsia" w:ascii="宋体" w:hAnsi="宋体" w:eastAsia="宋体" w:cs="宋体"/>
                <w:b/>
                <w:sz w:val="24"/>
                <w:szCs w:val="24"/>
              </w:rPr>
            </w:pPr>
            <w:r>
              <w:rPr>
                <w:rFonts w:hint="eastAsia" w:ascii="宋体" w:hAnsi="宋体" w:eastAsia="宋体" w:cs="宋体"/>
                <w:sz w:val="24"/>
                <w:szCs w:val="24"/>
              </w:rPr>
              <w:t xml:space="preserve">14、支持PS、RTP+PS封装格式和H.264等编码格式输出。</w:t>
            </w:r>
            <w:r/>
          </w:p>
        </w:tc>
        <w:tc>
          <w:tcPr>
            <w:gridSpan w:val="2"/>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p>
        </w:tc>
        <w:tc>
          <w:tcPr>
            <w:shd w:val="clear" w:color="auto" w:fill="auto"/>
            <w:tcBorders>
              <w:top w:val="none" w:color="000000" w:sz="4" w:space="0"/>
              <w:left w:val="none" w:color="000000" w:sz="4" w:space="0"/>
              <w:bottom w:val="single" w:color="auto" w:sz="4" w:space="0"/>
              <w:right w:val="none" w:color="000000" w:sz="4" w:space="0"/>
            </w:tcBorders>
            <w:tcW w:w="1037" w:type="dxa"/>
            <w:vAlign w:val="center"/>
            <w:textDirection w:val="lrTb"/>
            <w:noWrap/>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校时服务器</w:t>
            </w:r>
            <w:r/>
          </w:p>
        </w:tc>
        <w:tc>
          <w:tcPr>
            <w:shd w:val="clear" w:color="auto" w:fill="auto"/>
            <w:tcBorders>
              <w:top w:val="none" w:color="000000" w:sz="4" w:space="0"/>
              <w:left w:val="single" w:color="auto" w:sz="4" w:space="0"/>
              <w:bottom w:val="single" w:color="auto" w:sz="4" w:space="0"/>
              <w:right w:val="single" w:color="auto" w:sz="4" w:space="0"/>
            </w:tcBorders>
            <w:tcW w:w="5953" w:type="dxa"/>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1、支持以GPS、北斗、GLONASS和QZSS定时信号建立时间参考；</w:t>
            </w:r>
            <w:r>
              <w:rPr>
                <w:rFonts w:hint="eastAsia" w:ascii="宋体" w:hAnsi="宋体" w:eastAsia="宋体" w:cs="宋体"/>
                <w:sz w:val="24"/>
                <w:szCs w:val="24"/>
              </w:rPr>
              <w:br/>
            </w:r>
            <w:r>
              <w:rPr>
                <w:rFonts w:hint="eastAsia" w:ascii="宋体" w:hAnsi="宋体" w:eastAsia="宋体" w:cs="宋体"/>
                <w:sz w:val="24"/>
                <w:szCs w:val="24"/>
              </w:rPr>
              <w:t xml:space="preserve">2、提供6路NTP网络授时接口；</w:t>
            </w:r>
            <w:r>
              <w:rPr>
                <w:rFonts w:hint="eastAsia" w:ascii="宋体" w:hAnsi="宋体" w:eastAsia="宋体" w:cs="宋体"/>
                <w:sz w:val="24"/>
                <w:szCs w:val="24"/>
              </w:rPr>
              <w:br/>
            </w:r>
            <w:r>
              <w:rPr>
                <w:rFonts w:hint="eastAsia" w:ascii="宋体" w:hAnsi="宋体" w:eastAsia="宋体" w:cs="宋体"/>
                <w:sz w:val="24"/>
                <w:szCs w:val="24"/>
              </w:rPr>
              <w:t xml:space="preserve">3、前面板显示年月日时分秒、卫星颗数及天线状态、电源状态、GNSS状态、NTP授时状态、告警状态等信息；</w:t>
            </w:r>
            <w:r>
              <w:rPr>
                <w:rFonts w:hint="eastAsia" w:ascii="宋体" w:hAnsi="宋体" w:eastAsia="宋体" w:cs="宋体"/>
                <w:sz w:val="24"/>
                <w:szCs w:val="24"/>
              </w:rPr>
              <w:br/>
            </w:r>
            <w:r>
              <w:rPr>
                <w:rFonts w:hint="eastAsia" w:ascii="宋体" w:hAnsi="宋体" w:eastAsia="宋体" w:cs="宋体"/>
                <w:sz w:val="24"/>
                <w:szCs w:val="24"/>
              </w:rPr>
              <w:t xml:space="preserve">4、支持目前主流操作系统时间同步；</w:t>
            </w:r>
            <w:r>
              <w:rPr>
                <w:rFonts w:hint="eastAsia" w:ascii="宋体" w:hAnsi="宋体" w:eastAsia="宋体" w:cs="宋体"/>
                <w:sz w:val="24"/>
                <w:szCs w:val="24"/>
              </w:rPr>
              <w:br/>
            </w:r>
            <w:r>
              <w:rPr>
                <w:rFonts w:hint="eastAsia" w:ascii="宋体" w:hAnsi="宋体" w:eastAsia="宋体" w:cs="宋体"/>
                <w:sz w:val="24"/>
                <w:szCs w:val="24"/>
              </w:rPr>
              <w:t xml:space="preserve">5、支持NTP v1.v2.v3&amp;v4(RFC1119&amp;1305),SNTP(RFC2030)等协议。</w:t>
            </w:r>
            <w:r/>
          </w:p>
        </w:tc>
        <w:tc>
          <w:tcPr>
            <w:gridSpan w:val="2"/>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910"/>
        </w:trPr>
        <w:tc>
          <w:tcPr>
            <w:shd w:val="clear" w:color="auto" w:fill="auto"/>
            <w:tcBorders>
              <w:top w:val="none" w:color="000000" w:sz="4" w:space="0"/>
              <w:left w:val="single" w:color="auto"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1</w:t>
            </w:r>
            <w:r/>
          </w:p>
        </w:tc>
        <w:tc>
          <w:tcPr>
            <w:shd w:val="clear" w:color="auto" w:fill="auto"/>
            <w:tcBorders>
              <w:top w:val="none" w:color="000000" w:sz="4" w:space="0"/>
              <w:left w:val="none" w:color="000000" w:sz="4" w:space="0"/>
              <w:bottom w:val="single" w:color="auto" w:sz="4" w:space="0"/>
              <w:right w:val="none" w:color="000000" w:sz="4" w:space="0"/>
            </w:tcBorders>
            <w:tcW w:w="1037" w:type="dxa"/>
            <w:vAlign w:val="center"/>
            <w:textDirection w:val="lrTb"/>
            <w:noWrap/>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16T企业级硬盘</w:t>
            </w:r>
            <w:r/>
          </w:p>
        </w:tc>
        <w:tc>
          <w:tcPr>
            <w:shd w:val="clear" w:color="auto" w:fill="auto"/>
            <w:tcBorders>
              <w:top w:val="none" w:color="000000" w:sz="4" w:space="0"/>
              <w:left w:val="single" w:color="auto" w:sz="4" w:space="0"/>
              <w:bottom w:val="single" w:color="auto" w:sz="4" w:space="0"/>
              <w:right w:val="single" w:color="auto" w:sz="4" w:space="0"/>
            </w:tcBorders>
            <w:tcW w:w="5953" w:type="dxa"/>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企业级16TB，支持温度传感器；128MB缓存；平均故障间隔时间MTBF：2,000,000小时；转速：7200rpm；接口访问速度：6.0、 3.0、 1.5 Gb/秒；最高可持续传输率：215MB/秒；平均闲置功率5.45瓦；平均运行功率6.9 瓦；电源+12V和+5V；运行时温度 5~60°C。</w:t>
            </w:r>
            <w:r>
              <w:rPr>
                <w:rFonts w:hint="eastAsia" w:ascii="宋体" w:hAnsi="宋体" w:eastAsia="宋体" w:cs="宋体"/>
                <w:b/>
                <w:sz w:val="24"/>
                <w:szCs w:val="24"/>
              </w:rPr>
              <w:t xml:space="preserve">（质保五年且故障硬盘不予返还）</w:t>
            </w:r>
            <w:r/>
          </w:p>
        </w:tc>
        <w:tc>
          <w:tcPr>
            <w:gridSpan w:val="2"/>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114</w:t>
            </w:r>
            <w:r/>
          </w:p>
        </w:tc>
        <w:tc>
          <w:tcPr>
            <w:shd w:val="clear" w:color="auto" w:fill="auto"/>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360"/>
        </w:trPr>
        <w:tc>
          <w:tcPr>
            <w:gridSpan w:val="8"/>
            <w:shd w:val="clear" w:color="auto" w:fill="auto"/>
            <w:tcBorders>
              <w:top w:val="single" w:color="auto" w:sz="4" w:space="0"/>
              <w:left w:val="single" w:color="auto" w:sz="4" w:space="0"/>
              <w:bottom w:val="single" w:color="auto" w:sz="4" w:space="0"/>
              <w:right w:val="none" w:color="000000" w:sz="4" w:space="0"/>
            </w:tcBorders>
            <w:tcW w:w="9554"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三、门禁系统</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none" w:color="000000" w:sz="4" w:space="0"/>
              <w:left w:val="none" w:color="000000" w:sz="4" w:space="0"/>
              <w:bottom w:val="single" w:color="auto" w:sz="4" w:space="0"/>
              <w:right w:val="none" w:color="000000" w:sz="4" w:space="0"/>
            </w:tcBorders>
            <w:tcW w:w="1037" w:type="dxa"/>
            <w:vAlign w:val="center"/>
            <w:textDirection w:val="lrTb"/>
            <w:noWrap/>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国密门禁整体改造</w:t>
            </w:r>
            <w:r/>
          </w:p>
        </w:tc>
        <w:tc>
          <w:tcPr>
            <w:shd w:val="clear" w:color="auto" w:fill="auto"/>
            <w:tcBorders>
              <w:top w:val="none" w:color="000000" w:sz="4" w:space="0"/>
              <w:left w:val="single" w:color="auto" w:sz="4" w:space="0"/>
              <w:bottom w:val="single" w:color="auto" w:sz="4" w:space="0"/>
              <w:right w:val="single" w:color="auto" w:sz="4" w:space="0"/>
            </w:tcBorders>
            <w:tcW w:w="5953" w:type="dxa"/>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对原有门禁（总计63个非国密密码门禁）系统，在充分利旧原有线路及四门控制器、电磁锁等旧硬件设备的基础上进行整体改造，替换为满足国密标准的刷卡门禁，其中：</w:t>
            </w:r>
            <w:r/>
          </w:p>
          <w:p>
            <w:pPr>
              <w:jc w:val="left"/>
              <w:keepLines w:val="0"/>
              <w:keepNext w:val="0"/>
              <w:pageBreakBefore w:val="0"/>
              <w:spacing w:line="40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1、门禁加密读头不少于63个：</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支持MIFARE Classic Mini/EV1, MIFARE DESFire EV1/Light/EV2/EV3, MIFARE Plus S/X , MIFARE Ultralight/Ultralight C/Ultralight EV1, NTAG2xx物理卡号；支持CPU/MIFARE S50/S70卡物理卡号和加密内容；</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支持身份证物理卡号；支持ISO15693卡片物理卡号；支持HID iClass物理卡号；支持WG34 WG26 WG66通讯。</w:t>
            </w:r>
            <w:r/>
          </w:p>
          <w:p>
            <w:pPr>
              <w:jc w:val="left"/>
              <w:keepLines w:val="0"/>
              <w:keepNext w:val="0"/>
              <w:pageBreakBefore w:val="0"/>
              <w:spacing w:line="40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2、智能加密卡片不少于50张：</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卡内的集成电路中带有微处理器CPU、存储单元（包括随机存储器RAM、程序存储器ROM（FLASH）、用户数据存储器EEPROM）以及芯片操作系统COS。</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b/>
                <w:sz w:val="24"/>
                <w:szCs w:val="24"/>
              </w:rPr>
              <w:t xml:space="preserve">3、加密读卡器不少于1台：</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支持符合ISO14443A协议的卡片的物理卡号(包括D300MWAPLUS(D147)50/S70/desfire/NTAG213/NTAG216/ultralight/FM1204/FM1208)，支持MFS50/S70读写，支持CPU卡读写，工作频率:125KHz。</w:t>
            </w:r>
            <w:r/>
          </w:p>
        </w:tc>
        <w:tc>
          <w:tcPr>
            <w:gridSpan w:val="2"/>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shd w:val="clear" w:color="auto" w:fill="auto"/>
            <w:tcBorders>
              <w:top w:val="none" w:color="000000" w:sz="4" w:space="0"/>
              <w:left w:val="none" w:color="000000" w:sz="4" w:space="0"/>
              <w:bottom w:val="single" w:color="auto" w:sz="4" w:space="0"/>
              <w:right w:val="none" w:color="000000" w:sz="4" w:space="0"/>
            </w:tcBorders>
            <w:tcW w:w="4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360"/>
        </w:trPr>
        <w:tc>
          <w:tcPr>
            <w:gridSpan w:val="8"/>
            <w:shd w:val="clear" w:color="auto" w:fill="auto"/>
            <w:tcBorders>
              <w:top w:val="single" w:color="auto" w:sz="4" w:space="0"/>
              <w:left w:val="single" w:color="auto" w:sz="4" w:space="0"/>
              <w:bottom w:val="single" w:color="auto" w:sz="4" w:space="0"/>
              <w:right w:val="none" w:color="000000" w:sz="4" w:space="0"/>
            </w:tcBorders>
            <w:tcW w:w="9554"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四、计算机网络及机房</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37" w:type="dxa"/>
            <w:vAlign w:val="center"/>
            <w:textDirection w:val="lrTb"/>
            <w:noWrap/>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汇聚交换机（监控用）</w:t>
            </w:r>
            <w:r/>
          </w:p>
        </w:tc>
        <w:tc>
          <w:tcPr>
            <w:shd w:val="clear" w:color="auto" w:fill="auto"/>
            <w:tcBorders>
              <w:top w:val="none" w:color="000000" w:sz="4" w:space="0"/>
              <w:left w:val="none" w:color="000000" w:sz="4" w:space="0"/>
              <w:bottom w:val="single" w:color="auto" w:sz="4" w:space="0"/>
              <w:right w:val="single" w:color="auto" w:sz="4" w:space="0"/>
            </w:tcBorders>
            <w:tcW w:w="5953"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性能参数不低于：</w:t>
            </w:r>
            <w:r/>
          </w:p>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L3,24个千兆电端口+4个万兆SFP端口,1个Slot，758Gbps/7.58Tbps，222Mpps。</w:t>
            </w:r>
            <w:r/>
          </w:p>
        </w:tc>
        <w:tc>
          <w:tcPr>
            <w:gridSpan w:val="2"/>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37" w:type="dxa"/>
            <w:vAlign w:val="center"/>
            <w:textDirection w:val="lrTb"/>
            <w:noWrap/>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24口POE交换机（摄像机用）</w:t>
            </w:r>
            <w:r/>
          </w:p>
        </w:tc>
        <w:tc>
          <w:tcPr>
            <w:shd w:val="clear" w:color="auto" w:fill="auto"/>
            <w:tcBorders>
              <w:top w:val="none" w:color="000000" w:sz="4" w:space="0"/>
              <w:left w:val="none" w:color="000000" w:sz="4" w:space="0"/>
              <w:bottom w:val="single" w:color="auto" w:sz="4" w:space="0"/>
              <w:right w:val="single" w:color="auto" w:sz="4" w:space="0"/>
            </w:tcBorders>
            <w:tcW w:w="5953"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性能参数不低于：</w:t>
            </w:r>
            <w:r/>
          </w:p>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24个10/100/1000Mbps自适应电口交换机(支持POE/POE+，POE功率370W,单口最大30W)，固化4个SFP千兆光口。</w:t>
            </w:r>
            <w:r/>
          </w:p>
        </w:tc>
        <w:tc>
          <w:tcPr>
            <w:gridSpan w:val="2"/>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037" w:type="dxa"/>
            <w:vAlign w:val="center"/>
            <w:textDirection w:val="lrTb"/>
            <w:noWrap/>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8口交换机（26间房）</w:t>
            </w:r>
            <w:r/>
          </w:p>
        </w:tc>
        <w:tc>
          <w:tcPr>
            <w:shd w:val="clear" w:color="auto" w:fill="auto"/>
            <w:tcBorders>
              <w:top w:val="none" w:color="000000" w:sz="4" w:space="0"/>
              <w:left w:val="none" w:color="000000" w:sz="4" w:space="0"/>
              <w:bottom w:val="single" w:color="auto" w:sz="4" w:space="0"/>
              <w:right w:val="single" w:color="auto" w:sz="4" w:space="0"/>
            </w:tcBorders>
            <w:tcW w:w="5953" w:type="dxa"/>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性能参数不低于：</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‌‌背板带宽‌：20Gbps；‌包转发率‌：14.9Mbps；</w:t>
            </w:r>
            <w:r>
              <w:rPr>
                <w:rFonts w:hint="eastAsia" w:ascii="宋体" w:hAnsi="宋体" w:eastAsia="宋体" w:cs="宋体"/>
                <w:sz w:val="24"/>
                <w:szCs w:val="24"/>
              </w:rPr>
              <w:br/>
            </w:r>
            <w:r>
              <w:rPr>
                <w:rFonts w:hint="eastAsia" w:ascii="宋体" w:hAnsi="宋体" w:eastAsia="宋体" w:cs="宋体"/>
                <w:sz w:val="24"/>
                <w:szCs w:val="24"/>
              </w:rPr>
              <w:t xml:space="preserve">‌端口结构‌：非模块化；‌端口数量‌：10个；</w:t>
            </w:r>
            <w:r>
              <w:rPr>
                <w:rFonts w:hint="eastAsia" w:ascii="宋体" w:hAnsi="宋体" w:eastAsia="宋体" w:cs="宋体"/>
                <w:sz w:val="24"/>
                <w:szCs w:val="24"/>
              </w:rPr>
              <w:br/>
            </w:r>
            <w:r>
              <w:rPr>
                <w:rFonts w:hint="eastAsia" w:ascii="宋体" w:hAnsi="宋体" w:eastAsia="宋体" w:cs="宋体"/>
                <w:sz w:val="24"/>
                <w:szCs w:val="24"/>
              </w:rPr>
              <w:t xml:space="preserve">‌端口描述‌：8个10/100/1000Mbps自适应以太网端口，2个1000Base-X SFP端口；</w:t>
            </w:r>
            <w:r>
              <w:rPr>
                <w:rFonts w:hint="eastAsia" w:ascii="宋体" w:hAnsi="宋体" w:eastAsia="宋体" w:cs="宋体"/>
                <w:sz w:val="24"/>
                <w:szCs w:val="24"/>
              </w:rPr>
              <w:br/>
            </w:r>
            <w:r>
              <w:rPr>
                <w:rFonts w:hint="eastAsia" w:ascii="宋体" w:hAnsi="宋体" w:eastAsia="宋体" w:cs="宋体"/>
                <w:sz w:val="24"/>
                <w:szCs w:val="24"/>
              </w:rPr>
              <w:t xml:space="preserve">‌传输模式‌：全双工/半双工自适应；</w:t>
            </w:r>
            <w:r>
              <w:rPr>
                <w:rFonts w:hint="eastAsia" w:ascii="宋体" w:hAnsi="宋体" w:eastAsia="宋体" w:cs="宋体"/>
                <w:sz w:val="24"/>
                <w:szCs w:val="24"/>
              </w:rPr>
              <w:br/>
            </w:r>
            <w:r>
              <w:rPr>
                <w:rFonts w:hint="eastAsia" w:ascii="宋体" w:hAnsi="宋体" w:eastAsia="宋体" w:cs="宋体"/>
                <w:sz w:val="24"/>
                <w:szCs w:val="24"/>
              </w:rPr>
              <w:t xml:space="preserve">‌网络标准‌：IEEE802.3、IEEE802.3u、IEEE802.3ab、ANSI/IEEE 802.3、NWay自动协商、IEEE802.3x；‌VLAN支持‌：支持VLAN功能；</w:t>
            </w:r>
            <w:r>
              <w:rPr>
                <w:rFonts w:hint="eastAsia" w:ascii="宋体" w:hAnsi="宋体" w:eastAsia="宋体" w:cs="宋体"/>
                <w:sz w:val="24"/>
                <w:szCs w:val="24"/>
              </w:rPr>
              <w:br/>
            </w:r>
            <w:r>
              <w:rPr>
                <w:rFonts w:hint="eastAsia" w:ascii="宋体" w:hAnsi="宋体" w:eastAsia="宋体" w:cs="宋体"/>
                <w:sz w:val="24"/>
                <w:szCs w:val="24"/>
              </w:rPr>
              <w:t xml:space="preserve">‌电源电压‌：AC 100-240V；‌电源功率‌：功耗≤150W，POE供电125W。‌ </w:t>
            </w:r>
            <w:r/>
          </w:p>
        </w:tc>
        <w:tc>
          <w:tcPr>
            <w:gridSpan w:val="2"/>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037" w:type="dxa"/>
            <w:vAlign w:val="center"/>
            <w:textDirection w:val="lrTb"/>
            <w:noWrap/>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光模块（监控与主机房连）</w:t>
            </w:r>
            <w:r/>
          </w:p>
        </w:tc>
        <w:tc>
          <w:tcPr>
            <w:shd w:val="clear" w:color="auto" w:fill="auto"/>
            <w:tcBorders>
              <w:top w:val="none" w:color="000000" w:sz="4" w:space="0"/>
              <w:left w:val="none" w:color="000000" w:sz="4" w:space="0"/>
              <w:bottom w:val="single" w:color="auto" w:sz="4" w:space="0"/>
              <w:right w:val="single" w:color="auto" w:sz="4" w:space="0"/>
            </w:tcBorders>
            <w:tcW w:w="595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万兆光模块-SFP+-10G-单模模块(1310nm,10km,LC。</w:t>
            </w:r>
            <w:r/>
          </w:p>
        </w:tc>
        <w:tc>
          <w:tcPr>
            <w:gridSpan w:val="2"/>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037" w:type="dxa"/>
            <w:vAlign w:val="center"/>
            <w:textDirection w:val="lrTb"/>
            <w:noWrap/>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24口接入交换机（公安网）</w:t>
            </w:r>
            <w:r/>
          </w:p>
        </w:tc>
        <w:tc>
          <w:tcPr>
            <w:shd w:val="clear" w:color="auto" w:fill="auto"/>
            <w:tcBorders>
              <w:top w:val="none" w:color="000000" w:sz="4" w:space="0"/>
              <w:left w:val="none" w:color="000000" w:sz="4" w:space="0"/>
              <w:bottom w:val="single" w:color="auto" w:sz="4" w:space="0"/>
              <w:right w:val="single" w:color="auto" w:sz="4" w:space="0"/>
            </w:tcBorders>
            <w:tcW w:w="5953"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性能参数不低于：</w:t>
            </w:r>
            <w:r/>
          </w:p>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24个10/100/1000Mbps自适应电口交换机，固化4个SFP千兆光口。</w:t>
            </w:r>
            <w:r/>
          </w:p>
        </w:tc>
        <w:tc>
          <w:tcPr>
            <w:gridSpan w:val="2"/>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037" w:type="dxa"/>
            <w:vAlign w:val="center"/>
            <w:textDirection w:val="lrTb"/>
            <w:noWrap/>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24口接入交换机（虚拟子网）</w:t>
            </w:r>
            <w:r/>
          </w:p>
        </w:tc>
        <w:tc>
          <w:tcPr>
            <w:shd w:val="clear" w:color="auto" w:fill="auto"/>
            <w:tcBorders>
              <w:top w:val="none" w:color="000000" w:sz="4" w:space="0"/>
              <w:left w:val="none" w:color="000000" w:sz="4" w:space="0"/>
              <w:bottom w:val="single" w:color="auto" w:sz="4" w:space="0"/>
              <w:right w:val="single" w:color="auto" w:sz="4" w:space="0"/>
            </w:tcBorders>
            <w:tcW w:w="5953"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性能参数不低于：</w:t>
            </w:r>
            <w:r/>
          </w:p>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24个10/100/1000Mbps自适应电口交换机，固化4个SFP千兆光口。</w:t>
            </w:r>
            <w:r/>
          </w:p>
        </w:tc>
        <w:tc>
          <w:tcPr>
            <w:gridSpan w:val="2"/>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037" w:type="dxa"/>
            <w:vAlign w:val="center"/>
            <w:textDirection w:val="lrTb"/>
            <w:noWrap/>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光模块</w:t>
            </w:r>
            <w:r/>
          </w:p>
        </w:tc>
        <w:tc>
          <w:tcPr>
            <w:shd w:val="clear" w:color="auto" w:fill="auto"/>
            <w:tcBorders>
              <w:top w:val="none" w:color="000000" w:sz="4" w:space="0"/>
              <w:left w:val="none" w:color="000000" w:sz="4" w:space="0"/>
              <w:bottom w:val="single" w:color="auto" w:sz="4" w:space="0"/>
              <w:right w:val="single" w:color="auto" w:sz="4" w:space="0"/>
            </w:tcBorders>
            <w:tcW w:w="595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千兆光模块-eSFP-GE-单模模块(1310nm,10km,LC)</w:t>
            </w:r>
            <w:r/>
          </w:p>
        </w:tc>
        <w:tc>
          <w:tcPr>
            <w:gridSpan w:val="2"/>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037" w:type="dxa"/>
            <w:vAlign w:val="center"/>
            <w:textDirection w:val="lrTb"/>
            <w:noWrap/>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UPS 20KVA</w:t>
            </w:r>
            <w:r/>
          </w:p>
        </w:tc>
        <w:tc>
          <w:tcPr>
            <w:shd w:val="clear" w:color="auto" w:fill="auto"/>
            <w:tcBorders>
              <w:top w:val="none" w:color="000000" w:sz="4" w:space="0"/>
              <w:left w:val="none" w:color="000000" w:sz="4" w:space="0"/>
              <w:bottom w:val="single" w:color="auto" w:sz="4" w:space="0"/>
              <w:right w:val="single" w:color="auto" w:sz="4" w:space="0"/>
            </w:tcBorders>
            <w:tcW w:w="5953"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1、额定容量20KVA，额定电压380V，频率50HZ，双变换纯在线式架构；</w:t>
            </w:r>
            <w:r/>
          </w:p>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2、整机采用双DSP全数字化控制；具备输入过压、短路、过温等多重保护功能；标配冷启动功能:电池电压、负载大小、故障等情况；</w:t>
            </w:r>
            <w:r/>
          </w:p>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3、面板显示采用LED+LCD全流程式显示:UPS状态、输入/输出电压、频率等；</w:t>
            </w:r>
            <w:r/>
          </w:p>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4、直流侧电池连接线需采用“＋、-”双线制式的两线架构，拒绝带中线制式的3线架构。</w:t>
            </w:r>
            <w:r/>
          </w:p>
        </w:tc>
        <w:tc>
          <w:tcPr>
            <w:gridSpan w:val="2"/>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shd w:val="clear" w:color="auto" w:fill="auto"/>
            <w:tcBorders>
              <w:top w:val="none" w:color="000000" w:sz="4" w:space="0"/>
              <w:left w:val="none" w:color="000000" w:sz="4" w:space="0"/>
              <w:bottom w:val="single" w:color="auto" w:sz="4" w:space="0"/>
              <w:right w:val="none" w:color="000000" w:sz="4" w:space="0"/>
            </w:tcBorders>
            <w:tcW w:w="4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037" w:type="dxa"/>
            <w:vAlign w:val="center"/>
            <w:textDirection w:val="lrTb"/>
            <w:noWrap/>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蓄电池12V100AH</w:t>
            </w:r>
            <w:r/>
          </w:p>
        </w:tc>
        <w:tc>
          <w:tcPr>
            <w:shd w:val="clear" w:color="auto" w:fill="auto"/>
            <w:tcBorders>
              <w:top w:val="none" w:color="000000" w:sz="4" w:space="0"/>
              <w:left w:val="none" w:color="000000" w:sz="4" w:space="0"/>
              <w:bottom w:val="single" w:color="auto" w:sz="4" w:space="0"/>
              <w:right w:val="single" w:color="auto" w:sz="4" w:space="0"/>
            </w:tcBorders>
            <w:tcW w:w="5953"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1、额定电压12V，额定容量不低于100Ah；</w:t>
            </w:r>
            <w:r/>
          </w:p>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2、采用渐变胶体和铅碳电池技术；</w:t>
            </w:r>
            <w:r/>
          </w:p>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3、充放循环寿命，依据《固定型阀控式铅酸蓄电池 第1部分 技术条件》GB/T 19638.1-2014 第6.21条款的要求进行电池的充放循环耐久性测试达300次以上；</w:t>
            </w:r>
            <w:r/>
          </w:p>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4、在结构上采用防漏液技术设计，杜绝蓄电池漏液事故发生；</w:t>
            </w:r>
            <w:r/>
          </w:p>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5、防短路设计，防止蓄电池在使用过程中极板因弯曲变形而短路，引发过热、熔断等；</w:t>
            </w:r>
            <w:r/>
          </w:p>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6、完全充电后在25℃的环境下，在100mm的高度，向坚固平滑的水泥地面以正立状态自由跌落二次，无破损及泄漏；</w:t>
            </w:r>
            <w:r/>
          </w:p>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7、-20℃电池容量达到Ce（基准温度25℃时的容量）的50%。</w:t>
            </w:r>
            <w:r/>
          </w:p>
        </w:tc>
        <w:tc>
          <w:tcPr>
            <w:gridSpan w:val="2"/>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节</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shd w:val="clear" w:color="auto" w:fill="auto"/>
            <w:tcBorders>
              <w:top w:val="none" w:color="000000" w:sz="4" w:space="0"/>
              <w:left w:val="none" w:color="000000" w:sz="4" w:space="0"/>
              <w:bottom w:val="single" w:color="auto" w:sz="4" w:space="0"/>
              <w:right w:val="none" w:color="000000" w:sz="4" w:space="0"/>
            </w:tcBorders>
            <w:tcW w:w="4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037" w:type="dxa"/>
            <w:vAlign w:val="center"/>
            <w:textDirection w:val="lrTb"/>
            <w:noWrap/>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电池箱</w:t>
            </w:r>
            <w:r/>
          </w:p>
        </w:tc>
        <w:tc>
          <w:tcPr>
            <w:shd w:val="clear" w:color="auto" w:fill="auto"/>
            <w:tcBorders>
              <w:top w:val="none" w:color="000000" w:sz="4" w:space="0"/>
              <w:left w:val="none" w:color="000000" w:sz="4" w:space="0"/>
              <w:bottom w:val="single" w:color="auto" w:sz="4" w:space="0"/>
              <w:right w:val="single" w:color="auto" w:sz="4" w:space="0"/>
            </w:tcBorders>
            <w:tcW w:w="5953" w:type="dxa"/>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参考尺寸：长*宽*高780mm*880mm*1230mm。</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包含电池连接线、直流空开等全部安装线缆、槽钢支撑底座等辅材配件。</w:t>
            </w:r>
            <w:r/>
          </w:p>
        </w:tc>
        <w:tc>
          <w:tcPr>
            <w:gridSpan w:val="2"/>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shd w:val="clear" w:color="auto" w:fill="auto"/>
            <w:tcBorders>
              <w:top w:val="none" w:color="000000" w:sz="4" w:space="0"/>
              <w:left w:val="none" w:color="000000" w:sz="4" w:space="0"/>
              <w:bottom w:val="single" w:color="auto" w:sz="4" w:space="0"/>
              <w:right w:val="none" w:color="000000" w:sz="4" w:space="0"/>
            </w:tcBorders>
            <w:tcW w:w="4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037" w:type="dxa"/>
            <w:vAlign w:val="center"/>
            <w:textDirection w:val="lrTb"/>
            <w:noWrap/>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配电箱</w:t>
            </w:r>
            <w:r/>
          </w:p>
        </w:tc>
        <w:tc>
          <w:tcPr>
            <w:shd w:val="clear" w:color="auto" w:fill="auto"/>
            <w:tcBorders>
              <w:top w:val="none" w:color="000000" w:sz="4" w:space="0"/>
              <w:left w:val="none" w:color="000000" w:sz="4" w:space="0"/>
              <w:bottom w:val="single" w:color="auto" w:sz="4" w:space="0"/>
              <w:right w:val="single" w:color="auto" w:sz="4" w:space="0"/>
            </w:tcBorders>
            <w:tcW w:w="5953" w:type="dxa"/>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1、防护等级：IP40；2、排数：单排；3、安装方式：明装；</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4、面板材质：阻燃材料；5、含漏保、空气开关、12位。</w:t>
            </w:r>
            <w:r/>
          </w:p>
        </w:tc>
        <w:tc>
          <w:tcPr>
            <w:gridSpan w:val="2"/>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037" w:type="dxa"/>
            <w:vAlign w:val="center"/>
            <w:textDirection w:val="lrTb"/>
            <w:noWrap/>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UPS配套辅材</w:t>
            </w:r>
            <w:r/>
          </w:p>
        </w:tc>
        <w:tc>
          <w:tcPr>
            <w:shd w:val="clear" w:color="auto" w:fill="auto"/>
            <w:tcBorders>
              <w:top w:val="none" w:color="000000" w:sz="4" w:space="0"/>
              <w:left w:val="none" w:color="000000" w:sz="4" w:space="0"/>
              <w:bottom w:val="single" w:color="auto" w:sz="4" w:space="0"/>
              <w:right w:val="single" w:color="auto" w:sz="4" w:space="0"/>
            </w:tcBorders>
            <w:tcW w:w="5953"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UPS主机与电池柜柜间连接线等全部辅材。</w:t>
            </w:r>
            <w:r/>
          </w:p>
        </w:tc>
        <w:tc>
          <w:tcPr>
            <w:gridSpan w:val="2"/>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60"/>
        </w:trPr>
        <w:tc>
          <w:tcPr>
            <w:gridSpan w:val="8"/>
            <w:shd w:val="clear" w:color="auto" w:fill="auto"/>
            <w:tcBorders>
              <w:top w:val="single" w:color="auto" w:sz="4" w:space="0"/>
              <w:left w:val="single" w:color="auto" w:sz="4" w:space="0"/>
              <w:bottom w:val="single" w:color="auto" w:sz="4" w:space="0"/>
              <w:right w:val="none" w:color="000000" w:sz="4" w:space="0"/>
            </w:tcBorders>
            <w:tcW w:w="9554"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五、综合布线</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3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双口信息面板</w:t>
            </w:r>
            <w:r/>
          </w:p>
        </w:tc>
        <w:tc>
          <w:tcPr>
            <w:shd w:val="clear" w:color="auto" w:fill="auto"/>
            <w:tcBorders>
              <w:top w:val="none" w:color="000000" w:sz="4" w:space="0"/>
              <w:left w:val="none" w:color="000000" w:sz="4" w:space="0"/>
              <w:bottom w:val="single" w:color="auto" w:sz="4" w:space="0"/>
              <w:right w:val="single" w:color="auto" w:sz="4" w:space="0"/>
            </w:tcBorders>
            <w:tcW w:w="595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1、名称：双口信息面板；</w:t>
            </w:r>
            <w:r>
              <w:rPr>
                <w:rFonts w:hint="eastAsia" w:ascii="宋体" w:hAnsi="宋体" w:eastAsia="宋体" w:cs="宋体"/>
                <w:sz w:val="24"/>
                <w:szCs w:val="24"/>
              </w:rPr>
              <w:br/>
            </w:r>
            <w:r>
              <w:rPr>
                <w:rFonts w:hint="eastAsia" w:ascii="宋体" w:hAnsi="宋体" w:eastAsia="宋体" w:cs="宋体"/>
                <w:sz w:val="24"/>
                <w:szCs w:val="24"/>
              </w:rPr>
              <w:t xml:space="preserve">2、规格：平面90度86x86型双口信息面板；</w:t>
            </w:r>
            <w:r>
              <w:rPr>
                <w:rFonts w:hint="eastAsia" w:ascii="宋体" w:hAnsi="宋体" w:eastAsia="宋体" w:cs="宋体"/>
                <w:sz w:val="24"/>
                <w:szCs w:val="24"/>
              </w:rPr>
              <w:br/>
            </w:r>
            <w:r>
              <w:rPr>
                <w:rFonts w:hint="eastAsia" w:ascii="宋体" w:hAnsi="宋体" w:eastAsia="宋体" w:cs="宋体"/>
                <w:sz w:val="24"/>
                <w:szCs w:val="24"/>
              </w:rPr>
              <w:t xml:space="preserve">3、材料：高强度ABS塑料，阻燃级别94V-0；面板表面不可见螺钉孔；</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4、扣位式面板设计；带有防尘盖；双标识管理，自带可更换式标签。</w:t>
            </w:r>
            <w:r/>
          </w:p>
        </w:tc>
        <w:tc>
          <w:tcPr>
            <w:gridSpan w:val="2"/>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3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六类网络模块</w:t>
            </w:r>
            <w:r/>
          </w:p>
        </w:tc>
        <w:tc>
          <w:tcPr>
            <w:shd w:val="clear" w:color="auto" w:fill="auto"/>
            <w:tcBorders>
              <w:top w:val="none" w:color="000000" w:sz="4" w:space="0"/>
              <w:left w:val="none" w:color="000000" w:sz="4" w:space="0"/>
              <w:bottom w:val="single" w:color="auto" w:sz="4" w:space="0"/>
              <w:right w:val="single" w:color="auto" w:sz="4" w:space="0"/>
            </w:tcBorders>
            <w:tcW w:w="595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1、名称：六类非屏蔽网络模块；</w:t>
            </w:r>
            <w:r>
              <w:rPr>
                <w:rFonts w:hint="eastAsia" w:ascii="宋体" w:hAnsi="宋体" w:eastAsia="宋体" w:cs="宋体"/>
                <w:sz w:val="24"/>
                <w:szCs w:val="24"/>
              </w:rPr>
              <w:br/>
            </w:r>
            <w:r>
              <w:rPr>
                <w:rFonts w:hint="eastAsia" w:ascii="宋体" w:hAnsi="宋体" w:eastAsia="宋体" w:cs="宋体"/>
                <w:sz w:val="24"/>
                <w:szCs w:val="24"/>
              </w:rPr>
              <w:t xml:space="preserve">2、规格： 180度，向下兼容超五类、五类、三类；符合ANSI/TIA-568-C.2六类规范；带宽达到250MHz；IDC簧片：磷青铜镀镍（100u"），可容纳 22-26 AWG 单股和多股线缆，最少250次端接；JACK金针：磷青铜镀镍再镀金（50u"），最少750次插拔；</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3、端接方式：支持T568A和T568B接线方式，适用110和Krone打线工具进行端接。</w:t>
            </w:r>
            <w:r/>
          </w:p>
        </w:tc>
        <w:tc>
          <w:tcPr>
            <w:gridSpan w:val="2"/>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142</w:t>
            </w:r>
            <w:r/>
          </w:p>
        </w:tc>
        <w:tc>
          <w:tcPr>
            <w:shd w:val="clear" w:color="auto" w:fill="auto"/>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03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网络配线架</w:t>
            </w:r>
            <w:r/>
          </w:p>
        </w:tc>
        <w:tc>
          <w:tcPr>
            <w:shd w:val="clear" w:color="auto" w:fill="auto"/>
            <w:tcBorders>
              <w:top w:val="none" w:color="000000" w:sz="4" w:space="0"/>
              <w:left w:val="none" w:color="000000" w:sz="4" w:space="0"/>
              <w:bottom w:val="single" w:color="auto" w:sz="4" w:space="0"/>
              <w:right w:val="single" w:color="auto" w:sz="4" w:space="0"/>
            </w:tcBorders>
            <w:tcW w:w="595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1、名称：六类24口非屏蔽配线架；</w:t>
            </w:r>
            <w:r>
              <w:rPr>
                <w:rFonts w:hint="eastAsia" w:ascii="宋体" w:hAnsi="宋体" w:eastAsia="宋体" w:cs="宋体"/>
                <w:sz w:val="24"/>
                <w:szCs w:val="24"/>
              </w:rPr>
              <w:br/>
            </w:r>
            <w:r>
              <w:rPr>
                <w:rFonts w:hint="eastAsia" w:ascii="宋体" w:hAnsi="宋体" w:eastAsia="宋体" w:cs="宋体"/>
                <w:sz w:val="24"/>
                <w:szCs w:val="24"/>
              </w:rPr>
              <w:t xml:space="preserve">2、规格：模块式配线架；主体采用SPCC冷扎钢板制成，固定框采用ABS料，阻燃等级94V-0；</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3、配线架的每端口对应一个可写标识区域。</w:t>
            </w:r>
            <w:r/>
          </w:p>
        </w:tc>
        <w:tc>
          <w:tcPr>
            <w:gridSpan w:val="2"/>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03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理线架</w:t>
            </w:r>
            <w:r/>
          </w:p>
        </w:tc>
        <w:tc>
          <w:tcPr>
            <w:shd w:val="clear" w:color="auto" w:fill="auto"/>
            <w:tcBorders>
              <w:top w:val="none" w:color="000000" w:sz="4" w:space="0"/>
              <w:left w:val="none" w:color="000000" w:sz="4" w:space="0"/>
              <w:bottom w:val="single" w:color="auto" w:sz="4" w:space="0"/>
              <w:right w:val="single" w:color="auto" w:sz="4" w:space="0"/>
            </w:tcBorders>
            <w:tcW w:w="595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1U19寸管槽式理线架，ABS，上下各12个线槽。</w:t>
            </w:r>
            <w:r/>
          </w:p>
        </w:tc>
        <w:tc>
          <w:tcPr>
            <w:gridSpan w:val="2"/>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03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六类网络线缆</w:t>
            </w:r>
            <w:r/>
          </w:p>
        </w:tc>
        <w:tc>
          <w:tcPr>
            <w:shd w:val="clear" w:color="auto" w:fill="auto"/>
            <w:tcBorders>
              <w:top w:val="none" w:color="000000" w:sz="4" w:space="0"/>
              <w:left w:val="none" w:color="000000" w:sz="4" w:space="0"/>
              <w:bottom w:val="single" w:color="auto" w:sz="4" w:space="0"/>
              <w:right w:val="single" w:color="auto" w:sz="4" w:space="0"/>
            </w:tcBorders>
            <w:tcW w:w="595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1、名称：六类非屏蔽双绞线；</w:t>
            </w:r>
            <w:r>
              <w:rPr>
                <w:rFonts w:hint="eastAsia" w:ascii="宋体" w:hAnsi="宋体" w:eastAsia="宋体" w:cs="宋体"/>
                <w:sz w:val="24"/>
                <w:szCs w:val="24"/>
              </w:rPr>
              <w:br/>
            </w:r>
            <w:r>
              <w:rPr>
                <w:rFonts w:hint="eastAsia" w:ascii="宋体" w:hAnsi="宋体" w:eastAsia="宋体" w:cs="宋体"/>
                <w:sz w:val="24"/>
                <w:szCs w:val="24"/>
              </w:rPr>
              <w:t xml:space="preserve">2、规格：23AWG，带宽达到250MHz；紧护套结构，线对间十字隔离，PVC材质,符合CM等级阻燃要求；</w:t>
            </w:r>
            <w:r>
              <w:rPr>
                <w:rFonts w:hint="eastAsia" w:ascii="宋体" w:hAnsi="宋体" w:eastAsia="宋体" w:cs="宋体"/>
                <w:sz w:val="24"/>
                <w:szCs w:val="24"/>
              </w:rPr>
              <w:br/>
            </w:r>
            <w:r>
              <w:rPr>
                <w:rFonts w:hint="eastAsia" w:ascii="宋体" w:hAnsi="宋体" w:eastAsia="宋体" w:cs="宋体"/>
                <w:sz w:val="24"/>
                <w:szCs w:val="24"/>
              </w:rPr>
              <w:t xml:space="preserve">3、线缆对数：四对；</w:t>
            </w:r>
            <w:r>
              <w:rPr>
                <w:rFonts w:hint="eastAsia" w:ascii="宋体" w:hAnsi="宋体" w:eastAsia="宋体" w:cs="宋体"/>
                <w:sz w:val="24"/>
                <w:szCs w:val="24"/>
              </w:rPr>
              <w:br/>
            </w:r>
            <w:r>
              <w:rPr>
                <w:rFonts w:hint="eastAsia" w:ascii="宋体" w:hAnsi="宋体" w:eastAsia="宋体" w:cs="宋体"/>
                <w:sz w:val="24"/>
                <w:szCs w:val="24"/>
              </w:rPr>
              <w:t xml:space="preserve">4、敷设方式：管、线槽敷设。</w:t>
            </w:r>
            <w:r/>
          </w:p>
        </w:tc>
        <w:tc>
          <w:tcPr>
            <w:gridSpan w:val="2"/>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3800</w:t>
            </w:r>
            <w:r/>
          </w:p>
        </w:tc>
        <w:tc>
          <w:tcPr>
            <w:shd w:val="clear" w:color="auto" w:fill="auto"/>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03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单模光缆</w:t>
            </w:r>
            <w:r/>
          </w:p>
        </w:tc>
        <w:tc>
          <w:tcPr>
            <w:shd w:val="clear" w:color="auto" w:fill="auto"/>
            <w:tcBorders>
              <w:top w:val="none" w:color="000000" w:sz="4" w:space="0"/>
              <w:left w:val="none" w:color="000000" w:sz="4" w:space="0"/>
              <w:bottom w:val="single" w:color="auto" w:sz="4" w:space="0"/>
              <w:right w:val="single" w:color="auto" w:sz="4" w:space="0"/>
            </w:tcBorders>
            <w:tcW w:w="595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规格：6芯；管、线槽敷设。</w:t>
            </w:r>
            <w:r/>
          </w:p>
        </w:tc>
        <w:tc>
          <w:tcPr>
            <w:gridSpan w:val="2"/>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03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电源线</w:t>
            </w:r>
            <w:r/>
          </w:p>
        </w:tc>
        <w:tc>
          <w:tcPr>
            <w:shd w:val="clear" w:color="auto" w:fill="auto"/>
            <w:tcBorders>
              <w:top w:val="none" w:color="000000" w:sz="4" w:space="0"/>
              <w:left w:val="none" w:color="000000" w:sz="4" w:space="0"/>
              <w:bottom w:val="single" w:color="auto" w:sz="4" w:space="0"/>
              <w:right w:val="single" w:color="auto" w:sz="4" w:space="0"/>
            </w:tcBorders>
            <w:tcW w:w="595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国标，RVV3*2.5</w:t>
            </w:r>
            <w:r/>
          </w:p>
        </w:tc>
        <w:tc>
          <w:tcPr>
            <w:gridSpan w:val="2"/>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1100</w:t>
            </w:r>
            <w:r/>
          </w:p>
        </w:tc>
        <w:tc>
          <w:tcPr>
            <w:shd w:val="clear" w:color="auto" w:fill="auto"/>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03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信号线</w:t>
            </w:r>
            <w:r/>
          </w:p>
        </w:tc>
        <w:tc>
          <w:tcPr>
            <w:shd w:val="clear" w:color="auto" w:fill="auto"/>
            <w:tcBorders>
              <w:top w:val="none" w:color="000000" w:sz="4" w:space="0"/>
              <w:left w:val="none" w:color="000000" w:sz="4" w:space="0"/>
              <w:bottom w:val="single" w:color="auto" w:sz="4" w:space="0"/>
              <w:right w:val="single" w:color="auto" w:sz="4" w:space="0"/>
            </w:tcBorders>
            <w:tcW w:w="595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国标，RVV6*0.5</w:t>
            </w:r>
            <w:r/>
          </w:p>
        </w:tc>
        <w:tc>
          <w:tcPr>
            <w:gridSpan w:val="2"/>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400</w:t>
            </w:r>
            <w:r/>
          </w:p>
        </w:tc>
        <w:tc>
          <w:tcPr>
            <w:shd w:val="clear" w:color="auto" w:fill="auto"/>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03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信号线</w:t>
            </w:r>
            <w:r/>
          </w:p>
        </w:tc>
        <w:tc>
          <w:tcPr>
            <w:shd w:val="clear" w:color="auto" w:fill="auto"/>
            <w:tcBorders>
              <w:top w:val="none" w:color="000000" w:sz="4" w:space="0"/>
              <w:left w:val="none" w:color="000000" w:sz="4" w:space="0"/>
              <w:bottom w:val="single" w:color="auto" w:sz="4" w:space="0"/>
              <w:right w:val="single" w:color="auto" w:sz="4" w:space="0"/>
            </w:tcBorders>
            <w:tcW w:w="595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国标，RVV4*1.0</w:t>
            </w:r>
            <w:r/>
          </w:p>
        </w:tc>
        <w:tc>
          <w:tcPr>
            <w:gridSpan w:val="2"/>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400</w:t>
            </w:r>
            <w:r/>
          </w:p>
        </w:tc>
        <w:tc>
          <w:tcPr>
            <w:shd w:val="clear" w:color="auto" w:fill="auto"/>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03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信号线</w:t>
            </w:r>
            <w:r/>
          </w:p>
        </w:tc>
        <w:tc>
          <w:tcPr>
            <w:shd w:val="clear" w:color="auto" w:fill="auto"/>
            <w:tcBorders>
              <w:top w:val="none" w:color="000000" w:sz="4" w:space="0"/>
              <w:left w:val="none" w:color="000000" w:sz="4" w:space="0"/>
              <w:bottom w:val="single" w:color="auto" w:sz="4" w:space="0"/>
              <w:right w:val="single" w:color="auto" w:sz="4" w:space="0"/>
            </w:tcBorders>
            <w:tcW w:w="595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国标，RVV2*1.0</w:t>
            </w:r>
            <w:r/>
          </w:p>
        </w:tc>
        <w:tc>
          <w:tcPr>
            <w:gridSpan w:val="2"/>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800</w:t>
            </w:r>
            <w:r/>
          </w:p>
        </w:tc>
        <w:tc>
          <w:tcPr>
            <w:shd w:val="clear" w:color="auto" w:fill="auto"/>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03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光端机</w:t>
            </w:r>
            <w:r/>
          </w:p>
        </w:tc>
        <w:tc>
          <w:tcPr>
            <w:shd w:val="clear" w:color="auto" w:fill="auto"/>
            <w:tcBorders>
              <w:top w:val="none" w:color="000000" w:sz="4" w:space="0"/>
              <w:left w:val="none" w:color="000000" w:sz="4" w:space="0"/>
              <w:bottom w:val="single" w:color="auto" w:sz="4" w:space="0"/>
              <w:right w:val="single" w:color="auto" w:sz="4" w:space="0"/>
            </w:tcBorders>
            <w:tcW w:w="595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三路物理隔离千兆以太网光端机（100Km）。性能参数指标不低于：</w:t>
            </w:r>
            <w:r/>
          </w:p>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1、10M/100M/1000M自适应，两端对等传输；接口标准：IEEE 802.3、100Base-TX、IEEE 802.3 1000Base-TX；吞吐量：100%；时延：&lt;18us；</w:t>
            </w:r>
            <w:r/>
          </w:p>
          <w:p>
            <w:pPr>
              <w:jc w:val="left"/>
              <w:keepLines w:val="0"/>
              <w:keepNext w:val="0"/>
              <w:pageBreakBefore w:val="0"/>
              <w:spacing w:line="400" w:lineRule="exact"/>
              <w:widowControl/>
              <w:rPr>
                <w:rFonts w:hint="eastAsia" w:ascii="宋体" w:hAnsi="宋体" w:eastAsia="宋体" w:cs="宋体"/>
                <w:sz w:val="24"/>
                <w:szCs w:val="24"/>
                <w:highlight w:val="yellow"/>
              </w:rPr>
            </w:pPr>
            <w:r>
              <w:rPr>
                <w:rFonts w:hint="eastAsia" w:ascii="宋体" w:hAnsi="宋体" w:eastAsia="宋体" w:cs="宋体"/>
                <w:sz w:val="24"/>
                <w:szCs w:val="24"/>
              </w:rPr>
              <w:t xml:space="preserve">2、光接口： FC/PC；光纤数量：单模单纤；通信距离：≥100Km（动态范围25dbm）。</w:t>
            </w:r>
            <w:r/>
          </w:p>
        </w:tc>
        <w:tc>
          <w:tcPr>
            <w:gridSpan w:val="2"/>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对</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03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通信链路光纤</w:t>
            </w:r>
            <w:r/>
          </w:p>
        </w:tc>
        <w:tc>
          <w:tcPr>
            <w:shd w:val="clear" w:color="auto" w:fill="auto"/>
            <w:tcBorders>
              <w:top w:val="none" w:color="000000" w:sz="4" w:space="0"/>
              <w:left w:val="none" w:color="000000" w:sz="4" w:space="0"/>
              <w:bottom w:val="single" w:color="auto" w:sz="4" w:space="0"/>
              <w:right w:val="single" w:color="auto" w:sz="4" w:space="0"/>
            </w:tcBorders>
            <w:tcW w:w="595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公安专线裸纤通信链路（跨地市），开通时间不少于五年。</w:t>
            </w:r>
            <w:r/>
          </w:p>
        </w:tc>
        <w:tc>
          <w:tcPr>
            <w:gridSpan w:val="2"/>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年</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03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网络跳线</w:t>
            </w:r>
            <w:r/>
          </w:p>
        </w:tc>
        <w:tc>
          <w:tcPr>
            <w:shd w:val="clear" w:color="auto" w:fill="auto"/>
            <w:tcBorders>
              <w:top w:val="none" w:color="000000" w:sz="4" w:space="0"/>
              <w:left w:val="none" w:color="000000" w:sz="4" w:space="0"/>
              <w:bottom w:val="single" w:color="auto" w:sz="4" w:space="0"/>
              <w:right w:val="single" w:color="auto" w:sz="4" w:space="0"/>
            </w:tcBorders>
            <w:tcW w:w="595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1、规格：2-3米六类4对非屏蔽RJ45-RJ45跳线，带宽达到250MHz；导体：24AWG；</w:t>
            </w:r>
            <w:r>
              <w:rPr>
                <w:rFonts w:hint="eastAsia" w:ascii="宋体" w:hAnsi="宋体" w:eastAsia="宋体" w:cs="宋体"/>
                <w:sz w:val="24"/>
                <w:szCs w:val="24"/>
              </w:rPr>
              <w:br/>
            </w:r>
            <w:r>
              <w:rPr>
                <w:rFonts w:hint="eastAsia" w:ascii="宋体" w:hAnsi="宋体" w:eastAsia="宋体" w:cs="宋体"/>
                <w:sz w:val="24"/>
                <w:szCs w:val="24"/>
              </w:rPr>
              <w:t xml:space="preserve">2、芯线：8根芯线采用多股软铜线，每根芯线带有彩色绝缘层；                                                                                                           3、插头：所有跳线的两端射出成型，且有弹片保护套；</w:t>
            </w:r>
            <w:r>
              <w:rPr>
                <w:rFonts w:hint="eastAsia" w:ascii="宋体" w:hAnsi="宋体" w:eastAsia="宋体" w:cs="宋体"/>
                <w:sz w:val="24"/>
                <w:szCs w:val="24"/>
              </w:rPr>
              <w:br/>
            </w:r>
            <w:r>
              <w:rPr>
                <w:rFonts w:hint="eastAsia" w:ascii="宋体" w:hAnsi="宋体" w:eastAsia="宋体" w:cs="宋体"/>
                <w:sz w:val="24"/>
                <w:szCs w:val="24"/>
              </w:rPr>
              <w:t xml:space="preserve">4、特性：符合ANSI/TIA-568-C.2六类规范；                                                                                                                                                5、护套：紧护套结构，线对间十字隔离，采用PVC或LSOH材质；</w:t>
            </w:r>
            <w:r/>
          </w:p>
          <w:p>
            <w:pPr>
              <w:jc w:val="left"/>
              <w:keepLines w:val="0"/>
              <w:keepNext w:val="0"/>
              <w:pageBreakBefore w:val="0"/>
              <w:spacing w:line="400" w:lineRule="exact"/>
              <w:widowControl/>
              <w:rPr>
                <w:rFonts w:hint="eastAsia" w:ascii="宋体" w:hAnsi="宋体" w:eastAsia="宋体" w:cs="宋体"/>
                <w:b/>
                <w:sz w:val="24"/>
                <w:szCs w:val="24"/>
              </w:rPr>
            </w:pPr>
            <w:r>
              <w:rPr>
                <w:rFonts w:hint="eastAsia" w:ascii="宋体" w:hAnsi="宋体" w:eastAsia="宋体" w:cs="宋体"/>
                <w:sz w:val="24"/>
                <w:szCs w:val="24"/>
              </w:rPr>
              <w:t xml:space="preserve">6、提供灰、红、蓝、黄四种常规色</w:t>
            </w:r>
            <w:r>
              <w:rPr>
                <w:rFonts w:hint="eastAsia" w:ascii="宋体" w:hAnsi="宋体" w:eastAsia="宋体" w:cs="宋体"/>
                <w:b/>
                <w:sz w:val="24"/>
                <w:szCs w:val="24"/>
              </w:rPr>
              <w:t xml:space="preserve">（需按公安网红色、视频网蓝色、互联网黄色进行区分使用）。</w:t>
            </w:r>
            <w:r/>
          </w:p>
        </w:tc>
        <w:tc>
          <w:tcPr>
            <w:gridSpan w:val="2"/>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48</w:t>
            </w:r>
            <w:r/>
          </w:p>
        </w:tc>
        <w:tc>
          <w:tcPr>
            <w:shd w:val="clear" w:color="auto" w:fill="auto"/>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03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机柜</w:t>
            </w:r>
            <w:r/>
          </w:p>
        </w:tc>
        <w:tc>
          <w:tcPr>
            <w:shd w:val="clear" w:color="auto" w:fill="auto"/>
            <w:tcBorders>
              <w:top w:val="none" w:color="000000" w:sz="4" w:space="0"/>
              <w:left w:val="none" w:color="000000" w:sz="4" w:space="0"/>
              <w:bottom w:val="single" w:color="auto" w:sz="4" w:space="0"/>
              <w:right w:val="single" w:color="auto" w:sz="4" w:space="0"/>
            </w:tcBorders>
            <w:tcW w:w="595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国标，42U标准机柜（含附件），落地安装。</w:t>
            </w:r>
            <w:r/>
          </w:p>
        </w:tc>
        <w:tc>
          <w:tcPr>
            <w:gridSpan w:val="2"/>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348"/>
        </w:trPr>
        <w:tc>
          <w:tcPr>
            <w:shd w:val="clear" w:color="auto" w:fill="auto"/>
            <w:tcBorders>
              <w:top w:val="none" w:color="000000" w:sz="4" w:space="0"/>
              <w:left w:val="single" w:color="auto"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03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开关电源</w:t>
            </w:r>
            <w:r/>
          </w:p>
        </w:tc>
        <w:tc>
          <w:tcPr>
            <w:shd w:val="clear" w:color="auto" w:fill="auto"/>
            <w:tcBorders>
              <w:top w:val="none" w:color="000000" w:sz="4" w:space="0"/>
              <w:left w:val="none" w:color="000000" w:sz="4" w:space="0"/>
              <w:bottom w:val="single" w:color="auto" w:sz="4" w:space="0"/>
              <w:right w:val="single" w:color="auto" w:sz="4" w:space="0"/>
            </w:tcBorders>
            <w:tcW w:w="595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国标，12V/5A</w:t>
            </w:r>
            <w:bookmarkStart w:id="25" w:name="_GoBack"/>
            <w:r/>
            <w:bookmarkEnd w:id="25"/>
            <w:r>
              <w:rPr>
                <w:rFonts w:hint="eastAsia" w:ascii="宋体" w:hAnsi="宋体" w:eastAsia="宋体" w:cs="宋体"/>
                <w:b/>
                <w:bCs/>
                <w:sz w:val="24"/>
                <w:szCs w:val="24"/>
              </w:rPr>
              <w:t xml:space="preserve">。</w:t>
            </w:r>
            <w:r/>
          </w:p>
        </w:tc>
        <w:tc>
          <w:tcPr>
            <w:gridSpan w:val="2"/>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03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辅材</w:t>
            </w:r>
            <w:r/>
          </w:p>
        </w:tc>
        <w:tc>
          <w:tcPr>
            <w:shd w:val="clear" w:color="auto" w:fill="auto"/>
            <w:tcBorders>
              <w:top w:val="none" w:color="000000" w:sz="4" w:space="0"/>
              <w:left w:val="none" w:color="000000" w:sz="4" w:space="0"/>
              <w:bottom w:val="single" w:color="auto" w:sz="4" w:space="0"/>
              <w:right w:val="single" w:color="auto" w:sz="4" w:space="0"/>
            </w:tcBorders>
            <w:tcW w:w="595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施工所需全部辅助材料（插座、插头、管线、螺丝、膨胀管、标识等）。</w:t>
            </w:r>
            <w:r/>
          </w:p>
        </w:tc>
        <w:tc>
          <w:tcPr>
            <w:gridSpan w:val="2"/>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037" w:type="dxa"/>
            <w:vAlign w:val="center"/>
            <w:textDirection w:val="lrTb"/>
            <w:noWrap/>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PDU插排</w:t>
            </w:r>
            <w:r/>
          </w:p>
        </w:tc>
        <w:tc>
          <w:tcPr>
            <w:shd w:val="clear" w:color="auto" w:fill="auto"/>
            <w:tcBorders>
              <w:top w:val="none" w:color="000000" w:sz="4" w:space="0"/>
              <w:left w:val="none" w:color="000000" w:sz="4" w:space="0"/>
              <w:bottom w:val="single" w:color="auto" w:sz="4" w:space="0"/>
              <w:right w:val="single" w:color="auto" w:sz="4" w:space="0"/>
            </w:tcBorders>
            <w:tcW w:w="595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10A大功率，防雷PDU机柜插座，8位。</w:t>
            </w:r>
            <w:r/>
          </w:p>
        </w:tc>
        <w:tc>
          <w:tcPr>
            <w:gridSpan w:val="2"/>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360"/>
        </w:trPr>
        <w:tc>
          <w:tcPr>
            <w:shd w:val="clear" w:color="auto" w:fill="auto"/>
            <w:tcBorders>
              <w:top w:val="none" w:color="000000" w:sz="4" w:space="0"/>
              <w:left w:val="single" w:color="auto"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037" w:type="dxa"/>
            <w:vAlign w:val="center"/>
            <w:textDirection w:val="lrTb"/>
            <w:noWrap/>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原有线路利旧</w:t>
            </w:r>
            <w:r/>
          </w:p>
        </w:tc>
        <w:tc>
          <w:tcPr>
            <w:shd w:val="clear" w:color="auto" w:fill="auto"/>
            <w:tcBorders>
              <w:top w:val="none" w:color="000000" w:sz="4" w:space="0"/>
              <w:left w:val="none" w:color="000000" w:sz="4" w:space="0"/>
              <w:bottom w:val="single" w:color="auto" w:sz="4" w:space="0"/>
              <w:right w:val="single" w:color="auto" w:sz="4" w:space="0"/>
            </w:tcBorders>
            <w:tcW w:w="595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对原有线路（尤其是利旧设备相关线路）进行全面梳理、整改优化与修复（重新布线），确保设备使用安全可靠性。</w:t>
            </w:r>
            <w:r/>
          </w:p>
        </w:tc>
        <w:tc>
          <w:tcPr>
            <w:gridSpan w:val="2"/>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400"/>
        </w:trPr>
        <w:tc>
          <w:tcPr>
            <w:gridSpan w:val="8"/>
            <w:shd w:val="clear" w:color="auto" w:fill="auto"/>
            <w:tcBorders>
              <w:top w:val="single" w:color="auto" w:sz="4" w:space="0"/>
              <w:left w:val="single" w:color="auto" w:sz="4" w:space="0"/>
              <w:bottom w:val="single" w:color="auto" w:sz="4" w:space="0"/>
              <w:right w:val="single" w:color="000000" w:sz="4" w:space="0"/>
            </w:tcBorders>
            <w:tcW w:w="9554"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六、利旧设备检修与恢复</w:t>
            </w:r>
            <w:r/>
          </w:p>
        </w:tc>
      </w:tr>
      <w:tr>
        <w:trPr>
          <w:trHeight w:val="1000"/>
        </w:trPr>
        <w:tc>
          <w:tcPr>
            <w:shd w:val="clear" w:color="auto" w:fill="auto"/>
            <w:tcBorders>
              <w:top w:val="none" w:color="000000" w:sz="4" w:space="0"/>
              <w:left w:val="single" w:color="auto"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3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原有信息化设备检测、维修与恢复 </w:t>
            </w:r>
            <w:r/>
          </w:p>
        </w:tc>
        <w:tc>
          <w:tcPr>
            <w:shd w:val="clear" w:color="auto" w:fill="auto"/>
            <w:tcBorders>
              <w:top w:val="none" w:color="000000" w:sz="4" w:space="0"/>
              <w:left w:val="none" w:color="000000" w:sz="4" w:space="0"/>
              <w:bottom w:val="single" w:color="auto" w:sz="4" w:space="0"/>
              <w:right w:val="single" w:color="auto" w:sz="4" w:space="0"/>
            </w:tcBorders>
            <w:tcW w:w="595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1、对全部原有信息化设备进行全面检测、维修与更换利旧（新更换设备的性能参数指标不得低于原设备），利旧设备均需恢复至正常状态后方才可启用；</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2、利旧信息化设备（包括但不限于）：各类视频监控摄像机、拾音器、审讯主机、磁盘阵列、服务器、随身物品柜、信息采集一体机、监控大屏、硬盘录像机等各类弱电设备；</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3、全部利旧设备质保期限以及后续使用运维的考核标准与罚则，均与本次项目保持一致；</w:t>
            </w:r>
            <w:r/>
          </w:p>
          <w:p>
            <w:pP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4、全部原有利旧设备均已列入公安固定资产，所有处置权及解释权均归属公安。</w:t>
            </w:r>
            <w:r/>
          </w:p>
        </w:tc>
        <w:tc>
          <w:tcPr>
            <w:gridSpan w:val="2"/>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项</w:t>
            </w:r>
            <w:r/>
          </w:p>
        </w:tc>
        <w:tc>
          <w:tcPr>
            <w:shd w:val="clear" w:color="auto" w:fill="auto"/>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46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bl>
    <w:p>
      <w:pP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备注：</w:t>
      </w:r>
      <w:r/>
    </w:p>
    <w:p>
      <w:pPr>
        <w:ind w:firstLine="482"/>
        <w:keepLines w:val="0"/>
        <w:keepNext w:val="0"/>
        <w:pageBreakBefore w:val="0"/>
        <w:spacing w:line="400" w:lineRule="exact"/>
        <w:rPr>
          <w:rFonts w:hint="eastAsia" w:ascii="宋体" w:hAnsi="宋体" w:eastAsia="宋体" w:cs="宋体"/>
          <w:b/>
          <w:bCs/>
          <w:sz w:val="24"/>
          <w:szCs w:val="24"/>
          <w:u w:val="single"/>
        </w:rPr>
      </w:pPr>
      <w:r>
        <w:rPr>
          <w:rFonts w:hint="eastAsia" w:ascii="宋体" w:hAnsi="宋体" w:eastAsia="宋体" w:cs="宋体"/>
          <w:b/>
          <w:bCs/>
          <w:sz w:val="24"/>
          <w:szCs w:val="24"/>
        </w:rPr>
        <w:t xml:space="preserve">1、本项目核心产品为：</w:t>
      </w:r>
      <w:r>
        <w:rPr>
          <w:rFonts w:hint="eastAsia" w:ascii="宋体" w:hAnsi="宋体" w:eastAsia="宋体" w:cs="宋体"/>
          <w:b/>
          <w:bCs/>
          <w:sz w:val="24"/>
          <w:szCs w:val="24"/>
          <w:u w:val="single"/>
        </w:rPr>
        <w:t xml:space="preserve">4K结构化摄像机</w:t>
      </w:r>
      <w:r/>
    </w:p>
    <w:p>
      <w:pPr>
        <w:contextualSpacing/>
        <w:ind w:firstLine="480"/>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通过资格审查、符合性审查的多家投标人提供的</w:t>
      </w:r>
      <w:r>
        <w:rPr>
          <w:rFonts w:hint="eastAsia" w:ascii="宋体" w:hAnsi="宋体" w:eastAsia="宋体" w:cs="宋体"/>
          <w:b/>
          <w:sz w:val="24"/>
          <w:szCs w:val="24"/>
        </w:rPr>
        <w:t xml:space="preserve">核心产品品牌相同</w:t>
      </w:r>
      <w:r>
        <w:rPr>
          <w:rFonts w:hint="eastAsia" w:ascii="宋体" w:hAnsi="宋体" w:eastAsia="宋体" w:cs="宋体"/>
          <w:sz w:val="24"/>
          <w:szCs w:val="24"/>
        </w:rPr>
        <w:t xml:space="preserve">的，均按一家投标人计算,评审后得分最高的同品牌投标人获得中标人推荐资格;评审得分相同的，由采购人或者采购人委托评标委员会按照招标文件规定的方式确定一个投标人获得中标人推荐资格。</w:t>
      </w:r>
      <w:r/>
    </w:p>
    <w:p>
      <w:pPr>
        <w:contextualSpacing/>
        <w:ind w:firstLine="482"/>
        <w:jc w:val="left"/>
        <w:keepLines w:val="0"/>
        <w:keepNext w:val="0"/>
        <w:pageBreakBefore w:val="0"/>
        <w:spacing w:line="400" w:lineRule="exact"/>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所投55寸Mini-LED显示屏须具有国家确定的认证机构出具的、处于有效期之内的节能产品认证证书（投标产品型号必须与节能证书型号一致，明确到最小型号）；所投开关电源须提供3C认证证书。（投标文件中须提供证书扫描件，未提供将作为无效投标）</w:t>
      </w:r>
      <w:r/>
    </w:p>
    <w:p>
      <w:pPr>
        <w:ind w:firstLine="480"/>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、投标单位可对现场进行勘查（不统一组织，投标单位可与采购单位直接联系安排，因投标单位不进行现场勘查造成辅材附件费用计算不准等的后果均由供应商自己负责）。</w:t>
      </w:r>
      <w:r/>
    </w:p>
    <w:p>
      <w:pPr>
        <w:ind w:firstLine="482"/>
        <w:keepLines w:val="0"/>
        <w:keepNext w:val="0"/>
        <w:pageBreakBefore w:val="0"/>
        <w:spacing w:line="400" w:lineRule="exact"/>
        <w:rPr>
          <w:rFonts w:hint="eastAsia" w:ascii="宋体" w:hAnsi="宋体" w:eastAsia="宋体" w:cs="宋体"/>
          <w:b/>
          <w:sz w:val="24"/>
          <w:szCs w:val="24"/>
        </w:rPr>
        <w:outlineLvl w:val="1"/>
      </w:pPr>
      <w:r>
        <w:rPr>
          <w:rFonts w:hint="eastAsia" w:ascii="宋体" w:hAnsi="宋体" w:eastAsia="宋体" w:cs="宋体"/>
          <w:b/>
          <w:sz w:val="24"/>
          <w:szCs w:val="24"/>
        </w:rPr>
        <w:t xml:space="preserve">4、无缝对接要求</w:t>
      </w:r>
      <w:r/>
    </w:p>
    <w:p>
      <w:pPr>
        <w:ind w:firstLine="480"/>
        <w:jc w:val="left"/>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投标人所投产品必须能够与公安各类系统平台功能无缝对接，且不另外增加任何对接及开发费用。对接内容主要包括：</w:t>
      </w:r>
      <w:r/>
    </w:p>
    <w:tbl>
      <w:tblPr>
        <w:tblStyle w:val="86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2"/>
        <w:gridCol w:w="1826"/>
        <w:gridCol w:w="2410"/>
        <w:gridCol w:w="4700"/>
      </w:tblGrid>
      <w:tr>
        <w:trPr>
          <w:jc w:val="center"/>
        </w:trPr>
        <w:tc>
          <w:tcPr>
            <w:shd w:val="clear" w:color="auto" w:fill="auto"/>
            <w:tcW w:w="692"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shd w:val="clear" w:color="auto" w:fill="auto"/>
            <w:tcW w:w="1826"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系统名称</w:t>
            </w:r>
            <w:r/>
          </w:p>
        </w:tc>
        <w:tc>
          <w:tcPr>
            <w:shd w:val="clear" w:color="auto" w:fill="auto"/>
            <w:tcW w:w="241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产品名称</w:t>
            </w:r>
            <w:r/>
          </w:p>
        </w:tc>
        <w:tc>
          <w:tcPr>
            <w:shd w:val="clear" w:color="auto" w:fill="auto"/>
            <w:tcW w:w="4700" w:type="dxa"/>
            <w:vAlign w:val="center"/>
            <w:textDirection w:val="lrTb"/>
            <w:noWrap w:val="false"/>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对接要求</w:t>
            </w:r>
            <w:r/>
          </w:p>
        </w:tc>
      </w:tr>
      <w:tr>
        <w:trPr>
          <w:jc w:val="center"/>
          <w:trHeight w:val="452"/>
        </w:trPr>
        <w:tc>
          <w:tcPr>
            <w:shd w:val="clear" w:color="auto" w:fill="auto"/>
            <w:tcW w:w="692" w:type="dxa"/>
            <w:vAlign w:val="center"/>
            <w:textDirection w:val="lrTb"/>
            <w:noWrap w:val="false"/>
          </w:tcPr>
          <w:p>
            <w:pPr>
              <w:jc w:val="center"/>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1</w:t>
            </w:r>
            <w:r/>
          </w:p>
        </w:tc>
        <w:tc>
          <w:tcPr>
            <w:shd w:val="clear" w:color="auto" w:fill="auto"/>
            <w:tcW w:w="1826" w:type="dxa"/>
            <w:vAlign w:val="center"/>
            <w:vMerge w:val="restart"/>
            <w:textDirection w:val="lrTb"/>
            <w:noWrap w:val="false"/>
          </w:tcPr>
          <w:p>
            <w:pPr>
              <w:jc w:val="center"/>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办案区</w:t>
            </w:r>
            <w:r/>
          </w:p>
        </w:tc>
        <w:tc>
          <w:tcPr>
            <w:shd w:val="clear" w:color="auto" w:fill="auto"/>
            <w:tcW w:w="24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电子签名、指纹</w:t>
            </w:r>
            <w:r/>
          </w:p>
          <w:p>
            <w:pPr>
              <w:jc w:val="center"/>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bCs/>
                <w:sz w:val="24"/>
                <w:szCs w:val="24"/>
              </w:rPr>
              <w:t xml:space="preserve">捺印设备</w:t>
            </w:r>
            <w:r/>
          </w:p>
        </w:tc>
        <w:tc>
          <w:tcPr>
            <w:shd w:val="clear" w:color="auto" w:fill="auto"/>
            <w:tcW w:w="4700" w:type="dxa"/>
            <w:vAlign w:val="center"/>
            <w:vMerge w:val="restart"/>
            <w:textDirection w:val="lrTb"/>
            <w:noWrap w:val="false"/>
          </w:tcPr>
          <w:p>
            <w:pPr>
              <w:jc w:val="left"/>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需功能无缝接入本项目公安执法办案区管理系统平台。</w:t>
            </w:r>
            <w:r/>
          </w:p>
        </w:tc>
      </w:tr>
      <w:tr>
        <w:trPr>
          <w:jc w:val="center"/>
        </w:trPr>
        <w:tc>
          <w:tcPr>
            <w:shd w:val="clear" w:color="auto" w:fill="auto"/>
            <w:tcW w:w="692" w:type="dxa"/>
            <w:vAlign w:val="center"/>
            <w:textDirection w:val="lrTb"/>
            <w:noWrap w:val="false"/>
          </w:tcPr>
          <w:p>
            <w:pPr>
              <w:jc w:val="center"/>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2</w:t>
            </w:r>
            <w:r/>
          </w:p>
        </w:tc>
        <w:tc>
          <w:tcPr>
            <w:shd w:val="clear" w:color="auto" w:fill="auto"/>
            <w:tcW w:w="1826"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Cs/>
                <w:sz w:val="24"/>
                <w:szCs w:val="24"/>
              </w:rPr>
            </w:r>
            <w:r/>
          </w:p>
        </w:tc>
        <w:tc>
          <w:tcPr>
            <w:shd w:val="clear" w:color="auto" w:fill="auto"/>
            <w:tcW w:w="2410" w:type="dxa"/>
            <w:vAlign w:val="center"/>
            <w:textDirection w:val="lrTb"/>
            <w:noWrap w:val="false"/>
          </w:tcPr>
          <w:p>
            <w:pPr>
              <w:jc w:val="center"/>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公安审讯主机</w:t>
            </w:r>
            <w:r/>
          </w:p>
        </w:tc>
        <w:tc>
          <w:tcPr>
            <w:shd w:val="clear" w:color="auto" w:fill="auto"/>
            <w:tcW w:w="4700" w:type="dxa"/>
            <w:vAlign w:val="center"/>
            <w:vMerge w:val="continue"/>
            <w:textDirection w:val="lrTb"/>
            <w:noWrap w:val="false"/>
          </w:tcPr>
          <w:p>
            <w:pPr>
              <w:jc w:val="left"/>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Pr>
        <w:tc>
          <w:tcPr>
            <w:shd w:val="clear" w:color="auto" w:fill="auto"/>
            <w:tcW w:w="692" w:type="dxa"/>
            <w:vAlign w:val="center"/>
            <w:textDirection w:val="lrTb"/>
            <w:noWrap w:val="false"/>
          </w:tcPr>
          <w:p>
            <w:pPr>
              <w:jc w:val="center"/>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3</w:t>
            </w:r>
            <w:r/>
          </w:p>
        </w:tc>
        <w:tc>
          <w:tcPr>
            <w:shd w:val="clear" w:color="auto" w:fill="auto"/>
            <w:tcW w:w="1826"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Cs/>
                <w:sz w:val="24"/>
                <w:szCs w:val="24"/>
              </w:rPr>
            </w:r>
            <w:r/>
          </w:p>
        </w:tc>
        <w:tc>
          <w:tcPr>
            <w:shd w:val="clear" w:color="auto" w:fill="auto"/>
            <w:tcW w:w="2410" w:type="dxa"/>
            <w:vAlign w:val="center"/>
            <w:textDirection w:val="lrTb"/>
            <w:noWrap w:val="false"/>
          </w:tcPr>
          <w:p>
            <w:pPr>
              <w:jc w:val="center"/>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签名捺印版</w:t>
            </w:r>
            <w:r/>
          </w:p>
        </w:tc>
        <w:tc>
          <w:tcPr>
            <w:shd w:val="clear" w:color="auto" w:fill="auto"/>
            <w:tcW w:w="4700" w:type="dxa"/>
            <w:vAlign w:val="center"/>
            <w:vMerge w:val="continue"/>
            <w:textDirection w:val="lrTb"/>
            <w:noWrap w:val="false"/>
          </w:tcPr>
          <w:p>
            <w:pPr>
              <w:jc w:val="left"/>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Height w:val="368"/>
        </w:trPr>
        <w:tc>
          <w:tcPr>
            <w:shd w:val="clear" w:color="auto" w:fill="auto"/>
            <w:tcW w:w="692" w:type="dxa"/>
            <w:vAlign w:val="center"/>
            <w:textDirection w:val="lrTb"/>
            <w:noWrap w:val="false"/>
          </w:tcPr>
          <w:p>
            <w:pPr>
              <w:jc w:val="center"/>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4</w:t>
            </w:r>
            <w:r/>
          </w:p>
        </w:tc>
        <w:tc>
          <w:tcPr>
            <w:shd w:val="clear" w:color="auto" w:fill="auto"/>
            <w:tcW w:w="1826"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Cs/>
                <w:sz w:val="24"/>
                <w:szCs w:val="24"/>
              </w:rPr>
            </w:r>
            <w:r/>
          </w:p>
        </w:tc>
        <w:tc>
          <w:tcPr>
            <w:shd w:val="clear" w:color="auto" w:fill="auto"/>
            <w:tcW w:w="2410" w:type="dxa"/>
            <w:vAlign w:val="center"/>
            <w:textDirection w:val="lrTb"/>
            <w:noWrap w:val="false"/>
          </w:tcPr>
          <w:p>
            <w:pPr>
              <w:jc w:val="center"/>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视频算力主机</w:t>
            </w:r>
            <w:r/>
          </w:p>
        </w:tc>
        <w:tc>
          <w:tcPr>
            <w:shd w:val="clear" w:color="auto" w:fill="auto"/>
            <w:tcW w:w="4700" w:type="dxa"/>
            <w:vAlign w:val="center"/>
            <w:vMerge w:val="continue"/>
            <w:textDirection w:val="lrTb"/>
            <w:noWrap w:val="false"/>
          </w:tcPr>
          <w:p>
            <w:pPr>
              <w:jc w:val="left"/>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Pr>
        <w:tc>
          <w:tcPr>
            <w:shd w:val="clear" w:color="auto" w:fill="auto"/>
            <w:tcW w:w="692" w:type="dxa"/>
            <w:vAlign w:val="center"/>
            <w:textDirection w:val="lrTb"/>
            <w:noWrap w:val="false"/>
          </w:tcPr>
          <w:p>
            <w:pPr>
              <w:jc w:val="center"/>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5</w:t>
            </w:r>
            <w:r/>
          </w:p>
        </w:tc>
        <w:tc>
          <w:tcPr>
            <w:shd w:val="clear" w:color="auto" w:fill="auto"/>
            <w:tcW w:w="1826"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Cs/>
                <w:sz w:val="24"/>
                <w:szCs w:val="24"/>
              </w:rPr>
            </w:r>
            <w:r/>
          </w:p>
        </w:tc>
        <w:tc>
          <w:tcPr>
            <w:shd w:val="clear" w:color="auto" w:fill="auto"/>
            <w:tcW w:w="2410" w:type="dxa"/>
            <w:vAlign w:val="center"/>
            <w:textDirection w:val="lrTb"/>
            <w:noWrap w:val="false"/>
          </w:tcPr>
          <w:p>
            <w:pPr>
              <w:jc w:val="center"/>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4K结构化摄像机</w:t>
            </w:r>
            <w:r/>
          </w:p>
        </w:tc>
        <w:tc>
          <w:tcPr>
            <w:shd w:val="clear" w:color="auto" w:fill="auto"/>
            <w:tcW w:w="4700" w:type="dxa"/>
            <w:vAlign w:val="center"/>
            <w:vMerge w:val="continue"/>
            <w:textDirection w:val="lrTb"/>
            <w:noWrap w:val="false"/>
          </w:tcPr>
          <w:p>
            <w:pPr>
              <w:jc w:val="left"/>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Pr>
        <w:tc>
          <w:tcPr>
            <w:shd w:val="clear" w:color="auto" w:fill="auto"/>
            <w:tcW w:w="692" w:type="dxa"/>
            <w:vAlign w:val="center"/>
            <w:textDirection w:val="lrTb"/>
            <w:noWrap w:val="false"/>
          </w:tcPr>
          <w:p>
            <w:pPr>
              <w:jc w:val="center"/>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6</w:t>
            </w:r>
            <w:r/>
          </w:p>
        </w:tc>
        <w:tc>
          <w:tcPr>
            <w:shd w:val="clear" w:color="auto" w:fill="auto"/>
            <w:tcW w:w="1826"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Cs/>
                <w:sz w:val="24"/>
                <w:szCs w:val="24"/>
              </w:rPr>
            </w:r>
            <w:r/>
          </w:p>
        </w:tc>
        <w:tc>
          <w:tcPr>
            <w:shd w:val="clear" w:color="auto" w:fill="auto"/>
            <w:tcW w:w="2410" w:type="dxa"/>
            <w:vAlign w:val="center"/>
            <w:textDirection w:val="lrTb"/>
            <w:noWrap w:val="false"/>
          </w:tcPr>
          <w:p>
            <w:pPr>
              <w:jc w:val="center"/>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无感定位轨迹软件</w:t>
            </w:r>
            <w:r/>
          </w:p>
        </w:tc>
        <w:tc>
          <w:tcPr>
            <w:shd w:val="clear" w:color="auto" w:fill="auto"/>
            <w:tcW w:w="4700" w:type="dxa"/>
            <w:vAlign w:val="center"/>
            <w:vMerge w:val="continue"/>
            <w:textDirection w:val="lrTb"/>
            <w:noWrap w:val="false"/>
          </w:tcPr>
          <w:p>
            <w:pPr>
              <w:jc w:val="left"/>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Pr>
        <w:tc>
          <w:tcPr>
            <w:shd w:val="clear" w:color="auto" w:fill="auto"/>
            <w:tcW w:w="692" w:type="dxa"/>
            <w:vAlign w:val="center"/>
            <w:textDirection w:val="lrTb"/>
            <w:noWrap w:val="false"/>
          </w:tcPr>
          <w:p>
            <w:pPr>
              <w:jc w:val="center"/>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7</w:t>
            </w:r>
            <w:r/>
          </w:p>
        </w:tc>
        <w:tc>
          <w:tcPr>
            <w:shd w:val="clear" w:color="auto" w:fill="auto"/>
            <w:tcW w:w="1826"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Cs/>
                <w:sz w:val="24"/>
                <w:szCs w:val="24"/>
              </w:rPr>
            </w:r>
            <w:r/>
          </w:p>
        </w:tc>
        <w:tc>
          <w:tcPr>
            <w:shd w:val="clear" w:color="auto" w:fill="auto"/>
            <w:tcW w:w="2410" w:type="dxa"/>
            <w:vAlign w:val="center"/>
            <w:textDirection w:val="lrTb"/>
            <w:noWrap w:val="false"/>
          </w:tcPr>
          <w:p>
            <w:pPr>
              <w:jc w:val="center"/>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3D地图（含可视化建模服务）</w:t>
            </w:r>
            <w:r/>
          </w:p>
        </w:tc>
        <w:tc>
          <w:tcPr>
            <w:shd w:val="clear" w:color="auto" w:fill="auto"/>
            <w:tcW w:w="4700" w:type="dxa"/>
            <w:vAlign w:val="center"/>
            <w:vMerge w:val="continue"/>
            <w:textDirection w:val="lrTb"/>
            <w:noWrap w:val="false"/>
          </w:tcPr>
          <w:p>
            <w:pPr>
              <w:jc w:val="left"/>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Pr>
        <w:tc>
          <w:tcPr>
            <w:shd w:val="clear" w:color="auto" w:fill="auto"/>
            <w:tcW w:w="692" w:type="dxa"/>
            <w:vAlign w:val="center"/>
            <w:textDirection w:val="lrTb"/>
            <w:noWrap w:val="false"/>
          </w:tcPr>
          <w:p>
            <w:pPr>
              <w:jc w:val="center"/>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8</w:t>
            </w:r>
            <w:r/>
          </w:p>
        </w:tc>
        <w:tc>
          <w:tcPr>
            <w:shd w:val="clear" w:color="auto" w:fill="auto"/>
            <w:tcW w:w="1826" w:type="dxa"/>
            <w:vAlign w:val="center"/>
            <w:vMerge w:val="restart"/>
            <w:textDirection w:val="lrTb"/>
            <w:noWrap w:val="false"/>
          </w:tcPr>
          <w:p>
            <w:pPr>
              <w:jc w:val="center"/>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中心机房设备</w:t>
            </w:r>
            <w:r/>
          </w:p>
        </w:tc>
        <w:tc>
          <w:tcPr>
            <w:shd w:val="clear" w:color="auto" w:fill="auto"/>
            <w:tcW w:w="2410" w:type="dxa"/>
            <w:vAlign w:val="center"/>
            <w:textDirection w:val="lrTb"/>
            <w:noWrap w:val="false"/>
          </w:tcPr>
          <w:p>
            <w:pPr>
              <w:jc w:val="center"/>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流媒体服务器</w:t>
            </w:r>
            <w:r/>
          </w:p>
        </w:tc>
        <w:tc>
          <w:tcPr>
            <w:shd w:val="clear" w:color="auto" w:fill="auto"/>
            <w:tcW w:w="4700" w:type="dxa"/>
            <w:vAlign w:val="center"/>
            <w:vMerge w:val="continue"/>
            <w:textDirection w:val="lrTb"/>
            <w:noWrap w:val="false"/>
          </w:tcPr>
          <w:p>
            <w:pPr>
              <w:jc w:val="left"/>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Pr>
        <w:tc>
          <w:tcPr>
            <w:shd w:val="clear" w:color="auto" w:fill="auto"/>
            <w:tcW w:w="692" w:type="dxa"/>
            <w:vAlign w:val="center"/>
            <w:textDirection w:val="lrTb"/>
            <w:noWrap w:val="false"/>
          </w:tcPr>
          <w:p>
            <w:pPr>
              <w:jc w:val="center"/>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9</w:t>
            </w:r>
            <w:r/>
          </w:p>
        </w:tc>
        <w:tc>
          <w:tcPr>
            <w:shd w:val="clear" w:color="auto" w:fill="auto"/>
            <w:tcW w:w="1826"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Cs/>
                <w:sz w:val="24"/>
                <w:szCs w:val="24"/>
              </w:rPr>
            </w:r>
            <w:r/>
          </w:p>
        </w:tc>
        <w:tc>
          <w:tcPr>
            <w:shd w:val="clear" w:color="auto" w:fill="auto"/>
            <w:tcW w:w="2410" w:type="dxa"/>
            <w:vAlign w:val="center"/>
            <w:textDirection w:val="lrTb"/>
            <w:noWrap w:val="false"/>
          </w:tcPr>
          <w:p>
            <w:pPr>
              <w:jc w:val="center"/>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网关主机</w:t>
            </w:r>
            <w:r/>
          </w:p>
        </w:tc>
        <w:tc>
          <w:tcPr>
            <w:shd w:val="clear" w:color="auto" w:fill="auto"/>
            <w:tcW w:w="4700" w:type="dxa"/>
            <w:vAlign w:val="center"/>
            <w:vMerge w:val="continue"/>
            <w:textDirection w:val="lrTb"/>
            <w:noWrap w:val="false"/>
          </w:tcPr>
          <w:p>
            <w:pPr>
              <w:jc w:val="left"/>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Pr>
        <w:tc>
          <w:tcPr>
            <w:shd w:val="clear" w:color="auto" w:fill="auto"/>
            <w:tcW w:w="692" w:type="dxa"/>
            <w:vAlign w:val="center"/>
            <w:textDirection w:val="lrTb"/>
            <w:noWrap w:val="false"/>
          </w:tcPr>
          <w:p>
            <w:pPr>
              <w:jc w:val="center"/>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10</w:t>
            </w:r>
            <w:r/>
          </w:p>
        </w:tc>
        <w:tc>
          <w:tcPr>
            <w:shd w:val="clear" w:color="auto" w:fill="auto"/>
            <w:tcW w:w="1826"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Cs/>
                <w:sz w:val="24"/>
                <w:szCs w:val="24"/>
              </w:rPr>
            </w:r>
            <w:r/>
          </w:p>
        </w:tc>
        <w:tc>
          <w:tcPr>
            <w:shd w:val="clear" w:color="auto" w:fill="auto"/>
            <w:tcW w:w="2410" w:type="dxa"/>
            <w:vAlign w:val="center"/>
            <w:textDirection w:val="lrTb"/>
            <w:noWrap w:val="false"/>
          </w:tcPr>
          <w:p>
            <w:pPr>
              <w:jc w:val="center"/>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数据对接接口（本地化适配部署）</w:t>
            </w:r>
            <w:r/>
          </w:p>
        </w:tc>
        <w:tc>
          <w:tcPr>
            <w:shd w:val="clear" w:color="auto" w:fill="auto"/>
            <w:tcW w:w="4700" w:type="dxa"/>
            <w:vAlign w:val="center"/>
            <w:textDirection w:val="lrTb"/>
            <w:noWrap w:val="false"/>
          </w:tcPr>
          <w:p>
            <w:pPr>
              <w:jc w:val="left"/>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需功能无缝对接江苏省公安厅及无锡、江阴公安的相关业务系统及平台。</w:t>
            </w:r>
            <w:r/>
          </w:p>
        </w:tc>
      </w:tr>
      <w:tr>
        <w:trPr>
          <w:jc w:val="center"/>
        </w:trPr>
        <w:tc>
          <w:tcPr>
            <w:shd w:val="clear" w:color="auto" w:fill="auto"/>
            <w:tcW w:w="692" w:type="dxa"/>
            <w:vAlign w:val="center"/>
            <w:textDirection w:val="lrTb"/>
            <w:noWrap w:val="false"/>
          </w:tcPr>
          <w:p>
            <w:pPr>
              <w:jc w:val="center"/>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11</w:t>
            </w:r>
            <w:r/>
          </w:p>
        </w:tc>
        <w:tc>
          <w:tcPr>
            <w:shd w:val="clear" w:color="auto" w:fill="auto"/>
            <w:tcW w:w="1826"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Cs/>
                <w:sz w:val="24"/>
                <w:szCs w:val="24"/>
              </w:rPr>
            </w:r>
            <w:r/>
          </w:p>
        </w:tc>
        <w:tc>
          <w:tcPr>
            <w:shd w:val="clear" w:color="auto" w:fill="auto"/>
            <w:tcW w:w="2410" w:type="dxa"/>
            <w:vAlign w:val="center"/>
            <w:textDirection w:val="lrTb"/>
            <w:noWrap w:val="false"/>
          </w:tcPr>
          <w:p>
            <w:pPr>
              <w:jc w:val="center"/>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AI智能分析服务器</w:t>
            </w:r>
            <w:r/>
          </w:p>
        </w:tc>
        <w:tc>
          <w:tcPr>
            <w:shd w:val="clear" w:color="auto" w:fill="auto"/>
            <w:tcW w:w="4700" w:type="dxa"/>
            <w:vAlign w:val="center"/>
            <w:textDirection w:val="lrTb"/>
            <w:noWrap w:val="false"/>
          </w:tcPr>
          <w:p>
            <w:pPr>
              <w:jc w:val="left"/>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需功能无缝接入江阴公安现有AI算力基座。</w:t>
            </w:r>
            <w:r/>
          </w:p>
        </w:tc>
      </w:tr>
      <w:tr>
        <w:trPr>
          <w:jc w:val="center"/>
          <w:trHeight w:val="540"/>
        </w:trPr>
        <w:tc>
          <w:tcPr>
            <w:shd w:val="clear" w:color="auto" w:fill="auto"/>
            <w:tcW w:w="692" w:type="dxa"/>
            <w:vAlign w:val="center"/>
            <w:textDirection w:val="lrTb"/>
            <w:noWrap w:val="false"/>
          </w:tcPr>
          <w:p>
            <w:pPr>
              <w:jc w:val="center"/>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12</w:t>
            </w:r>
            <w:r/>
          </w:p>
        </w:tc>
        <w:tc>
          <w:tcPr>
            <w:shd w:val="clear" w:color="auto" w:fill="auto"/>
            <w:tcW w:w="1826" w:type="dxa"/>
            <w:vAlign w:val="center"/>
            <w:textDirection w:val="lrTb"/>
            <w:noWrap w:val="false"/>
          </w:tcPr>
          <w:p>
            <w:pPr>
              <w:jc w:val="center"/>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门禁系统</w:t>
            </w:r>
            <w:r/>
          </w:p>
        </w:tc>
        <w:tc>
          <w:tcPr>
            <w:shd w:val="clear" w:color="auto" w:fill="auto"/>
            <w:tcW w:w="2410" w:type="dxa"/>
            <w:vAlign w:val="center"/>
            <w:textDirection w:val="lrTb"/>
            <w:noWrap w:val="false"/>
          </w:tcPr>
          <w:p>
            <w:pPr>
              <w:jc w:val="center"/>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国密门禁整体改造</w:t>
            </w:r>
            <w:r/>
          </w:p>
        </w:tc>
        <w:tc>
          <w:tcPr>
            <w:shd w:val="clear" w:color="auto" w:fill="auto"/>
            <w:tcW w:w="4700" w:type="dxa"/>
            <w:vAlign w:val="center"/>
            <w:textDirection w:val="lrTb"/>
            <w:noWrap w:val="false"/>
          </w:tcPr>
          <w:p>
            <w:pPr>
              <w:jc w:val="left"/>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需功能无缝接入本项目新建公安执法办案区管理系统平台。</w:t>
            </w:r>
            <w:r/>
          </w:p>
        </w:tc>
      </w:tr>
      <w:tr>
        <w:trPr>
          <w:jc w:val="center"/>
          <w:trHeight w:val="540"/>
        </w:trPr>
        <w:tc>
          <w:tcPr>
            <w:shd w:val="clear" w:color="auto" w:fill="auto"/>
            <w:tcW w:w="692" w:type="dxa"/>
            <w:vAlign w:val="center"/>
            <w:textDirection w:val="lrTb"/>
            <w:noWrap w:val="false"/>
          </w:tcPr>
          <w:p>
            <w:pPr>
              <w:jc w:val="center"/>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13</w:t>
            </w:r>
            <w:r/>
          </w:p>
        </w:tc>
        <w:tc>
          <w:tcPr>
            <w:shd w:val="clear" w:color="auto" w:fill="auto"/>
            <w:tcW w:w="1826" w:type="dxa"/>
            <w:vAlign w:val="center"/>
            <w:textDirection w:val="lrTb"/>
            <w:noWrap w:val="false"/>
          </w:tcPr>
          <w:p>
            <w:pPr>
              <w:jc w:val="center"/>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sz w:val="24"/>
                <w:szCs w:val="24"/>
              </w:rPr>
              <w:t xml:space="preserve">计算机网络系统</w:t>
            </w:r>
            <w:r/>
          </w:p>
        </w:tc>
        <w:tc>
          <w:tcPr>
            <w:shd w:val="clear" w:color="auto" w:fill="auto"/>
            <w:tcW w:w="24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所有交换机设备</w:t>
            </w:r>
            <w:r/>
          </w:p>
        </w:tc>
        <w:tc>
          <w:tcPr>
            <w:shd w:val="clear" w:color="auto" w:fill="auto"/>
            <w:tcW w:w="4700" w:type="dxa"/>
            <w:vAlign w:val="center"/>
            <w:textDirection w:val="lrTb"/>
            <w:noWrap w:val="false"/>
          </w:tcPr>
          <w:p>
            <w:pPr>
              <w:jc w:val="left"/>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需功能无缝接入江阴公安现有网管系统（公安网）。</w:t>
            </w:r>
            <w:r/>
          </w:p>
        </w:tc>
      </w:tr>
      <w:tr>
        <w:trPr>
          <w:jc w:val="center"/>
          <w:trHeight w:val="540"/>
        </w:trPr>
        <w:tc>
          <w:tcPr>
            <w:shd w:val="clear" w:color="auto" w:fill="auto"/>
            <w:tcW w:w="692" w:type="dxa"/>
            <w:vAlign w:val="center"/>
            <w:textDirection w:val="lrTb"/>
            <w:noWrap w:val="false"/>
          </w:tcPr>
          <w:p>
            <w:pPr>
              <w:jc w:val="center"/>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14</w:t>
            </w:r>
            <w:r/>
          </w:p>
        </w:tc>
        <w:tc>
          <w:tcPr>
            <w:shd w:val="clear" w:color="auto" w:fill="auto"/>
            <w:tcW w:w="1826" w:type="dxa"/>
            <w:vAlign w:val="center"/>
            <w:textDirection w:val="lrTb"/>
            <w:noWrap w:val="false"/>
          </w:tcPr>
          <w:p>
            <w:pPr>
              <w:jc w:val="center"/>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利旧设备检修与恢复</w:t>
            </w:r>
            <w:r/>
          </w:p>
        </w:tc>
        <w:tc>
          <w:tcPr>
            <w:shd w:val="clear" w:color="auto" w:fill="auto"/>
            <w:tcW w:w="2410" w:type="dxa"/>
            <w:vAlign w:val="center"/>
            <w:textDirection w:val="lrTb"/>
            <w:noWrap w:val="false"/>
          </w:tcPr>
          <w:p>
            <w:pPr>
              <w:jc w:val="center"/>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sz w:val="24"/>
                <w:szCs w:val="24"/>
              </w:rPr>
              <w:t xml:space="preserve">原有信息化设备检测、维修与恢复</w:t>
            </w:r>
            <w:r/>
          </w:p>
        </w:tc>
        <w:tc>
          <w:tcPr>
            <w:shd w:val="clear" w:color="auto" w:fill="auto"/>
            <w:tcW w:w="4700" w:type="dxa"/>
            <w:vAlign w:val="center"/>
            <w:textDirection w:val="lrTb"/>
            <w:noWrap w:val="false"/>
          </w:tcPr>
          <w:p>
            <w:pPr>
              <w:jc w:val="left"/>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需功能无缝接入本次项目新建系统平台。</w:t>
            </w:r>
            <w:r/>
          </w:p>
        </w:tc>
      </w:tr>
    </w:tbl>
    <w:p>
      <w:pPr>
        <w:ind w:firstLine="482"/>
        <w:keepLines w:val="0"/>
        <w:keepNext w:val="0"/>
        <w:pageBreakBefore w:val="0"/>
        <w:spacing w:line="400" w:lineRule="exact"/>
        <w:rPr>
          <w:rFonts w:hint="eastAsia" w:ascii="宋体" w:hAnsi="宋体" w:eastAsia="宋体" w:cs="宋体"/>
          <w:b w:val="0"/>
          <w:bCs w:val="0"/>
          <w:sz w:val="24"/>
          <w:szCs w:val="24"/>
        </w:rPr>
      </w:pPr>
      <w:r>
        <w:rPr>
          <w:rFonts w:hint="eastAsia" w:ascii="宋体" w:hAnsi="宋体" w:eastAsia="宋体" w:cs="宋体"/>
          <w:b/>
          <w:bCs/>
          <w:sz w:val="24"/>
          <w:szCs w:val="24"/>
        </w:rPr>
        <w:t xml:space="preserve">投标人在投标时须针对上述内容提供无缝对接承诺书(格式自拟，未提供将作为无效投标)。</w:t>
      </w:r>
      <w:r>
        <w:rPr>
          <w:rFonts w:hint="eastAsia" w:ascii="宋体" w:hAnsi="宋体" w:eastAsia="宋体" w:cs="宋体"/>
          <w:b w:val="0"/>
          <w:bCs w:val="0"/>
          <w:sz w:val="24"/>
          <w:szCs w:val="24"/>
        </w:rPr>
        <w:t xml:space="preserve">履约过程中，如中标人无法满足，采购人有权通过政府采购法律程序解除合同，产生的一切后果和责任由供应商承担。</w:t>
      </w:r>
      <w:r/>
    </w:p>
    <w:p>
      <w:pPr>
        <w:ind w:firstLine="480"/>
        <w:keepLines w:val="0"/>
        <w:keepNext w:val="0"/>
        <w:pageBreakBefore w:val="0"/>
        <w:spacing w:line="4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keepLines w:val="0"/>
        <w:keepNext w:val="0"/>
        <w:pageBreakBefore w:val="0"/>
        <w:spacing w:line="400" w:lineRule="exact"/>
        <w:rPr>
          <w:rFonts w:hint="eastAsia" w:ascii="黑体" w:hAnsi="黑体" w:eastAsia="黑体" w:cs="黑体"/>
          <w:bCs/>
          <w:color w:val="ff0000"/>
          <w:sz w:val="28"/>
          <w:szCs w:val="28"/>
        </w:rPr>
      </w:pPr>
      <w:r>
        <w:rPr>
          <w:rFonts w:hint="eastAsia" w:ascii="黑体" w:hAnsi="黑体" w:eastAsia="黑体" w:cs="黑体"/>
          <w:bCs/>
          <w:sz w:val="28"/>
          <w:szCs w:val="28"/>
          <w:lang w:eastAsia="zh-CN"/>
        </w:rPr>
        <w:t xml:space="preserve">四</w:t>
      </w:r>
      <w:r>
        <w:rPr>
          <w:rFonts w:hint="eastAsia" w:ascii="黑体" w:hAnsi="黑体" w:eastAsia="黑体" w:cs="黑体"/>
          <w:bCs/>
          <w:sz w:val="28"/>
          <w:szCs w:val="28"/>
        </w:rPr>
        <w:t xml:space="preserve">、主要设备详细技术参数及功能要求：（打“★”项为重要技术参数）</w:t>
      </w:r>
      <w:r/>
    </w:p>
    <w:p>
      <w:pP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（一）公安审讯主机</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1、支持不拆机箱更换光驱；</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2、接口要求不少于：1个RJ45网络接口、4个POE网络接口、1个HDMI输入、1个VGA输入、1个VGA输出；</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3、支持高音质音频接入，音频编码标准应采用AAC，音频采样率8KHz/32KHz/48KHz可调；</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4、支持校正时钟功能；</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5、支持不少于6个前置硬盘插槽，支持热插拔；</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6、单张光盘刻录的音视频时长不低于4小时，且不影响刻录的音视频质量；</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7、支持采集讯问室实时音视频和环境信息，包括讯问民警人声、嫌疑人人声、其他环境声音、嫌疑人正面画面、室内全景画面、时间、温度、湿度等；采集的声音和图像应清晰无损坏，支持8路视频通道和3路合成通道共11路通道的同时采集录像；</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8、支持视频自动叠加片头，叠加内容可设置案件编号、案件名称、审讯民警姓名、嫌疑人姓名等；</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9、支持硬盘自动存储和双光驱刻录；</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10、支持打点功能，在硬盘存储和光盘刻录过程中可对重点内容进行打点标记；</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11、支持视频、音频丢失报警功能；</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12、支持自动对光盘进行封盘；</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13、讯问结束后刻录的时间不超过5分钟，支持通过硬盘音视频数据实现光盘更换自动回补刻录；</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14、讯问音视频回放应保证画面清晰，声音无提前或滞后且不失真；</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15、刻录光盘需包含播放器，无需另外安装播放软件，即可在任意电脑上自动播放；</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16、支持对光盘进行加密，未通过验证不可进行擦写或拷贝操作；</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17、支持B/S和C/S两种访问主机方式；</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18、支持音频混音，可显示声音波形；</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19、支持一键直刻，光盘刻录可选择单盘直刻、双盘直刻或循环直刻，并可自定义刻录通道；</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20、支持GB/T28181、RTSP等接入协议，并具有H.323协议相关设置功能；</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21、支持画面合成，合成数量支持1/2/3/4/5/6/8，合成画面可独立编码，支持H.265编码格式，分辨率支持不低于4K，帧率支持60fps；</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22、支持上传证据资料；</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23、支持接入人体生命体征信息，可在实时视频上同步叠加血压、血氧、心律等体征信息；</w:t>
      </w:r>
      <w:r/>
    </w:p>
    <w:p>
      <w:pPr>
        <w:ind w:firstLine="24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b/>
          <w:sz w:val="24"/>
          <w:szCs w:val="24"/>
        </w:rPr>
        <w:t xml:space="preserve">24、支持通过国产化客户端电脑同步清晰回放讯问音视频，在CPU为龙芯、飞腾、兆芯，操作系统为麒麟V10、龙芯、统信的客户端电脑上均能正常回放，同时支持光盘一键回放；（提供第三方权威检测机构出具的检测报告扫描件）</w:t>
      </w:r>
      <w:r/>
    </w:p>
    <w:p>
      <w:pPr>
        <w:ind w:firstLine="24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b/>
          <w:sz w:val="24"/>
          <w:szCs w:val="24"/>
        </w:rPr>
        <w:t xml:space="preserve">25、支持通过在CPU为龙芯、飞腾、兆芯，操作系统为麒麟V10、龙芯、统信的客户端电脑上正常刻录、录像；（提供第三方权威检测机构出具的检测报告扫描件）</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26、支持视频画面质量检测，支持不少于场景变化、黑白异常、对比度异常、视频抖动、条纹干扰、人为干扰、亮度异常、视频模糊、噪声干扰、视频偏色、画面冻结、信号缺失等12种视频诊断算法；</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27、支持热备功能，每当主机故障时可通过备用机进行运行，可保证录像完整性。</w:t>
      </w:r>
      <w:r/>
    </w:p>
    <w:p>
      <w:pP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r>
      <w:r/>
    </w:p>
    <w:p>
      <w:pP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（二）执法办案区管理系统软件</w:t>
      </w:r>
      <w:r/>
    </w:p>
    <w:p>
      <w:pPr>
        <w:pStyle w:val="875"/>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1、首页功能支持展示办案区数据(预约未入区、在区人数、临时出区、审讯中、看押中、安检/信采/存物、今日裁决出区)人数，支持列表查看数据详情；支持展示24小时动态、我的应用、我的申请等功能。</w:t>
      </w:r>
      <w:r/>
    </w:p>
    <w:p>
      <w:pPr>
        <w:pStyle w:val="875"/>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首页功能支持展示系统通知(序号、报警类型、报警地点、报警时间),支持对系统中的报警进行实时展示；支持轮播在区涉案人员的信息，显示嫌疑人的照片以及其对应的各流程环节的完成状态；支持根据相关权限需求展示关联的案件相关信息，并可视化展示办案室、候问室的使用状态。</w:t>
      </w:r>
      <w:r/>
    </w:p>
    <w:p>
      <w:pPr>
        <w:pStyle w:val="875"/>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流程管控功能支持对嫌疑人带入办案区按照入区登记、人身安全检查信息登记、随身物品登记保管、信息采集、候问、讯(询)问、随身物品返还、离区管理的流程顺序完成办案活动；支持嫌疑人通过人证核验进行控制入出区，支持通过人员信息实时查看所在流程节点及功能区域信息和监控录像。</w:t>
      </w:r>
      <w:r/>
    </w:p>
    <w:p>
      <w:pPr>
        <w:pStyle w:val="875"/>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4、支持嫌疑人临时出区并绑定随同出区民警，重新入区时可以查询和复用临时出区的信息，支持人脸识别联动人员信息回显并进行出区登记；支持提交出区申请，根据审批结果判定是否能够出区。</w:t>
      </w:r>
      <w:r/>
    </w:p>
    <w:p>
      <w:pPr>
        <w:pStyle w:val="875"/>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5、支持同案标记，同一案件不同嫌疑人的主办、协办民警互相能够看到对方的案件信息，同时支持协同办案 。</w:t>
      </w:r>
      <w:r/>
    </w:p>
    <w:p>
      <w:pPr>
        <w:pStyle w:val="875"/>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6、涉案人员在区时长支持延长至24 小时或 48 小时；可检索延长操作记录或撤销最近一次的延长操作记录。</w:t>
      </w:r>
      <w:r/>
    </w:p>
    <w:p>
      <w:pPr>
        <w:pStyle w:val="875"/>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7、支持民警和非嫌疑人批量入区登记，可填写入区原因、人员类型、国籍、案件性质、案由等信息，并可关联预约、嫌疑人；也可实现批量出区，并可按出区原因筛选出区记录。</w:t>
      </w:r>
      <w:r/>
    </w:p>
    <w:p>
      <w:pPr>
        <w:pStyle w:val="875"/>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8、未成年嫌疑人登记时，支持选择是否需要监护人，支持监护人员一同入区。</w:t>
      </w:r>
      <w:r/>
    </w:p>
    <w:p>
      <w:pPr>
        <w:pStyle w:val="875"/>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9、入区检查功能支持人脸快速登记人身安全检查、吸毒检测、信息采集信息，进行安全检查的民警强制与嫌疑人同性别，医疗人员可配置是否强制同性别。</w:t>
      </w:r>
      <w:r/>
    </w:p>
    <w:p>
      <w:pPr>
        <w:pStyle w:val="875"/>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10、支持对嫌疑人的病情进行登记，可以在人形图对应的位置标记伤病情况且进行检查抓拍，支持嫌疑人对安全检查文书进行确定和签字捺印，平台保存其签字录像。</w:t>
      </w:r>
      <w:r/>
    </w:p>
    <w:p>
      <w:pPr>
        <w:pStyle w:val="875"/>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11、物品暂存与物品返还功能支持人脸识别快速绑定人员进行财物暂存业务；支持接入智能和非智能 物品柜；支持财物暂存登记功能，并远程开柜存入。</w:t>
      </w:r>
      <w:r/>
    </w:p>
    <w:p>
      <w:pPr>
        <w:pStyle w:val="875"/>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12、嫌疑人无随身财物时，支持以无财物暂存模式继续进行信息记录，未做财物暂存操作时平台可进行报警。</w:t>
      </w:r>
      <w:r/>
    </w:p>
    <w:p>
      <w:pPr>
        <w:pStyle w:val="875"/>
        <w:ind w:firstLine="241"/>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b/>
          <w:sz w:val="24"/>
          <w:szCs w:val="24"/>
        </w:rPr>
        <w:t xml:space="preserve">★13、候问管理功能支持对嫌疑人分配候问室，分配支持男女分离、同案分离、传染病、残疾人、未成年人分离等规则，可视化展示各候问室状态和当前在押人数及人员详细信息，并支持人员信息的修改 。（提供第三方权威检测机构出具的检测报告扫描件）</w:t>
      </w:r>
      <w:r/>
    </w:p>
    <w:p>
      <w:pPr>
        <w:pStyle w:val="875"/>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14、支持标记显示当前候问室男女、未成年人、特殊疾病人人数；给男/女、未成年人分配办案室时，系统会有相应提示。</w:t>
      </w:r>
      <w:r/>
    </w:p>
    <w:p>
      <w:pPr>
        <w:pStyle w:val="875"/>
        <w:ind w:firstLine="241"/>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b/>
          <w:sz w:val="24"/>
          <w:szCs w:val="24"/>
        </w:rPr>
        <w:t xml:space="preserve">★15、饮食休息管理支持涉案人员饮食和休息管理功能，支持休息的时间、饮食、上厕所和吃药等信息记录，并可进行相关信息的搜索；人员饮食休息登记表支持签字捺印和下载；支持批量添加人员饮食休息信息 。（提供第三方权威检测机构出具的检测报告扫描件）</w:t>
      </w:r>
      <w:r/>
    </w:p>
    <w:p>
      <w:pPr>
        <w:pStyle w:val="875"/>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16、酒精检测信息功能支持涉案人员以呼气式和抽血化验两种方法进行酒精检测的信息录入，录入信息包括录入时间、地点、区域、酒精浓度和照片，照片支持使用前端设备抓拍和或上传检测图片，支持检索检测的历史记录。</w:t>
      </w:r>
      <w:r/>
    </w:p>
    <w:p>
      <w:pPr>
        <w:pStyle w:val="875"/>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17、审讯管理功能支持自动或手动录入案件及审讯基本信息，支持预设办案笔录，笔录支持蒙文、维文，嫌疑人信息可自动关联并更新到笔录表头，支持选择辨认笔录。</w:t>
      </w:r>
      <w:r/>
    </w:p>
    <w:p>
      <w:pPr>
        <w:pStyle w:val="875"/>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18、支持联动办案室强电控制器 控制 LED 电子门牌打开和关闭，开始办案后自动开始同步录音录像；提供常用问答模板辅助民警讯问问答，可以查看相关法律法规；前端设备支持进行体征检测并展示报警信息，支持询/讯问室超时办案报警提醒。</w:t>
      </w:r>
      <w:r/>
    </w:p>
    <w:p>
      <w:pPr>
        <w:pStyle w:val="875"/>
        <w:ind w:firstLine="482"/>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b/>
          <w:sz w:val="24"/>
          <w:szCs w:val="24"/>
        </w:rPr>
        <w:t xml:space="preserve">★19、支持协同办案，同案件的多个审讯室可互相查看对方的笔录和视频信息；在办案现场同级或上级领导可以打开即时指挥的会话界面进行查看预览和指挥，可通过即时通信功能进行文件及文件夹的传输 。（提供第三方权威检测机构出具的检测报告扫描件）</w:t>
      </w:r>
      <w:r/>
    </w:p>
    <w:p>
      <w:pPr>
        <w:pStyle w:val="875"/>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20、支持在副屏展示告知书，可全文朗读、 光标朗读、选择朗读告知书，并可打印告知书。支持资料管理，包括证据信息、证据文件。</w:t>
      </w:r>
      <w:r/>
    </w:p>
    <w:p>
      <w:pPr>
        <w:pStyle w:val="875"/>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21、支持对其他场所的办案室房间进行远程提讯，支持嫌疑人在权利义务告知书签字、捺印，权利义务告知书、签字视频、笔录、审讯视频可一起刻录光盘。</w:t>
      </w:r>
      <w:r/>
    </w:p>
    <w:p>
      <w:pPr>
        <w:pStyle w:val="875"/>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22、支持联动审讯椅或其他检测设备，监测嫌疑人心率、体温、血压、呼吸等生命体征 </w:t>
      </w:r>
      <w:r/>
    </w:p>
    <w:p>
      <w:pPr>
        <w:pStyle w:val="875"/>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23、支持远程提讯、远程辨认、远程会见、远程收案、远程会商、远程指挥等远程办案方式 。</w:t>
      </w:r>
      <w:r/>
    </w:p>
    <w:p>
      <w:pPr>
        <w:pStyle w:val="875"/>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24、支持远程讯问进行预约、审批、预约取消；支持电子文书网上推送与流转；支持远程电子笔录、远程权利义务告知书、远程电子示证、画中画实时录像、远程照片辨认、远程音视频对话、远程指挥等功能；支持指挥人员实时观看讯问视频和笔录，也支持同时查看多路视频。</w:t>
      </w:r>
      <w:r/>
    </w:p>
    <w:p>
      <w:pPr>
        <w:pStyle w:val="875"/>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25、即时通讯功能支持场所下民警使用即时通讯功能进行单独沟通、建群沟通，支持发送文字、语音、附件、音频、视频、共享模板等进行沟通。</w:t>
      </w:r>
      <w:r/>
    </w:p>
    <w:p>
      <w:pPr>
        <w:pStyle w:val="875"/>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26、支持查看案件的涉案财物，展示物品信息和操作记录，支持图形化和列表两种方式展示物品操作节点名称、操作时间等。</w:t>
      </w:r>
      <w:r/>
    </w:p>
    <w:p>
      <w:pPr>
        <w:pStyle w:val="875"/>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27、支持查看案件的案卷文书，展示案卷信息和操作记录，支持图形化和列表两种方式展示案卷操作节点名称、操作人、操作时间、查看回执和抓拍等。</w:t>
      </w:r>
      <w:r/>
    </w:p>
    <w:p>
      <w:pPr>
        <w:pStyle w:val="875"/>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28、支持对违规行为保存抓拍照片和录像视频进行下发督导。</w:t>
      </w:r>
      <w:r/>
    </w:p>
    <w:p>
      <w:pPr>
        <w:pStyle w:val="875"/>
        <w:ind w:firstLine="482"/>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b/>
          <w:sz w:val="24"/>
          <w:szCs w:val="24"/>
        </w:rPr>
        <w:t xml:space="preserve">★29、支持回放人员在区视频，回放视频时地图上有对应轨迹画线；支持接收人员报警信号，可在电子地图上显示报警位置并弹出实时视频 。（提供第三方权威检测机构出具的检测报告扫描件）</w:t>
      </w:r>
      <w:r/>
    </w:p>
    <w:p>
      <w:pPr>
        <w:pStyle w:val="875"/>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30、支持自动调用关联的摄像头对定位人员进行视频跟踪；视频中支持人员顶气泡，顶气泡显示信息可通过平台配置，可根据人员角色,在线轨迹录像中顶气泡能固定在嫌疑人或当前画面中的人顶部，可随人员移动，可开关顶气泡，可配置并显示角色类型 。</w:t>
      </w:r>
      <w:r/>
    </w:p>
    <w:p>
      <w:pPr>
        <w:pStyle w:val="875"/>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31、支持自动下发民警全部门禁权限和分别手动下发门禁权限，支持自动下发民警入区场所内所有门禁权限，支持民警入区时手动下发登记大厅权限；支持民警使用门禁卡和人脸识别两种方式开门；支持门禁卡加密。</w:t>
      </w:r>
      <w:r/>
    </w:p>
    <w:p>
      <w:pPr>
        <w:pStyle w:val="875"/>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32、支持对系统用户分配、取消分配、重新分配巡更卡并保存分配记录，可导入导出，支持巡更按照岗位排班或安排人值班，可以查看巡更计划、处理异常巡更点、保留巡更记录并可查看详情。</w:t>
      </w:r>
      <w:r/>
    </w:p>
    <w:p>
      <w:pPr>
        <w:pStyle w:val="875"/>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33、会见管理功能支持本地会见和远程会见功能。</w:t>
      </w:r>
      <w:r/>
    </w:p>
    <w:p>
      <w:pPr>
        <w:ind w:firstLine="480"/>
        <w:keepLines w:val="0"/>
        <w:keepNext w:val="0"/>
        <w:pageBreakBefore w:val="0"/>
        <w:spacing w:line="4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keepLines w:val="0"/>
        <w:keepNext w:val="0"/>
        <w:pageBreakBefore w:val="0"/>
        <w:spacing w:line="400" w:lineRule="exact"/>
        <w:rPr>
          <w:rFonts w:hint="eastAsia" w:ascii="黑体" w:hAnsi="黑体" w:eastAsia="黑体" w:cs="黑体"/>
          <w:bCs/>
          <w:sz w:val="28"/>
          <w:szCs w:val="28"/>
        </w:rPr>
      </w:pPr>
      <w:r>
        <w:rPr>
          <w:rFonts w:hint="eastAsia" w:ascii="黑体" w:hAnsi="黑体" w:eastAsia="黑体" w:cs="黑体"/>
          <w:bCs/>
          <w:sz w:val="28"/>
          <w:szCs w:val="28"/>
          <w:lang w:eastAsia="zh-CN"/>
        </w:rPr>
        <w:t xml:space="preserve">五</w:t>
      </w:r>
      <w:r>
        <w:rPr>
          <w:rFonts w:hint="eastAsia" w:ascii="黑体" w:hAnsi="黑体" w:eastAsia="黑体" w:cs="黑体"/>
          <w:bCs/>
          <w:sz w:val="28"/>
          <w:szCs w:val="28"/>
        </w:rPr>
        <w:t xml:space="preserve">、项目实施原则：</w:t>
      </w:r>
      <w:r/>
    </w:p>
    <w:p>
      <w:pPr>
        <w:ind w:firstLine="482"/>
        <w:keepLines w:val="0"/>
        <w:keepNext w:val="0"/>
        <w:pageBreakBefore w:val="0"/>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1.可靠性原则</w:t>
      </w:r>
      <w:r/>
    </w:p>
    <w:p>
      <w:pPr>
        <w:pStyle w:val="947"/>
        <w:ind w:firstLine="480"/>
        <w:jc w:val="both"/>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系统应主要以国内外业界较先进和成熟的主流技术为基础，首先确保系统的可靠性及实用性。从系统的结构、技术措施、设备性能、系统管理、厂商技术支持及维修能力等多方面着手，确保系统能正常、稳定、可靠地连续运行，将系统发生故障的可能性降到最低。</w:t>
      </w:r>
      <w:r/>
    </w:p>
    <w:p>
      <w:pPr>
        <w:ind w:firstLine="482"/>
        <w:keepLines w:val="0"/>
        <w:keepNext w:val="0"/>
        <w:pageBreakBefore w:val="0"/>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2.先进性原则</w:t>
      </w:r>
      <w:r/>
    </w:p>
    <w:p>
      <w:pPr>
        <w:pStyle w:val="947"/>
        <w:ind w:firstLine="480"/>
        <w:jc w:val="both"/>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系统应充分考虑科学技术的迅速发展趋势，采用业界较为高端的先进技术来保证系统先进性。对各功能采用模块化设计，保证系统可以方便灵活地在处理能力、系统容量、功能点等方面进行扩充和升级换代，从而确保系统在未来一段时间内满足形势和业务发展的需要。</w:t>
      </w:r>
      <w:r/>
    </w:p>
    <w:p>
      <w:pPr>
        <w:ind w:firstLine="482"/>
        <w:keepLines w:val="0"/>
        <w:keepNext w:val="0"/>
        <w:pageBreakBefore w:val="0"/>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3.安全性原则</w:t>
      </w:r>
      <w:r/>
    </w:p>
    <w:p>
      <w:pPr>
        <w:pStyle w:val="947"/>
        <w:ind w:firstLine="480"/>
        <w:jc w:val="both"/>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（1）网络安全：视频专网与公安网必须逻辑隔离。若要建立连接必须采取符合公安部要求的技术手段。</w:t>
      </w:r>
      <w:r/>
    </w:p>
    <w:p>
      <w:pPr>
        <w:pStyle w:val="947"/>
        <w:ind w:firstLine="480"/>
        <w:jc w:val="both"/>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（2）信息安全：必须严格设置用户使用权限及审批方式。各级用户只能调看本权限范围内的信息。</w:t>
      </w:r>
      <w:r/>
    </w:p>
    <w:p>
      <w:pPr>
        <w:pStyle w:val="947"/>
        <w:ind w:firstLine="480"/>
        <w:jc w:val="both"/>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（3）设备安全：设备选型应选先进成熟的市场主流产品，要求安全可靠，保证系统不间断运行。对关键的设备、数据和接口应采用冗余设计，并具有故障检测、系统恢复等功能。</w:t>
      </w:r>
      <w:r/>
    </w:p>
    <w:p>
      <w:pPr>
        <w:ind w:firstLine="482"/>
        <w:keepLines w:val="0"/>
        <w:keepNext w:val="0"/>
        <w:pageBreakBefore w:val="0"/>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4.开放性和可扩展性</w:t>
      </w:r>
      <w:r/>
    </w:p>
    <w:p>
      <w:pPr>
        <w:pStyle w:val="947"/>
        <w:ind w:firstLine="480"/>
        <w:jc w:val="both"/>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具备符合国家标准的第三方业务接口，与第三方业务系统的对接不应影响现网业务。</w:t>
      </w:r>
      <w:r/>
    </w:p>
    <w:p>
      <w:pPr>
        <w:ind w:firstLine="482"/>
        <w:keepLines w:val="0"/>
        <w:keepNext w:val="0"/>
        <w:pageBreakBefore w:val="0"/>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5.经济性</w:t>
      </w:r>
      <w:r/>
    </w:p>
    <w:p>
      <w:pPr>
        <w:pStyle w:val="947"/>
        <w:ind w:firstLine="480"/>
        <w:jc w:val="both"/>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sz w:val="24"/>
          <w:szCs w:val="24"/>
        </w:rPr>
        <w:t xml:space="preserve">工程系统的设计要充分利用现有资源，既要有趋前意识，又要适应现实需要，更要杜绝浪费。本着切合实际、实用高效的原则，在系统设计和设备配置上达到最大限度的优化组合，最佳的性能价格比。</w:t>
      </w:r>
      <w:r/>
    </w:p>
    <w:p>
      <w:pPr>
        <w:pStyle w:val="874"/>
        <w:keepLines w:val="0"/>
        <w:keepNext w:val="0"/>
        <w:pageBreakBefore w:val="0"/>
        <w:spacing w:after="0" w:line="400" w:lineRule="exact"/>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400" w:lineRule="exact"/>
        <w:rPr>
          <w:rFonts w:hint="eastAsia" w:ascii="黑体" w:hAnsi="黑体" w:eastAsia="黑体" w:cs="黑体"/>
          <w:bCs/>
          <w:sz w:val="28"/>
          <w:szCs w:val="28"/>
        </w:rPr>
      </w:pPr>
      <w:r>
        <w:rPr>
          <w:rFonts w:hint="eastAsia" w:ascii="黑体" w:hAnsi="黑体" w:eastAsia="黑体" w:cs="黑体"/>
          <w:bCs/>
          <w:sz w:val="28"/>
          <w:szCs w:val="28"/>
          <w:lang w:eastAsia="zh-CN"/>
        </w:rPr>
        <w:t xml:space="preserve">六</w:t>
      </w:r>
      <w:r>
        <w:rPr>
          <w:rFonts w:hint="eastAsia" w:ascii="黑体" w:hAnsi="黑体" w:eastAsia="黑体" w:cs="黑体"/>
          <w:bCs/>
          <w:sz w:val="28"/>
          <w:szCs w:val="28"/>
        </w:rPr>
        <w:t xml:space="preserve">、供应商的责任：</w:t>
      </w:r>
      <w:r/>
    </w:p>
    <w:p>
      <w:pPr>
        <w:ind w:firstLine="482"/>
        <w:keepLines w:val="0"/>
        <w:keepNext w:val="0"/>
        <w:pageBreakBefore w:val="0"/>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1.维保期</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本项目的维保期为项目验收合格后五年，投标人的报价应包括项目五年软硬件系统质保所产生的所有费用。</w:t>
      </w:r>
      <w:r/>
    </w:p>
    <w:p>
      <w:pPr>
        <w:ind w:firstLine="482"/>
        <w:keepLines w:val="0"/>
        <w:keepNext w:val="0"/>
        <w:pageBreakBefore w:val="0"/>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2.完整性</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在本项目维保期限内（五年），投标人须本着提供完整的、满足功能和性能要求的、满足系统可靠运行的原则进行投标设计和报价决策，以保证系统的完整性，投标人认为其它任何必要的设备、材料、连接附件、软件接入费用等都应计入投标总价。</w:t>
      </w:r>
      <w:r/>
    </w:p>
    <w:p>
      <w:pPr>
        <w:ind w:firstLine="482"/>
        <w:keepLines w:val="0"/>
        <w:keepNext w:val="0"/>
        <w:pageBreakBefore w:val="0"/>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3.工程界面</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投标人需完成本工程范围内的设备及相关设备的安装调试及五年运维保障。</w:t>
      </w:r>
      <w:r/>
    </w:p>
    <w:p>
      <w:pPr>
        <w:ind w:firstLine="482"/>
        <w:keepLines w:val="0"/>
        <w:keepNext w:val="0"/>
        <w:pageBreakBefore w:val="0"/>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4.责任范围</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投标人应负责本项目的设计、制造、试验、安装、传输、调试、试运行、验交、运维等全部工作。</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服从招标人对此次工程实施、技术设计管理协调。</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投标人应负责提供本系统的配置信息，在招标人的指导下建立本工程范围内的运维服务体系。</w:t>
      </w:r>
      <w:r/>
    </w:p>
    <w:p>
      <w:pPr>
        <w:ind w:firstLine="480"/>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sz w:val="24"/>
          <w:szCs w:val="24"/>
        </w:rPr>
        <w:t xml:space="preserve">投标人应需保证本工程各类设施设备的稳定性、可靠性,工程建设完成后，以上设备性能由招标人进行验证确认后方能验收。</w:t>
      </w:r>
      <w:r/>
    </w:p>
    <w:p>
      <w:pP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r>
      <w:r/>
    </w:p>
    <w:p>
      <w:pPr>
        <w:keepLines w:val="0"/>
        <w:keepNext w:val="0"/>
        <w:pageBreakBefore w:val="0"/>
        <w:spacing w:line="400" w:lineRule="exact"/>
        <w:rPr>
          <w:rFonts w:hint="eastAsia" w:ascii="黑体" w:hAnsi="黑体" w:eastAsia="黑体" w:cs="黑体"/>
          <w:bCs/>
          <w:sz w:val="28"/>
          <w:szCs w:val="28"/>
        </w:rPr>
      </w:pPr>
      <w:r>
        <w:rPr>
          <w:rFonts w:hint="eastAsia" w:ascii="黑体" w:hAnsi="黑体" w:eastAsia="黑体" w:cs="黑体"/>
          <w:bCs/>
          <w:sz w:val="28"/>
          <w:szCs w:val="28"/>
        </w:rPr>
        <w:t xml:space="preserve">七、项目实施地地点和时间：</w:t>
      </w:r>
      <w:r/>
    </w:p>
    <w:p>
      <w:pPr>
        <w:ind w:firstLine="480"/>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color w:val="000000"/>
          <w:sz w:val="24"/>
          <w:szCs w:val="24"/>
        </w:rPr>
        <w:t xml:space="preserve">1、项目实施地点：</w:t>
      </w:r>
      <w:r>
        <w:rPr>
          <w:rFonts w:hint="eastAsia" w:ascii="宋体" w:hAnsi="宋体" w:eastAsia="宋体" w:cs="宋体"/>
          <w:bCs/>
          <w:sz w:val="24"/>
          <w:szCs w:val="24"/>
        </w:rPr>
        <w:t xml:space="preserve">靖江市八圩镇同康路18号。</w:t>
      </w:r>
      <w:r/>
    </w:p>
    <w:p>
      <w:pPr>
        <w:ind w:firstLine="48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2、项目实施时间：</w:t>
      </w:r>
      <w:r>
        <w:rPr>
          <w:rFonts w:hint="eastAsia" w:ascii="宋体" w:hAnsi="宋体" w:eastAsia="宋体" w:cs="宋体"/>
          <w:bCs/>
          <w:sz w:val="24"/>
          <w:szCs w:val="24"/>
        </w:rPr>
        <w:t xml:space="preserve">合同签订后</w:t>
      </w:r>
      <w:r>
        <w:rPr>
          <w:rFonts w:hint="eastAsia" w:ascii="宋体" w:hAnsi="宋体" w:eastAsia="宋体" w:cs="宋体"/>
          <w:b/>
          <w:sz w:val="24"/>
          <w:szCs w:val="24"/>
          <w:u w:val="single"/>
        </w:rPr>
        <w:t xml:space="preserve">30</w:t>
      </w:r>
      <w:r>
        <w:rPr>
          <w:rFonts w:hint="eastAsia" w:ascii="宋体" w:hAnsi="宋体" w:eastAsia="宋体" w:cs="宋体"/>
          <w:bCs/>
          <w:sz w:val="24"/>
          <w:szCs w:val="24"/>
        </w:rPr>
        <w:t xml:space="preserve">天内完成交货及安装调试。</w:t>
      </w:r>
      <w:r/>
    </w:p>
    <w:p>
      <w:pPr>
        <w:pStyle w:val="874"/>
        <w:keepLines w:val="0"/>
        <w:keepNext w:val="0"/>
        <w:pageBreakBefore w:val="0"/>
        <w:spacing w:after="0" w:line="400" w:lineRule="exact"/>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400" w:lineRule="exact"/>
        <w:rPr>
          <w:rFonts w:hint="eastAsia" w:ascii="黑体" w:hAnsi="黑体" w:eastAsia="黑体" w:cs="黑体"/>
          <w:sz w:val="28"/>
          <w:szCs w:val="28"/>
        </w:rPr>
      </w:pPr>
      <w:r>
        <w:rPr>
          <w:rFonts w:hint="eastAsia" w:ascii="黑体" w:hAnsi="黑体" w:eastAsia="黑体" w:cs="黑体"/>
          <w:bCs/>
          <w:sz w:val="28"/>
          <w:szCs w:val="28"/>
        </w:rPr>
        <w:t xml:space="preserve">八、项目实施、安装、调试要求：</w:t>
      </w:r>
      <w:r/>
    </w:p>
    <w:p>
      <w:pPr>
        <w:ind w:firstLine="480"/>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1、供应商在项目实施前需对现场环境及线路情况进行认真排摸与核查，以免施工对现场单位正常运转造成不必要的影响。</w:t>
      </w:r>
      <w:r/>
    </w:p>
    <w:p>
      <w:pPr>
        <w:ind w:firstLine="480"/>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2、供应商应派经采购单位认可的有经验和能力、具有相应资质的技术人员，负责设备安装工作，在设备安装期间应充分了解设备安装进度要求，保证施工质量，解决施工中出现的技术问题。供应商需为本项目组建实施团队，团队总人数不得少于5人，其中指定一名为项目负责人负责项目实施。</w:t>
      </w:r>
      <w:r/>
    </w:p>
    <w:p>
      <w:pPr>
        <w:ind w:firstLine="480"/>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3、项目安装完成后，进行调试、检测、试运行、验收(包括负责通过有关部门组织的验收)。验收由采购单位与供应商及相关部门依国家有关标准、合同、设计图纸、招标文件中设备技术规格和要求及有关附件要求进行。</w:t>
      </w:r>
      <w:r/>
    </w:p>
    <w:p>
      <w:pPr>
        <w:ind w:firstLine="480"/>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4、本项目全部建设内容须在合同签订后，采购单位正式发出项目开工令的</w:t>
      </w:r>
      <w:r>
        <w:rPr>
          <w:rFonts w:hint="eastAsia" w:ascii="宋体" w:hAnsi="宋体" w:eastAsia="宋体" w:cs="宋体"/>
          <w:b/>
          <w:bCs/>
          <w:sz w:val="24"/>
          <w:szCs w:val="24"/>
        </w:rPr>
        <w:t xml:space="preserve">30</w:t>
      </w:r>
      <w:r>
        <w:rPr>
          <w:rFonts w:hint="eastAsia" w:ascii="宋体" w:hAnsi="宋体" w:eastAsia="宋体" w:cs="宋体"/>
          <w:bCs/>
          <w:sz w:val="24"/>
          <w:szCs w:val="24"/>
        </w:rPr>
        <w:t xml:space="preserve">天内完成。项目建设完成后提出初验申请，通过初验后试运行不少于</w:t>
      </w:r>
      <w:r>
        <w:rPr>
          <w:rFonts w:hint="eastAsia" w:ascii="宋体" w:hAnsi="宋体" w:eastAsia="宋体" w:cs="宋体"/>
          <w:b/>
          <w:bCs/>
          <w:sz w:val="24"/>
          <w:szCs w:val="24"/>
        </w:rPr>
        <w:t xml:space="preserve">180</w:t>
      </w:r>
      <w:r>
        <w:rPr>
          <w:rFonts w:hint="eastAsia" w:ascii="宋体" w:hAnsi="宋体" w:eastAsia="宋体" w:cs="宋体"/>
          <w:bCs/>
          <w:sz w:val="24"/>
          <w:szCs w:val="24"/>
        </w:rPr>
        <w:t xml:space="preserve">天，才能申请竣工验收。</w:t>
      </w:r>
      <w:r/>
    </w:p>
    <w:p>
      <w:pPr>
        <w:ind w:firstLine="480"/>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5、在试运行前一周，供应商需提交包括控制、操作和维护手册一式三份，以便于采购单位和相关人员能预先对将要运行的设备有所了解。</w:t>
      </w:r>
      <w:r/>
    </w:p>
    <w:p>
      <w:pPr>
        <w:ind w:firstLine="480"/>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6、技术培训、资料</w:t>
      </w:r>
      <w:r/>
    </w:p>
    <w:p>
      <w:pPr>
        <w:ind w:firstLine="480"/>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①供应商须对采购单位的技术人员进行操作及维修培训。投标时须在投标文件中提供详细的培训计划，包括培训内容、培训时间及人员等。</w:t>
      </w:r>
      <w:r/>
    </w:p>
    <w:p>
      <w:pPr>
        <w:ind w:firstLine="480"/>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②供应商对采购单位相关人员进行免费技术培训。</w:t>
      </w:r>
      <w:r/>
    </w:p>
    <w:p>
      <w:pPr>
        <w:ind w:firstLine="480"/>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③验收前交付系统设备清单、网络拓朴图、操作使用说明等资料（五份纸质、一份电子版）。</w:t>
      </w:r>
      <w:r/>
    </w:p>
    <w:p>
      <w:pPr>
        <w:pStyle w:val="874"/>
        <w:ind w:left="0"/>
        <w:keepLines w:val="0"/>
        <w:keepNext w:val="0"/>
        <w:pageBreakBefore w:val="0"/>
        <w:spacing w:after="0" w:line="400" w:lineRule="exact"/>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400" w:lineRule="exact"/>
        <w:rPr>
          <w:rFonts w:hint="eastAsia" w:ascii="黑体" w:hAnsi="黑体" w:eastAsia="黑体" w:cs="黑体"/>
          <w:bCs/>
          <w:sz w:val="28"/>
          <w:szCs w:val="28"/>
        </w:rPr>
      </w:pPr>
      <w:r>
        <w:rPr>
          <w:rFonts w:hint="eastAsia" w:ascii="黑体" w:hAnsi="黑体" w:eastAsia="黑体" w:cs="黑体"/>
          <w:bCs/>
          <w:sz w:val="28"/>
          <w:szCs w:val="28"/>
        </w:rPr>
        <w:t xml:space="preserve">九、运维服务要求：</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为规范供应商所提供的运维服务及相关客户服务的品质，使采购人能够有效监控供应商的服务，保证所获得的服务品质，双方在服务期开始前签订服务品质协议。</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供应商在投标文件中应对以下内容进行点对点应答，并结合自身情况补充服务方案内容。</w:t>
      </w:r>
      <w:r/>
    </w:p>
    <w:p>
      <w:pPr>
        <w:keepLines w:val="0"/>
        <w:keepNext w:val="0"/>
        <w:pageBreakBefore w:val="0"/>
        <w:spacing w:line="400" w:lineRule="exact"/>
        <w:rPr>
          <w:rFonts w:hint="eastAsia" w:ascii="宋体" w:hAnsi="宋体" w:eastAsia="宋体" w:cs="宋体"/>
          <w:b/>
          <w:sz w:val="24"/>
          <w:szCs w:val="24"/>
        </w:rPr>
        <w:outlineLvl w:val="2"/>
      </w:pPr>
      <w:r>
        <w:rPr>
          <w:rFonts w:hint="eastAsia" w:ascii="宋体" w:hAnsi="宋体" w:eastAsia="宋体" w:cs="宋体"/>
          <w:b/>
          <w:sz w:val="24"/>
          <w:szCs w:val="24"/>
        </w:rPr>
        <w:t xml:space="preserve">1、项目维保期</w:t>
      </w:r>
      <w:r/>
    </w:p>
    <w:p>
      <w:pPr>
        <w:ind w:firstLine="480"/>
        <w:keepLines w:val="0"/>
        <w:keepNext w:val="0"/>
        <w:pageBreakBefore w:val="0"/>
        <w:spacing w:line="400" w:lineRule="exact"/>
        <w:rPr>
          <w:rFonts w:hint="eastAsia" w:ascii="宋体" w:hAnsi="宋体" w:eastAsia="宋体" w:cs="宋体"/>
          <w:b/>
          <w:sz w:val="24"/>
          <w:szCs w:val="24"/>
        </w:rPr>
      </w:pPr>
      <w:r>
        <w:rPr>
          <w:rFonts w:hint="eastAsia" w:ascii="宋体" w:hAnsi="宋体" w:eastAsia="宋体" w:cs="宋体"/>
          <w:sz w:val="24"/>
          <w:szCs w:val="24"/>
        </w:rPr>
        <w:t xml:space="preserve">本项目维保期为项目验收合格后五年（含硬件设备配套软件系统）。</w:t>
      </w:r>
      <w:r/>
    </w:p>
    <w:p>
      <w:pPr>
        <w:keepLines w:val="0"/>
        <w:keepNext w:val="0"/>
        <w:pageBreakBefore w:val="0"/>
        <w:spacing w:line="400" w:lineRule="exact"/>
        <w:rPr>
          <w:rFonts w:hint="eastAsia" w:ascii="宋体" w:hAnsi="宋体" w:eastAsia="宋体" w:cs="宋体"/>
          <w:b/>
          <w:sz w:val="24"/>
          <w:szCs w:val="24"/>
        </w:rPr>
        <w:outlineLvl w:val="2"/>
      </w:pPr>
      <w:r>
        <w:rPr>
          <w:rFonts w:hint="eastAsia" w:ascii="宋体" w:hAnsi="宋体" w:eastAsia="宋体" w:cs="宋体"/>
          <w:b/>
          <w:sz w:val="24"/>
          <w:szCs w:val="24"/>
        </w:rPr>
        <w:t xml:space="preserve">2、服务响应及承诺</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供应商应提供7×24小时运维服务，并承诺在收到采购人通知后，30分钟内到达现场，24小时内修复；遇到24小时内仍无法解决的系统故障，必须提供应急处理方案，保证系统稳定性和整体安全。。</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维保期内的职责；</w:t>
      </w:r>
      <w:r/>
    </w:p>
    <w:p>
      <w:pPr>
        <w:pStyle w:val="950"/>
        <w:numPr>
          <w:ilvl w:val="0"/>
          <w:numId w:val="3"/>
        </w:numPr>
        <w:ind w:left="0" w:firstLine="480"/>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维保期内的保修；</w:t>
      </w:r>
      <w:r/>
    </w:p>
    <w:p>
      <w:pPr>
        <w:pStyle w:val="950"/>
        <w:numPr>
          <w:ilvl w:val="0"/>
          <w:numId w:val="3"/>
        </w:numPr>
        <w:ind w:left="0" w:firstLine="480"/>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维保期内的软件；</w:t>
      </w:r>
      <w:r/>
    </w:p>
    <w:p>
      <w:pPr>
        <w:pStyle w:val="950"/>
        <w:numPr>
          <w:ilvl w:val="0"/>
          <w:numId w:val="3"/>
        </w:numPr>
        <w:ind w:left="0" w:firstLine="480"/>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维保期内的质量；</w:t>
      </w:r>
      <w:r/>
    </w:p>
    <w:p>
      <w:pPr>
        <w:pStyle w:val="950"/>
        <w:numPr>
          <w:ilvl w:val="0"/>
          <w:numId w:val="3"/>
        </w:numPr>
        <w:ind w:left="0" w:firstLine="480"/>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维保期内的安装；</w:t>
      </w:r>
      <w:r/>
    </w:p>
    <w:p>
      <w:pPr>
        <w:pStyle w:val="950"/>
        <w:numPr>
          <w:ilvl w:val="0"/>
          <w:numId w:val="3"/>
        </w:numPr>
        <w:ind w:left="0" w:firstLine="480"/>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维保期内的维护；</w:t>
      </w:r>
      <w:r/>
    </w:p>
    <w:p>
      <w:pPr>
        <w:pStyle w:val="950"/>
        <w:numPr>
          <w:ilvl w:val="0"/>
          <w:numId w:val="3"/>
        </w:numPr>
        <w:ind w:left="0" w:firstLine="480"/>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维保期内的维修费用；</w:t>
      </w:r>
      <w:r/>
    </w:p>
    <w:p>
      <w:pPr>
        <w:pStyle w:val="950"/>
        <w:numPr>
          <w:ilvl w:val="0"/>
          <w:numId w:val="3"/>
        </w:numPr>
        <w:ind w:left="0" w:firstLine="480"/>
        <w:keepLines w:val="0"/>
        <w:keepNext w:val="0"/>
        <w:pageBreakBefore w:val="0"/>
        <w:spacing w:line="400" w:lineRule="exact"/>
        <w:widowControl/>
        <w:rPr>
          <w:rFonts w:hint="eastAsia" w:ascii="宋体" w:hAnsi="宋体" w:eastAsia="宋体" w:cs="宋体"/>
          <w:b/>
          <w:sz w:val="24"/>
          <w:szCs w:val="24"/>
        </w:rPr>
      </w:pPr>
      <w:r>
        <w:rPr>
          <w:rFonts w:hint="eastAsia" w:ascii="宋体" w:hAnsi="宋体" w:eastAsia="宋体" w:cs="宋体"/>
          <w:sz w:val="24"/>
          <w:szCs w:val="24"/>
        </w:rPr>
        <w:t xml:space="preserve">维保期内的其它承诺；</w:t>
      </w:r>
      <w:r/>
    </w:p>
    <w:p>
      <w:pPr>
        <w:keepLines w:val="0"/>
        <w:keepNext w:val="0"/>
        <w:pageBreakBefore w:val="0"/>
        <w:spacing w:line="400" w:lineRule="exact"/>
        <w:rPr>
          <w:rFonts w:hint="eastAsia" w:ascii="宋体" w:hAnsi="宋体" w:eastAsia="宋体" w:cs="宋体"/>
          <w:b/>
          <w:sz w:val="24"/>
          <w:szCs w:val="24"/>
        </w:rPr>
        <w:outlineLvl w:val="2"/>
      </w:pPr>
      <w:r>
        <w:rPr>
          <w:rFonts w:hint="eastAsia" w:ascii="宋体" w:hAnsi="宋体" w:eastAsia="宋体" w:cs="宋体"/>
          <w:b/>
          <w:sz w:val="24"/>
          <w:szCs w:val="24"/>
        </w:rPr>
        <w:t xml:space="preserve">3、故障的定义和确认</w:t>
      </w:r>
      <w:r/>
    </w:p>
    <w:p>
      <w:pPr>
        <w:keepLines w:val="0"/>
        <w:keepNext w:val="0"/>
        <w:pageBreakBefore w:val="0"/>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（1）故障的定义</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故障是指设备未正常工作或不能提供合格的数据或服务。</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严重故障：是指实时或历史的数据无法提供给采购单位正常使用的故障；</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一般故障：是指局部或个别数据或功能无法提供但不影响主体使用的故障。</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故障确认：由运维系统自动检测或运维人员巡检发现报修，并经供应商和采购单位双方确认为故障。</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对于每一件报修事件在修复后应闭环，要明确故障设备及维修性质，维修性质可包括：“故障”、“计划性维护”、“其它原因”，对于其它原因引起的维修事件应注明事件原因，记入设备维修档案。</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以下原因所导致的维修事件不被确认为故障：</w:t>
      </w:r>
      <w:r/>
    </w:p>
    <w:p>
      <w:pPr>
        <w:pStyle w:val="950"/>
        <w:numPr>
          <w:ilvl w:val="0"/>
          <w:numId w:val="4"/>
        </w:numPr>
        <w:ind w:left="0"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计划内的系统维护工作所引起的；</w:t>
      </w:r>
      <w:r/>
    </w:p>
    <w:p>
      <w:pPr>
        <w:pStyle w:val="950"/>
        <w:numPr>
          <w:ilvl w:val="0"/>
          <w:numId w:val="4"/>
        </w:numPr>
        <w:ind w:left="0"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不可抗力引起的；</w:t>
      </w:r>
      <w:r/>
    </w:p>
    <w:p>
      <w:pPr>
        <w:pStyle w:val="950"/>
        <w:numPr>
          <w:ilvl w:val="0"/>
          <w:numId w:val="4"/>
        </w:numPr>
        <w:ind w:left="0"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招标人授权紧急维护引起的；</w:t>
      </w:r>
      <w:r/>
    </w:p>
    <w:p>
      <w:pPr>
        <w:pStyle w:val="950"/>
        <w:numPr>
          <w:ilvl w:val="0"/>
          <w:numId w:val="4"/>
        </w:numPr>
        <w:ind w:left="0"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任何由招标人的电路或设备原因所引起的；</w:t>
      </w:r>
      <w:r/>
    </w:p>
    <w:p>
      <w:pPr>
        <w:pStyle w:val="950"/>
        <w:numPr>
          <w:ilvl w:val="0"/>
          <w:numId w:val="4"/>
        </w:numPr>
        <w:ind w:left="0"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招标人的应用或安装活动所引起的；</w:t>
      </w:r>
      <w:r/>
    </w:p>
    <w:p>
      <w:pPr>
        <w:pStyle w:val="950"/>
        <w:numPr>
          <w:ilvl w:val="0"/>
          <w:numId w:val="4"/>
        </w:numPr>
        <w:ind w:left="0"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招标人及任何招标人授权第三方人员进行操作所引起的；</w:t>
      </w:r>
      <w:r/>
    </w:p>
    <w:p>
      <w:pPr>
        <w:pStyle w:val="950"/>
        <w:numPr>
          <w:ilvl w:val="0"/>
          <w:numId w:val="4"/>
        </w:numPr>
        <w:ind w:left="0" w:firstLine="480"/>
        <w:keepLines w:val="0"/>
        <w:keepNext w:val="0"/>
        <w:pageBreakBefore w:val="0"/>
        <w:spacing w:line="400" w:lineRule="exact"/>
        <w:rPr>
          <w:rFonts w:hint="eastAsia" w:ascii="宋体" w:hAnsi="宋体" w:eastAsia="宋体" w:cs="宋体"/>
          <w:b/>
          <w:sz w:val="24"/>
          <w:szCs w:val="24"/>
        </w:rPr>
      </w:pPr>
      <w:r>
        <w:rPr>
          <w:rFonts w:hint="eastAsia" w:ascii="宋体" w:hAnsi="宋体" w:eastAsia="宋体" w:cs="宋体"/>
          <w:sz w:val="24"/>
          <w:szCs w:val="24"/>
        </w:rPr>
        <w:t xml:space="preserve">第三方责任引起的；</w:t>
      </w:r>
      <w:r/>
    </w:p>
    <w:p>
      <w:pPr>
        <w:pStyle w:val="950"/>
        <w:ind w:firstLine="0"/>
        <w:keepLines w:val="0"/>
        <w:keepNext w:val="0"/>
        <w:pageBreakBefore w:val="0"/>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（2）故障时间确认</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1）故障时间为从接到维修事件到故障被修复的时间。</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2）中标单位完成维修，并得到采购人确认方能算此故障被修复。</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3）设备可用性保证要求</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单个设备可用率以月度为统计周期；</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单个设备可用率=（1-(故障时间 /月总时间)）*100%；</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每月质量评估报表在次月15日之前出具；</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单个设备每月故障次数应≤5；</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单个设备的月可用率应≥95%；</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单个设备月可用率＜95% 或设备每月故障次数＞3次，供应商必须对设备进行强制性更换，供应商必须在上月质量评估报表出具后7天内更换（存储、交换机在保证系统不出现严重故障的前提下，30天内更换，且故障硬盘不返还供应商）；</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出现严重故障的，应在采购单位报修时间起24小时内修复，未能在24小时内修复的每超过24小时应扣款1000元，更换每超24小时扣款1000元。</w:t>
      </w:r>
      <w:r/>
    </w:p>
    <w:p>
      <w:pPr>
        <w:pStyle w:val="874"/>
        <w:ind w:left="0"/>
        <w:keepLines w:val="0"/>
        <w:keepNext w:val="0"/>
        <w:pageBreakBefore w:val="0"/>
        <w:spacing w:after="0" w:line="400" w:lineRule="exact"/>
        <w:rPr>
          <w:rFonts w:hint="eastAsia" w:ascii="宋体" w:hAnsi="宋体" w:eastAsia="宋体" w:cs="宋体"/>
          <w:b/>
          <w:bCs/>
          <w:sz w:val="24"/>
          <w:szCs w:val="24"/>
        </w:rPr>
      </w:pPr>
      <w:r>
        <w:rPr>
          <w:rFonts w:hint="eastAsia" w:ascii="宋体" w:hAnsi="宋体" w:eastAsia="宋体" w:cs="宋体"/>
          <w:b/>
          <w:sz w:val="24"/>
          <w:szCs w:val="24"/>
        </w:rPr>
        <w:t xml:space="preserve">（3）罚则</w:t>
      </w:r>
      <w:r/>
    </w:p>
    <w:tbl>
      <w:tblPr>
        <w:tblStyle w:val="866"/>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0"/>
        <w:gridCol w:w="2123"/>
        <w:gridCol w:w="3168"/>
        <w:gridCol w:w="2921"/>
      </w:tblGrid>
      <w:tr>
        <w:trPr>
          <w:jc w:val="center"/>
        </w:trPr>
        <w:tc>
          <w:tcPr>
            <w:tcW w:w="808" w:type="dxa"/>
            <w:vAlign w:val="center"/>
            <w:textDirection w:val="lrTb"/>
            <w:noWrap/>
          </w:tcPr>
          <w:p>
            <w:pPr>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W w:w="1994" w:type="dxa"/>
            <w:vAlign w:val="center"/>
            <w:textDirection w:val="lrTb"/>
            <w:noWrap/>
          </w:tcPr>
          <w:p>
            <w:pPr>
              <w:ind w:firstLine="482"/>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故障类型</w:t>
            </w:r>
            <w:r/>
          </w:p>
        </w:tc>
        <w:tc>
          <w:tcPr>
            <w:tcW w:w="2976" w:type="dxa"/>
            <w:vAlign w:val="center"/>
            <w:textDirection w:val="lrTb"/>
            <w:noWrap/>
          </w:tcPr>
          <w:p>
            <w:pPr>
              <w:ind w:firstLine="482"/>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修复超时罚款</w:t>
            </w:r>
            <w:r/>
          </w:p>
        </w:tc>
        <w:tc>
          <w:tcPr>
            <w:tcW w:w="2744" w:type="dxa"/>
            <w:vAlign w:val="center"/>
            <w:textDirection w:val="lrTb"/>
            <w:noWrap/>
          </w:tcPr>
          <w:p>
            <w:pPr>
              <w:ind w:firstLine="482"/>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更换超时罚款</w:t>
            </w:r>
            <w:r/>
          </w:p>
        </w:tc>
      </w:tr>
      <w:tr>
        <w:trPr>
          <w:jc w:val="center"/>
        </w:trPr>
        <w:tc>
          <w:tcPr>
            <w:tcW w:w="808" w:type="dxa"/>
            <w:vAlign w:val="center"/>
            <w:textDirection w:val="lrTb"/>
            <w:noWrap/>
          </w:tcPr>
          <w:p>
            <w:pPr>
              <w:jc w:val="center"/>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1</w:t>
            </w:r>
            <w:r/>
          </w:p>
        </w:tc>
        <w:tc>
          <w:tcPr>
            <w:tcW w:w="1994" w:type="dxa"/>
            <w:vAlign w:val="center"/>
            <w:textDirection w:val="lrTb"/>
            <w:noWrap/>
          </w:tcPr>
          <w:p>
            <w:pPr>
              <w:ind w:firstLine="480"/>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严重故障</w:t>
            </w:r>
            <w:r/>
          </w:p>
        </w:tc>
        <w:tc>
          <w:tcPr>
            <w:tcW w:w="2976" w:type="dxa"/>
            <w:vAlign w:val="center"/>
            <w:textDirection w:val="lrTb"/>
            <w:noWrap/>
          </w:tcPr>
          <w:p>
            <w:pPr>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每超24小时扣款1000元</w:t>
            </w:r>
            <w:r/>
          </w:p>
        </w:tc>
        <w:tc>
          <w:tcPr>
            <w:tcW w:w="2744" w:type="dxa"/>
            <w:vAlign w:val="center"/>
            <w:textDirection w:val="lrTb"/>
            <w:noWrap/>
          </w:tcPr>
          <w:p>
            <w:pPr>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每超24小时扣款1000元</w:t>
            </w:r>
            <w:r/>
          </w:p>
        </w:tc>
      </w:tr>
      <w:tr>
        <w:trPr>
          <w:jc w:val="center"/>
        </w:trPr>
        <w:tc>
          <w:tcPr>
            <w:tcW w:w="808" w:type="dxa"/>
            <w:vAlign w:val="center"/>
            <w:textDirection w:val="lrTb"/>
            <w:noWrap/>
          </w:tcPr>
          <w:p>
            <w:pPr>
              <w:jc w:val="center"/>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2</w:t>
            </w:r>
            <w:r/>
          </w:p>
        </w:tc>
        <w:tc>
          <w:tcPr>
            <w:tcW w:w="1994" w:type="dxa"/>
            <w:vAlign w:val="center"/>
            <w:textDirection w:val="lrTb"/>
            <w:noWrap/>
          </w:tcPr>
          <w:p>
            <w:pPr>
              <w:ind w:firstLine="480"/>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一般故障</w:t>
            </w:r>
            <w:r/>
          </w:p>
        </w:tc>
        <w:tc>
          <w:tcPr>
            <w:tcW w:w="2976" w:type="dxa"/>
            <w:vAlign w:val="center"/>
            <w:textDirection w:val="lrTb"/>
            <w:noWrap/>
          </w:tcPr>
          <w:p>
            <w:pPr>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每超24小时扣款500元</w:t>
            </w:r>
            <w:r/>
          </w:p>
        </w:tc>
        <w:tc>
          <w:tcPr>
            <w:tcW w:w="2744" w:type="dxa"/>
            <w:vAlign w:val="center"/>
            <w:textDirection w:val="lrTb"/>
            <w:noWrap/>
          </w:tcPr>
          <w:p>
            <w:pPr>
              <w:ind w:firstLine="480"/>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Cs/>
                <w:sz w:val="24"/>
                <w:szCs w:val="24"/>
              </w:rPr>
            </w:r>
            <w:r/>
          </w:p>
        </w:tc>
      </w:tr>
    </w:tbl>
    <w:p>
      <w:pPr>
        <w:keepLines w:val="0"/>
        <w:keepNext w:val="0"/>
        <w:pageBreakBefore w:val="0"/>
        <w:spacing w:line="400" w:lineRule="exact"/>
        <w:rPr>
          <w:rFonts w:hint="eastAsia" w:ascii="宋体" w:hAnsi="宋体" w:eastAsia="宋体" w:cs="宋体"/>
          <w:b/>
          <w:sz w:val="24"/>
          <w:szCs w:val="24"/>
        </w:rPr>
        <w:outlineLvl w:val="2"/>
      </w:pPr>
      <w:r>
        <w:rPr>
          <w:rFonts w:hint="eastAsia" w:ascii="宋体" w:hAnsi="宋体" w:eastAsia="宋体" w:cs="宋体"/>
          <w:b/>
          <w:sz w:val="24"/>
          <w:szCs w:val="24"/>
        </w:rPr>
        <w:t xml:space="preserve">5、运维服务方案</w:t>
      </w:r>
      <w:r/>
    </w:p>
    <w:p>
      <w:pPr>
        <w:keepLines w:val="0"/>
        <w:keepNext w:val="0"/>
        <w:pageBreakBefore w:val="0"/>
        <w:spacing w:line="40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（1）配置要求</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bCs/>
          <w:sz w:val="24"/>
          <w:szCs w:val="24"/>
        </w:rPr>
        <w:t xml:space="preserve">供应商</w:t>
      </w:r>
      <w:r>
        <w:rPr>
          <w:rFonts w:hint="eastAsia" w:ascii="宋体" w:hAnsi="宋体" w:eastAsia="宋体" w:cs="宋体"/>
          <w:sz w:val="24"/>
          <w:szCs w:val="24"/>
        </w:rPr>
        <w:t xml:space="preserve">须委派一支受过良好教育和培训的、有经验的技术支持与运维服务队伍，为本期工程提供及时、全面的售后技术支持和服务，</w:t>
      </w:r>
      <w:r>
        <w:rPr>
          <w:rFonts w:hint="eastAsia" w:ascii="宋体" w:hAnsi="宋体" w:eastAsia="宋体" w:cs="宋体"/>
          <w:bCs/>
          <w:sz w:val="24"/>
          <w:szCs w:val="24"/>
        </w:rPr>
        <w:t xml:space="preserve">供应商</w:t>
      </w:r>
      <w:r>
        <w:rPr>
          <w:rFonts w:hint="eastAsia" w:ascii="宋体" w:hAnsi="宋体" w:eastAsia="宋体" w:cs="宋体"/>
          <w:sz w:val="24"/>
          <w:szCs w:val="24"/>
        </w:rPr>
        <w:t xml:space="preserve">应承诺技术运维服务队伍成员至少应包含：</w:t>
      </w:r>
      <w:r/>
    </w:p>
    <w:p>
      <w:pPr>
        <w:pStyle w:val="950"/>
        <w:numPr>
          <w:ilvl w:val="0"/>
          <w:numId w:val="5"/>
        </w:numPr>
        <w:ind w:left="0" w:firstLine="480"/>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运维项目经理1名</w:t>
      </w:r>
      <w:r>
        <w:rPr>
          <w:rFonts w:hint="eastAsia" w:ascii="宋体" w:hAnsi="宋体" w:eastAsia="宋体" w:cs="宋体"/>
          <w:sz w:val="24"/>
          <w:szCs w:val="24"/>
        </w:rPr>
        <w:t xml:space="preserve">，负责日常运维工作沟通与协调；</w:t>
      </w:r>
      <w:r/>
    </w:p>
    <w:p>
      <w:pPr>
        <w:pStyle w:val="950"/>
        <w:numPr>
          <w:ilvl w:val="0"/>
          <w:numId w:val="5"/>
        </w:numPr>
        <w:ind w:left="0" w:firstLine="480"/>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硬件运维人员1名，负责各类硬件设备日常检测与运维养护；</w:t>
      </w:r>
      <w:r/>
    </w:p>
    <w:p>
      <w:pPr>
        <w:pStyle w:val="950"/>
        <w:numPr>
          <w:ilvl w:val="0"/>
          <w:numId w:val="5"/>
        </w:numPr>
        <w:ind w:left="0" w:firstLine="480"/>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系统运维人员1名，负责系统软件平台及各类推送对接服务的运维保障。</w:t>
      </w:r>
      <w:r/>
    </w:p>
    <w:p>
      <w:pPr>
        <w:keepLines w:val="0"/>
        <w:keepNext w:val="0"/>
        <w:pageBreakBefore w:val="0"/>
        <w:spacing w:line="40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（2）运维服务方案</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供应商应提供运维服务方案，包括并不限于以下方面：</w:t>
      </w:r>
      <w:r/>
    </w:p>
    <w:p>
      <w:pPr>
        <w:pStyle w:val="950"/>
        <w:numPr>
          <w:ilvl w:val="0"/>
          <w:numId w:val="6"/>
        </w:numPr>
        <w:ind w:left="0" w:firstLine="480"/>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日常养护</w:t>
      </w:r>
      <w:r/>
    </w:p>
    <w:p>
      <w:pPr>
        <w:pStyle w:val="950"/>
        <w:numPr>
          <w:ilvl w:val="0"/>
          <w:numId w:val="6"/>
        </w:numPr>
        <w:ind w:left="0" w:firstLine="480"/>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故障抢修</w:t>
      </w:r>
      <w:r/>
    </w:p>
    <w:p>
      <w:pPr>
        <w:pStyle w:val="950"/>
        <w:numPr>
          <w:ilvl w:val="0"/>
          <w:numId w:val="6"/>
        </w:numPr>
        <w:ind w:left="0" w:firstLine="480"/>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操作保证</w:t>
      </w:r>
      <w:r/>
    </w:p>
    <w:p>
      <w:pPr>
        <w:pStyle w:val="950"/>
        <w:numPr>
          <w:ilvl w:val="0"/>
          <w:numId w:val="6"/>
        </w:numPr>
        <w:ind w:left="0" w:firstLine="480"/>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计划管理</w:t>
      </w:r>
      <w:r/>
    </w:p>
    <w:p>
      <w:pPr>
        <w:pStyle w:val="950"/>
        <w:numPr>
          <w:ilvl w:val="0"/>
          <w:numId w:val="6"/>
        </w:numPr>
        <w:ind w:left="0" w:firstLine="480"/>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技术管理</w:t>
      </w:r>
      <w:r/>
    </w:p>
    <w:p>
      <w:pPr>
        <w:pStyle w:val="950"/>
        <w:numPr>
          <w:ilvl w:val="0"/>
          <w:numId w:val="6"/>
        </w:numPr>
        <w:ind w:left="0" w:firstLine="480"/>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质量管理</w:t>
      </w:r>
      <w:r/>
    </w:p>
    <w:p>
      <w:pPr>
        <w:pStyle w:val="950"/>
        <w:numPr>
          <w:ilvl w:val="0"/>
          <w:numId w:val="6"/>
        </w:numPr>
        <w:ind w:left="0" w:firstLine="480"/>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档案管理</w:t>
      </w:r>
      <w:r/>
    </w:p>
    <w:p>
      <w:pPr>
        <w:pStyle w:val="950"/>
        <w:numPr>
          <w:ilvl w:val="0"/>
          <w:numId w:val="6"/>
        </w:numPr>
        <w:ind w:left="0" w:firstLine="480"/>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备品备件管理</w:t>
      </w:r>
      <w:r/>
    </w:p>
    <w:p>
      <w:pPr>
        <w:keepLines w:val="0"/>
        <w:keepNext w:val="0"/>
        <w:pageBreakBefore w:val="0"/>
        <w:spacing w:line="400" w:lineRule="exact"/>
        <w:rPr>
          <w:rFonts w:hint="eastAsia" w:ascii="宋体" w:hAnsi="宋体" w:eastAsia="宋体" w:cs="宋体"/>
          <w:b/>
          <w:sz w:val="24"/>
          <w:szCs w:val="24"/>
        </w:rPr>
        <w:outlineLvl w:val="2"/>
      </w:pPr>
      <w:r>
        <w:rPr>
          <w:rFonts w:hint="eastAsia" w:ascii="宋体" w:hAnsi="宋体" w:eastAsia="宋体" w:cs="宋体"/>
          <w:b/>
          <w:sz w:val="24"/>
          <w:szCs w:val="24"/>
        </w:rPr>
        <w:t xml:space="preserve">6、其他</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（1）不可抗事由是指由于地震、台风、战争、罢工、非因各方原因发生的火灾等其它各方不能预见并且对其发生和后果不能防止或避免的不可抗力原因；</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（2）本服务品质要求内容应于项目合同一致，如出现任何矛盾，应以项目合同为准。</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（3）本项目尚未完工前，中标人中标后应负责原有系统软硬件的日常运维和保障工作，直至新建系统建成投入运行。</w:t>
      </w:r>
      <w:r/>
    </w:p>
    <w:p>
      <w:pPr>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Cs/>
          <w:sz w:val="24"/>
          <w:szCs w:val="24"/>
        </w:rPr>
      </w:r>
      <w:r/>
    </w:p>
    <w:p>
      <w:pPr>
        <w:keepLines w:val="0"/>
        <w:keepNext w:val="0"/>
        <w:pageBreakBefore w:val="0"/>
        <w:spacing w:line="400" w:lineRule="exact"/>
        <w:rPr>
          <w:rFonts w:hint="eastAsia" w:ascii="黑体" w:hAnsi="黑体" w:eastAsia="黑体" w:cs="黑体"/>
          <w:bCs/>
          <w:sz w:val="28"/>
          <w:szCs w:val="28"/>
        </w:rPr>
      </w:pPr>
      <w:r>
        <w:rPr>
          <w:rFonts w:hint="eastAsia" w:ascii="黑体" w:hAnsi="黑体" w:eastAsia="黑体" w:cs="黑体"/>
          <w:bCs/>
          <w:sz w:val="28"/>
          <w:szCs w:val="28"/>
        </w:rPr>
        <w:t xml:space="preserve">十、合同特殊条款：</w:t>
      </w:r>
      <w:r/>
    </w:p>
    <w:p>
      <w:pPr>
        <w:keepLines w:val="0"/>
        <w:keepNext w:val="0"/>
        <w:pageBreakBefore w:val="0"/>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1．中标单位的工作范围</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1.1根据投标文件的要求准时提供设备、备品备件、材料及附件和伴随服务，并负责所供货物的包装和运输，并负责所供设备的安装、调试和系统集成。</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1.2中标单位必须提供投标文件中所列的全部设备、服务、软件、备品备件、材料及附件。</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1.3中标单位在购买系统主要设备前，必须将设备品名、规格、配置、性能、产地等资料报采购人确认。</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1.4为采购人培训专业运行维护人员，并提供质保和售后服务。</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1.5本次采购项目全部验收交付后，在规定的时间内向采购人提供有关系统集成的完整详细的技术资料。</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1.6本次采购项目不得以任何形式进行转包或分包。</w:t>
      </w:r>
      <w:r/>
    </w:p>
    <w:p>
      <w:pPr>
        <w:keepLines w:val="0"/>
        <w:keepNext w:val="0"/>
        <w:pageBreakBefore w:val="0"/>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2．项目实施进度和误期赔偿</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2.1中标单位必须在采购人正式发出项目建设开工令起30天内完成全部工程施工，然后向采购人申请初验。如果中标单位未能及时完成，则应根据本条第2.4款的规定对采购人进行误期赔偿，误期时间自开工令签发后满30天的第2天起计算。项目通过初验后即开始转入试运行，时间不少于</w:t>
      </w:r>
      <w:r>
        <w:rPr>
          <w:rFonts w:hint="eastAsia" w:ascii="宋体" w:hAnsi="宋体" w:eastAsia="宋体" w:cs="宋体"/>
          <w:b/>
          <w:sz w:val="24"/>
          <w:szCs w:val="24"/>
        </w:rPr>
        <w:t xml:space="preserve">6</w:t>
      </w:r>
      <w:r>
        <w:rPr>
          <w:rFonts w:hint="eastAsia" w:ascii="宋体" w:hAnsi="宋体" w:eastAsia="宋体" w:cs="宋体"/>
          <w:sz w:val="24"/>
          <w:szCs w:val="24"/>
        </w:rPr>
        <w:t xml:space="preserve">个月。</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2.2试运行阶段结束后15个工作日内，</w:t>
      </w:r>
      <w:r>
        <w:rPr>
          <w:rFonts w:hint="eastAsia" w:ascii="宋体" w:hAnsi="宋体" w:eastAsia="宋体" w:cs="宋体"/>
          <w:sz w:val="24"/>
          <w:szCs w:val="24"/>
          <w:lang w:eastAsia="zh-Hans"/>
        </w:rPr>
        <w:t xml:space="preserve">中标</w:t>
      </w:r>
      <w:r>
        <w:rPr>
          <w:rFonts w:hint="eastAsia" w:ascii="宋体" w:hAnsi="宋体" w:eastAsia="宋体" w:cs="宋体"/>
          <w:sz w:val="24"/>
          <w:szCs w:val="24"/>
        </w:rPr>
        <w:t xml:space="preserve">单位</w:t>
      </w:r>
      <w:r>
        <w:rPr>
          <w:rFonts w:hint="eastAsia" w:ascii="宋体" w:hAnsi="宋体" w:eastAsia="宋体" w:cs="宋体"/>
          <w:sz w:val="24"/>
          <w:szCs w:val="24"/>
          <w:lang w:eastAsia="zh-Hans"/>
        </w:rPr>
        <w:t xml:space="preserve">向采购人申请终验</w:t>
      </w:r>
      <w:r>
        <w:rPr>
          <w:rFonts w:hint="eastAsia" w:ascii="宋体" w:hAnsi="宋体" w:eastAsia="宋体" w:cs="宋体"/>
          <w:sz w:val="24"/>
          <w:szCs w:val="24"/>
        </w:rPr>
        <w:t xml:space="preserve">，验收合格后开始按审定金额分期支付工程款。如果经验收，该系统不合格，则视为中标单位没有如期交付，中标单位应根据本条第2.4款的规定对采购人进行误期赔偿，误期时间自采购人向中标单位发出书面的验收不合格通知的第二天起计算。</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2.3中标单位可根据自身条件和能力确定本项目的实施进度，但其进度安排不得迟于上述第2.1和2.2款的要求。中标单位必须按照投标文件中承诺的实施进度完成项目，实施进度将作为评审的考虑因素之一。</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2.4误期赔偿：如果中标单位未能按确定的项目进度要求完成工作，中标单位必须支付误期赔偿金，误期赔偿的支付将从应付款中扣除。误期赔偿费率为，每延迟1天，赔偿合同总额的0.05％（万分之五）。误期赔偿费的最高限额是合同金额的5％。一旦达到误期赔偿的最高限额，采购人有权终止合同，而中标单位仍有义务支付上述误期赔偿，并承担赔偿采购人因中标单位误期而产生的经济损失的责任。</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2.5如果由于采购人的原因耽误了项目实施进度，则因此而延误的时间应从供应商的实施进度计划中扣除。在采购人的延误终止时，中标单位的进度时间恢复计算。</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2.6如果合同签定后采购人更改本项目的内容，则采购人和中标单位可协商调整供应商的项目实施进度计划。调整后的进度计划应作为确定项目进度要求和计算误期赔偿的依据，对双方具有同等约束力。</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2.7误期重叠：如果中标单位在不止一个环节延误项目进度要求，则取其中延误时间最长的一项计算误期赔偿，多项延误不进行重复计算。</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2.8本项目实施地点为靖江市。中标单位应自行解决货物的仓储和保管。在本项目验收合格正式交付之前，仍处于实施中的本采购项目及其任何组成部分（包括任何硬件或软件），采购人不承担任何保管、管理的责任，也不承担任何人为或其他原因造成的损坏、灭失的风险。</w:t>
      </w:r>
      <w:r/>
    </w:p>
    <w:p>
      <w:pPr>
        <w:pStyle w:val="874"/>
        <w:ind w:left="0"/>
        <w:keepLines w:val="0"/>
        <w:keepNext w:val="0"/>
        <w:pageBreakBefore w:val="0"/>
        <w:spacing w:after="0" w:line="400" w:lineRule="exact"/>
        <w:rPr>
          <w:rFonts w:hint="eastAsia" w:ascii="宋体" w:hAnsi="宋体" w:eastAsia="宋体" w:cs="宋体"/>
          <w:sz w:val="24"/>
          <w:szCs w:val="24"/>
        </w:rPr>
      </w:pPr>
      <w:r>
        <w:rPr>
          <w:rFonts w:hint="eastAsia" w:ascii="宋体" w:hAnsi="宋体" w:eastAsia="宋体" w:cs="宋体"/>
          <w:b/>
          <w:sz w:val="24"/>
          <w:szCs w:val="24"/>
        </w:rPr>
        <w:t xml:space="preserve">3．安装、调试、质量监督及其他服务配备人员</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3.1投标文件中应提供有关安装、调试、质量监督及其他服务所需人员（包括在本项目中负责的总部主管人员和现场负责人）的配备情况，说明其姓名、年龄、学历、职称、履历、以往从事过的类似项目以及在其中承担的责任、在本次采购项目中所承担的职责及最低服务时间，同时确认其服务应在本采购项目合同执行完毕后方告结束，所有其提供的服务均已包含在合同总价内，并在合同执行完毕后提供有效证明，否则视为违约。</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3.2若参与本条所涉及的服务的人员因不可抗因素无法提供合同中所承诺的服务，中标单位应提供同等资历的人员执行合同，该替代人员需获得采购人确认方可开始工作，否则视为违约。</w:t>
      </w:r>
      <w:r/>
    </w:p>
    <w:p>
      <w:pPr>
        <w:keepLines w:val="0"/>
        <w:keepNext w:val="0"/>
        <w:pageBreakBefore w:val="0"/>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4．工程服务</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4.1供应商应根据自身条件和能力提交详细的工程服务计划。服务计划应包括提供服务的保障措施，如供应商有自已的维修队伍的，要求提供专业维修队伍的规模、业务经验、技术人员等详细情况。如果供应商与本项目所在地的某机构有合作协议，供应商必须提供该协议，并说明该合作伙伴的企业性质、规模、专业资质、业务经验、技术人员、财务状况等。</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4.2本次采购的中标单位必须服从</w:t>
      </w:r>
      <w:r>
        <w:rPr>
          <w:rFonts w:hint="eastAsia" w:ascii="宋体" w:hAnsi="宋体" w:eastAsia="宋体" w:cs="宋体"/>
          <w:sz w:val="24"/>
          <w:szCs w:val="24"/>
          <w:lang w:eastAsia="zh-Hans"/>
        </w:rPr>
        <w:t xml:space="preserve">采购方</w:t>
      </w:r>
      <w:r>
        <w:rPr>
          <w:rFonts w:hint="eastAsia" w:ascii="宋体" w:hAnsi="宋体" w:eastAsia="宋体" w:cs="宋体"/>
          <w:sz w:val="24"/>
          <w:szCs w:val="24"/>
        </w:rPr>
        <w:t xml:space="preserve">的指挥，与其他相关系统承建商合作，以保证本次采购的设备安装和系统集成能顺利进行。中标单位不得以任何理由拒绝与其他承建商合作，否则视为违约，采购人有权终止合同，并要求中标单位赔偿所有直接和间接损失。</w:t>
      </w:r>
      <w:r/>
    </w:p>
    <w:p>
      <w:pPr>
        <w:keepLines w:val="0"/>
        <w:keepNext w:val="0"/>
        <w:pageBreakBefore w:val="0"/>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5．技术文件</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供应商必须列出所有必须提供的技术文件，包括软硬件技术文件、安装测试文件、维护和操作文件、竣工资料以及其他必要的文件。</w:t>
      </w:r>
      <w:r/>
    </w:p>
    <w:p>
      <w:pPr>
        <w:keepLines w:val="0"/>
        <w:keepNext w:val="0"/>
        <w:pageBreakBefore w:val="0"/>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6．人员培训</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6.1供应商应提交一份详细的培训计划，计划应包括详细的课程安排、授课师资配备、时间地点。供应商派出的培训教员应具有丰富的理论知识和相应实践经验。所有的培训教员必须用中文授课（如果教员不会讲中文，投标供应商必须提供中文翻译）。投标人必须为所有被培训人员提供有关培训文字资料和讲义等相关用品，所有的资料必须用中文书写。</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6.2供应商在培训计划中必须列出培训的人数、地点和时间。供应商的培训计划在评审中将作为优惠条件进行考虑。</w:t>
      </w:r>
      <w:r/>
    </w:p>
    <w:p>
      <w:pPr>
        <w:keepLines w:val="0"/>
        <w:keepNext w:val="0"/>
        <w:pageBreakBefore w:val="0"/>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7．验收</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7.1投标文件中应提供一份验收计划，其中至少应包含以下内容：</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（1）验收单位；</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（2）验收流程；</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（3）验收所依据的标准；</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（4）验收所需的各种测试表格；</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（5）与验收有关的文档；</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（6）其他必要的内容。</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7.2本项目的验收由采购单位按照国家规定的程序组织进行，依据是国家有关规定、投标文件、中标单位的投标文件以及其他相关文件和资料，所需验收费用由中标单位承担。</w:t>
      </w:r>
      <w:r/>
    </w:p>
    <w:p>
      <w:pPr>
        <w:keepLines w:val="0"/>
        <w:keepNext w:val="0"/>
        <w:pageBreakBefore w:val="0"/>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8．专利</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投标人应保证，采购人在使用其产品和服务的全部或任何部分时，免受第三方提出的侵犯专利权、商标权或工业设计权的起诉。</w:t>
      </w:r>
      <w:r/>
    </w:p>
    <w:p>
      <w:pPr>
        <w:keepLines w:val="0"/>
        <w:keepNext w:val="0"/>
        <w:pageBreakBefore w:val="0"/>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9．所有权的转移</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9.1本项目下买方已支付合同价的部分，其所有权在支付该部分合同价的同时转移至买方。在任何情况下，所有权的转移都不能影响本合同中有关项目交付以及风险责任的规定。</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9.2如果卖方在本合同履行完毕之前破产，本合同下买方已支付合同价，所有权已经转移的资产不得作为破产财产。</w:t>
      </w:r>
      <w:r/>
    </w:p>
    <w:p>
      <w:pPr>
        <w:keepLines w:val="0"/>
        <w:keepNext w:val="0"/>
        <w:pageBreakBefore w:val="0"/>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10．合同的构成</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投标文件、中标单位的投标文件及其澄清文件、中标通知书以及双方签署的备忘录等，均为合同不可分割的部分，对双方具有约束力。</w:t>
      </w:r>
      <w:r/>
    </w:p>
    <w:p>
      <w:pPr>
        <w:keepLines w:val="0"/>
        <w:keepNext w:val="0"/>
        <w:pageBreakBefore w:val="0"/>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11．其他</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11.1由于供应商的技术设计或其他原因所造成的额外费用，由投标人自行承担。如果采购人要求删除或增加功能，供应商应予合同金额中调整此部分差价，但是投标文件中的各项优惠条件保持不变。</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11.2供应商如果有其他优惠条件，必须在投标文件中作专门说明。</w:t>
      </w:r>
      <w:r/>
    </w:p>
    <w:p>
      <w:pPr>
        <w:pStyle w:val="874"/>
        <w:ind w:left="0" w:firstLine="480"/>
        <w:keepLines w:val="0"/>
        <w:keepNext w:val="0"/>
        <w:pageBreakBefore w:val="0"/>
        <w:spacing w:after="0" w:line="400" w:lineRule="exact"/>
        <w:rPr>
          <w:rFonts w:hint="eastAsia" w:ascii="宋体" w:hAnsi="宋体" w:eastAsia="宋体" w:cs="宋体"/>
          <w:sz w:val="24"/>
          <w:szCs w:val="24"/>
        </w:rPr>
      </w:pPr>
      <w:r>
        <w:rPr>
          <w:rFonts w:hint="eastAsia" w:ascii="宋体" w:hAnsi="宋体" w:eastAsia="宋体" w:cs="宋体"/>
          <w:sz w:val="24"/>
          <w:szCs w:val="24"/>
        </w:rPr>
        <w:t xml:space="preserve">11.3以上条款的内容如果需要修改或者有其他未涉及的事项，应由合同双方协商解决。</w:t>
      </w:r>
      <w:r/>
    </w:p>
    <w:p>
      <w:pPr>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Cs/>
          <w:sz w:val="24"/>
          <w:szCs w:val="24"/>
        </w:rPr>
      </w:r>
      <w:r/>
    </w:p>
    <w:p>
      <w:pPr>
        <w:keepLines w:val="0"/>
        <w:keepNext w:val="0"/>
        <w:pageBreakBefore w:val="0"/>
        <w:spacing w:line="400" w:lineRule="exact"/>
        <w:rPr>
          <w:rFonts w:hint="eastAsia" w:ascii="黑体" w:hAnsi="黑体" w:eastAsia="黑体" w:cs="黑体"/>
          <w:bCs/>
          <w:sz w:val="28"/>
          <w:szCs w:val="28"/>
        </w:rPr>
      </w:pPr>
      <w:r>
        <w:rPr>
          <w:rFonts w:hint="eastAsia" w:ascii="黑体" w:hAnsi="黑体" w:eastAsia="黑体" w:cs="黑体"/>
          <w:bCs/>
          <w:sz w:val="28"/>
          <w:szCs w:val="28"/>
        </w:rPr>
        <w:t xml:space="preserve">十一、付款方式：</w:t>
      </w:r>
      <w:r/>
    </w:p>
    <w:p>
      <w:pPr>
        <w:pStyle w:val="8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    合同签订后支付合同款的30%，通过终验并审计后付至</w:t>
      </w:r>
      <w:r>
        <w:rPr>
          <w:rFonts w:hint="eastAsia" w:ascii="宋体" w:hAnsi="宋体" w:eastAsia="宋体" w:cs="宋体"/>
          <w:sz w:val="24"/>
          <w:szCs w:val="24"/>
          <w:lang w:eastAsia="zh-CN"/>
        </w:rPr>
        <w:t xml:space="preserve">审定金额</w:t>
      </w:r>
      <w:r>
        <w:rPr>
          <w:rFonts w:hint="eastAsia" w:ascii="宋体" w:hAnsi="宋体" w:eastAsia="宋体" w:cs="宋体"/>
          <w:sz w:val="24"/>
          <w:szCs w:val="24"/>
        </w:rPr>
        <w:t xml:space="preserve">的90%，验收合格满5年付清尾款(剔除扣款后的金额)</w:t>
      </w:r>
      <w:r>
        <w:rPr>
          <w:rFonts w:hint="eastAsia" w:ascii="宋体" w:hAnsi="宋体" w:eastAsia="宋体" w:cs="宋体"/>
          <w:sz w:val="24"/>
          <w:szCs w:val="24"/>
        </w:rPr>
        <w:t xml:space="preserve">。</w:t>
      </w:r>
      <w:r/>
    </w:p>
    <w:p>
      <w:pPr>
        <w:pStyle w:val="880"/>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Cs/>
          <w:sz w:val="24"/>
          <w:szCs w:val="24"/>
        </w:rPr>
      </w:r>
      <w:r/>
    </w:p>
    <w:p>
      <w:pPr>
        <w:keepLines w:val="0"/>
        <w:keepNext w:val="0"/>
        <w:pageBreakBefore w:val="0"/>
        <w:spacing w:line="400" w:lineRule="exact"/>
        <w:rPr>
          <w:rFonts w:hint="eastAsia" w:ascii="黑体" w:hAnsi="黑体" w:eastAsia="黑体" w:cs="黑体"/>
          <w:bCs/>
          <w:sz w:val="28"/>
          <w:szCs w:val="28"/>
        </w:rPr>
      </w:pPr>
      <w:r>
        <w:rPr>
          <w:rFonts w:hint="eastAsia" w:ascii="黑体" w:hAnsi="黑体" w:eastAsia="黑体" w:cs="黑体"/>
          <w:bCs/>
          <w:sz w:val="28"/>
          <w:szCs w:val="28"/>
        </w:rPr>
        <w:t xml:space="preserve">十二、有关说明：</w:t>
      </w:r>
      <w:r/>
    </w:p>
    <w:p>
      <w:pPr>
        <w:ind w:firstLine="482"/>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1、报价要求</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1.1报价总则：供应商应按人民币（元）报价，金额精确到小数点后两位，其报价中应包含从项目中标起到竣工验收后五年内维护系统正常运行所发生的一切费用。供应商必须以本章节</w:t>
      </w:r>
      <w:r>
        <w:rPr>
          <w:rFonts w:hint="eastAsia" w:ascii="宋体" w:hAnsi="宋体" w:eastAsia="宋体" w:cs="宋体"/>
          <w:b/>
          <w:sz w:val="24"/>
          <w:szCs w:val="24"/>
        </w:rPr>
        <w:t xml:space="preserve">第</w:t>
      </w:r>
      <w:r>
        <w:rPr>
          <w:rFonts w:hint="eastAsia" w:ascii="宋体" w:hAnsi="宋体" w:eastAsia="宋体" w:cs="宋体"/>
          <w:b/>
          <w:sz w:val="24"/>
          <w:szCs w:val="24"/>
          <w:lang w:eastAsia="zh-CN"/>
        </w:rPr>
        <w:t xml:space="preserve">三</w:t>
      </w:r>
      <w:r>
        <w:rPr>
          <w:rFonts w:hint="eastAsia" w:ascii="宋体" w:hAnsi="宋体" w:eastAsia="宋体" w:cs="宋体"/>
          <w:b/>
          <w:sz w:val="24"/>
          <w:szCs w:val="24"/>
        </w:rPr>
        <w:t xml:space="preserve">项中“项目建设清单、技术参数与功能要求”</w:t>
      </w:r>
      <w:r>
        <w:rPr>
          <w:rFonts w:hint="eastAsia" w:ascii="宋体" w:hAnsi="宋体" w:eastAsia="宋体" w:cs="宋体"/>
          <w:sz w:val="24"/>
          <w:szCs w:val="24"/>
        </w:rPr>
        <w:t xml:space="preserve">为基础，按投标文件中投标报价表的格式进行详细分项报价。供应商对一种货物/服务只允许有一个报价，采购人不接受有任何选择的报价。</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1.2报价应包含根据清单中实际情况设计的设备安装、备品备件、专用工具、软件、所提供设备在项目中的安装调试及辅配件、系统的集成、验收、培训、售后服务以及供应商在保证投标方案功能完整实现基础上认为应计入的其他所有费用；中标后，各实施项目基础环境没有发生重大变化时，</w:t>
      </w:r>
      <w:r>
        <w:rPr>
          <w:rFonts w:hint="eastAsia" w:ascii="宋体" w:hAnsi="宋体" w:eastAsia="宋体" w:cs="宋体"/>
          <w:b/>
          <w:sz w:val="24"/>
          <w:szCs w:val="24"/>
        </w:rPr>
        <w:t xml:space="preserve">中标单位在满足招投标文件需求的前提下，不得以任何理由主动变更。</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1.3本次投标工程量、单价及价格组成为清单中实施完成的最终结果，项目实施过程中中标单位不得以任何理由主动变更。</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1.4 投标文件中的详细设计方案由投标单位根据招标文件要求自行负责设计，在实施过程中发现不能满足招标文件设计要求的，中标方必须免费整改补足至达标为止，采购方不再另行支付费用。整改达标前，所有验收及付款手续暂停执行。</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2、凡涉及招标文件的补充说明或修正，均以江阴市政府采购中心书面依据为准。</w:t>
      </w:r>
      <w:r/>
    </w:p>
    <w:p>
      <w:p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3、江阴市政府采购中心对本次招标结果不作任何解释。</w:t>
      </w:r>
      <w:r/>
    </w:p>
    <w:p>
      <w:pPr>
        <w:numPr>
          <w:ilvl w:val="0"/>
          <w:numId w:val="0"/>
        </w:numPr>
        <w:jc w:val="both"/>
        <w:widowControl w:val="off"/>
        <w:sectPr>
          <w:footnotePr/>
          <w:endnotePr/>
          <w:type w:val="nextPage"/>
          <w:pgSz w:w="11906" w:h="16838" w:orient="portrait"/>
          <w:pgMar w:top="1247" w:right="1247" w:bottom="1247" w:left="1247" w:header="680" w:footer="992" w:gutter="0"/>
          <w:cols w:num="1" w:sep="0" w:space="720" w:equalWidth="1"/>
          <w:docGrid w:linePitch="360"/>
        </w:sectPr>
      </w:pPr>
      <w:r/>
      <w:r/>
    </w:p>
    <w:p>
      <w:pPr>
        <w:jc w:val="center"/>
        <w:spacing w:line="400" w:lineRule="exact"/>
        <w:tabs>
          <w:tab w:val="left" w:pos="0" w:leader="none"/>
        </w:tabs>
        <w:rPr>
          <w:rFonts w:ascii="黑体" w:hAnsi="黑体" w:eastAsia="黑体" w:cs="Times New Roman"/>
          <w:bCs/>
          <w:sz w:val="30"/>
          <w:szCs w:val="30"/>
        </w:rPr>
      </w:pPr>
      <w:r>
        <w:rPr>
          <w:rFonts w:ascii="黑体" w:hAnsi="黑体" w:eastAsia="黑体" w:cs="Times New Roman"/>
          <w:bCs/>
          <w:sz w:val="30"/>
          <w:szCs w:val="30"/>
        </w:rPr>
      </w:r>
      <w:r/>
    </w:p>
    <w:p>
      <w:pPr>
        <w:pStyle w:val="889"/>
      </w:pPr>
      <w:r/>
      <w:bookmarkStart w:id="16" w:name="_Toc20917"/>
      <w:r>
        <w:rPr>
          <w:rFonts w:hint="eastAsia"/>
        </w:rPr>
        <w:t xml:space="preserve">第四章  评标方法和评标标准</w:t>
      </w:r>
      <w:bookmarkEnd w:id="16"/>
      <w:r/>
      <w:r/>
    </w:p>
    <w:p>
      <w:pPr>
        <w:ind w:firstLine="480"/>
        <w:spacing w:line="400" w:lineRule="exact"/>
        <w:rPr>
          <w:rFonts w:ascii="宋体" w:hAnsi="宋体" w:eastAsia="宋体" w:cs="Times New Roman"/>
          <w:sz w:val="24"/>
        </w:rPr>
      </w:pPr>
      <w:r>
        <w:rPr>
          <w:rFonts w:ascii="宋体" w:hAnsi="宋体" w:eastAsia="宋体" w:cs="Times New Roman"/>
          <w:sz w:val="24"/>
        </w:rPr>
      </w:r>
      <w:r/>
    </w:p>
    <w:p>
      <w:pPr>
        <w:jc w:val="left"/>
        <w:spacing w:line="600" w:lineRule="exact"/>
        <w:rPr>
          <w:rFonts w:ascii="黑体" w:hAnsi="黑体" w:eastAsia="黑体" w:cs="Times New Roman"/>
          <w:sz w:val="28"/>
          <w:szCs w:val="28"/>
        </w:rPr>
      </w:pPr>
      <w:r>
        <w:rPr>
          <w:rFonts w:hint="eastAsia" w:ascii="黑体" w:hAnsi="黑体" w:eastAsia="黑体" w:cs="Times New Roman"/>
          <w:sz w:val="28"/>
          <w:szCs w:val="28"/>
        </w:rPr>
        <w:t xml:space="preserve">一、评标方法</w:t>
      </w:r>
      <w:r/>
    </w:p>
    <w:p>
      <w:pPr>
        <w:ind w:firstLine="480"/>
        <w:jc w:val="left"/>
        <w:spacing w:line="400" w:lineRule="exact"/>
        <w:rPr>
          <w:rFonts w:ascii="宋体" w:hAnsi="宋体" w:eastAsia="宋体" w:cs="Times New Roman"/>
          <w:sz w:val="24"/>
        </w:rPr>
      </w:pPr>
      <w:r>
        <w:rPr>
          <w:rFonts w:hint="eastAsia" w:ascii="宋体" w:hAnsi="宋体" w:eastAsia="宋体" w:cs="Times New Roman"/>
          <w:sz w:val="24"/>
        </w:rPr>
        <w:t xml:space="preserve">本次评审采用综合评标法，</w:t>
      </w:r>
      <w:r>
        <w:rPr>
          <w:rFonts w:ascii="宋体" w:hAnsi="宋体" w:eastAsia="宋体" w:cs="Times New Roman"/>
          <w:sz w:val="24"/>
        </w:rPr>
        <w:t xml:space="preserve">是指投标文件满足招标文件全部实质性要求，且按照评审因素的量化指标评审得分最高的投标人为中标候选人的评标方法</w:t>
      </w:r>
      <w:r>
        <w:rPr>
          <w:rFonts w:hint="eastAsia" w:ascii="宋体" w:hAnsi="宋体" w:eastAsia="宋体" w:cs="Times New Roman"/>
          <w:sz w:val="24"/>
        </w:rPr>
        <w:t xml:space="preserve">，</w:t>
      </w:r>
      <w:r>
        <w:rPr>
          <w:rFonts w:ascii="宋体" w:hAnsi="宋体" w:eastAsia="宋体" w:cs="Times New Roman"/>
          <w:sz w:val="24"/>
        </w:rPr>
        <w:t xml:space="preserve">评审因素包括投标报价、技术或者服务水平、履约能力、售后服务等。</w:t>
      </w:r>
      <w:r/>
    </w:p>
    <w:p>
      <w:pPr>
        <w:ind w:firstLine="480"/>
        <w:jc w:val="left"/>
        <w:spacing w:line="400" w:lineRule="exact"/>
        <w:rPr>
          <w:rFonts w:ascii="宋体" w:hAnsi="宋体" w:eastAsia="宋体" w:cs="Times New Roman"/>
          <w:bCs/>
          <w:sz w:val="24"/>
        </w:rPr>
      </w:pPr>
      <w:r>
        <w:rPr>
          <w:rFonts w:hint="eastAsia" w:ascii="宋体" w:hAnsi="宋体" w:eastAsia="宋体" w:cs="Times New Roman"/>
          <w:bCs/>
          <w:sz w:val="24"/>
        </w:rPr>
        <w:t xml:space="preserve">评标委员会遵循公平、公正、择优原则，独立按照评分标准分别评定投标人的分值；各投标人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注：每部分的得分保留小数点后两位，合计得分保留小数点后两位。</w:t>
      </w:r>
      <w:r/>
    </w:p>
    <w:p>
      <w:pPr>
        <w:jc w:val="left"/>
        <w:spacing w:line="400" w:lineRule="exact"/>
        <w:rPr>
          <w:rFonts w:ascii="宋体" w:hAnsi="宋体" w:eastAsia="宋体" w:cs="Times New Roman"/>
          <w:b/>
          <w:sz w:val="24"/>
        </w:rPr>
      </w:pPr>
      <w:r>
        <w:rPr>
          <w:rFonts w:ascii="宋体" w:hAnsi="宋体" w:eastAsia="宋体" w:cs="Times New Roman"/>
          <w:b/>
          <w:sz w:val="24"/>
        </w:rPr>
      </w:r>
      <w:r/>
    </w:p>
    <w:p>
      <w:pPr>
        <w:spacing w:line="600" w:lineRule="exact"/>
      </w:pPr>
      <w:r>
        <w:rPr>
          <w:rFonts w:hint="eastAsia" w:ascii="黑体" w:hAnsi="黑体" w:eastAsia="黑体" w:cs="Times New Roman"/>
          <w:sz w:val="28"/>
          <w:szCs w:val="28"/>
        </w:rPr>
        <w:t xml:space="preserve">二、评分标准</w:t>
      </w:r>
      <w:bookmarkEnd w:id="11"/>
      <w:r/>
      <w:r/>
    </w:p>
    <w:tbl>
      <w:tblPr>
        <w:tblStyle w:val="866"/>
        <w:tblW w:w="9487"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20"/>
        <w:gridCol w:w="727"/>
        <w:gridCol w:w="1303"/>
        <w:gridCol w:w="5500"/>
        <w:gridCol w:w="737"/>
      </w:tblGrid>
      <w:tr>
        <w:trPr>
          <w:jc w:val="center"/>
          <w:trHeight w:val="20"/>
        </w:trPr>
        <w:tc>
          <w:tcPr>
            <w:tcBorders>
              <w:top w:val="single" w:color="auto" w:sz="8" w:space="0"/>
              <w:left w:val="single" w:color="auto" w:sz="8" w:space="0"/>
              <w:bottom w:val="single" w:color="auto" w:sz="6" w:space="0"/>
              <w:right w:val="single" w:color="auto" w:sz="6" w:space="0"/>
            </w:tcBorders>
            <w:tcW w:w="1220"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评分项</w:t>
            </w:r>
            <w:r/>
          </w:p>
        </w:tc>
        <w:tc>
          <w:tcPr>
            <w:tcBorders>
              <w:top w:val="single" w:color="auto" w:sz="8" w:space="0"/>
              <w:left w:val="single" w:color="auto" w:sz="6" w:space="0"/>
              <w:bottom w:val="single" w:color="auto" w:sz="6" w:space="0"/>
              <w:right w:val="single" w:color="auto" w:sz="6" w:space="0"/>
            </w:tcBorders>
            <w:tcW w:w="727"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序号</w:t>
            </w:r>
            <w:r/>
          </w:p>
        </w:tc>
        <w:tc>
          <w:tcPr>
            <w:tcBorders>
              <w:top w:val="single" w:color="auto" w:sz="8" w:space="0"/>
              <w:left w:val="single" w:color="auto" w:sz="6" w:space="0"/>
              <w:bottom w:val="single" w:color="auto" w:sz="6" w:space="0"/>
              <w:right w:val="single" w:color="auto" w:sz="6" w:space="0"/>
            </w:tcBorders>
            <w:tcW w:w="1303"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b/>
                <w:bCs/>
                <w:sz w:val="24"/>
                <w:szCs w:val="24"/>
              </w:rPr>
              <w:t xml:space="preserve">评分因素</w:t>
            </w:r>
            <w:r/>
          </w:p>
        </w:tc>
        <w:tc>
          <w:tcPr>
            <w:tcBorders>
              <w:top w:val="single" w:color="auto" w:sz="8" w:space="0"/>
              <w:left w:val="single" w:color="auto" w:sz="6" w:space="0"/>
              <w:bottom w:val="single" w:color="auto" w:sz="6" w:space="0"/>
              <w:right w:val="single" w:color="auto" w:sz="6" w:space="0"/>
            </w:tcBorders>
            <w:tcW w:w="5500"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评分细则</w:t>
            </w:r>
            <w:r/>
          </w:p>
        </w:tc>
        <w:tc>
          <w:tcPr>
            <w:tcBorders>
              <w:top w:val="single" w:color="auto" w:sz="8" w:space="0"/>
              <w:left w:val="single" w:color="auto" w:sz="6" w:space="0"/>
              <w:bottom w:val="single" w:color="auto" w:sz="6" w:space="0"/>
              <w:right w:val="single" w:color="auto" w:sz="8" w:space="0"/>
            </w:tcBorders>
            <w:tcW w:w="737"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分值</w:t>
            </w:r>
            <w:r/>
          </w:p>
        </w:tc>
      </w:tr>
      <w:tr>
        <w:trPr>
          <w:jc w:val="center"/>
          <w:trHeight w:val="20"/>
        </w:trPr>
        <w:tc>
          <w:tcPr>
            <w:tcBorders>
              <w:top w:val="single" w:color="auto" w:sz="6" w:space="0"/>
              <w:left w:val="single" w:color="auto" w:sz="8" w:space="0"/>
              <w:bottom w:val="single" w:color="auto" w:sz="6" w:space="0"/>
              <w:right w:val="single" w:color="auto" w:sz="6" w:space="0"/>
            </w:tcBorders>
            <w:tcW w:w="1220"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一、价格部分</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（30分）</w:t>
            </w:r>
            <w:r/>
          </w:p>
        </w:tc>
        <w:tc>
          <w:tcPr>
            <w:tcBorders>
              <w:top w:val="single" w:color="auto" w:sz="6" w:space="0"/>
              <w:left w:val="single" w:color="auto" w:sz="6" w:space="0"/>
              <w:bottom w:val="single" w:color="auto" w:sz="6" w:space="0"/>
              <w:right w:val="single" w:color="auto" w:sz="6" w:space="0"/>
            </w:tcBorders>
            <w:tcW w:w="72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1.1</w:t>
            </w:r>
            <w:r/>
          </w:p>
        </w:tc>
        <w:tc>
          <w:tcPr>
            <w:tcBorders>
              <w:top w:val="single" w:color="auto" w:sz="6" w:space="0"/>
              <w:left w:val="single" w:color="auto" w:sz="6" w:space="0"/>
              <w:bottom w:val="single" w:color="auto" w:sz="6" w:space="0"/>
              <w:right w:val="single" w:color="auto" w:sz="6" w:space="0"/>
            </w:tcBorders>
            <w:tcW w:w="1303"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投标报价</w:t>
            </w:r>
            <w:r/>
          </w:p>
        </w:tc>
        <w:tc>
          <w:tcPr>
            <w:tcBorders>
              <w:top w:val="single" w:color="auto" w:sz="6" w:space="0"/>
              <w:left w:val="single" w:color="auto" w:sz="6" w:space="0"/>
              <w:bottom w:val="single" w:color="auto" w:sz="6" w:space="0"/>
              <w:right w:val="single" w:color="auto" w:sz="6" w:space="0"/>
            </w:tcBorders>
            <w:tcW w:w="5500" w:type="dxa"/>
            <w:vAlign w:val="center"/>
            <w:textDirection w:val="lrTb"/>
            <w:noWrap w:val="false"/>
          </w:tcPr>
          <w:p>
            <w:pPr>
              <w:spacing w:line="40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满足招标文件要求且投标价格最低的投标报价为评标基准价，其价格分为满分。其他投标人的价格分统一按照下列公式计算：</w:t>
            </w:r>
            <w:r/>
          </w:p>
          <w:p>
            <w:pPr>
              <w:jc w:val="left"/>
              <w:spacing w:line="400" w:lineRule="exact"/>
              <w:rPr>
                <w:rFonts w:ascii="宋体" w:hAnsi="宋体" w:eastAsia="宋体" w:cs="Times New Roman"/>
                <w:sz w:val="24"/>
                <w:szCs w:val="24"/>
              </w:rPr>
            </w:pPr>
            <w:r>
              <w:rPr>
                <w:rFonts w:hint="eastAsia" w:ascii="宋体" w:hAnsi="宋体" w:eastAsia="宋体" w:cs="宋体"/>
                <w:color w:val="000000"/>
                <w:sz w:val="24"/>
                <w:szCs w:val="24"/>
                <w:lang w:bidi="ar"/>
              </w:rPr>
              <w:t xml:space="preserve">投标报价得分=（评标基准价/投标报价）×3</w:t>
            </w:r>
            <w:r>
              <w:rPr>
                <w:rFonts w:ascii="宋体" w:hAnsi="宋体" w:eastAsia="宋体" w:cs="宋体"/>
                <w:color w:val="000000"/>
                <w:sz w:val="24"/>
                <w:szCs w:val="24"/>
                <w:lang w:bidi="ar"/>
              </w:rPr>
              <w:t xml:space="preserve">0</w:t>
            </w:r>
            <w:r>
              <w:rPr>
                <w:rFonts w:hint="eastAsia" w:ascii="宋体" w:hAnsi="宋体" w:eastAsia="宋体" w:cs="宋体"/>
                <w:color w:val="000000"/>
                <w:sz w:val="24"/>
                <w:szCs w:val="24"/>
                <w:lang w:bidi="ar"/>
              </w:rPr>
              <w:t xml:space="preserve">分</w:t>
            </w:r>
            <w:r/>
          </w:p>
        </w:tc>
        <w:tc>
          <w:tcPr>
            <w:tcBorders>
              <w:top w:val="single" w:color="auto" w:sz="6" w:space="0"/>
              <w:left w:val="single" w:color="auto" w:sz="6" w:space="0"/>
              <w:bottom w:val="single" w:color="auto" w:sz="6" w:space="0"/>
              <w:right w:val="single" w:color="auto" w:sz="8" w:space="0"/>
            </w:tcBorders>
            <w:tcW w:w="73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30</w:t>
            </w:r>
            <w:r/>
          </w:p>
        </w:tc>
      </w:tr>
      <w:tr>
        <w:trPr>
          <w:jc w:val="center"/>
          <w:trHeight w:val="20"/>
        </w:trPr>
        <w:tc>
          <w:tcPr>
            <w:tcBorders>
              <w:top w:val="single" w:color="auto" w:sz="6" w:space="0"/>
              <w:left w:val="single" w:color="auto" w:sz="8" w:space="0"/>
              <w:bottom w:val="single" w:color="auto" w:sz="6" w:space="0"/>
              <w:right w:val="single" w:color="auto" w:sz="6" w:space="0"/>
            </w:tcBorders>
            <w:tcW w:w="1220" w:type="dxa"/>
            <w:vAlign w:val="center"/>
            <w:vMerge w:val="restart"/>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二、技术部分</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（55分）</w:t>
            </w:r>
            <w:r/>
          </w:p>
        </w:tc>
        <w:tc>
          <w:tcPr>
            <w:tcBorders>
              <w:top w:val="single" w:color="auto" w:sz="6" w:space="0"/>
              <w:left w:val="single" w:color="auto" w:sz="6" w:space="0"/>
              <w:bottom w:val="single" w:color="auto" w:sz="6" w:space="0"/>
              <w:right w:val="single" w:color="auto" w:sz="4" w:space="0"/>
            </w:tcBorders>
            <w:tcW w:w="72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2.1</w:t>
            </w:r>
            <w:r/>
          </w:p>
        </w:tc>
        <w:tc>
          <w:tcPr>
            <w:tcBorders>
              <w:top w:val="single" w:color="auto" w:sz="6" w:space="0"/>
              <w:left w:val="single" w:color="auto" w:sz="4" w:space="0"/>
              <w:bottom w:val="single" w:color="auto" w:sz="6" w:space="0"/>
              <w:right w:val="single" w:color="auto" w:sz="4" w:space="0"/>
            </w:tcBorders>
            <w:tcW w:w="1303" w:type="dxa"/>
            <w:vAlign w:val="center"/>
            <w:textDirection w:val="lrTb"/>
            <w:noWrap w:val="false"/>
          </w:tcPr>
          <w:p>
            <w:pPr>
              <w:jc w:val="center"/>
              <w:spacing w:line="400" w:lineRule="exact"/>
              <w:rPr>
                <w:rFonts w:ascii="宋体" w:hAnsi="宋体"/>
                <w:bCs/>
                <w:sz w:val="24"/>
                <w:szCs w:val="24"/>
              </w:rPr>
            </w:pPr>
            <w:r>
              <w:rPr>
                <w:rFonts w:hint="eastAsia" w:ascii="宋体" w:hAnsi="宋体"/>
                <w:bCs/>
                <w:sz w:val="24"/>
                <w:szCs w:val="24"/>
              </w:rPr>
              <w:t xml:space="preserve">技术性能指标响应情况</w:t>
            </w:r>
            <w:r/>
          </w:p>
        </w:tc>
        <w:tc>
          <w:tcPr>
            <w:tcBorders>
              <w:top w:val="single" w:color="auto" w:sz="6" w:space="0"/>
              <w:left w:val="single" w:color="auto" w:sz="4" w:space="0"/>
              <w:bottom w:val="single" w:color="auto" w:sz="6" w:space="0"/>
              <w:right w:val="single" w:color="auto" w:sz="4" w:space="0"/>
            </w:tcBorders>
            <w:tcW w:w="5500" w:type="dxa"/>
            <w:vAlign w:val="center"/>
            <w:textDirection w:val="lrTb"/>
            <w:noWrap w:val="false"/>
          </w:tcPr>
          <w:p>
            <w:pPr>
              <w:spacing w:line="400" w:lineRule="exact"/>
              <w:rPr>
                <w:rFonts w:ascii="宋体" w:hAnsi="宋体"/>
                <w:sz w:val="24"/>
              </w:rPr>
            </w:pPr>
            <w:r>
              <w:rPr>
                <w:rFonts w:hint="eastAsia" w:ascii="宋体" w:hAnsi="宋体" w:cs="宋体"/>
                <w:sz w:val="24"/>
              </w:rPr>
              <w:t xml:space="preserve">根据《分项报价表》、《技术要求响应及偏离表》等对投标产品的技术参数响应情况进行评审打分。设备符合招标文件要求，无负偏离得28分；打“★”项为重要性能参数指标，每一项负偏离扣1分；非打“★”项有一项负偏离扣0.5分，扣完为止。</w:t>
            </w:r>
            <w:r>
              <w:rPr>
                <w:rFonts w:hint="eastAsia" w:ascii="宋体" w:hAnsi="宋体" w:cs="宋体"/>
                <w:b/>
                <w:bCs/>
                <w:sz w:val="24"/>
              </w:rPr>
              <w:t xml:space="preserve">(未按要求提供证明材料的均视为负偏离）</w:t>
            </w:r>
            <w:r/>
          </w:p>
        </w:tc>
        <w:tc>
          <w:tcPr>
            <w:tcBorders>
              <w:top w:val="single" w:color="auto" w:sz="6" w:space="0"/>
              <w:left w:val="single" w:color="auto" w:sz="4" w:space="0"/>
              <w:bottom w:val="single" w:color="auto" w:sz="6" w:space="0"/>
              <w:right w:val="single" w:color="auto" w:sz="8" w:space="0"/>
            </w:tcBorders>
            <w:tcW w:w="737" w:type="dxa"/>
            <w:vAlign w:val="center"/>
            <w:textDirection w:val="lrTb"/>
            <w:noWrap w:val="false"/>
          </w:tcPr>
          <w:p>
            <w:pPr>
              <w:jc w:val="center"/>
              <w:spacing w:line="400" w:lineRule="exact"/>
              <w:rPr>
                <w:rFonts w:ascii="宋体" w:hAnsi="宋体"/>
                <w:sz w:val="24"/>
              </w:rPr>
            </w:pPr>
            <w:r>
              <w:rPr>
                <w:rFonts w:hint="eastAsia" w:ascii="宋体" w:hAnsi="宋体" w:cs="宋体"/>
                <w:sz w:val="24"/>
              </w:rPr>
              <w:t xml:space="preserve">28</w:t>
            </w:r>
            <w:r/>
          </w:p>
        </w:tc>
      </w:tr>
      <w:tr>
        <w:trPr>
          <w:jc w:val="center"/>
          <w:trHeight w:val="20"/>
        </w:trPr>
        <w:tc>
          <w:tcPr>
            <w:tcBorders>
              <w:top w:val="single" w:color="auto" w:sz="6" w:space="0"/>
              <w:left w:val="single" w:color="auto" w:sz="8" w:space="0"/>
              <w:bottom w:val="single" w:color="auto" w:sz="6" w:space="0"/>
              <w:right w:val="single" w:color="auto" w:sz="6" w:space="0"/>
            </w:tcBorders>
            <w:tcW w:w="1220" w:type="dxa"/>
            <w:vAlign w:val="center"/>
            <w:vMerge w:val="continue"/>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727"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2.2</w:t>
            </w:r>
            <w:r/>
          </w:p>
        </w:tc>
        <w:tc>
          <w:tcPr>
            <w:shd w:val="clear" w:color="auto" w:fill="auto"/>
            <w:tcBorders>
              <w:top w:val="single" w:color="auto" w:sz="6" w:space="0"/>
              <w:left w:val="single" w:color="auto" w:sz="6" w:space="0"/>
              <w:bottom w:val="single" w:color="auto" w:sz="6" w:space="0"/>
              <w:right w:val="single" w:color="auto" w:sz="6" w:space="0"/>
            </w:tcBorders>
            <w:tcW w:w="1303"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设计方案</w:t>
            </w:r>
            <w:r/>
          </w:p>
        </w:tc>
        <w:tc>
          <w:tcPr>
            <w:shd w:val="clear" w:color="auto" w:fill="auto"/>
            <w:tcBorders>
              <w:top w:val="single" w:color="auto" w:sz="6" w:space="0"/>
              <w:left w:val="single" w:color="auto" w:sz="6" w:space="0"/>
              <w:bottom w:val="single" w:color="auto" w:sz="6" w:space="0"/>
              <w:right w:val="single" w:color="auto" w:sz="6" w:space="0"/>
            </w:tcBorders>
            <w:tcW w:w="5500" w:type="dxa"/>
            <w:vAlign w:val="center"/>
            <w:textDirection w:val="lrTb"/>
            <w:noWrap w:val="false"/>
          </w:tcPr>
          <w:p>
            <w:pPr>
              <w:spacing w:line="400" w:lineRule="exact"/>
              <w:rPr>
                <w:rFonts w:ascii="宋体" w:hAnsi="宋体" w:cs="宋体"/>
                <w:sz w:val="24"/>
              </w:rPr>
            </w:pPr>
            <w:r>
              <w:rPr>
                <w:rFonts w:hint="eastAsia" w:ascii="宋体" w:hAnsi="宋体" w:cs="宋体"/>
                <w:sz w:val="24"/>
              </w:rPr>
              <w:t xml:space="preserve">投标人针对本项目提供设计方案，包括①公安执法办案区智能管理系统平台设计②对原有信息化设备全面检修及利旧使用方案③视频结构化定位系统入网部署设计</w:t>
            </w:r>
            <w:r>
              <w:rPr>
                <w:rFonts w:ascii="宋体" w:hAnsi="宋体" w:cs="宋体"/>
                <w:sz w:val="24"/>
              </w:rPr>
              <w:fldChar w:fldCharType="begin"/>
            </w:r>
            <w:r>
              <w:rPr>
                <w:rFonts w:ascii="宋体" w:hAnsi="宋体" w:cs="宋体"/>
                <w:sz w:val="24"/>
              </w:rPr>
              <w:instrText xml:space="preserve"> </w:instrText>
            </w:r>
            <w:r>
              <w:rPr>
                <w:rFonts w:hint="eastAsia" w:ascii="宋体" w:hAnsi="宋体" w:cs="宋体"/>
                <w:sz w:val="24"/>
              </w:rPr>
              <w:instrText xml:space="preserve">= 4 \* GB3</w:instrText>
            </w:r>
            <w:r>
              <w:rPr>
                <w:rFonts w:ascii="宋体" w:hAnsi="宋体" w:cs="宋体"/>
                <w:sz w:val="24"/>
              </w:rPr>
              <w:instrText xml:space="preserve"> </w:instrText>
            </w:r>
            <w:r>
              <w:rPr>
                <w:rFonts w:ascii="宋体" w:hAnsi="宋体" w:cs="宋体"/>
                <w:sz w:val="24"/>
              </w:rPr>
              <w:fldChar w:fldCharType="separate"/>
            </w:r>
            <w:r>
              <w:rPr>
                <w:rFonts w:hint="eastAsia" w:ascii="宋体" w:hAnsi="宋体" w:cs="宋体"/>
                <w:sz w:val="24"/>
              </w:rPr>
              <w:t xml:space="preserve">④</w:t>
            </w:r>
            <w:r>
              <w:rPr>
                <w:rFonts w:ascii="宋体" w:hAnsi="宋体" w:cs="宋体"/>
                <w:sz w:val="24"/>
              </w:rPr>
              <w:fldChar w:fldCharType="end"/>
            </w:r>
            <w:r>
              <w:rPr>
                <w:rFonts w:ascii="宋体" w:hAnsi="宋体" w:cs="宋体"/>
                <w:sz w:val="24"/>
              </w:rPr>
              <w:t xml:space="preserve">音视频等各类案件资料及</w:t>
            </w:r>
            <w:r>
              <w:rPr>
                <w:rFonts w:hint="eastAsia" w:ascii="宋体" w:hAnsi="宋体" w:cs="宋体"/>
                <w:sz w:val="24"/>
              </w:rPr>
              <w:t xml:space="preserve">“一案一包”</w:t>
            </w:r>
            <w:r>
              <w:rPr>
                <w:rFonts w:ascii="宋体" w:hAnsi="宋体" w:cs="宋体"/>
                <w:sz w:val="24"/>
              </w:rPr>
              <w:t xml:space="preserve">存储系统设计</w:t>
            </w:r>
            <w:r>
              <w:rPr>
                <w:rFonts w:hint="eastAsia" w:cs="宋体" w:asciiTheme="minorEastAsia" w:hAnsiTheme="minorEastAsia"/>
                <w:sz w:val="24"/>
              </w:rPr>
              <w:t xml:space="preserve">⑤</w:t>
            </w:r>
            <w:r>
              <w:rPr>
                <w:rFonts w:ascii="宋体" w:hAnsi="宋体" w:cs="宋体"/>
                <w:sz w:val="24"/>
              </w:rPr>
              <w:t xml:space="preserve">门禁系统整体改造方案</w:t>
            </w:r>
            <w:r>
              <w:rPr>
                <w:rFonts w:hint="eastAsia" w:ascii="宋体" w:hAnsi="宋体" w:cs="宋体"/>
                <w:sz w:val="24"/>
              </w:rPr>
              <w:t xml:space="preserve">等，方案内容描述全面合理符合采购需求的得5分，每有一项内容缺失的扣1分；每有一项内容存在缺陷或不满足要求的扣0.5分，扣完为止。</w:t>
            </w:r>
            <w:r/>
          </w:p>
          <w:p>
            <w:pPr>
              <w:spacing w:line="400" w:lineRule="exact"/>
              <w:rPr>
                <w:rFonts w:ascii="宋体" w:hAnsi="宋体" w:eastAsia="宋体" w:cs="Times New Roman"/>
                <w:bCs/>
                <w:color w:val="ff0000"/>
                <w:sz w:val="24"/>
                <w:szCs w:val="24"/>
              </w:rPr>
            </w:pPr>
            <w:r>
              <w:rPr>
                <w:rFonts w:hint="eastAsia" w:ascii="宋体" w:hAnsi="宋体" w:cs="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shd w:val="clear" w:color="auto" w:fill="auto"/>
            <w:tcBorders>
              <w:top w:val="single" w:color="auto" w:sz="6" w:space="0"/>
              <w:left w:val="single" w:color="auto" w:sz="6" w:space="0"/>
              <w:bottom w:val="single" w:color="auto" w:sz="6" w:space="0"/>
              <w:right w:val="single" w:color="auto" w:sz="8" w:space="0"/>
            </w:tcBorders>
            <w:tcW w:w="737" w:type="dxa"/>
            <w:vAlign w:val="center"/>
            <w:textDirection w:val="lrTb"/>
            <w:noWrap w:val="false"/>
          </w:tcPr>
          <w:p>
            <w:pPr>
              <w:jc w:val="center"/>
              <w:spacing w:line="400" w:lineRule="exact"/>
              <w:rPr>
                <w:rFonts w:ascii="宋体" w:hAnsi="宋体" w:eastAsia="宋体" w:cs="Times New Roman"/>
                <w:color w:val="ff0000"/>
                <w:sz w:val="24"/>
                <w:szCs w:val="24"/>
              </w:rPr>
            </w:pPr>
            <w:r>
              <w:rPr>
                <w:rFonts w:hint="eastAsia" w:ascii="宋体" w:hAnsi="宋体" w:cs="宋体"/>
                <w:sz w:val="24"/>
              </w:rPr>
              <w:t xml:space="preserve">5</w:t>
            </w:r>
            <w:r/>
          </w:p>
        </w:tc>
      </w:tr>
      <w:tr>
        <w:trPr>
          <w:jc w:val="center"/>
          <w:trHeight w:val="1155"/>
        </w:trPr>
        <w:tc>
          <w:tcPr>
            <w:tcBorders>
              <w:top w:val="single" w:color="auto" w:sz="6" w:space="0"/>
              <w:left w:val="single" w:color="auto" w:sz="8" w:space="0"/>
              <w:bottom w:val="single" w:color="auto" w:sz="6" w:space="0"/>
              <w:right w:val="single" w:color="auto" w:sz="6" w:space="0"/>
            </w:tcBorders>
            <w:tcW w:w="1220" w:type="dxa"/>
            <w:vAlign w:val="center"/>
            <w:vMerge w:val="continue"/>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right w:val="single" w:color="auto" w:sz="6" w:space="0"/>
            </w:tcBorders>
            <w:tcW w:w="727"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2.3</w:t>
            </w:r>
            <w:r/>
          </w:p>
        </w:tc>
        <w:tc>
          <w:tcPr>
            <w:shd w:val="clear" w:color="auto" w:fill="auto"/>
            <w:tcBorders>
              <w:top w:val="single" w:color="auto" w:sz="6" w:space="0"/>
              <w:left w:val="single" w:color="auto" w:sz="6" w:space="0"/>
              <w:right w:val="single" w:color="auto" w:sz="6" w:space="0"/>
            </w:tcBorders>
            <w:tcW w:w="1303"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平台无缝对接方案</w:t>
            </w:r>
            <w:r/>
          </w:p>
        </w:tc>
        <w:tc>
          <w:tcPr>
            <w:shd w:val="clear" w:color="auto" w:fill="auto"/>
            <w:tcBorders>
              <w:top w:val="single" w:color="auto" w:sz="6" w:space="0"/>
              <w:left w:val="single" w:color="auto" w:sz="6" w:space="0"/>
              <w:right w:val="single" w:color="auto" w:sz="6" w:space="0"/>
            </w:tcBorders>
            <w:tcW w:w="5500" w:type="dxa"/>
            <w:vAlign w:val="center"/>
            <w:textDirection w:val="lrTb"/>
            <w:noWrap w:val="false"/>
          </w:tcPr>
          <w:p>
            <w:pPr>
              <w:keepLines/>
              <w:keepNext/>
              <w:spacing w:line="400" w:lineRule="exact"/>
              <w:rPr>
                <w:rFonts w:ascii="宋体" w:hAnsi="宋体" w:cs="宋体"/>
                <w:sz w:val="24"/>
              </w:rPr>
              <w:outlineLvl w:val="3"/>
            </w:pPr>
            <w:r>
              <w:rPr>
                <w:rFonts w:hint="eastAsia" w:ascii="宋体" w:hAnsi="宋体" w:cs="宋体"/>
                <w:sz w:val="24"/>
              </w:rPr>
              <w:t xml:space="preserve">投标人针对本项目所建设内容需与江苏省公安厅及无锡公安、江阴公安的相关业务系统及平台功能无缝对接，提供的系统无缝衔接方案，包括①各级公安现用系统平台的主要功能特点及接入规范与要求②与设备选型相关的各子系统功能及业务对接方案（含入网调试要求等）③业务系统对接相关数据汇聚及推送方案④对接江阴公安现用AI算力基座方案⑤系统平台在实战应用中常见问题与排查方法等，方案内容描述全面合理符合采购需求的得5分，每有一项内容缺失的扣1分；每有一项内容存在缺陷或不满足要求的扣0.5分，扣完为止。</w:t>
            </w:r>
            <w:r/>
          </w:p>
          <w:p>
            <w:pPr>
              <w:spacing w:line="400" w:lineRule="exact"/>
              <w:rPr>
                <w:rFonts w:ascii="宋体" w:hAnsi="宋体" w:cs="宋体"/>
                <w:sz w:val="24"/>
              </w:rPr>
            </w:pPr>
            <w:r>
              <w:rPr>
                <w:rFonts w:hint="eastAsia" w:ascii="宋体" w:hAnsi="宋体" w:cs="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shd w:val="clear" w:color="auto" w:fill="auto"/>
            <w:tcBorders>
              <w:top w:val="single" w:color="auto" w:sz="6" w:space="0"/>
              <w:left w:val="single" w:color="auto" w:sz="6" w:space="0"/>
              <w:bottom w:val="single" w:color="auto" w:sz="6" w:space="0"/>
              <w:right w:val="single" w:color="auto" w:sz="8" w:space="0"/>
            </w:tcBorders>
            <w:tcW w:w="737" w:type="dxa"/>
            <w:vAlign w:val="center"/>
            <w:textDirection w:val="lrTb"/>
            <w:noWrap w:val="false"/>
          </w:tcPr>
          <w:p>
            <w:pPr>
              <w:jc w:val="center"/>
              <w:spacing w:line="400" w:lineRule="exact"/>
              <w:rPr>
                <w:rFonts w:ascii="宋体" w:hAnsi="宋体"/>
                <w:color w:val="ff0000"/>
                <w:sz w:val="24"/>
              </w:rPr>
            </w:pPr>
            <w:r>
              <w:rPr>
                <w:rFonts w:ascii="宋体" w:hAnsi="宋体" w:cs="宋体"/>
                <w:sz w:val="24"/>
              </w:rPr>
              <w:t xml:space="preserve">5</w:t>
            </w:r>
            <w:r/>
          </w:p>
        </w:tc>
      </w:tr>
      <w:tr>
        <w:trPr>
          <w:jc w:val="center"/>
          <w:trHeight w:val="1155"/>
        </w:trPr>
        <w:tc>
          <w:tcPr>
            <w:tcBorders>
              <w:top w:val="single" w:color="auto" w:sz="6" w:space="0"/>
              <w:left w:val="single" w:color="auto" w:sz="8" w:space="0"/>
              <w:bottom w:val="single" w:color="auto" w:sz="6" w:space="0"/>
              <w:right w:val="single" w:color="auto" w:sz="6" w:space="0"/>
            </w:tcBorders>
            <w:tcW w:w="1220" w:type="dxa"/>
            <w:vAlign w:val="center"/>
            <w:vMerge w:val="continue"/>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right w:val="single" w:color="auto" w:sz="6" w:space="0"/>
            </w:tcBorders>
            <w:tcW w:w="727" w:type="dxa"/>
            <w:vAlign w:val="center"/>
            <w:textDirection w:val="lrTb"/>
            <w:noWrap w:val="false"/>
          </w:tcPr>
          <w:p>
            <w:pPr>
              <w:jc w:val="center"/>
              <w:keepLines/>
              <w:keepNext/>
              <w:spacing w:line="400" w:lineRule="exact"/>
              <w:rPr>
                <w:rFonts w:ascii="宋体" w:hAnsi="宋体" w:cs="宋体"/>
                <w:sz w:val="24"/>
              </w:rPr>
              <w:outlineLvl w:val="3"/>
            </w:pPr>
            <w:r>
              <w:rPr>
                <w:rFonts w:hint="eastAsia" w:ascii="宋体" w:hAnsi="宋体" w:cs="宋体"/>
                <w:sz w:val="24"/>
              </w:rPr>
              <w:t xml:space="preserve">2.4</w:t>
            </w:r>
            <w:r/>
          </w:p>
        </w:tc>
        <w:tc>
          <w:tcPr>
            <w:shd w:val="clear" w:color="auto" w:fill="auto"/>
            <w:tcBorders>
              <w:top w:val="single" w:color="auto" w:sz="6" w:space="0"/>
              <w:left w:val="single" w:color="auto" w:sz="6" w:space="0"/>
              <w:right w:val="single" w:color="auto" w:sz="6" w:space="0"/>
            </w:tcBorders>
            <w:tcW w:w="1303" w:type="dxa"/>
            <w:vAlign w:val="center"/>
            <w:textDirection w:val="lrTb"/>
            <w:noWrap w:val="false"/>
          </w:tcPr>
          <w:p>
            <w:pPr>
              <w:jc w:val="center"/>
              <w:keepLines/>
              <w:keepNext/>
              <w:spacing w:line="400" w:lineRule="exact"/>
              <w:rPr>
                <w:rFonts w:ascii="宋体" w:hAnsi="宋体" w:cs="宋体"/>
                <w:sz w:val="24"/>
              </w:rPr>
              <w:outlineLvl w:val="3"/>
            </w:pPr>
            <w:r>
              <w:rPr>
                <w:rFonts w:hint="eastAsia" w:ascii="宋体" w:hAnsi="宋体" w:cs="宋体"/>
                <w:sz w:val="24"/>
              </w:rPr>
              <w:t xml:space="preserve">实施方案</w:t>
            </w:r>
            <w:r/>
          </w:p>
        </w:tc>
        <w:tc>
          <w:tcPr>
            <w:shd w:val="clear" w:color="auto" w:fill="auto"/>
            <w:tcBorders>
              <w:top w:val="single" w:color="auto" w:sz="6" w:space="0"/>
              <w:left w:val="single" w:color="auto" w:sz="6" w:space="0"/>
              <w:right w:val="single" w:color="auto" w:sz="6" w:space="0"/>
            </w:tcBorders>
            <w:tcW w:w="5500" w:type="dxa"/>
            <w:vAlign w:val="center"/>
            <w:textDirection w:val="lrTb"/>
            <w:noWrap w:val="false"/>
          </w:tcPr>
          <w:p>
            <w:pPr>
              <w:keepLines/>
              <w:keepNext/>
              <w:spacing w:line="400" w:lineRule="exact"/>
              <w:rPr>
                <w:rFonts w:ascii="宋体" w:hAnsi="宋体" w:cs="宋体"/>
                <w:sz w:val="24"/>
              </w:rPr>
              <w:outlineLvl w:val="3"/>
            </w:pPr>
            <w:r>
              <w:rPr>
                <w:rFonts w:hint="eastAsia" w:ascii="宋体" w:hAnsi="宋体" w:cs="宋体"/>
                <w:sz w:val="24"/>
              </w:rPr>
              <w:t xml:space="preserve">投标人针对本项目提供</w:t>
            </w:r>
            <w:r>
              <w:rPr>
                <w:rFonts w:ascii="宋体" w:hAnsi="宋体" w:cs="宋体"/>
                <w:sz w:val="24"/>
              </w:rPr>
              <w:t xml:space="preserve">实施方案</w:t>
            </w:r>
            <w:r>
              <w:rPr>
                <w:rFonts w:hint="eastAsia" w:ascii="宋体" w:hAnsi="宋体" w:cs="宋体"/>
                <w:sz w:val="24"/>
              </w:rPr>
              <w:t xml:space="preserve">，包括①项目施工进度管理（含工期、进度计划等）②项目安装调试方案③项目施工质量控制方案④项目验收环节⑤安全文明施工及环保措施等，方案内容描述全面合理符合采购需求的得5分，每有一项内容缺失的扣1分；每有一项内容存在缺陷或不满足要求的扣0.5分，扣完为止。</w:t>
            </w:r>
            <w:r/>
          </w:p>
          <w:p>
            <w:pPr>
              <w:keepLines/>
              <w:keepNext/>
              <w:spacing w:line="400" w:lineRule="exact"/>
              <w:rPr>
                <w:rFonts w:ascii="宋体" w:hAnsi="宋体" w:cs="宋体"/>
                <w:sz w:val="24"/>
              </w:rPr>
              <w:outlineLvl w:val="3"/>
            </w:pPr>
            <w:r>
              <w:rPr>
                <w:rFonts w:hint="eastAsia" w:ascii="宋体" w:hAnsi="宋体" w:cs="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shd w:val="clear" w:color="auto" w:fill="auto"/>
            <w:tcBorders>
              <w:top w:val="single" w:color="auto" w:sz="6" w:space="0"/>
              <w:left w:val="single" w:color="auto" w:sz="6" w:space="0"/>
              <w:bottom w:val="single" w:color="auto" w:sz="6" w:space="0"/>
              <w:right w:val="single" w:color="auto" w:sz="8" w:space="0"/>
            </w:tcBorders>
            <w:tcW w:w="737" w:type="dxa"/>
            <w:vAlign w:val="center"/>
            <w:textDirection w:val="lrTb"/>
            <w:noWrap w:val="false"/>
          </w:tcPr>
          <w:p>
            <w:pPr>
              <w:jc w:val="center"/>
              <w:spacing w:line="400" w:lineRule="exact"/>
              <w:rPr>
                <w:rFonts w:ascii="宋体" w:hAnsi="宋体" w:cs="宋体"/>
                <w:color w:val="ff0000"/>
                <w:sz w:val="24"/>
              </w:rPr>
            </w:pPr>
            <w:r>
              <w:rPr>
                <w:rFonts w:hint="eastAsia" w:ascii="宋体" w:hAnsi="宋体" w:cs="宋体"/>
                <w:sz w:val="24"/>
              </w:rPr>
              <w:t xml:space="preserve">5</w:t>
            </w:r>
            <w:r/>
          </w:p>
        </w:tc>
      </w:tr>
      <w:tr>
        <w:trPr>
          <w:jc w:val="center"/>
          <w:trHeight w:val="20"/>
        </w:trPr>
        <w:tc>
          <w:tcPr>
            <w:tcBorders>
              <w:top w:val="single" w:color="auto" w:sz="6" w:space="0"/>
              <w:left w:val="single" w:color="auto" w:sz="8" w:space="0"/>
              <w:bottom w:val="single" w:color="auto" w:sz="6" w:space="0"/>
              <w:right w:val="single" w:color="auto" w:sz="6" w:space="0"/>
            </w:tcBorders>
            <w:tcW w:w="1220" w:type="dxa"/>
            <w:vAlign w:val="center"/>
            <w:vMerge w:val="continue"/>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72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2.5</w:t>
            </w:r>
            <w:r/>
          </w:p>
        </w:tc>
        <w:tc>
          <w:tcPr>
            <w:shd w:val="clear" w:color="auto" w:fill="auto"/>
            <w:tcBorders>
              <w:top w:val="single" w:color="auto" w:sz="6" w:space="0"/>
              <w:left w:val="single" w:color="auto" w:sz="6" w:space="0"/>
              <w:bottom w:val="single" w:color="auto" w:sz="6" w:space="0"/>
              <w:right w:val="single" w:color="auto" w:sz="6" w:space="0"/>
            </w:tcBorders>
            <w:tcW w:w="1303"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培训方案</w:t>
            </w:r>
            <w:r/>
          </w:p>
        </w:tc>
        <w:tc>
          <w:tcPr>
            <w:shd w:val="clear" w:color="auto" w:fill="auto"/>
            <w:tcBorders>
              <w:top w:val="single" w:color="auto" w:sz="6" w:space="0"/>
              <w:left w:val="single" w:color="auto" w:sz="6" w:space="0"/>
              <w:bottom w:val="single" w:color="auto" w:sz="6" w:space="0"/>
              <w:right w:val="single" w:color="auto" w:sz="6" w:space="0"/>
            </w:tcBorders>
            <w:tcW w:w="5500" w:type="dxa"/>
            <w:vAlign w:val="center"/>
            <w:textDirection w:val="lrTb"/>
            <w:noWrap w:val="false"/>
          </w:tcPr>
          <w:p>
            <w:pPr>
              <w:keepLines/>
              <w:keepNext/>
              <w:spacing w:line="400" w:lineRule="exact"/>
              <w:rPr>
                <w:rFonts w:ascii="宋体" w:hAnsi="宋体" w:cs="宋体"/>
                <w:sz w:val="24"/>
              </w:rPr>
              <w:outlineLvl w:val="3"/>
            </w:pPr>
            <w:r>
              <w:rPr>
                <w:rFonts w:hint="eastAsia" w:ascii="宋体" w:hAnsi="宋体" w:cs="宋体"/>
                <w:sz w:val="24"/>
              </w:rPr>
              <w:t xml:space="preserve">投标人针对本项目提供培训方案，包括①培训计划（含详细课程安排、授课师资配备、时间地点等）②培训组织形式与目标要求③培训内容（含电子版培训资料及讲义等），方案内容描述全面合理符合采购需求的得3分，每有一项内容缺失的扣1分；每有一项内容存在缺陷或不满足要求的扣0.5分，扣完为止。</w:t>
            </w:r>
            <w:r/>
          </w:p>
          <w:p>
            <w:pPr>
              <w:keepLines/>
              <w:keepNext/>
              <w:spacing w:line="400" w:lineRule="exact"/>
              <w:rPr>
                <w:rFonts w:ascii="宋体" w:hAnsi="宋体" w:eastAsia="宋体" w:cs="Times New Roman"/>
                <w:color w:val="ff0000"/>
                <w:sz w:val="24"/>
                <w:szCs w:val="24"/>
              </w:rPr>
              <w:outlineLvl w:val="3"/>
            </w:pPr>
            <w:r>
              <w:rPr>
                <w:rFonts w:hint="eastAsia" w:ascii="宋体" w:hAnsi="宋体" w:cs="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shd w:val="clear" w:color="auto" w:fill="auto"/>
            <w:tcBorders>
              <w:top w:val="single" w:color="auto" w:sz="6" w:space="0"/>
              <w:left w:val="single" w:color="auto" w:sz="6" w:space="0"/>
              <w:bottom w:val="single" w:color="auto" w:sz="6" w:space="0"/>
              <w:right w:val="single" w:color="auto" w:sz="8" w:space="0"/>
            </w:tcBorders>
            <w:tcW w:w="737" w:type="dxa"/>
            <w:vAlign w:val="center"/>
            <w:textDirection w:val="lrTb"/>
            <w:noWrap w:val="false"/>
          </w:tcPr>
          <w:p>
            <w:pPr>
              <w:jc w:val="center"/>
              <w:spacing w:line="400" w:lineRule="exact"/>
              <w:rPr>
                <w:rFonts w:ascii="宋体" w:hAnsi="宋体" w:eastAsia="宋体" w:cs="Times New Roman"/>
                <w:color w:val="ff0000"/>
                <w:sz w:val="24"/>
                <w:szCs w:val="24"/>
              </w:rPr>
            </w:pPr>
            <w:r>
              <w:rPr>
                <w:rFonts w:hint="eastAsia" w:ascii="宋体" w:hAnsi="宋体" w:eastAsia="宋体" w:cs="Times New Roman"/>
                <w:sz w:val="24"/>
                <w:szCs w:val="24"/>
              </w:rPr>
              <w:t xml:space="preserve">3</w:t>
            </w:r>
            <w:r/>
          </w:p>
        </w:tc>
      </w:tr>
      <w:tr>
        <w:trPr>
          <w:jc w:val="center"/>
          <w:trHeight w:val="20"/>
        </w:trPr>
        <w:tc>
          <w:tcPr>
            <w:tcBorders>
              <w:top w:val="single" w:color="auto" w:sz="6" w:space="0"/>
              <w:left w:val="single" w:color="auto" w:sz="8" w:space="0"/>
              <w:bottom w:val="single" w:color="auto" w:sz="6" w:space="0"/>
              <w:right w:val="single" w:color="auto" w:sz="6" w:space="0"/>
            </w:tcBorders>
            <w:tcW w:w="1220" w:type="dxa"/>
            <w:vAlign w:val="center"/>
            <w:vMerge w:val="continue"/>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4" w:space="0"/>
              <w:right w:val="single" w:color="auto" w:sz="6" w:space="0"/>
            </w:tcBorders>
            <w:tcW w:w="72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2.6</w:t>
            </w:r>
            <w:r/>
          </w:p>
        </w:tc>
        <w:tc>
          <w:tcPr>
            <w:shd w:val="clear" w:color="auto" w:fill="auto"/>
            <w:tcBorders>
              <w:top w:val="single" w:color="auto" w:sz="6" w:space="0"/>
              <w:left w:val="single" w:color="auto" w:sz="6" w:space="0"/>
              <w:bottom w:val="single" w:color="auto" w:sz="4" w:space="0"/>
              <w:right w:val="single" w:color="auto" w:sz="6" w:space="0"/>
            </w:tcBorders>
            <w:tcW w:w="1303"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日常养护和故障抢修方案</w:t>
            </w:r>
            <w:r/>
          </w:p>
        </w:tc>
        <w:tc>
          <w:tcPr>
            <w:shd w:val="clear" w:color="auto" w:fill="auto"/>
            <w:tcBorders>
              <w:top w:val="single" w:color="auto" w:sz="6" w:space="0"/>
              <w:left w:val="single" w:color="auto" w:sz="6" w:space="0"/>
              <w:bottom w:val="single" w:color="auto" w:sz="4" w:space="0"/>
              <w:right w:val="single" w:color="auto" w:sz="6" w:space="0"/>
            </w:tcBorders>
            <w:tcW w:w="5500" w:type="dxa"/>
            <w:vAlign w:val="center"/>
            <w:textDirection w:val="lrTb"/>
            <w:noWrap w:val="false"/>
          </w:tcPr>
          <w:p>
            <w:pPr>
              <w:keepLines/>
              <w:keepNext/>
              <w:spacing w:line="400" w:lineRule="exact"/>
              <w:rPr>
                <w:rFonts w:ascii="宋体" w:hAnsi="宋体" w:cs="宋体"/>
                <w:sz w:val="24"/>
              </w:rPr>
              <w:outlineLvl w:val="3"/>
            </w:pPr>
            <w:r>
              <w:rPr>
                <w:rFonts w:hint="eastAsia" w:ascii="宋体" w:hAnsi="宋体" w:cs="宋体"/>
                <w:sz w:val="24"/>
              </w:rPr>
              <w:t xml:space="preserve">投标人针对本项目提供日常养护和故障抢修方案，包括①日常养护与故障抢修计划管理及实施保证②日常养护与故障抢修技术保障及质量管理③日常养护与故障抢修运维档案及备品备件管理，方案内容描述全面合理符合采购需求的得3分，每有一项内容缺失的扣1分；每有一项内容存在缺陷或不满足要求的扣0.5分，扣完为止。</w:t>
            </w:r>
            <w:r/>
          </w:p>
          <w:p>
            <w:pPr>
              <w:keepLines/>
              <w:keepNext/>
              <w:spacing w:line="400" w:lineRule="exact"/>
              <w:rPr>
                <w:rFonts w:ascii="宋体" w:hAnsi="宋体" w:eastAsia="宋体" w:cs="Times New Roman"/>
                <w:color w:val="ff0000"/>
                <w:sz w:val="24"/>
                <w:szCs w:val="24"/>
              </w:rPr>
              <w:outlineLvl w:val="3"/>
            </w:pPr>
            <w:r>
              <w:rPr>
                <w:rFonts w:hint="eastAsia" w:ascii="宋体" w:hAnsi="宋体" w:cs="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shd w:val="clear" w:color="auto" w:fill="auto"/>
            <w:tcBorders>
              <w:top w:val="single" w:color="auto" w:sz="6" w:space="0"/>
              <w:left w:val="single" w:color="auto" w:sz="6" w:space="0"/>
              <w:bottom w:val="single" w:color="auto" w:sz="6" w:space="0"/>
              <w:right w:val="single" w:color="auto" w:sz="8" w:space="0"/>
            </w:tcBorders>
            <w:tcW w:w="737" w:type="dxa"/>
            <w:vAlign w:val="center"/>
            <w:textDirection w:val="lrTb"/>
            <w:noWrap w:val="false"/>
          </w:tcPr>
          <w:p>
            <w:pPr>
              <w:jc w:val="center"/>
              <w:spacing w:line="400" w:lineRule="exact"/>
              <w:rPr>
                <w:rFonts w:ascii="宋体" w:hAnsi="宋体" w:eastAsia="宋体" w:cs="Times New Roman"/>
                <w:color w:val="ff0000"/>
                <w:sz w:val="24"/>
                <w:szCs w:val="24"/>
              </w:rPr>
            </w:pPr>
            <w:r>
              <w:rPr>
                <w:rFonts w:hint="eastAsia" w:ascii="宋体" w:hAnsi="宋体" w:eastAsia="宋体" w:cs="Times New Roman"/>
                <w:sz w:val="24"/>
                <w:szCs w:val="24"/>
              </w:rPr>
              <w:t xml:space="preserve">3</w:t>
            </w:r>
            <w:r/>
          </w:p>
        </w:tc>
      </w:tr>
      <w:tr>
        <w:trPr>
          <w:jc w:val="center"/>
          <w:trHeight w:val="20"/>
        </w:trPr>
        <w:tc>
          <w:tcPr>
            <w:tcBorders>
              <w:top w:val="single" w:color="auto" w:sz="6" w:space="0"/>
              <w:left w:val="single" w:color="auto" w:sz="8" w:space="0"/>
              <w:bottom w:val="single" w:color="auto" w:sz="6" w:space="0"/>
              <w:right w:val="single" w:color="auto" w:sz="6" w:space="0"/>
            </w:tcBorders>
            <w:tcW w:w="1220" w:type="dxa"/>
            <w:vAlign w:val="center"/>
            <w:vMerge w:val="continue"/>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4" w:space="0"/>
              <w:right w:val="single" w:color="auto" w:sz="6" w:space="0"/>
            </w:tcBorders>
            <w:tcW w:w="72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2.7</w:t>
            </w:r>
            <w:r/>
          </w:p>
        </w:tc>
        <w:tc>
          <w:tcPr>
            <w:shd w:val="clear" w:color="auto" w:fill="auto"/>
            <w:tcBorders>
              <w:top w:val="single" w:color="auto" w:sz="6" w:space="0"/>
              <w:left w:val="single" w:color="auto" w:sz="6" w:space="0"/>
              <w:bottom w:val="single" w:color="auto" w:sz="4" w:space="0"/>
              <w:right w:val="single" w:color="auto" w:sz="6" w:space="0"/>
            </w:tcBorders>
            <w:tcW w:w="1303"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售后服务方案</w:t>
            </w:r>
            <w:r/>
          </w:p>
        </w:tc>
        <w:tc>
          <w:tcPr>
            <w:shd w:val="clear" w:color="auto" w:fill="auto"/>
            <w:tcBorders>
              <w:top w:val="single" w:color="auto" w:sz="6" w:space="0"/>
              <w:left w:val="single" w:color="auto" w:sz="6" w:space="0"/>
              <w:bottom w:val="single" w:color="auto" w:sz="4" w:space="0"/>
              <w:right w:val="single" w:color="auto" w:sz="6" w:space="0"/>
            </w:tcBorders>
            <w:tcW w:w="5500" w:type="dxa"/>
            <w:vAlign w:val="center"/>
            <w:textDirection w:val="lrTb"/>
            <w:noWrap w:val="false"/>
          </w:tcPr>
          <w:p>
            <w:pPr>
              <w:keepLines/>
              <w:keepNext/>
              <w:spacing w:line="400" w:lineRule="exact"/>
              <w:rPr>
                <w:rFonts w:ascii="宋体" w:hAnsi="宋体" w:cs="宋体"/>
                <w:sz w:val="24"/>
              </w:rPr>
              <w:outlineLvl w:val="3"/>
            </w:pPr>
            <w:r>
              <w:rPr>
                <w:rFonts w:hint="eastAsia" w:ascii="宋体" w:hAnsi="宋体" w:cs="宋体"/>
                <w:sz w:val="24"/>
              </w:rPr>
              <w:t xml:space="preserve">投标人针对本项目提供售后服务机构和人员情况</w:t>
            </w:r>
            <w:r>
              <w:rPr>
                <w:rFonts w:ascii="宋体" w:hAnsi="宋体" w:cs="宋体"/>
                <w:sz w:val="24"/>
              </w:rPr>
              <w:t xml:space="preserve">方案</w:t>
            </w:r>
            <w:r>
              <w:rPr>
                <w:rFonts w:hint="eastAsia" w:ascii="宋体" w:hAnsi="宋体" w:cs="宋体"/>
                <w:sz w:val="24"/>
              </w:rPr>
              <w:t xml:space="preserve">，包括①</w:t>
            </w:r>
            <w:r>
              <w:rPr>
                <w:rFonts w:ascii="宋体" w:hAnsi="宋体" w:eastAsia="宋体" w:cs="Times New Roman"/>
                <w:sz w:val="24"/>
                <w:szCs w:val="24"/>
              </w:rPr>
              <w:t xml:space="preserve">售后</w:t>
            </w:r>
            <w:r>
              <w:rPr>
                <w:rFonts w:hint="eastAsia" w:ascii="宋体" w:hAnsi="宋体" w:eastAsia="宋体" w:cs="Times New Roman"/>
                <w:sz w:val="24"/>
                <w:szCs w:val="24"/>
              </w:rPr>
              <w:t xml:space="preserve">服务体系</w:t>
            </w:r>
            <w:r>
              <w:rPr>
                <w:rFonts w:hint="eastAsia" w:ascii="宋体" w:hAnsi="宋体" w:cs="宋体"/>
                <w:sz w:val="24"/>
              </w:rPr>
              <w:t xml:space="preserve">②</w:t>
            </w:r>
            <w:r>
              <w:rPr>
                <w:rFonts w:ascii="宋体" w:hAnsi="宋体" w:eastAsia="宋体" w:cs="Times New Roman"/>
                <w:sz w:val="24"/>
                <w:szCs w:val="24"/>
              </w:rPr>
              <w:t xml:space="preserve">售后服务保障措施</w:t>
            </w:r>
            <w:r>
              <w:rPr>
                <w:rFonts w:hint="eastAsia" w:ascii="宋体" w:hAnsi="宋体" w:cs="宋体"/>
                <w:sz w:val="24"/>
              </w:rPr>
              <w:t xml:space="preserve">③</w:t>
            </w:r>
            <w:r>
              <w:rPr>
                <w:rFonts w:hint="eastAsia" w:ascii="宋体" w:hAnsi="宋体" w:eastAsia="宋体" w:cs="Times New Roman"/>
                <w:sz w:val="24"/>
                <w:szCs w:val="24"/>
              </w:rPr>
              <w:t xml:space="preserve">项目应急预案</w:t>
            </w:r>
            <w:r>
              <w:rPr>
                <w:rFonts w:hint="eastAsia" w:ascii="宋体" w:hAnsi="宋体" w:eastAsia="宋体"/>
                <w:sz w:val="24"/>
                <w:szCs w:val="24"/>
              </w:rPr>
              <w:t xml:space="preserve">，</w:t>
            </w:r>
            <w:r>
              <w:rPr>
                <w:rFonts w:hint="eastAsia" w:ascii="宋体" w:hAnsi="宋体" w:cs="宋体"/>
                <w:sz w:val="24"/>
              </w:rPr>
              <w:t xml:space="preserve">方案内容描述全面合理符合采购需求的得3</w:t>
            </w:r>
            <w:r>
              <w:rPr>
                <w:rFonts w:hint="eastAsia" w:ascii="宋体" w:hAnsi="宋体" w:cs="宋体"/>
                <w:sz w:val="24"/>
                <w:lang w:eastAsia="zh-CN"/>
              </w:rPr>
              <w:t xml:space="preserve">分</w:t>
            </w:r>
            <w:r>
              <w:rPr>
                <w:rFonts w:hint="eastAsia" w:ascii="宋体" w:hAnsi="宋体" w:cs="宋体"/>
                <w:sz w:val="24"/>
              </w:rPr>
              <w:t xml:space="preserve">，每有一项内容缺失的扣1分；每有一项内容存在缺陷或不满足要求的扣0.5分，扣完为止。</w:t>
            </w:r>
            <w:r/>
          </w:p>
          <w:p>
            <w:pPr>
              <w:keepLines/>
              <w:keepNext/>
              <w:spacing w:line="400" w:lineRule="exact"/>
              <w:rPr>
                <w:rFonts w:ascii="宋体" w:hAnsi="宋体"/>
                <w:color w:val="ff0000"/>
                <w:sz w:val="24"/>
              </w:rPr>
              <w:outlineLvl w:val="3"/>
            </w:pPr>
            <w:r>
              <w:rPr>
                <w:rFonts w:hint="eastAsia" w:ascii="宋体" w:hAnsi="宋体" w:cs="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shd w:val="clear" w:color="auto" w:fill="auto"/>
            <w:tcBorders>
              <w:top w:val="single" w:color="auto" w:sz="6" w:space="0"/>
              <w:left w:val="single" w:color="auto" w:sz="6" w:space="0"/>
              <w:bottom w:val="single" w:color="auto" w:sz="6" w:space="0"/>
              <w:right w:val="single" w:color="auto" w:sz="8" w:space="0"/>
            </w:tcBorders>
            <w:tcW w:w="737" w:type="dxa"/>
            <w:vAlign w:val="center"/>
            <w:textDirection w:val="lrTb"/>
            <w:noWrap w:val="false"/>
          </w:tcPr>
          <w:p>
            <w:pPr>
              <w:jc w:val="center"/>
              <w:spacing w:line="400" w:lineRule="exact"/>
              <w:rPr>
                <w:rFonts w:ascii="宋体" w:hAnsi="宋体" w:eastAsia="宋体" w:cs="Times New Roman"/>
                <w:color w:val="ff0000"/>
                <w:sz w:val="24"/>
                <w:szCs w:val="24"/>
              </w:rPr>
            </w:pPr>
            <w:r>
              <w:rPr>
                <w:rFonts w:hint="eastAsia" w:ascii="宋体" w:hAnsi="宋体" w:eastAsia="宋体" w:cs="Times New Roman"/>
                <w:sz w:val="24"/>
                <w:szCs w:val="24"/>
              </w:rPr>
              <w:t xml:space="preserve">3</w:t>
            </w:r>
            <w:r/>
          </w:p>
        </w:tc>
      </w:tr>
      <w:tr>
        <w:trPr>
          <w:jc w:val="center"/>
          <w:trHeight w:val="20"/>
        </w:trPr>
        <w:tc>
          <w:tcPr>
            <w:tcBorders>
              <w:top w:val="single" w:color="auto" w:sz="6" w:space="0"/>
              <w:left w:val="single" w:color="auto" w:sz="8" w:space="0"/>
              <w:bottom w:val="single" w:color="auto" w:sz="6" w:space="0"/>
              <w:right w:val="single" w:color="auto" w:sz="6" w:space="0"/>
            </w:tcBorders>
            <w:tcW w:w="1220" w:type="dxa"/>
            <w:vAlign w:val="center"/>
            <w:vMerge w:val="continue"/>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4" w:space="0"/>
              <w:right w:val="single" w:color="auto" w:sz="6" w:space="0"/>
            </w:tcBorders>
            <w:tcW w:w="72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2.8</w:t>
            </w:r>
            <w:r/>
          </w:p>
        </w:tc>
        <w:tc>
          <w:tcPr>
            <w:shd w:val="clear" w:color="auto" w:fill="auto"/>
            <w:tcBorders>
              <w:top w:val="single" w:color="auto" w:sz="6" w:space="0"/>
              <w:left w:val="single" w:color="auto" w:sz="6" w:space="0"/>
              <w:bottom w:val="single" w:color="auto" w:sz="4" w:space="0"/>
              <w:right w:val="single" w:color="auto" w:sz="6" w:space="0"/>
            </w:tcBorders>
            <w:tcW w:w="1303"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保修期后服务承诺</w:t>
            </w:r>
            <w:r/>
          </w:p>
        </w:tc>
        <w:tc>
          <w:tcPr>
            <w:shd w:val="clear" w:color="auto" w:fill="auto"/>
            <w:tcBorders>
              <w:top w:val="single" w:color="auto" w:sz="6" w:space="0"/>
              <w:left w:val="single" w:color="auto" w:sz="6" w:space="0"/>
              <w:bottom w:val="single" w:color="auto" w:sz="4" w:space="0"/>
              <w:right w:val="single" w:color="auto" w:sz="6" w:space="0"/>
            </w:tcBorders>
            <w:tcW w:w="5500" w:type="dxa"/>
            <w:vAlign w:val="center"/>
            <w:textDirection w:val="lrTb"/>
            <w:noWrap w:val="false"/>
          </w:tcPr>
          <w:p>
            <w:pPr>
              <w:keepLines/>
              <w:keepNext/>
              <w:spacing w:line="400" w:lineRule="exact"/>
              <w:rPr>
                <w:rFonts w:ascii="宋体" w:hAnsi="宋体" w:cs="宋体"/>
                <w:sz w:val="24"/>
              </w:rPr>
              <w:outlineLvl w:val="3"/>
            </w:pPr>
            <w:r>
              <w:rPr>
                <w:rFonts w:hint="eastAsia" w:ascii="宋体" w:hAnsi="宋体" w:cs="宋体"/>
                <w:sz w:val="24"/>
              </w:rPr>
              <w:t xml:space="preserve">投标人针对本项目提供保修期后服务承诺和计划</w:t>
            </w:r>
            <w:r>
              <w:rPr>
                <w:rFonts w:ascii="宋体" w:hAnsi="宋体" w:cs="宋体"/>
                <w:sz w:val="24"/>
              </w:rPr>
              <w:t xml:space="preserve">方案</w:t>
            </w:r>
            <w:r>
              <w:rPr>
                <w:rFonts w:hint="eastAsia" w:ascii="宋体" w:hAnsi="宋体" w:cs="宋体"/>
                <w:sz w:val="24"/>
              </w:rPr>
              <w:t xml:space="preserve">，包括①保修期满后提供服务内容②保修期满后服务收费标准③保修期满后服务相关承诺，方案内容描述全面合理符合采购需求的得3分，每有一项内容缺失的扣1分；每有一项内容存在缺陷或不满足要求的扣0.5分，扣完为止。</w:t>
            </w:r>
            <w:r/>
          </w:p>
          <w:p>
            <w:pPr>
              <w:keepLines/>
              <w:keepNext/>
              <w:spacing w:line="400" w:lineRule="exact"/>
              <w:rPr>
                <w:rFonts w:ascii="宋体" w:hAnsi="宋体"/>
                <w:color w:val="ff0000"/>
                <w:sz w:val="24"/>
              </w:rPr>
              <w:outlineLvl w:val="3"/>
            </w:pPr>
            <w:r>
              <w:rPr>
                <w:rFonts w:hint="eastAsia" w:ascii="宋体" w:hAnsi="宋体" w:cs="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shd w:val="clear" w:color="auto" w:fill="auto"/>
            <w:tcBorders>
              <w:top w:val="single" w:color="auto" w:sz="6" w:space="0"/>
              <w:left w:val="single" w:color="auto" w:sz="6" w:space="0"/>
              <w:bottom w:val="single" w:color="auto" w:sz="6" w:space="0"/>
              <w:right w:val="single" w:color="auto" w:sz="8" w:space="0"/>
            </w:tcBorders>
            <w:tcW w:w="737" w:type="dxa"/>
            <w:vAlign w:val="center"/>
            <w:textDirection w:val="lrTb"/>
            <w:noWrap w:val="false"/>
          </w:tcPr>
          <w:p>
            <w:pPr>
              <w:jc w:val="center"/>
              <w:spacing w:line="400" w:lineRule="exact"/>
              <w:rPr>
                <w:rFonts w:ascii="宋体" w:hAnsi="宋体" w:eastAsia="宋体" w:cs="Times New Roman"/>
                <w:color w:val="ff0000"/>
                <w:sz w:val="24"/>
                <w:szCs w:val="24"/>
              </w:rPr>
            </w:pPr>
            <w:r>
              <w:rPr>
                <w:rFonts w:hint="eastAsia" w:ascii="宋体" w:hAnsi="宋体" w:eastAsia="宋体" w:cs="Times New Roman"/>
                <w:sz w:val="24"/>
                <w:szCs w:val="24"/>
              </w:rPr>
              <w:t xml:space="preserve">3</w:t>
            </w:r>
            <w:r/>
          </w:p>
        </w:tc>
      </w:tr>
      <w:tr>
        <w:trPr>
          <w:jc w:val="center"/>
          <w:trHeight w:val="20"/>
        </w:trPr>
        <w:tc>
          <w:tcPr>
            <w:tcBorders>
              <w:top w:val="single" w:color="auto" w:sz="6" w:space="0"/>
              <w:left w:val="single" w:color="auto" w:sz="8" w:space="0"/>
              <w:right w:val="single" w:color="auto" w:sz="6" w:space="0"/>
            </w:tcBorders>
            <w:tcW w:w="1220" w:type="dxa"/>
            <w:vAlign w:val="center"/>
            <w:vMerge w:val="restart"/>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三、商务部分</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（15分）</w:t>
            </w:r>
            <w:r/>
          </w:p>
        </w:tc>
        <w:tc>
          <w:tcPr>
            <w:tcBorders>
              <w:top w:val="single" w:color="auto" w:sz="6" w:space="0"/>
              <w:left w:val="single" w:color="auto" w:sz="6" w:space="0"/>
              <w:bottom w:val="single" w:color="auto" w:sz="6" w:space="0"/>
              <w:right w:val="single" w:color="auto" w:sz="6" w:space="0"/>
            </w:tcBorders>
            <w:tcW w:w="72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3.1</w:t>
            </w:r>
            <w:r/>
          </w:p>
        </w:tc>
        <w:tc>
          <w:tcPr>
            <w:tcBorders>
              <w:top w:val="single" w:color="auto" w:sz="6" w:space="0"/>
              <w:left w:val="single" w:color="auto" w:sz="6" w:space="0"/>
              <w:bottom w:val="single" w:color="auto" w:sz="6" w:space="0"/>
              <w:right w:val="single" w:color="auto" w:sz="6" w:space="0"/>
            </w:tcBorders>
            <w:tcW w:w="1303" w:type="dxa"/>
            <w:vAlign w:val="center"/>
            <w:textDirection w:val="lrTb"/>
            <w:noWrap w:val="false"/>
          </w:tcPr>
          <w:p>
            <w:pPr>
              <w:jc w:val="left"/>
              <w:spacing w:line="400" w:lineRule="exact"/>
              <w:rPr>
                <w:rFonts w:ascii="宋体" w:hAnsi="宋体"/>
                <w:color w:val="000000"/>
                <w:sz w:val="24"/>
                <w:szCs w:val="24"/>
              </w:rPr>
            </w:pPr>
            <w:r>
              <w:rPr>
                <w:rFonts w:hint="eastAsia" w:ascii="宋体" w:hAnsi="宋体"/>
                <w:color w:val="000000"/>
                <w:sz w:val="24"/>
                <w:szCs w:val="24"/>
              </w:rPr>
              <w:t xml:space="preserve">综合实力</w:t>
            </w:r>
            <w:r/>
          </w:p>
        </w:tc>
        <w:tc>
          <w:tcPr>
            <w:tcBorders>
              <w:top w:val="single" w:color="auto" w:sz="6" w:space="0"/>
              <w:left w:val="single" w:color="auto" w:sz="6" w:space="0"/>
              <w:bottom w:val="single" w:color="auto" w:sz="6" w:space="0"/>
              <w:right w:val="single" w:color="auto" w:sz="6" w:space="0"/>
            </w:tcBorders>
            <w:tcW w:w="5500" w:type="dxa"/>
            <w:vAlign w:val="center"/>
            <w:textDirection w:val="lrTb"/>
            <w:noWrap w:val="false"/>
          </w:tcPr>
          <w:p>
            <w:pPr>
              <w:keepLines/>
              <w:keepNext/>
              <w:spacing w:line="400" w:lineRule="exact"/>
              <w:rPr>
                <w:rFonts w:ascii="宋体" w:hAnsi="宋体"/>
                <w:sz w:val="24"/>
                <w:szCs w:val="24"/>
              </w:rPr>
              <w:outlineLvl w:val="3"/>
            </w:pPr>
            <w:r>
              <w:rPr>
                <w:rFonts w:hint="eastAsia" w:ascii="宋体" w:hAnsi="宋体"/>
                <w:sz w:val="24"/>
                <w:szCs w:val="24"/>
              </w:rPr>
              <w:t xml:space="preserve">①投标人具有有效期内的电子与智能化工程专业承包资质的，得2分；</w:t>
            </w:r>
            <w:r/>
          </w:p>
          <w:p>
            <w:pPr>
              <w:keepLines/>
              <w:keepNext/>
              <w:spacing w:line="400" w:lineRule="exact"/>
              <w:rPr>
                <w:rFonts w:ascii="宋体" w:hAnsi="宋体"/>
                <w:sz w:val="24"/>
                <w:szCs w:val="24"/>
              </w:rPr>
              <w:outlineLvl w:val="3"/>
            </w:pPr>
            <w:r>
              <w:rPr>
                <w:rFonts w:hint="eastAsia" w:ascii="宋体" w:hAnsi="宋体"/>
                <w:sz w:val="24"/>
                <w:szCs w:val="24"/>
              </w:rPr>
              <w:t xml:space="preserve">②投标人具有有效期内的ITSS信息技术服务标准符合性证书</w:t>
            </w:r>
            <w:r>
              <w:rPr>
                <w:rFonts w:hint="eastAsia" w:ascii="宋体" w:hAnsi="宋体"/>
                <w:sz w:val="24"/>
                <w:szCs w:val="24"/>
                <w:lang w:eastAsia="zh-CN"/>
              </w:rPr>
              <w:t xml:space="preserve">（智能运维）</w:t>
            </w:r>
            <w:r>
              <w:rPr>
                <w:rFonts w:hint="eastAsia" w:ascii="宋体" w:hAnsi="宋体"/>
                <w:sz w:val="24"/>
                <w:szCs w:val="24"/>
              </w:rPr>
              <w:t xml:space="preserve">的，得2分；</w:t>
            </w:r>
            <w:r/>
          </w:p>
          <w:p>
            <w:pPr>
              <w:pStyle w:val="874"/>
              <w:ind w:left="0"/>
              <w:spacing w:after="0" w:line="400" w:lineRule="exact"/>
            </w:pPr>
            <w:r>
              <w:rPr>
                <w:rFonts w:hint="eastAsia" w:ascii="宋体" w:hAnsi="宋体"/>
                <w:sz w:val="24"/>
                <w:szCs w:val="24"/>
              </w:rPr>
              <w:t xml:space="preserve">③投标人具有有效期内的数据安全服务能力评定资格证书的，得2分。</w:t>
            </w:r>
            <w:r>
              <w:rPr>
                <w:rFonts w:hint="eastAsia" w:ascii="宋体" w:hAnsi="宋体" w:cs="宋体"/>
                <w:b/>
                <w:sz w:val="24"/>
              </w:rPr>
              <w:t xml:space="preserve">（须提供证书扫描件）</w:t>
            </w:r>
            <w:r/>
          </w:p>
        </w:tc>
        <w:tc>
          <w:tcPr>
            <w:tcBorders>
              <w:top w:val="single" w:color="auto" w:sz="6" w:space="0"/>
              <w:left w:val="single" w:color="auto" w:sz="6" w:space="0"/>
              <w:bottom w:val="single" w:color="auto" w:sz="6" w:space="0"/>
              <w:right w:val="single" w:color="auto" w:sz="8" w:space="0"/>
            </w:tcBorders>
            <w:tcW w:w="737" w:type="dxa"/>
            <w:vAlign w:val="center"/>
            <w:textDirection w:val="lrTb"/>
            <w:noWrap w:val="false"/>
          </w:tcPr>
          <w:p>
            <w:pPr>
              <w:ind w:firstLine="600"/>
              <w:jc w:val="center"/>
              <w:spacing w:line="400" w:lineRule="exact"/>
              <w:rPr>
                <w:rFonts w:ascii="宋体" w:hAnsi="宋体"/>
                <w:sz w:val="24"/>
                <w:szCs w:val="24"/>
              </w:rPr>
            </w:pPr>
            <w:r>
              <w:rPr>
                <w:rFonts w:hint="eastAsia" w:ascii="宋体" w:hAnsi="宋体"/>
                <w:sz w:val="24"/>
                <w:szCs w:val="24"/>
              </w:rPr>
              <w:t xml:space="preserve">1</w:t>
            </w:r>
            <w:r>
              <w:rPr>
                <w:rFonts w:hint="eastAsia" w:ascii="宋体" w:hAnsi="宋体" w:eastAsia="宋体" w:cs="Times New Roman"/>
                <w:sz w:val="24"/>
                <w:szCs w:val="24"/>
              </w:rPr>
              <w:t xml:space="preserve">6</w:t>
            </w:r>
            <w:r/>
          </w:p>
        </w:tc>
      </w:tr>
      <w:tr>
        <w:trPr>
          <w:jc w:val="center"/>
          <w:trHeight w:val="20"/>
        </w:trPr>
        <w:tc>
          <w:tcPr>
            <w:tcBorders>
              <w:top w:val="single" w:color="auto" w:sz="6" w:space="0"/>
              <w:left w:val="single" w:color="auto" w:sz="8" w:space="0"/>
              <w:right w:val="single" w:color="auto" w:sz="6" w:space="0"/>
            </w:tcBorders>
            <w:tcW w:w="1220" w:type="dxa"/>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Borders>
              <w:top w:val="single" w:color="auto" w:sz="6" w:space="0"/>
              <w:left w:val="single" w:color="auto" w:sz="6" w:space="0"/>
              <w:bottom w:val="single" w:color="auto" w:sz="6" w:space="0"/>
              <w:right w:val="single" w:color="auto" w:sz="6" w:space="0"/>
            </w:tcBorders>
            <w:tcW w:w="72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3.2</w:t>
            </w:r>
            <w:r/>
          </w:p>
        </w:tc>
        <w:tc>
          <w:tcPr>
            <w:tcBorders>
              <w:top w:val="single" w:color="auto" w:sz="6" w:space="0"/>
              <w:left w:val="single" w:color="auto" w:sz="6" w:space="0"/>
              <w:bottom w:val="single" w:color="auto" w:sz="6" w:space="0"/>
              <w:right w:val="single" w:color="auto" w:sz="6" w:space="0"/>
            </w:tcBorders>
            <w:tcW w:w="1303" w:type="dxa"/>
            <w:vAlign w:val="center"/>
            <w:textDirection w:val="lrTb"/>
            <w:noWrap w:val="false"/>
          </w:tcPr>
          <w:p>
            <w:pPr>
              <w:jc w:val="center"/>
              <w:spacing w:line="400" w:lineRule="exact"/>
              <w:rPr>
                <w:rFonts w:ascii="宋体" w:hAnsi="宋体"/>
                <w:color w:val="000000"/>
                <w:sz w:val="24"/>
                <w:szCs w:val="24"/>
              </w:rPr>
            </w:pPr>
            <w:r>
              <w:rPr>
                <w:rFonts w:ascii="宋体" w:hAnsi="宋体" w:cs="宋体"/>
                <w:color w:val="000000"/>
                <w:sz w:val="24"/>
              </w:rPr>
              <w:t xml:space="preserve">项目负责人</w:t>
            </w:r>
            <w:r/>
          </w:p>
        </w:tc>
        <w:tc>
          <w:tcPr>
            <w:tcBorders>
              <w:top w:val="single" w:color="auto" w:sz="6" w:space="0"/>
              <w:left w:val="single" w:color="auto" w:sz="6" w:space="0"/>
              <w:bottom w:val="single" w:color="auto" w:sz="6" w:space="0"/>
              <w:right w:val="single" w:color="auto" w:sz="6" w:space="0"/>
            </w:tcBorders>
            <w:tcW w:w="5500" w:type="dxa"/>
            <w:vAlign w:val="center"/>
            <w:textDirection w:val="lrTb"/>
            <w:noWrap w:val="false"/>
          </w:tcPr>
          <w:p>
            <w:pPr>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投标人为本项目配备的项目负责人：</w:t>
            </w:r>
            <w:r/>
          </w:p>
          <w:p>
            <w:pPr>
              <w:spacing w:line="400" w:lineRule="exact"/>
              <w:widowControl/>
              <w:rPr>
                <w:rFonts w:ascii="宋体" w:hAnsi="宋体" w:cs="宋体"/>
                <w:sz w:val="24"/>
              </w:rPr>
            </w:pPr>
            <w:r>
              <w:rPr>
                <w:rFonts w:hint="eastAsia" w:ascii="宋体" w:hAnsi="宋体" w:eastAsia="宋体" w:cs="Times New Roman"/>
                <w:sz w:val="24"/>
                <w:szCs w:val="24"/>
              </w:rPr>
              <w:t xml:space="preserve">具有人社部门颁发的信息系统项目管理师证书、高级工程师（电子信息相关专业）证书、系统规划与管理师证书的，有一个得1分，最高得3分。</w:t>
            </w:r>
            <w:r/>
          </w:p>
          <w:p>
            <w:pPr>
              <w:spacing w:line="400" w:lineRule="exact"/>
              <w:rPr>
                <w:rFonts w:ascii="宋体" w:hAnsi="宋体"/>
                <w:color w:val="000000"/>
                <w:sz w:val="24"/>
                <w:szCs w:val="24"/>
              </w:rPr>
            </w:pPr>
            <w:r>
              <w:rPr>
                <w:rFonts w:hint="eastAsia" w:ascii="宋体" w:hAnsi="宋体" w:cs="宋体"/>
                <w:b/>
                <w:sz w:val="24"/>
              </w:rPr>
              <w:t xml:space="preserve">【</w:t>
            </w:r>
            <w:r>
              <w:rPr>
                <w:rFonts w:hint="eastAsia" w:ascii="宋体" w:hAnsi="宋体" w:eastAsia="宋体" w:cs="Times New Roman"/>
                <w:b/>
                <w:bCs/>
                <w:sz w:val="24"/>
                <w:szCs w:val="24"/>
              </w:rPr>
              <w:t xml:space="preserve">须提供证书扫描件，且须提供本单位近3个月（含投标当月）中任意1个月份为其缴纳社保的证明扫描件</w:t>
            </w:r>
            <w:r>
              <w:rPr>
                <w:rFonts w:hint="eastAsia" w:ascii="宋体" w:hAnsi="宋体" w:cs="宋体"/>
                <w:b/>
                <w:sz w:val="24"/>
              </w:rPr>
              <w:t xml:space="preserve">】</w:t>
            </w:r>
            <w:r/>
          </w:p>
        </w:tc>
        <w:tc>
          <w:tcPr>
            <w:tcBorders>
              <w:top w:val="single" w:color="auto" w:sz="6" w:space="0"/>
              <w:left w:val="single" w:color="auto" w:sz="6" w:space="0"/>
              <w:bottom w:val="single" w:color="auto" w:sz="6" w:space="0"/>
              <w:right w:val="single" w:color="auto" w:sz="8" w:space="0"/>
            </w:tcBorders>
            <w:tcW w:w="73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r>
      <w:tr>
        <w:trPr>
          <w:jc w:val="center"/>
          <w:trHeight w:val="20"/>
        </w:trPr>
        <w:tc>
          <w:tcPr>
            <w:tcBorders>
              <w:top w:val="single" w:color="auto" w:sz="6" w:space="0"/>
              <w:left w:val="single" w:color="auto" w:sz="8" w:space="0"/>
              <w:right w:val="single" w:color="auto" w:sz="6" w:space="0"/>
            </w:tcBorders>
            <w:tcW w:w="1220" w:type="dxa"/>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Borders>
              <w:top w:val="single" w:color="auto" w:sz="6" w:space="0"/>
              <w:left w:val="single" w:color="auto" w:sz="6" w:space="0"/>
              <w:bottom w:val="single" w:color="auto" w:sz="6" w:space="0"/>
              <w:right w:val="single" w:color="auto" w:sz="6" w:space="0"/>
            </w:tcBorders>
            <w:tcW w:w="72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3.3</w:t>
            </w:r>
            <w:r/>
          </w:p>
        </w:tc>
        <w:tc>
          <w:tcPr>
            <w:tcBorders>
              <w:top w:val="single" w:color="auto" w:sz="6" w:space="0"/>
              <w:left w:val="single" w:color="auto" w:sz="6" w:space="0"/>
              <w:bottom w:val="single" w:color="auto" w:sz="6" w:space="0"/>
              <w:right w:val="single" w:color="auto" w:sz="6" w:space="0"/>
            </w:tcBorders>
            <w:tcW w:w="1303"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项目组其他成员</w:t>
            </w:r>
            <w:r/>
          </w:p>
        </w:tc>
        <w:tc>
          <w:tcPr>
            <w:tcBorders>
              <w:top w:val="single" w:color="auto" w:sz="6" w:space="0"/>
              <w:left w:val="single" w:color="auto" w:sz="6" w:space="0"/>
              <w:bottom w:val="single" w:color="auto" w:sz="6" w:space="0"/>
              <w:right w:val="single" w:color="auto" w:sz="6" w:space="0"/>
            </w:tcBorders>
            <w:tcW w:w="5500" w:type="dxa"/>
            <w:vAlign w:val="center"/>
            <w:textDirection w:val="lrTb"/>
            <w:noWrap w:val="false"/>
          </w:tcPr>
          <w:p>
            <w:pPr>
              <w:spacing w:line="400" w:lineRule="exact"/>
              <w:widowControl/>
              <w:rPr>
                <w:rFonts w:ascii="宋体" w:hAnsi="宋体" w:eastAsia="宋体" w:cs="宋体"/>
                <w:sz w:val="24"/>
                <w:szCs w:val="24"/>
              </w:rPr>
            </w:pPr>
            <w:r>
              <w:rPr>
                <w:rFonts w:hint="eastAsia" w:ascii="宋体" w:hAnsi="宋体" w:eastAsia="宋体" w:cs="宋体"/>
                <w:sz w:val="24"/>
                <w:szCs w:val="24"/>
              </w:rPr>
              <w:t xml:space="preserve">投标人为本项目配备的项目组其他成员（项目负责人除外）中：</w:t>
            </w:r>
            <w:r/>
          </w:p>
          <w:p>
            <w:pPr>
              <w:spacing w:line="400" w:lineRule="exact"/>
              <w:rPr>
                <w:rFonts w:ascii="宋体" w:hAnsi="宋体"/>
                <w:sz w:val="24"/>
              </w:rPr>
            </w:pPr>
            <w:r>
              <w:rPr>
                <w:rFonts w:hint="eastAsia" w:ascii="宋体" w:hAnsi="宋体"/>
                <w:sz w:val="24"/>
              </w:rPr>
              <w:t xml:space="preserve">①技术负责人：具有注册信息安全工程师证书、智能化系统集成项目经理证书的，有一个得1分，最高得2分。</w:t>
            </w:r>
            <w:r/>
          </w:p>
          <w:p>
            <w:pPr>
              <w:spacing w:line="400" w:lineRule="exact"/>
              <w:rPr>
                <w:rFonts w:ascii="宋体" w:hAnsi="宋体"/>
                <w:sz w:val="24"/>
              </w:rPr>
            </w:pPr>
            <w:r>
              <w:rPr>
                <w:rFonts w:hint="eastAsia" w:ascii="宋体" w:hAnsi="宋体"/>
                <w:sz w:val="24"/>
              </w:rPr>
              <w:t xml:space="preserve">②项目组其他成员：具有ITSS-IT服务工程师、网络工程师或CISAW信息安全保障人员证书证书的，有一项得0.5分，最高得1分。</w:t>
            </w:r>
            <w:r/>
          </w:p>
          <w:p>
            <w:pPr>
              <w:spacing w:line="400" w:lineRule="exact"/>
              <w:rPr>
                <w:rFonts w:ascii="宋体" w:hAnsi="宋体"/>
                <w:b/>
                <w:sz w:val="24"/>
                <w:szCs w:val="24"/>
              </w:rPr>
            </w:pPr>
            <w:r>
              <w:rPr>
                <w:rFonts w:hint="eastAsia" w:ascii="宋体" w:hAnsi="宋体"/>
                <w:b/>
                <w:sz w:val="24"/>
              </w:rPr>
              <w:t xml:space="preserve">(②中同一人员多张证书不重复得分)</w:t>
            </w:r>
            <w:r/>
          </w:p>
          <w:p>
            <w:pPr>
              <w:pStyle w:val="875"/>
            </w:pPr>
            <w:r>
              <w:rPr>
                <w:rFonts w:hint="eastAsia" w:ascii="宋体" w:hAnsi="宋体"/>
                <w:b/>
                <w:color w:val="000000"/>
                <w:szCs w:val="24"/>
              </w:rPr>
              <w:t xml:space="preserve">【须提供人员名单、证书扫描件，且须提供本单位近3个月（含投标当月）中任意1个月份为其缴纳社保的证明扫描件】</w:t>
            </w:r>
            <w:r/>
          </w:p>
        </w:tc>
        <w:tc>
          <w:tcPr>
            <w:tcBorders>
              <w:top w:val="single" w:color="auto" w:sz="6" w:space="0"/>
              <w:left w:val="single" w:color="auto" w:sz="6" w:space="0"/>
              <w:bottom w:val="single" w:color="auto" w:sz="6" w:space="0"/>
              <w:right w:val="single" w:color="auto" w:sz="8" w:space="0"/>
            </w:tcBorders>
            <w:tcW w:w="737"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3</w:t>
            </w:r>
            <w:r/>
          </w:p>
        </w:tc>
      </w:tr>
      <w:tr>
        <w:trPr>
          <w:jc w:val="center"/>
          <w:trHeight w:val="20"/>
        </w:trPr>
        <w:tc>
          <w:tcPr>
            <w:tcBorders>
              <w:top w:val="single" w:color="auto" w:sz="6" w:space="0"/>
              <w:left w:val="single" w:color="auto" w:sz="8" w:space="0"/>
              <w:right w:val="single" w:color="auto" w:sz="6" w:space="0"/>
            </w:tcBorders>
            <w:tcW w:w="1220" w:type="dxa"/>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Borders>
              <w:top w:val="single" w:color="auto" w:sz="6" w:space="0"/>
              <w:left w:val="single" w:color="auto" w:sz="6" w:space="0"/>
              <w:bottom w:val="single" w:color="auto" w:sz="6" w:space="0"/>
              <w:right w:val="single" w:color="auto" w:sz="6" w:space="0"/>
            </w:tcBorders>
            <w:tcW w:w="72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3.4</w:t>
            </w:r>
            <w:r/>
          </w:p>
        </w:tc>
        <w:tc>
          <w:tcPr>
            <w:tcBorders>
              <w:top w:val="single" w:color="auto" w:sz="6" w:space="0"/>
              <w:left w:val="single" w:color="auto" w:sz="6" w:space="0"/>
              <w:bottom w:val="single" w:color="auto" w:sz="6" w:space="0"/>
              <w:right w:val="single" w:color="auto" w:sz="6" w:space="0"/>
            </w:tcBorders>
            <w:tcW w:w="1303" w:type="dxa"/>
            <w:vAlign w:val="center"/>
            <w:textDirection w:val="lrTb"/>
            <w:noWrap w:val="false"/>
          </w:tcPr>
          <w:p>
            <w:pPr>
              <w:jc w:val="center"/>
              <w:spacing w:line="400" w:lineRule="exact"/>
              <w:widowControl/>
              <w:rPr>
                <w:rFonts w:ascii="宋体" w:hAnsi="宋体"/>
                <w:sz w:val="24"/>
              </w:rPr>
            </w:pPr>
            <w:r>
              <w:rPr>
                <w:rFonts w:hint="eastAsia" w:ascii="宋体" w:hAnsi="宋体" w:eastAsia="宋体" w:cs="宋体"/>
                <w:sz w:val="24"/>
                <w:szCs w:val="24"/>
              </w:rPr>
              <w:t xml:space="preserve">业绩</w:t>
            </w:r>
            <w:r/>
          </w:p>
        </w:tc>
        <w:tc>
          <w:tcPr>
            <w:tcBorders>
              <w:top w:val="single" w:color="auto" w:sz="6" w:space="0"/>
              <w:left w:val="single" w:color="auto" w:sz="6" w:space="0"/>
              <w:bottom w:val="single" w:color="auto" w:sz="6" w:space="0"/>
              <w:right w:val="single" w:color="auto" w:sz="6" w:space="0"/>
            </w:tcBorders>
            <w:tcW w:w="5500" w:type="dxa"/>
            <w:vAlign w:val="center"/>
            <w:textDirection w:val="lrTb"/>
            <w:noWrap w:val="false"/>
          </w:tcPr>
          <w:p>
            <w:pPr>
              <w:spacing w:line="400" w:lineRule="exact"/>
              <w:widowControl/>
              <w:rPr>
                <w:b/>
              </w:rPr>
            </w:pPr>
            <w:r>
              <w:rPr>
                <w:rFonts w:hint="eastAsia" w:ascii="宋体" w:hAnsi="宋体" w:eastAsia="宋体" w:cs="宋体"/>
                <w:sz w:val="24"/>
                <w:szCs w:val="24"/>
              </w:rPr>
              <w:t xml:space="preserve">20</w:t>
            </w:r>
            <w:r>
              <w:rPr>
                <w:rFonts w:ascii="宋体" w:hAnsi="宋体" w:eastAsia="宋体" w:cs="宋体"/>
                <w:sz w:val="24"/>
                <w:szCs w:val="24"/>
              </w:rPr>
              <w:t xml:space="preserve">2</w:t>
            </w:r>
            <w:r>
              <w:rPr>
                <w:rFonts w:hint="eastAsia" w:ascii="宋体" w:hAnsi="宋体" w:eastAsia="宋体" w:cs="宋体"/>
                <w:sz w:val="24"/>
                <w:szCs w:val="24"/>
              </w:rPr>
              <w:t xml:space="preserve">3年1月1日以来（以合同签订时间为准），投标人承担过类似智能化改造项目的，有一个得1分，最高得2分。</w:t>
            </w:r>
            <w:r>
              <w:rPr>
                <w:rFonts w:ascii="宋体" w:hAnsi="宋体" w:cs="宋体"/>
                <w:b/>
                <w:sz w:val="24"/>
              </w:rPr>
              <w:t xml:space="preserve">（须提供合同扫描件）</w:t>
            </w:r>
            <w:r/>
          </w:p>
        </w:tc>
        <w:tc>
          <w:tcPr>
            <w:tcBorders>
              <w:top w:val="single" w:color="auto" w:sz="6" w:space="0"/>
              <w:left w:val="single" w:color="auto" w:sz="6" w:space="0"/>
              <w:bottom w:val="single" w:color="auto" w:sz="6" w:space="0"/>
              <w:right w:val="single" w:color="auto" w:sz="8" w:space="0"/>
            </w:tcBorders>
            <w:tcW w:w="737" w:type="dxa"/>
            <w:vAlign w:val="center"/>
            <w:textDirection w:val="lrTb"/>
            <w:noWrap w:val="false"/>
          </w:tcPr>
          <w:p>
            <w:pPr>
              <w:jc w:val="center"/>
              <w:spacing w:line="400" w:lineRule="exact"/>
              <w:rPr>
                <w:rFonts w:ascii="宋体" w:hAnsi="宋体"/>
                <w:sz w:val="24"/>
              </w:rPr>
            </w:pPr>
            <w:r>
              <w:rPr>
                <w:rFonts w:hint="eastAsia" w:ascii="宋体" w:hAnsi="宋体" w:eastAsia="宋体" w:cs="Times New Roman"/>
                <w:sz w:val="24"/>
                <w:szCs w:val="24"/>
              </w:rPr>
              <w:t xml:space="preserve">2</w:t>
            </w:r>
            <w:r/>
          </w:p>
        </w:tc>
      </w:tr>
      <w:tr>
        <w:trPr>
          <w:jc w:val="center"/>
          <w:trHeight w:val="20"/>
        </w:trPr>
        <w:tc>
          <w:tcPr>
            <w:tcBorders>
              <w:top w:val="single" w:color="auto" w:sz="6" w:space="0"/>
              <w:left w:val="single" w:color="auto" w:sz="8" w:space="0"/>
              <w:right w:val="single" w:color="auto" w:sz="6" w:space="0"/>
            </w:tcBorders>
            <w:tcW w:w="1220" w:type="dxa"/>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Borders>
              <w:top w:val="single" w:color="auto" w:sz="6" w:space="0"/>
              <w:left w:val="single" w:color="auto" w:sz="6" w:space="0"/>
              <w:bottom w:val="single" w:color="auto" w:sz="6" w:space="0"/>
              <w:right w:val="single" w:color="auto" w:sz="6" w:space="0"/>
            </w:tcBorders>
            <w:tcW w:w="72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3.5</w:t>
            </w:r>
            <w:r/>
          </w:p>
        </w:tc>
        <w:tc>
          <w:tcPr>
            <w:tcBorders>
              <w:top w:val="single" w:color="auto" w:sz="6" w:space="0"/>
              <w:left w:val="single" w:color="auto" w:sz="6" w:space="0"/>
              <w:bottom w:val="single" w:color="auto" w:sz="6" w:space="0"/>
              <w:right w:val="single" w:color="auto" w:sz="6" w:space="0"/>
            </w:tcBorders>
            <w:tcW w:w="1303"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lang w:bidi="ar"/>
              </w:rPr>
              <w:t xml:space="preserve">第三方信用报告</w:t>
            </w:r>
            <w:r/>
          </w:p>
        </w:tc>
        <w:tc>
          <w:tcPr>
            <w:tcBorders>
              <w:top w:val="single" w:color="auto" w:sz="6" w:space="0"/>
              <w:left w:val="single" w:color="auto" w:sz="6" w:space="0"/>
              <w:bottom w:val="single" w:color="auto" w:sz="6" w:space="0"/>
              <w:right w:val="single" w:color="auto" w:sz="6" w:space="0"/>
            </w:tcBorders>
            <w:tcW w:w="5500" w:type="dxa"/>
            <w:vAlign w:val="center"/>
            <w:textDirection w:val="lrTb"/>
            <w:noWrap w:val="false"/>
          </w:tcPr>
          <w:p>
            <w:pPr>
              <w:jc w:val="left"/>
              <w:spacing w:line="400" w:lineRule="exact"/>
              <w:widowControl/>
              <w:rPr>
                <w:rFonts w:ascii="宋体" w:hAnsi="宋体" w:cs="宋体"/>
                <w:b/>
                <w:sz w:val="24"/>
              </w:rPr>
            </w:pPr>
            <w:r>
              <w:rPr>
                <w:rStyle w:val="944"/>
                <w:rFonts w:ascii="宋体" w:hAnsi="宋体" w:eastAsia="宋体" w:cs="宋体"/>
                <w:color w:val="000000"/>
                <w:lang w:bidi="ar"/>
              </w:rPr>
              <w:t xml:space="preserve">投标人取得经县级以上行政主管部门备案的第三方信用服务机构出具的信用报告，信用等级为AAA级的得1分；信用等级为AA级的得0.5分；其他信用等级或未提供的不得分。</w:t>
            </w:r>
            <w:r>
              <w:rPr>
                <w:rStyle w:val="944"/>
                <w:rFonts w:ascii="宋体" w:hAnsi="宋体" w:eastAsia="宋体" w:cs="宋体"/>
                <w:b/>
                <w:color w:val="000000"/>
                <w:lang w:bidi="ar"/>
              </w:rPr>
              <w:t xml:space="preserve">（须提供信用机构经备案的相关证明材料及有效期内的信用报告扫描件）</w:t>
            </w:r>
            <w:r/>
          </w:p>
        </w:tc>
        <w:tc>
          <w:tcPr>
            <w:tcBorders>
              <w:top w:val="single" w:color="auto" w:sz="6" w:space="0"/>
              <w:left w:val="single" w:color="auto" w:sz="6" w:space="0"/>
              <w:bottom w:val="single" w:color="auto" w:sz="6" w:space="0"/>
              <w:right w:val="single" w:color="auto" w:sz="8" w:space="0"/>
            </w:tcBorders>
            <w:tcW w:w="737"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lang w:bidi="ar"/>
              </w:rPr>
              <w:t xml:space="preserve">1</w:t>
            </w:r>
            <w:r/>
          </w:p>
        </w:tc>
      </w:tr>
    </w:tbl>
    <w:p>
      <w:pPr>
        <w:sectPr>
          <w:footnotePr/>
          <w:endnotePr/>
          <w:type w:val="nextPage"/>
          <w:pgSz w:w="11906" w:h="16838" w:orient="portrait"/>
          <w:pgMar w:top="1247" w:right="1247" w:bottom="1247" w:left="1247" w:header="680" w:footer="992" w:gutter="0"/>
          <w:cols w:num="1" w:sep="0" w:space="720" w:equalWidth="1"/>
          <w:docGrid w:linePitch="360"/>
        </w:sectPr>
      </w:pPr>
      <w:r/>
      <w:r/>
    </w:p>
    <w:p>
      <w:r/>
      <w:r/>
    </w:p>
    <w:p>
      <w:pPr>
        <w:pStyle w:val="889"/>
      </w:pPr>
      <w:r/>
      <w:bookmarkStart w:id="17" w:name="_Toc2599"/>
      <w:r>
        <w:rPr>
          <w:rFonts w:hint="eastAsia"/>
        </w:rPr>
        <w:t xml:space="preserve">第五章　合同书（格式）</w:t>
      </w:r>
      <w:bookmarkEnd w:id="17"/>
      <w:r/>
      <w:r/>
    </w:p>
    <w:p>
      <w:pPr>
        <w:spacing w:line="400" w:lineRule="exact"/>
        <w:rPr>
          <w:rFonts w:ascii="宋体" w:hAnsi="宋体" w:eastAsia="宋体" w:cs="Times New Roman"/>
          <w:bCs/>
          <w:sz w:val="24"/>
          <w:szCs w:val="24"/>
        </w:rPr>
      </w:pPr>
      <w:r/>
      <w:bookmarkStart w:id="18" w:name="_Toc251268363"/>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甲方（采购单位）：</w:t>
      </w:r>
      <w:r>
        <w:rPr>
          <w:rFonts w:hint="eastAsia" w:ascii="宋体" w:hAnsi="宋体" w:eastAsia="宋体" w:cs="Times New Roman"/>
          <w:bCs/>
          <w:sz w:val="24"/>
          <w:szCs w:val="24"/>
          <w:u w:val="single"/>
        </w:rPr>
        <w:t xml:space="preserve">　　　　　　　　　　　　　　　　　　</w:t>
      </w:r>
      <w:r/>
    </w:p>
    <w:p>
      <w:pPr>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乙方（中标单位）：</w:t>
      </w:r>
      <w:r>
        <w:rPr>
          <w:rFonts w:hint="eastAsia" w:ascii="宋体" w:hAnsi="宋体" w:eastAsia="宋体" w:cs="Times New Roman"/>
          <w:bCs/>
          <w:sz w:val="24"/>
          <w:szCs w:val="24"/>
          <w:u w:val="single"/>
        </w:rPr>
        <w:t xml:space="preserve">　　　　　　　　　　　　　　　　　　</w:t>
      </w:r>
      <w:r/>
    </w:p>
    <w:p>
      <w:pPr>
        <w:jc w:val="center"/>
        <w:spacing w:line="400" w:lineRule="exact"/>
        <w:rPr>
          <w:rFonts w:ascii="宋体" w:hAnsi="宋体" w:eastAsia="宋体" w:cs="Times New Roman"/>
          <w:b/>
          <w:sz w:val="28"/>
          <w:szCs w:val="28"/>
          <w:lang w:val="de-DE"/>
        </w:rPr>
      </w:pPr>
      <w:r>
        <w:rPr>
          <w:rFonts w:ascii="宋体" w:hAnsi="宋体" w:eastAsia="宋体" w:cs="Times New Roman"/>
          <w:b/>
          <w:sz w:val="28"/>
          <w:szCs w:val="28"/>
          <w:lang w:val="de-DE"/>
        </w:rPr>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lang w:val="zh-CN"/>
        </w:rPr>
        <w:t xml:space="preserve">根据《中华人民共和国政府采购法》、《中华人民共和国民法典》等法律法规的规定，甲乙双方按照江阴市政府采购中心的采购结果签订本合同。</w:t>
      </w:r>
      <w:r/>
    </w:p>
    <w:p>
      <w:pPr>
        <w:spacing w:line="400" w:lineRule="exact"/>
        <w:rPr>
          <w:rFonts w:ascii="楷体_GB2312" w:hAnsi="Times New Roman" w:eastAsia="楷体_GB2312" w:cs="Times New Roman"/>
          <w:sz w:val="24"/>
          <w:szCs w:val="24"/>
        </w:rPr>
      </w:pPr>
      <w:r>
        <w:rPr>
          <w:rFonts w:ascii="楷体_GB2312" w:hAnsi="Times New Roman" w:eastAsia="楷体_GB2312" w:cs="Times New Roman"/>
          <w:sz w:val="24"/>
          <w:szCs w:val="24"/>
        </w:rPr>
      </w:r>
      <w:r/>
    </w:p>
    <w:p>
      <w:pPr>
        <w:spacing w:line="400" w:lineRule="exact"/>
        <w:rPr>
          <w:rFonts w:ascii="黑体" w:hAnsi="黑体" w:eastAsia="黑体" w:cs="Times New Roman"/>
          <w:sz w:val="24"/>
          <w:szCs w:val="24"/>
        </w:rPr>
      </w:pPr>
      <w:r>
        <w:rPr>
          <w:rFonts w:hint="eastAsia" w:ascii="黑体" w:hAnsi="黑体" w:eastAsia="黑体" w:cs="Times New Roman"/>
          <w:sz w:val="24"/>
          <w:szCs w:val="24"/>
        </w:rPr>
        <w:t xml:space="preserve">第一条　采购内容</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1、项目名称（项目编号）：</w:t>
      </w:r>
      <w:r>
        <w:rPr>
          <w:rFonts w:hint="eastAsia" w:ascii="宋体" w:hAnsi="宋体" w:eastAsia="宋体" w:cs="Times New Roman"/>
          <w:sz w:val="24"/>
          <w:szCs w:val="24"/>
          <w:u w:val="single"/>
        </w:rPr>
        <w:t xml:space="preserve">　　　　　　　　　　　　　　　　　　　　</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2、项目采购清单（包含货物名称、规格、型号、数量、价格）：</w:t>
      </w:r>
      <w:r>
        <w:rPr>
          <w:rFonts w:hint="eastAsia" w:ascii="宋体" w:hAnsi="宋体" w:eastAsia="宋体" w:cs="Times New Roman"/>
          <w:sz w:val="24"/>
          <w:szCs w:val="24"/>
          <w:u w:val="single"/>
        </w:rPr>
        <w:t xml:space="preserve">　　　　　　　　　　　　　　　　　　　　　　　　</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3、其他：</w:t>
      </w:r>
      <w:r>
        <w:rPr>
          <w:rFonts w:hint="eastAsia" w:ascii="宋体" w:hAnsi="宋体" w:eastAsia="宋体" w:cs="Times New Roman"/>
          <w:sz w:val="24"/>
          <w:szCs w:val="24"/>
          <w:u w:val="single"/>
        </w:rPr>
        <w:t xml:space="preserve">　　　　　　　　　　　　　　　　　　　　　　　　　　　　</w:t>
      </w:r>
      <w:r/>
    </w:p>
    <w:p>
      <w:pPr>
        <w:jc w:val="left"/>
        <w:spacing w:line="400" w:lineRule="exact"/>
        <w:rPr>
          <w:rFonts w:ascii="黑体" w:hAnsi="黑体" w:eastAsia="黑体" w:cs="Times New Roman"/>
          <w:sz w:val="24"/>
          <w:szCs w:val="24"/>
          <w:lang w:val="zh-CN"/>
        </w:rPr>
      </w:pPr>
      <w:r>
        <w:rPr>
          <w:rFonts w:hint="eastAsia" w:ascii="黑体" w:hAnsi="黑体" w:eastAsia="黑体" w:cs="Times New Roman"/>
          <w:bCs/>
          <w:sz w:val="24"/>
          <w:szCs w:val="24"/>
          <w:lang w:val="zh-CN"/>
        </w:rPr>
        <w:t xml:space="preserve">第二条　合同总价款</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本合同人民币总价款为</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 xml:space="preserve">（小写），</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 xml:space="preserve">（大写）。</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宋体"/>
          <w:bCs/>
          <w:sz w:val="24"/>
          <w:szCs w:val="24"/>
          <w:lang w:val="zh-CN"/>
        </w:rPr>
        <w:t xml:space="preserve">按实结算项目的结算金额以项目完成后审计部门的审计结果作为结算依据。</w:t>
      </w:r>
      <w:r>
        <w:rPr>
          <w:rFonts w:hint="eastAsia" w:ascii="宋体" w:hAnsi="宋体" w:eastAsia="宋体" w:cs="Times New Roman"/>
          <w:sz w:val="24"/>
          <w:szCs w:val="24"/>
        </w:rPr>
        <w:t xml:space="preserve">）</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分项价款如下：</w:t>
      </w:r>
      <w:r/>
    </w:p>
    <w:p>
      <w:pPr>
        <w:jc w:val="left"/>
        <w:spacing w:line="400" w:lineRule="exact"/>
        <w:rPr>
          <w:rFonts w:ascii="宋体" w:hAnsi="宋体" w:eastAsia="宋体" w:cs="Times New Roman"/>
          <w:sz w:val="24"/>
          <w:szCs w:val="24"/>
          <w:u w:val="single"/>
        </w:rPr>
      </w:pPr>
      <w:r>
        <w:rPr>
          <w:rFonts w:hint="eastAsia" w:ascii="宋体" w:hAnsi="宋体" w:eastAsia="宋体" w:cs="Times New Roman"/>
          <w:sz w:val="24"/>
          <w:szCs w:val="24"/>
          <w:u w:val="single"/>
        </w:rPr>
        <w:t xml:space="preserve">　　　　　　　　　　　　　　　　　　　　　　　　　　　　　　　　　　　</w:t>
      </w:r>
      <w:r/>
    </w:p>
    <w:p>
      <w:pPr>
        <w:jc w:val="left"/>
        <w:spacing w:line="400" w:lineRule="exact"/>
        <w:rPr>
          <w:rFonts w:ascii="宋体" w:hAnsi="宋体" w:eastAsia="宋体" w:cs="Times New Roman"/>
          <w:sz w:val="24"/>
          <w:szCs w:val="24"/>
          <w:u w:val="single"/>
        </w:rPr>
      </w:pPr>
      <w:r>
        <w:rPr>
          <w:rFonts w:hint="eastAsia" w:ascii="宋体" w:hAnsi="宋体" w:eastAsia="宋体" w:cs="Times New Roman"/>
          <w:sz w:val="24"/>
          <w:szCs w:val="24"/>
          <w:u w:val="single"/>
        </w:rPr>
        <w:t xml:space="preserve">　　　　　　　　　　　　　　　　　　　　　　　　　　　　　　　　　　　</w:t>
      </w:r>
      <w:r/>
    </w:p>
    <w:p>
      <w:pPr>
        <w:ind w:firstLine="480"/>
        <w:jc w:val="left"/>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本合同总价款是货物设计、制造、包装、仓储、运输装卸</w:t>
      </w:r>
      <w:r>
        <w:rPr>
          <w:rFonts w:hint="eastAsia" w:ascii="宋体" w:hAnsi="宋体" w:eastAsia="宋体" w:cs="楷体_GB2312"/>
          <w:sz w:val="24"/>
          <w:szCs w:val="24"/>
        </w:rPr>
        <w:t xml:space="preserve">、保险、安装、调试及其材料及验收合格之前保管及保修期内备品备件、专用工具、伴随服务、技术图纸资料、人员培训发生的所有含税费用、支付给员工的工资和国家强制缴纳的各种社会保障资金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eastAsia="宋体" w:cs="Times New Roman"/>
          <w:bCs/>
          <w:sz w:val="24"/>
          <w:szCs w:val="24"/>
        </w:rPr>
        <w:t xml:space="preserve">，以</w:t>
      </w:r>
      <w:r>
        <w:rPr>
          <w:rFonts w:hint="eastAsia" w:ascii="宋体" w:hAnsi="宋体" w:eastAsia="宋体" w:cs="Times New Roman"/>
          <w:sz w:val="24"/>
          <w:szCs w:val="24"/>
        </w:rPr>
        <w:t xml:space="preserve">及投标人认为需要的其他费用等。</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本合同总价款还包含乙方应当提供的伴随服务/售后服务费用。</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本合同执行期间合同总价款不变。</w:t>
      </w:r>
      <w:r>
        <w:rPr>
          <w:rFonts w:hint="eastAsia" w:ascii="宋体" w:hAnsi="宋体" w:eastAsia="宋体" w:cs="Times New Roman"/>
          <w:sz w:val="24"/>
          <w:szCs w:val="24"/>
          <w:lang w:val="zh-CN"/>
        </w:rPr>
        <w:t xml:space="preserve">（有另行规定的除外。）</w:t>
      </w:r>
      <w:r/>
    </w:p>
    <w:p>
      <w:pPr>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第三条  履约保证金的缴纳和退还</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本项目是/否向采购人缴纳履约保证金：</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履约保证金缴纳金额：</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元。</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履约保证金的缴纳时间：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，缴纳形式：</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履约保证金的退付时间：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，退付办法：</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履约保证金不予退还的情形：</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Times New Roman" w:eastAsia="宋体" w:cs="Times New Roman"/>
          <w:bCs/>
          <w:sz w:val="24"/>
          <w:szCs w:val="24"/>
        </w:rPr>
      </w:pPr>
      <w:r>
        <w:rPr>
          <w:rFonts w:hint="eastAsia" w:ascii="宋体" w:hAnsi="宋体" w:eastAsia="宋体" w:cs="Times New Roman"/>
          <w:bCs/>
          <w:sz w:val="24"/>
          <w:szCs w:val="24"/>
        </w:rPr>
        <w:t xml:space="preserve">逾期退还履约保证金的违约责任：</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spacing w:line="400" w:lineRule="exact"/>
        <w:rPr>
          <w:rFonts w:ascii="黑体" w:hAnsi="黑体" w:eastAsia="黑体" w:cs="Times New Roman"/>
          <w:sz w:val="24"/>
          <w:szCs w:val="24"/>
          <w:lang w:val="zh-CN"/>
        </w:rPr>
      </w:pPr>
      <w:r>
        <w:rPr>
          <w:rFonts w:hint="eastAsia" w:ascii="黑体" w:hAnsi="黑体" w:eastAsia="黑体" w:cs="Times New Roman"/>
          <w:bCs/>
          <w:sz w:val="24"/>
          <w:szCs w:val="24"/>
          <w:lang w:val="zh-CN"/>
        </w:rPr>
        <w:t xml:space="preserve">第四条　组成本合同的有关文件</w:t>
      </w:r>
      <w:r/>
    </w:p>
    <w:p>
      <w:pPr>
        <w:ind w:firstLine="480"/>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（1）招标文件；</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（2）投标文件；</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（3）中标通知书；</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（4）中标人在投标、评标过程中所作其它有关承诺、声明、书面澄清；</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（5）甲乙双方商定的其他文件等。</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第五条　权利保证</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乙方应保证甲方在合同履行期限内不受第三方提出侵犯其专利权、版权、商标权或其他权利的起诉。一旦出现侵权，乙方应承担全部责任。</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第六条　质量保证</w:t>
      </w:r>
      <w:r/>
    </w:p>
    <w:p>
      <w:pPr>
        <w:ind w:firstLine="48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1、乙方所提供的货物的技术规格应与招标文件与投标文件规定的技术规格相一致；若技术性能无特殊说明，则按国家有关部门最新颁布的标准及规范为准。</w:t>
      </w:r>
      <w:r/>
    </w:p>
    <w:p>
      <w:pPr>
        <w:ind w:firstLine="48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80"/>
        <w:jc w:val="left"/>
        <w:spacing w:line="400" w:lineRule="exac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3、乙方承诺的质量保证：</w:t>
      </w:r>
      <w:r>
        <w:rPr>
          <w:rFonts w:hint="eastAsia" w:ascii="宋体" w:hAnsi="宋体" w:eastAsia="宋体" w:cs="Times New Roman"/>
          <w:bCs/>
          <w:sz w:val="24"/>
          <w:szCs w:val="24"/>
          <w:u w:val="single"/>
          <w:lang w:val="zh-CN"/>
        </w:rPr>
        <w:t xml:space="preserve">　　　　　　　　　　　　　　　　　　　　　</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第七条　包装要求</w:t>
      </w:r>
      <w:r/>
    </w:p>
    <w:p>
      <w:pPr>
        <w:ind w:firstLine="480"/>
        <w:jc w:val="left"/>
        <w:spacing w:line="400" w:lineRule="exact"/>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jc w:val="left"/>
        <w:spacing w:line="400" w:lineRule="exact"/>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2、每一包装单元内应附详细的装箱单和质量合格凭证。</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第八条　交货及验收</w:t>
      </w:r>
      <w:r/>
    </w:p>
    <w:p>
      <w:pPr>
        <w:ind w:firstLine="480"/>
        <w:jc w:val="left"/>
        <w:spacing w:line="400" w:lineRule="exac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1、交货地点、方式及日期：</w:t>
      </w:r>
      <w:r>
        <w:rPr>
          <w:rFonts w:hint="eastAsia" w:ascii="宋体" w:hAnsi="宋体" w:eastAsia="宋体" w:cs="Times New Roman"/>
          <w:bCs/>
          <w:sz w:val="24"/>
          <w:szCs w:val="24"/>
          <w:u w:val="single"/>
          <w:lang w:val="zh-CN"/>
        </w:rPr>
        <w:t xml:space="preserve">　　　　　　　　　　　　　　　　　　　　　　　</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2、验收标准：按招标文件所规定的采购标准和乙方投标文件的承诺，根据实际按照《江苏省政府采购履约验收管理办法》（苏财规〔2024〕7号）组织验收，费用由</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承担。</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第九条　伴随服务／售后服务</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1、乙方应按照国家有关法律法规规章和“三包”规定以及招标文件及投标文件所规定及承诺的“服务承诺”提供服务。</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2、除前款规定外，乙方还应提供下列服务：</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（1）货物的现场安装、调试、运行、维护等；</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（2）对甲方人员进行免费培训。</w:t>
      </w:r>
      <w:r/>
    </w:p>
    <w:p>
      <w:pPr>
        <w:ind w:firstLine="480"/>
        <w:jc w:val="left"/>
        <w:spacing w:line="400" w:lineRule="exac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3、乙方承诺的售后服务：</w:t>
      </w:r>
      <w:r>
        <w:rPr>
          <w:rFonts w:hint="eastAsia" w:ascii="宋体" w:hAnsi="宋体" w:eastAsia="宋体" w:cs="Times New Roman"/>
          <w:bCs/>
          <w:sz w:val="24"/>
          <w:szCs w:val="24"/>
          <w:u w:val="single"/>
          <w:lang w:val="zh-CN"/>
        </w:rPr>
        <w:t xml:space="preserve">　　　　　　　　　　　　　　　　　　　　　</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4、若招标文件中不包含有关伴随服务或售后服务的承诺，双方作如下约定：</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（2）所购货物按乙方投标承诺提供免费维护和质量保证，保修费用计入总价。</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（3）保修期内，乙方负责对其提供的货物整机进行维修和系统维护，不再收取任何费用，但不可抗力（如火灾、雷击等）造成的故障除外。</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（4）货物故障报修的响应时间按乙方投标承诺执行。</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（5）若货物故障在检修8工作小时后仍无法排除，乙方应在48小时内免费提供不低于故障货物规格型号档次的备用货物供甲方使用，直至故障货物修复。</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（6）所有货物保修服务方式均为乙方上门保修，即由乙方派员到货物使用现场维修，由此产生的一切费用均由乙方承担。</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（7）保修期后的货物维护由双方协商再定。</w:t>
      </w:r>
      <w:r/>
    </w:p>
    <w:p>
      <w:pPr>
        <w:jc w:val="left"/>
        <w:spacing w:line="400" w:lineRule="exact"/>
        <w:rPr>
          <w:rFonts w:ascii="黑体" w:hAnsi="黑体" w:eastAsia="黑体" w:cs="Times New Roman"/>
          <w:bCs/>
          <w:i/>
          <w:iCs/>
          <w:sz w:val="24"/>
          <w:szCs w:val="24"/>
          <w:lang w:val="zh-CN"/>
        </w:rPr>
      </w:pPr>
      <w:r>
        <w:rPr>
          <w:rFonts w:hint="eastAsia" w:ascii="黑体" w:hAnsi="黑体" w:eastAsia="黑体" w:cs="Times New Roman"/>
          <w:bCs/>
          <w:sz w:val="24"/>
          <w:szCs w:val="24"/>
          <w:lang w:val="zh-CN"/>
        </w:rPr>
        <w:t xml:space="preserve">第十条　付款</w:t>
      </w:r>
      <w:r/>
    </w:p>
    <w:p>
      <w:pPr>
        <w:ind w:firstLine="42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1、本合同项下所有款项均以人民币支付，乙方向甲方开具发票。</w:t>
      </w:r>
      <w:r/>
    </w:p>
    <w:p>
      <w:pPr>
        <w:ind w:firstLine="420"/>
        <w:jc w:val="left"/>
        <w:spacing w:line="400" w:lineRule="exact"/>
        <w:rPr>
          <w:rFonts w:ascii="宋体" w:hAnsi="宋体" w:eastAsia="宋体" w:cs="Times New Roman"/>
          <w:sz w:val="24"/>
          <w:szCs w:val="24"/>
          <w:u w:val="single"/>
        </w:rPr>
      </w:pPr>
      <w:r>
        <w:rPr>
          <w:rFonts w:hint="eastAsia" w:ascii="宋体" w:hAnsi="宋体" w:eastAsia="宋体" w:cs="Times New Roman"/>
          <w:sz w:val="24"/>
          <w:szCs w:val="24"/>
          <w:lang w:val="zh-CN"/>
        </w:rPr>
        <w:t xml:space="preserve">2、付款方式：</w:t>
      </w:r>
      <w:r>
        <w:rPr>
          <w:rFonts w:hint="eastAsia" w:ascii="宋体" w:hAnsi="宋体" w:eastAsia="宋体" w:cs="Times New Roman"/>
          <w:sz w:val="24"/>
          <w:szCs w:val="24"/>
          <w:u w:val="single"/>
          <w:lang w:val="zh-CN"/>
        </w:rPr>
        <w:t xml:space="preserve">　                                      </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第十一条　违约责任</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1、</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2、</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3、</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4、</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5、</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6、</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7、</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8、</w:t>
      </w:r>
      <w:r>
        <w:rPr>
          <w:rFonts w:hint="eastAsia" w:ascii="宋体" w:hAnsi="宋体" w:eastAsia="宋体" w:cs="Times New Roman"/>
          <w:sz w:val="24"/>
          <w:szCs w:val="24"/>
          <w:u w:val="single"/>
          <w:lang w:val="zh-CN"/>
        </w:rPr>
        <w:t xml:space="preserve">                                                                    </w:t>
      </w:r>
      <w:r/>
    </w:p>
    <w:p>
      <w:pPr>
        <w:jc w:val="left"/>
        <w:spacing w:line="400" w:lineRule="exact"/>
        <w:widowControl/>
        <w:rPr>
          <w:rFonts w:ascii="黑体" w:hAnsi="黑体" w:eastAsia="黑体" w:cs="宋体"/>
          <w:bCs/>
          <w:sz w:val="24"/>
          <w:szCs w:val="24"/>
        </w:rPr>
      </w:pPr>
      <w:r>
        <w:rPr>
          <w:rFonts w:hint="eastAsia" w:ascii="黑体" w:hAnsi="黑体" w:eastAsia="黑体" w:cs="宋体"/>
          <w:bCs/>
          <w:sz w:val="24"/>
          <w:szCs w:val="24"/>
          <w:lang w:val="zh-CN"/>
        </w:rPr>
        <w:t xml:space="preserve">第十二条　</w:t>
      </w:r>
      <w:r>
        <w:rPr>
          <w:rFonts w:hint="eastAsia" w:ascii="黑体" w:hAnsi="黑体" w:eastAsia="黑体" w:cs="宋体"/>
          <w:bCs/>
          <w:sz w:val="24"/>
          <w:szCs w:val="24"/>
        </w:rPr>
        <w:t xml:space="preserve">不可抗力</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1、不可抗力，是指不能预见、不能避免并不能克服的客观情况，如战争、动乱、瘟疫、严重火灾、洪水、地震、风暴或其他自然灾害等。</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3、发生不可抗力事件，任何一方均不对因不可抗力无法履行或迟延履行本合同义务而使另一方蒙受的任何损失承担责任，法律另有规定的除外。</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4、合同各方应根据不可抗力对本合同履行的影响程度，协商确定是否终止本合同或是继续履行本合同。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sz w:val="24"/>
          <w:szCs w:val="24"/>
        </w:rPr>
        <w:t xml:space="preserve">第十三条　</w:t>
      </w:r>
      <w:r>
        <w:rPr>
          <w:rFonts w:hint="eastAsia" w:ascii="黑体" w:hAnsi="黑体" w:eastAsia="黑体" w:cs="宋体"/>
          <w:bCs/>
          <w:sz w:val="24"/>
          <w:szCs w:val="24"/>
          <w:lang w:val="zh-CN"/>
        </w:rPr>
        <w:t xml:space="preserve">合同的变更和终止</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Times New Roman"/>
          <w:sz w:val="24"/>
          <w:szCs w:val="24"/>
          <w:lang w:val="zh-CN"/>
        </w:rPr>
        <w:t xml:space="preserve">1</w:t>
      </w:r>
      <w:r>
        <w:rPr>
          <w:rFonts w:hint="eastAsia" w:ascii="宋体" w:hAnsi="宋体" w:eastAsia="宋体" w:cs="宋体"/>
          <w:sz w:val="24"/>
          <w:szCs w:val="24"/>
          <w:lang w:val="zh-CN"/>
        </w:rPr>
        <w:t xml:space="preserve">、除《政府采购法》第</w:t>
      </w:r>
      <w:r>
        <w:rPr>
          <w:rFonts w:hint="eastAsia" w:ascii="宋体" w:hAnsi="宋体" w:eastAsia="宋体" w:cs="Times New Roman"/>
          <w:sz w:val="24"/>
          <w:szCs w:val="24"/>
          <w:lang w:val="zh-CN"/>
        </w:rPr>
        <w:t xml:space="preserve">五十</w:t>
      </w:r>
      <w:r>
        <w:rPr>
          <w:rFonts w:hint="eastAsia" w:ascii="宋体" w:hAnsi="宋体" w:eastAsia="宋体" w:cs="宋体"/>
          <w:sz w:val="24"/>
          <w:szCs w:val="24"/>
          <w:lang w:val="zh-CN"/>
        </w:rPr>
        <w:t xml:space="preserve">条规定的情形外，本合同一经签订，甲乙双方不得擅自变更、中止或终止合同。</w:t>
      </w:r>
      <w:r/>
    </w:p>
    <w:p>
      <w:pPr>
        <w:ind w:firstLine="480"/>
        <w:jc w:val="left"/>
        <w:spacing w:line="400" w:lineRule="exact"/>
        <w:widowControl/>
        <w:rPr>
          <w:rFonts w:ascii="宋体" w:hAnsi="宋体" w:eastAsia="宋体" w:cs="宋体"/>
          <w:sz w:val="24"/>
          <w:szCs w:val="24"/>
        </w:rPr>
      </w:pPr>
      <w:r>
        <w:rPr>
          <w:rFonts w:hint="eastAsia" w:ascii="宋体" w:hAnsi="宋体" w:eastAsia="宋体" w:cs="Times New Roman"/>
          <w:sz w:val="24"/>
          <w:szCs w:val="24"/>
          <w:lang w:val="zh-CN"/>
        </w:rPr>
        <w:t xml:space="preserve">2</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除发生法律规定的不能预见、不能避免并不能克服的客观情况外，甲乙双方不得放弃或拒绝履行合同。</w:t>
      </w:r>
      <w:r/>
    </w:p>
    <w:p>
      <w:pPr>
        <w:jc w:val="left"/>
        <w:spacing w:line="400" w:lineRule="exact"/>
        <w:widowControl/>
        <w:rPr>
          <w:rFonts w:ascii="黑体" w:hAnsi="黑体" w:eastAsia="黑体" w:cs="宋体"/>
          <w:sz w:val="24"/>
          <w:szCs w:val="24"/>
        </w:rPr>
      </w:pPr>
      <w:r>
        <w:rPr>
          <w:rFonts w:hint="eastAsia" w:ascii="黑体" w:hAnsi="黑体" w:eastAsia="黑体" w:cs="宋体"/>
          <w:sz w:val="24"/>
          <w:szCs w:val="24"/>
        </w:rPr>
        <w:t xml:space="preserve">第十四条  合同的终止</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本合同因下列原因而终止：</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（1）本合同正常履行完毕；</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（2）因不可抗力导致本合同无法履行或履行不必要；</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（3）任何一方行使解除权解除本合同；</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（4）合同的继续履行将损害国家利益和社会公共利益。</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除上述情形外，甲乙双方不得擅自终止合同。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bCs/>
          <w:sz w:val="24"/>
          <w:szCs w:val="24"/>
          <w:lang w:val="zh-CN"/>
        </w:rPr>
        <w:t xml:space="preserve">第十五条　争议的解决</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2、因履行本合同引起的或与本合同有关的争议，甲、乙双方应首先通过友好协商解决，如果协商不能解决争议，则采取以下2种方式解决争议：</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（1）向甲方所在地有管辖权的人民法院提起诉讼；</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（2）向甲方所在地仲裁委员会按其仲裁规则申请仲裁。</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3、在仲裁期间，本合同应继续履行。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bCs/>
          <w:sz w:val="24"/>
          <w:szCs w:val="24"/>
          <w:lang w:val="zh-CN"/>
        </w:rPr>
        <w:t xml:space="preserve">第十六条　合同生效及其他</w:t>
      </w:r>
      <w:r/>
    </w:p>
    <w:p>
      <w:pPr>
        <w:ind w:firstLine="420"/>
        <w:jc w:val="left"/>
        <w:spacing w:line="400" w:lineRule="exact"/>
        <w:widowControl/>
        <w:rPr>
          <w:rFonts w:ascii="宋体" w:hAnsi="宋体" w:eastAsia="宋体" w:cs="宋体"/>
          <w:sz w:val="24"/>
          <w:szCs w:val="24"/>
        </w:rPr>
      </w:pPr>
      <w:r>
        <w:rPr>
          <w:rFonts w:hint="eastAsia" w:ascii="宋体" w:hAnsi="宋体" w:eastAsia="宋体" w:cs="宋体"/>
          <w:sz w:val="24"/>
          <w:szCs w:val="24"/>
          <w:lang w:val="zh-CN"/>
        </w:rPr>
        <w:t xml:space="preserve">1、</w:t>
      </w:r>
      <w:r>
        <w:rPr>
          <w:rFonts w:hint="eastAsia" w:ascii="宋体" w:hAnsi="宋体" w:eastAsia="宋体" w:cs="宋体"/>
          <w:sz w:val="24"/>
          <w:szCs w:val="24"/>
        </w:rPr>
        <w:t xml:space="preserve">本合同由甲乙双方签字、盖章后生效。</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2、本合同一式四份，甲方、乙方、江阴市政府采购中心、江阴市财政局政府采购管理科各执一份。</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3、本合同应按照中华人民共和国的现行法律进行解释。</w:t>
      </w:r>
      <w:r/>
    </w:p>
    <w:p>
      <w:pPr>
        <w:jc w:val="center"/>
        <w:spacing w:line="400" w:lineRule="exact"/>
        <w:rPr>
          <w:rFonts w:ascii="楷体_GB2312" w:hAnsi="Times New Roman" w:eastAsia="楷体_GB2312" w:cs="Times New Roman"/>
          <w:b/>
          <w:bCs/>
          <w:sz w:val="30"/>
          <w:szCs w:val="24"/>
        </w:rPr>
      </w:pPr>
      <w:r>
        <w:rPr>
          <w:rFonts w:ascii="楷体_GB2312" w:hAnsi="Times New Roman" w:eastAsia="楷体_GB2312" w:cs="Times New Roman"/>
          <w:b/>
          <w:bCs/>
          <w:sz w:val="30"/>
          <w:szCs w:val="24"/>
        </w:rPr>
      </w:r>
      <w:r/>
    </w:p>
    <w:p>
      <w:pPr>
        <w:jc w:val="center"/>
        <w:spacing w:line="400" w:lineRule="exact"/>
        <w:rPr>
          <w:rFonts w:ascii="楷体_GB2312" w:hAnsi="Times New Roman" w:eastAsia="楷体_GB2312" w:cs="Times New Roman"/>
          <w:b/>
          <w:bCs/>
          <w:sz w:val="30"/>
          <w:szCs w:val="24"/>
        </w:rPr>
      </w:pPr>
      <w:r>
        <w:rPr>
          <w:rFonts w:ascii="楷体_GB2312" w:hAnsi="Times New Roman" w:eastAsia="楷体_GB2312" w:cs="Times New Roman"/>
          <w:b/>
          <w:bCs/>
          <w:sz w:val="30"/>
          <w:szCs w:val="24"/>
        </w:rPr>
      </w:r>
      <w:r/>
    </w:p>
    <w:tbl>
      <w:tblPr>
        <w:tblStyle w:val="866"/>
        <w:tblW w:w="9356" w:type="dxa"/>
        <w:jc w:val="center"/>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jc w:val="center"/>
        </w:trPr>
        <w:tc>
          <w:tcPr>
            <w:tcW w:w="4536" w:type="dxa"/>
            <w:textDirection w:val="lrTb"/>
            <w:noWrap w:val="false"/>
          </w:tcPr>
          <w:p>
            <w:pPr>
              <w:spacing w:line="36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甲方（采购单位）：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乙方（中标单位）：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r>
      <w:tr>
        <w:trPr>
          <w:jc w:val="center"/>
        </w:trPr>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r>
      <w:tr>
        <w:trPr>
          <w:jc w:val="center"/>
        </w:trPr>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法定（授权）代表人：</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法定（授权）代表人：</w:t>
            </w:r>
            <w:r/>
          </w:p>
        </w:tc>
      </w:tr>
      <w:tr>
        <w:trPr>
          <w:jc w:val="center"/>
        </w:trPr>
        <w:tc>
          <w:tcPr>
            <w:tcW w:w="4536" w:type="dxa"/>
            <w:textDirection w:val="lrTb"/>
            <w:noWrap w:val="false"/>
          </w:tcPr>
          <w:p>
            <w:pPr>
              <w:jc w:val="right"/>
              <w:spacing w:line="36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jc w:val="right"/>
              <w:spacing w:line="36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bookmarkEnd w:id="18"/>
            <w:r/>
            <w:r/>
          </w:p>
        </w:tc>
      </w:tr>
    </w:tbl>
    <w:p>
      <w:pPr>
        <w:pStyle w:val="889"/>
        <w:sectPr>
          <w:footnotePr/>
          <w:endnotePr/>
          <w:type w:val="nextPage"/>
          <w:pgSz w:w="11906" w:h="16838" w:orient="portrait"/>
          <w:pgMar w:top="1247" w:right="1247" w:bottom="1247" w:left="1247" w:header="680" w:footer="992" w:gutter="0"/>
          <w:cols w:num="1" w:sep="0" w:space="720" w:equalWidth="1"/>
          <w:docGrid w:linePitch="360"/>
        </w:sectPr>
      </w:pPr>
      <w:r/>
      <w:r/>
    </w:p>
    <w:p>
      <w:pPr>
        <w:pStyle w:val="889"/>
      </w:pPr>
      <w:r/>
      <w:r/>
    </w:p>
    <w:p>
      <w:pPr>
        <w:pStyle w:val="889"/>
      </w:pPr>
      <w:r/>
      <w:bookmarkStart w:id="19" w:name="_Toc23457"/>
      <w:r>
        <w:rPr>
          <w:rFonts w:hint="eastAsia"/>
        </w:rPr>
        <w:t xml:space="preserve">第六章　投标文件的组成和格式</w:t>
      </w:r>
      <w:bookmarkEnd w:id="19"/>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投</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标</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书</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ind w:left="2245" w:hanging="1350"/>
        <w:spacing w:line="600" w:lineRule="exact"/>
        <w:rPr>
          <w:rFonts w:ascii="宋体" w:hAnsi="宋体" w:eastAsia="宋体" w:cs="Times New Roman"/>
          <w:sz w:val="30"/>
          <w:szCs w:val="30"/>
          <w:u w:val="single"/>
        </w:rPr>
      </w:pPr>
      <w:r>
        <w:rPr>
          <w:rFonts w:hint="eastAsia" w:ascii="宋体" w:hAnsi="宋体" w:eastAsia="宋体" w:cs="Times New Roman"/>
          <w:bCs/>
          <w:sz w:val="30"/>
          <w:szCs w:val="30"/>
        </w:rPr>
        <w:t xml:space="preserve">项目名称：</w:t>
      </w:r>
      <w:r>
        <w:rPr>
          <w:rFonts w:hint="eastAsia" w:ascii="宋体" w:hAnsi="宋体" w:eastAsia="宋体" w:cs="Times New Roman"/>
          <w:sz w:val="30"/>
          <w:szCs w:val="30"/>
          <w:u w:val="single"/>
        </w:rPr>
        <w:t xml:space="preserve">                                  </w:t>
      </w:r>
      <w:r/>
    </w:p>
    <w:p>
      <w:pPr>
        <w:ind w:firstLine="900"/>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项目编号：</w:t>
      </w:r>
      <w:r>
        <w:rPr>
          <w:rFonts w:hint="eastAsia" w:ascii="宋体" w:hAnsi="宋体" w:eastAsia="宋体" w:cs="Times New Roman"/>
          <w:bCs/>
          <w:sz w:val="30"/>
          <w:szCs w:val="24"/>
          <w:u w:val="single"/>
        </w:rPr>
        <w:t xml:space="preserve">                                  </w:t>
      </w:r>
      <w:r/>
    </w:p>
    <w:p>
      <w:pPr>
        <w:ind w:firstLine="900"/>
        <w:spacing w:line="600" w:lineRule="exact"/>
        <w:rPr>
          <w:rFonts w:ascii="宋体" w:hAnsi="宋体" w:eastAsia="宋体" w:cs="Times New Roman"/>
          <w:bCs/>
          <w:sz w:val="30"/>
          <w:szCs w:val="24"/>
          <w:u w:val="single"/>
        </w:rPr>
      </w:pPr>
      <w:r>
        <w:rPr>
          <w:rFonts w:hint="eastAsia" w:ascii="宋体" w:hAnsi="宋体" w:eastAsia="宋体" w:cs="Times New Roman"/>
          <w:bCs/>
          <w:sz w:val="30"/>
          <w:szCs w:val="24"/>
        </w:rPr>
        <w:t xml:space="preserve">投标单位：</w:t>
      </w:r>
      <w:r>
        <w:rPr>
          <w:rFonts w:hint="eastAsia" w:ascii="宋体" w:hAnsi="宋体" w:eastAsia="宋体" w:cs="Times New Roman"/>
          <w:bCs/>
          <w:sz w:val="30"/>
          <w:szCs w:val="24"/>
          <w:u w:val="single"/>
        </w:rPr>
        <w:t xml:space="preserve">                                  </w:t>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center"/>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二○    年  月  日</w:t>
      </w:r>
      <w:r/>
    </w:p>
    <w:p>
      <w:pPr>
        <w:jc w:val="center"/>
        <w:spacing w:line="600" w:lineRule="exact"/>
        <w:rPr>
          <w:rFonts w:ascii="宋体" w:hAnsi="宋体" w:eastAsia="宋体" w:cs="Times New Roman"/>
          <w:bCs/>
          <w:sz w:val="30"/>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30"/>
          <w:szCs w:val="24"/>
        </w:rPr>
      </w:r>
      <w:r/>
    </w:p>
    <w:p>
      <w:pPr>
        <w:jc w:val="center"/>
        <w:spacing w:line="400" w:lineRule="exact"/>
        <w:rPr>
          <w:rFonts w:ascii="黑体" w:hAnsi="宋体" w:eastAsia="黑体" w:cs="Times New Roman"/>
          <w:bCs/>
          <w:sz w:val="28"/>
          <w:szCs w:val="28"/>
        </w:rPr>
      </w:pPr>
      <w:r>
        <w:rPr>
          <w:rFonts w:ascii="黑体" w:hAnsi="宋体" w:eastAsia="黑体" w:cs="Times New Roman"/>
          <w:bCs/>
          <w:sz w:val="28"/>
          <w:szCs w:val="28"/>
        </w:rPr>
      </w:r>
      <w:r/>
    </w:p>
    <w:p>
      <w:pPr>
        <w:jc w:val="center"/>
        <w:spacing w:line="400" w:lineRule="exact"/>
        <w:rPr>
          <w:rFonts w:ascii="黑体" w:hAnsi="宋体" w:eastAsia="黑体" w:cs="Times New Roman"/>
          <w:bCs/>
          <w:sz w:val="28"/>
          <w:szCs w:val="28"/>
        </w:rPr>
      </w:pPr>
      <w:r>
        <w:rPr>
          <w:rFonts w:hint="eastAsia" w:ascii="黑体" w:hAnsi="宋体" w:eastAsia="黑体" w:cs="Times New Roman"/>
          <w:bCs/>
          <w:sz w:val="28"/>
          <w:szCs w:val="28"/>
        </w:rPr>
        <w:t xml:space="preserve">一、投标函</w:t>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致江阴市政府采购中心：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我方收到贵中心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（项目名称及编号）招标文件，经仔细阅读和研究，我们决定参加此项目的投标。</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1、愿意按照招标文件的一切要求，参加本项目的投标</w:t>
      </w:r>
      <w:r>
        <w:rPr>
          <w:rFonts w:hint="eastAsia" w:ascii="宋体" w:hAnsi="宋体" w:eastAsia="宋体" w:cs="Times New Roman"/>
          <w:sz w:val="24"/>
          <w:szCs w:val="24"/>
        </w:rPr>
        <w:t xml:space="preserve">，</w:t>
      </w:r>
      <w:r>
        <w:rPr>
          <w:rFonts w:hint="eastAsia" w:ascii="宋体" w:hAnsi="宋体" w:eastAsia="宋体" w:cs="Times New Roman"/>
          <w:bCs/>
          <w:sz w:val="24"/>
          <w:szCs w:val="24"/>
        </w:rPr>
        <w:t xml:space="preserve">投标报价详见《开标一览表》。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2、我方同意按招标文件的规定，本投标文件的投标有效期限为开标后90天。</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3、我方愿意提供招标文件中要求的原始资料及可能另外要求的与投标有关的任何资料，并保证我方已提供和将要提供的资料是真实的、准确的。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4、我方认为你们有权决定中标者。</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5、我方愿意遵守《中华人民共和国政府采购法》、</w:t>
      </w:r>
      <w:r>
        <w:rPr>
          <w:rFonts w:hint="eastAsia" w:ascii="宋体" w:hAnsi="宋体" w:eastAsia="宋体" w:cs="Times New Roman"/>
          <w:sz w:val="24"/>
          <w:szCs w:val="24"/>
        </w:rPr>
        <w:t xml:space="preserve">《中华人民共和国政府采购法实施条例》</w:t>
      </w:r>
      <w:r>
        <w:rPr>
          <w:rFonts w:hint="eastAsia" w:ascii="宋体" w:hAnsi="宋体" w:eastAsia="宋体" w:cs="Times New Roman"/>
          <w:bCs/>
          <w:sz w:val="24"/>
          <w:szCs w:val="24"/>
        </w:rPr>
        <w:t xml:space="preserve">，并按《中华人民共和国民法典》、财政部《政府采购货物和服务招标投标管理办法》和合同条款履行自己的全部责任。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6、我方认可并遵守采购文件的所有规定，放弃对招标（采购）文件、评标办法、评分细则及配分提出质疑的权利。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7、如我们在投标截止期后撤回投标或中标后拒绝遵守投标承诺或拒绝在规定的时间内与采购人签订合同，则将接受相应处罚。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9、一旦我方中标，我方将根据招标文件的规定，严格履行合同的责任和义务，保证按期、按质、按量完成项目。</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电话：</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传真：</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地址：</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邮编：</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电子邮箱：</w:t>
      </w:r>
      <w:r/>
    </w:p>
    <w:p>
      <w:pPr>
        <w:jc w:val="center"/>
        <w:spacing w:line="400" w:lineRule="exact"/>
        <w:rPr>
          <w:rFonts w:ascii="黑体" w:hAnsi="黑体" w:eastAsia="黑体" w:cs="Times New Roman"/>
          <w:sz w:val="28"/>
          <w:szCs w:val="28"/>
        </w:rPr>
      </w:pPr>
      <w:r/>
      <w:bookmarkStart w:id="20" w:name="_Toc222799676"/>
      <w:r/>
      <w:bookmarkStart w:id="21" w:name="_Toc194739809"/>
      <w:r/>
      <w:r/>
    </w:p>
    <w:p>
      <w:pPr>
        <w:jc w:val="center"/>
        <w:spacing w:line="400" w:lineRule="exact"/>
        <w:rPr>
          <w:rFonts w:ascii="黑体" w:hAnsi="黑体" w:eastAsia="黑体" w:cs="Times New Roman"/>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bCs/>
          <w:sz w:val="28"/>
          <w:szCs w:val="28"/>
          <w:u w:val="single"/>
        </w:rPr>
      </w:pPr>
      <w:r>
        <w:rPr>
          <w:rFonts w:hint="eastAsia" w:ascii="黑体" w:hAnsi="黑体" w:eastAsia="黑体" w:cs="Times New Roman"/>
          <w:sz w:val="28"/>
          <w:szCs w:val="28"/>
        </w:rPr>
        <w:t xml:space="preserve">二、开标一览表</w:t>
      </w:r>
      <w:r/>
    </w:p>
    <w:p>
      <w:pPr>
        <w:jc w:val="center"/>
        <w:spacing w:line="400" w:lineRule="exact"/>
        <w:rPr>
          <w:rFonts w:ascii="黑体" w:hAnsi="黑体" w:eastAsia="黑体" w:cs="Times New Roman"/>
          <w:bCs/>
          <w:sz w:val="28"/>
          <w:szCs w:val="28"/>
          <w:u w:val="single"/>
        </w:rPr>
      </w:pPr>
      <w:r>
        <w:rPr>
          <w:rFonts w:ascii="黑体" w:hAnsi="黑体" w:eastAsia="黑体" w:cs="Times New Roman"/>
          <w:bCs/>
          <w:sz w:val="28"/>
          <w:szCs w:val="28"/>
          <w:u w:val="single"/>
        </w:rPr>
      </w:r>
      <w:r/>
    </w:p>
    <w:tbl>
      <w:tblPr>
        <w:tblStyle w:val="86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075"/>
        <w:gridCol w:w="7224"/>
      </w:tblGrid>
      <w:tr>
        <w:trPr>
          <w:jc w:val="center"/>
          <w:trHeight w:val="760"/>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项目编号</w:t>
            </w:r>
            <w:r/>
          </w:p>
        </w:tc>
        <w:tc>
          <w:tcPr>
            <w:tcW w:w="7224" w:type="dxa"/>
            <w:vAlign w:val="center"/>
            <w:textDirection w:val="lrTb"/>
            <w:noWrap w:val="false"/>
          </w:tcPr>
          <w:p>
            <w:pPr>
              <w:jc w:val="center"/>
              <w:spacing w:line="40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JSZC-320281-JZCG-G2026-0035</w:t>
            </w:r>
            <w:r/>
          </w:p>
        </w:tc>
      </w:tr>
      <w:tr>
        <w:trPr>
          <w:jc w:val="center"/>
          <w:trHeight w:val="776"/>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项目名称</w:t>
            </w:r>
            <w:r/>
          </w:p>
        </w:tc>
        <w:tc>
          <w:tcPr>
            <w:tcW w:w="7224" w:type="dxa"/>
            <w:vAlign w:val="center"/>
            <w:textDirection w:val="lrTb"/>
            <w:noWrap w:val="false"/>
          </w:tcPr>
          <w:p>
            <w:pPr>
              <w:jc w:val="center"/>
              <w:spacing w:line="40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靖江办案中心智能化改造项目</w:t>
            </w:r>
            <w:r/>
          </w:p>
        </w:tc>
      </w:tr>
      <w:tr>
        <w:trPr>
          <w:jc w:val="center"/>
          <w:trHeight w:val="1678"/>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项目报价</w:t>
            </w:r>
            <w:r/>
          </w:p>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（单位：元）</w:t>
            </w:r>
            <w:r/>
          </w:p>
        </w:tc>
        <w:tc>
          <w:tcPr>
            <w:tcW w:w="7224" w:type="dxa"/>
            <w:vAlign w:val="center"/>
            <w:textDirection w:val="lrTb"/>
            <w:noWrap w:val="false"/>
          </w:tcPr>
          <w:p>
            <w:pPr>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以“标书制作客户端一一基本目录一一开标一览表”中</w:t>
            </w:r>
            <w:r/>
          </w:p>
          <w:p>
            <w:pPr>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填写的金额为准。</w:t>
            </w:r>
            <w:r/>
          </w:p>
        </w:tc>
      </w:tr>
    </w:tbl>
    <w:p>
      <w:pPr>
        <w:jc w:val="left"/>
        <w:spacing w:line="400" w:lineRule="exact"/>
        <w:rPr>
          <w:rFonts w:ascii="宋体" w:hAnsi="宋体" w:eastAsia="宋体" w:cs="Times New Roman"/>
          <w:b/>
          <w:sz w:val="24"/>
          <w:szCs w:val="24"/>
        </w:rPr>
      </w:pPr>
      <w:r/>
      <w:bookmarkStart w:id="22" w:name="_Toc194386107"/>
      <w:r/>
      <w:bookmarkStart w:id="23" w:name="_Toc158691780"/>
      <w:r/>
      <w:bookmarkStart w:id="24" w:name="_Toc145474400"/>
      <w:r>
        <w:rPr>
          <w:rFonts w:hint="eastAsia" w:ascii="宋体" w:hAnsi="宋体" w:eastAsia="宋体" w:cs="Times New Roman"/>
          <w:b/>
          <w:sz w:val="24"/>
          <w:szCs w:val="24"/>
        </w:rPr>
        <w:t xml:space="preserve">注:此表格无需填报具体内容，签章上传即可。</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bookmarkEnd w:id="22"/>
      <w:r/>
      <w:bookmarkEnd w:id="23"/>
      <w:r/>
      <w:bookmarkEnd w:id="24"/>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bookmarkEnd w:id="20"/>
      <w:r/>
      <w:bookmarkEnd w:id="21"/>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Times New Roman" w:eastAsia="黑体" w:cs="Times New Roman"/>
          <w:sz w:val="28"/>
          <w:szCs w:val="28"/>
        </w:rPr>
        <w:t xml:space="preserve">三、</w:t>
      </w:r>
      <w:r>
        <w:rPr>
          <w:rFonts w:hint="eastAsia" w:ascii="黑体" w:hAnsi="黑体" w:eastAsia="黑体" w:cs="Times New Roman"/>
          <w:sz w:val="28"/>
          <w:szCs w:val="28"/>
        </w:rPr>
        <w:t xml:space="preserve">分项报价表</w:t>
      </w:r>
      <w:r/>
    </w:p>
    <w:p>
      <w:pPr>
        <w:jc w:val="right"/>
        <w:spacing w:line="400" w:lineRule="exact"/>
        <w:rPr>
          <w:rFonts w:ascii="宋体" w:hAnsi="宋体"/>
          <w:szCs w:val="21"/>
        </w:rPr>
      </w:pPr>
      <w:r>
        <w:rPr>
          <w:rFonts w:ascii="宋体" w:hAnsi="宋体"/>
          <w:szCs w:val="21"/>
        </w:rPr>
      </w:r>
      <w:r/>
    </w:p>
    <w:p>
      <w:pPr>
        <w:jc w:val="right"/>
        <w:spacing w:line="400" w:lineRule="exact"/>
        <w:rPr>
          <w:rFonts w:ascii="宋体" w:hAnsi="宋体" w:eastAsia="宋体" w:cs="Times New Roman"/>
          <w:szCs w:val="21"/>
        </w:rPr>
      </w:pPr>
      <w:r>
        <w:rPr>
          <w:rFonts w:hint="eastAsia" w:ascii="宋体" w:hAnsi="宋体" w:eastAsia="宋体" w:cs="Times New Roman"/>
          <w:szCs w:val="21"/>
        </w:rPr>
        <w:t xml:space="preserve">单位：元（人民币）</w:t>
      </w:r>
      <w:r/>
    </w:p>
    <w:tbl>
      <w:tblPr>
        <w:tblStyle w:val="866"/>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689"/>
        <w:gridCol w:w="689"/>
        <w:gridCol w:w="690"/>
        <w:gridCol w:w="1100"/>
        <w:gridCol w:w="1005"/>
        <w:gridCol w:w="851"/>
        <w:gridCol w:w="818"/>
        <w:gridCol w:w="689"/>
        <w:gridCol w:w="895"/>
        <w:gridCol w:w="1101"/>
        <w:gridCol w:w="1101"/>
      </w:tblGrid>
      <w:tr>
        <w:trPr>
          <w:jc w:val="center"/>
        </w:trPr>
        <w:tc>
          <w:tcPr>
            <w:tcBorders>
              <w:top w:val="single" w:color="auto" w:sz="12"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序号</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名称</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品牌</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规格型号</w:t>
            </w:r>
            <w:r/>
          </w:p>
        </w:tc>
        <w:tc>
          <w:tcPr>
            <w:tcBorders>
              <w:top w:val="single" w:color="auto" w:sz="12"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制造商名称</w:t>
            </w:r>
            <w:r/>
          </w:p>
        </w:tc>
        <w:tc>
          <w:tcPr>
            <w:tcBorders>
              <w:top w:val="single" w:color="auto" w:sz="12"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产地</w:t>
            </w:r>
            <w:r/>
          </w:p>
        </w:tc>
        <w:tc>
          <w:tcPr>
            <w:tcBorders>
              <w:top w:val="single" w:color="auto" w:sz="12"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数量</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单位</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质保期</w:t>
            </w:r>
            <w:r/>
          </w:p>
        </w:tc>
        <w:tc>
          <w:tcPr>
            <w:tcBorders>
              <w:top w:val="single" w:color="auto" w:sz="12"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widowControl/>
              <w:rPr>
                <w:rFonts w:ascii="宋体" w:hAnsi="宋体" w:eastAsia="宋体" w:cs="Times New Roman"/>
                <w:b/>
                <w:bCs/>
                <w:szCs w:val="21"/>
              </w:rPr>
            </w:pPr>
            <w:r>
              <w:rPr>
                <w:rFonts w:hint="eastAsia" w:ascii="宋体" w:hAnsi="宋体" w:eastAsia="宋体" w:cs="Times New Roman"/>
                <w:b/>
                <w:bCs/>
                <w:szCs w:val="21"/>
              </w:rPr>
              <w:t xml:space="preserve">分项单价</w:t>
            </w:r>
            <w:r/>
          </w:p>
        </w:tc>
        <w:tc>
          <w:tcPr>
            <w:tcBorders>
              <w:top w:val="single" w:color="auto" w:sz="12"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widowControl/>
              <w:rPr>
                <w:rFonts w:ascii="宋体" w:hAnsi="宋体" w:eastAsia="宋体" w:cs="Times New Roman"/>
                <w:b/>
                <w:bCs/>
                <w:szCs w:val="21"/>
              </w:rPr>
            </w:pPr>
            <w:r>
              <w:rPr>
                <w:rFonts w:hint="eastAsia" w:ascii="宋体" w:hAnsi="宋体" w:eastAsia="宋体" w:cs="Times New Roman"/>
                <w:b/>
                <w:bCs/>
                <w:szCs w:val="21"/>
              </w:rPr>
              <w:t xml:space="preserve">分项总价</w:t>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1</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2</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3</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Height w:val="758"/>
        </w:trPr>
        <w:tc>
          <w:tcPr>
            <w:gridSpan w:val="11"/>
            <w:tcBorders>
              <w:top w:val="single" w:color="auto" w:sz="6" w:space="0"/>
              <w:left w:val="single" w:color="auto" w:sz="12" w:space="0"/>
              <w:bottom w:val="single" w:color="auto" w:sz="6" w:space="0"/>
              <w:right w:val="single" w:color="auto" w:sz="12" w:space="0"/>
            </w:tcBorders>
            <w:tcW w:w="0" w:type="auto"/>
            <w:vAlign w:val="center"/>
            <w:textDirection w:val="lrTb"/>
            <w:noWrap w:val="false"/>
          </w:tcPr>
          <w:p>
            <w:pPr>
              <w:spacing w:line="400" w:lineRule="exact"/>
              <w:rPr>
                <w:rFonts w:ascii="宋体" w:hAnsi="宋体" w:eastAsia="宋体" w:cs="Times New Roman"/>
                <w:b/>
                <w:bCs/>
                <w:szCs w:val="21"/>
              </w:rPr>
            </w:pPr>
            <w:r>
              <w:rPr>
                <w:rFonts w:hint="eastAsia" w:ascii="宋体" w:hAnsi="宋体" w:eastAsia="宋体" w:cs="Times New Roman"/>
                <w:b/>
                <w:bCs/>
                <w:szCs w:val="21"/>
              </w:rPr>
              <w:t xml:space="preserve">合计总价：人民币</w:t>
            </w:r>
            <w:r>
              <w:rPr>
                <w:rFonts w:hint="eastAsia" w:ascii="宋体" w:hAnsi="宋体" w:eastAsia="宋体" w:cs="Times New Roman"/>
                <w:b/>
                <w:bCs/>
                <w:szCs w:val="21"/>
                <w:u w:val="single"/>
              </w:rPr>
              <w:t xml:space="preserve">                      </w:t>
            </w:r>
            <w:r>
              <w:rPr>
                <w:rFonts w:hint="eastAsia" w:ascii="宋体" w:hAnsi="宋体" w:eastAsia="宋体" w:cs="Times New Roman"/>
                <w:b/>
                <w:bCs/>
                <w:szCs w:val="21"/>
              </w:rPr>
              <w:t xml:space="preserve">元</w:t>
            </w:r>
            <w:r/>
          </w:p>
        </w:tc>
      </w:tr>
      <w:tr>
        <w:trPr>
          <w:jc w:val="center"/>
        </w:trPr>
        <w:tc>
          <w:tcPr>
            <w:gridSpan w:val="11"/>
            <w:tcBorders>
              <w:top w:val="single" w:color="auto" w:sz="6" w:space="0"/>
              <w:left w:val="single" w:color="auto" w:sz="12" w:space="0"/>
              <w:bottom w:val="single" w:color="auto" w:sz="12" w:space="0"/>
              <w:right w:val="single" w:color="auto" w:sz="12" w:space="0"/>
            </w:tcBorders>
            <w:tcW w:w="0" w:type="auto"/>
            <w:textDirection w:val="lrTb"/>
            <w:noWrap w:val="false"/>
          </w:tcPr>
          <w:p>
            <w:pPr>
              <w:jc w:val="left"/>
              <w:spacing w:line="440" w:lineRule="exact"/>
              <w:widowControl/>
              <w:rPr>
                <w:rFonts w:ascii="宋体" w:hAnsi="宋体" w:eastAsia="宋体" w:cs="Times New Roman"/>
                <w:b/>
                <w:bCs/>
                <w:szCs w:val="21"/>
              </w:rPr>
            </w:pPr>
            <w:r>
              <w:rPr>
                <w:rFonts w:hint="eastAsia" w:ascii="宋体" w:hAnsi="宋体" w:eastAsia="宋体" w:cs="Times New Roman"/>
                <w:b/>
                <w:bCs/>
                <w:szCs w:val="21"/>
              </w:rPr>
              <w:t xml:space="preserve">本采购包中提供的符合本国产品标准的产品成本之和占该采购包提供的全部产品成本之和的比例为</w:t>
            </w:r>
            <w:r>
              <w:rPr>
                <w:rFonts w:hint="eastAsia" w:ascii="宋体" w:hAnsi="宋体" w:eastAsia="宋体" w:cs="Times New Roman"/>
                <w:b/>
                <w:bCs/>
                <w:szCs w:val="21"/>
                <w:u w:val="single"/>
              </w:rPr>
              <w:t xml:space="preserve">         </w:t>
            </w:r>
            <w:r>
              <w:rPr>
                <w:rFonts w:hint="eastAsia" w:ascii="宋体" w:hAnsi="宋体" w:eastAsia="宋体" w:cs="Times New Roman"/>
                <w:b/>
                <w:bCs/>
                <w:szCs w:val="21"/>
              </w:rPr>
              <w:t xml:space="preserve">%。</w:t>
            </w:r>
            <w:r/>
          </w:p>
        </w:tc>
      </w:tr>
    </w:tbl>
    <w:p>
      <w:pPr>
        <w:spacing w:line="360" w:lineRule="exact"/>
        <w:rPr>
          <w:rFonts w:ascii="宋体" w:hAnsi="宋体" w:eastAsia="宋体" w:cs="Times New Roman"/>
          <w:szCs w:val="21"/>
        </w:rPr>
      </w:pPr>
      <w:r>
        <w:rPr>
          <w:rFonts w:ascii="宋体" w:hAnsi="宋体" w:eastAsia="宋体" w:cs="Times New Roman"/>
          <w:szCs w:val="21"/>
        </w:rPr>
      </w:r>
      <w:r/>
    </w:p>
    <w:p>
      <w:pPr>
        <w:spacing w:line="360" w:lineRule="exact"/>
        <w:rPr>
          <w:rFonts w:ascii="宋体" w:hAnsi="宋体"/>
          <w:szCs w:val="21"/>
        </w:rPr>
      </w:pPr>
      <w:r>
        <w:rPr>
          <w:rFonts w:hint="eastAsia" w:ascii="宋体" w:hAnsi="宋体" w:eastAsia="宋体" w:cs="Times New Roman"/>
          <w:szCs w:val="21"/>
        </w:rPr>
        <w:t xml:space="preserve">注：1、投标单位应当根据本采购包的相关需求据实、详细填写上述表格，</w:t>
      </w:r>
      <w:r>
        <w:rPr>
          <w:rFonts w:hint="eastAsia" w:ascii="宋体" w:hAnsi="宋体"/>
          <w:szCs w:val="21"/>
        </w:rPr>
        <w:t xml:space="preserve">尤其注意规格型号的准确填写。</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2、上表中的“合计总价”应当与《开标一览表》中“项目报价”数额一致。</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注：“符合本国产品标准的产品成本之和”是指采购包中符合本国产品标准的货物成本之和；“全部产品成本之和”是指货物或服务采购包中包含的全部货物、服务产品的成本之和）</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4、表格不够可另接。</w:t>
      </w:r>
      <w:r/>
    </w:p>
    <w:p>
      <w:pPr>
        <w:ind w:firstLine="420"/>
        <w:spacing w:line="360" w:lineRule="exact"/>
        <w:rPr>
          <w:rFonts w:ascii="宋体" w:hAnsi="宋体" w:eastAsia="宋体" w:cs="Times New Roman"/>
          <w:szCs w:val="21"/>
        </w:rPr>
      </w:pPr>
      <w:r>
        <w:rPr>
          <w:rFonts w:ascii="宋体" w:hAnsi="宋体" w:eastAsia="宋体" w:cs="Times New Roman"/>
          <w:szCs w:val="21"/>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Cs/>
          <w:sz w:val="24"/>
          <w:szCs w:val="24"/>
        </w:rPr>
        <w:t xml:space="preserve">日期：     年    月    日</w:t>
      </w:r>
      <w:r/>
    </w:p>
    <w:p>
      <w:pPr>
        <w:jc w:val="center"/>
        <w:spacing w:line="360" w:lineRule="exact"/>
        <w:rPr>
          <w:rFonts w:ascii="黑体" w:hAnsi="黑体" w:eastAsia="黑体" w:cs="Times New Roman"/>
          <w:sz w:val="28"/>
          <w:szCs w:val="28"/>
        </w:rPr>
      </w:pPr>
      <w:r>
        <w:rPr>
          <w:rFonts w:ascii="黑体" w:hAnsi="黑体" w:eastAsia="黑体" w:cs="Times New Roman"/>
          <w:sz w:val="28"/>
          <w:szCs w:val="28"/>
        </w:rPr>
      </w:r>
      <w:r/>
    </w:p>
    <w:p>
      <w:pPr>
        <w:jc w:val="center"/>
        <w:spacing w:line="360" w:lineRule="exact"/>
        <w:rPr>
          <w:rFonts w:ascii="黑体" w:hAnsi="黑体" w:eastAsia="黑体" w:cs="Times New Roman"/>
          <w:sz w:val="28"/>
          <w:szCs w:val="28"/>
        </w:rPr>
      </w:pPr>
      <w:r>
        <w:rPr>
          <w:rFonts w:hint="eastAsia" w:ascii="黑体" w:hAnsi="黑体" w:eastAsia="黑体" w:cs="Times New Roman"/>
          <w:sz w:val="28"/>
          <w:szCs w:val="28"/>
        </w:rPr>
        <w:t xml:space="preserve">四、商务、技术要求响应及偏离表</w:t>
      </w:r>
      <w:r/>
    </w:p>
    <w:p>
      <w:pPr>
        <w:jc w:val="center"/>
        <w:spacing w:line="360" w:lineRule="exact"/>
        <w:rPr>
          <w:rFonts w:ascii="宋体" w:hAnsi="宋体" w:eastAsia="宋体" w:cs="Times New Roman"/>
          <w:b/>
          <w:sz w:val="24"/>
          <w:szCs w:val="24"/>
        </w:rPr>
      </w:pPr>
      <w:r>
        <w:rPr>
          <w:rFonts w:ascii="宋体" w:hAnsi="宋体" w:eastAsia="宋体" w:cs="Times New Roman"/>
          <w:b/>
          <w:sz w:val="24"/>
          <w:szCs w:val="24"/>
        </w:rPr>
      </w:r>
      <w:r/>
    </w:p>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（一）商务要求响应及偏离表</w:t>
      </w:r>
      <w:r/>
    </w:p>
    <w:tbl>
      <w:tblPr>
        <w:tblStyle w:val="866"/>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招标文件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投标文件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（二）技术要求响应及偏离表</w:t>
      </w:r>
      <w:r/>
    </w:p>
    <w:tbl>
      <w:tblPr>
        <w:tblStyle w:val="866"/>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招标文件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投标文件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spacing w:line="360" w:lineRule="exact"/>
        <w:rPr>
          <w:rFonts w:ascii="宋体" w:hAnsi="宋体" w:eastAsia="宋体" w:cs="Times New Roman"/>
          <w:szCs w:val="21"/>
        </w:rPr>
      </w:pPr>
      <w:r>
        <w:rPr>
          <w:rFonts w:ascii="宋体" w:hAnsi="宋体" w:eastAsia="宋体" w:cs="Times New Roman"/>
          <w:szCs w:val="21"/>
        </w:rPr>
      </w:r>
      <w:r/>
    </w:p>
    <w:p>
      <w:pPr>
        <w:spacing w:line="360" w:lineRule="exact"/>
        <w:rPr>
          <w:rFonts w:ascii="宋体" w:hAnsi="宋体" w:eastAsia="宋体" w:cs="Times New Roman"/>
          <w:b/>
          <w:szCs w:val="21"/>
        </w:rPr>
      </w:pPr>
      <w:r>
        <w:rPr>
          <w:rFonts w:hint="eastAsia" w:ascii="宋体" w:hAnsi="宋体" w:eastAsia="宋体" w:cs="Times New Roman"/>
          <w:szCs w:val="21"/>
        </w:rPr>
        <w:t xml:space="preserve">注：1、投标单位应据实、详细填写上述表格，因未标明或表述含糊导致的评审风险将由投标单位承担。</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2、质保期、工期、付款方式、售后服务等商务响应情况在“商务要求响应及偏离表”填写。产品技术参数要求响应等技术响应情况在“技术要求响应及偏离表”填写。</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3、若无偏离，在“有无偏离”栏中填写 “无”；若有偏离在“有无偏离”栏中填写 “有”并在“偏离内容及原因”栏中作出说明；若投标单位对某一事项是否存在或是否属于偏离不能确定，亦必须清楚标明该事项并在“有无偏离”栏中填写“不能确定”。</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4、“投标文件技术规范描述”完全照抄“招标文件技术要求”的，有被判定为负偏离的风险。</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5、表格不够可另接。</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五、法定代表人授权委托书</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（若法定代表人亲自参加投标的，请提供《法定代表人亲自投标声明》）</w:t>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特授权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代表我公司（单位）全权办理针对</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）的投标、参与评标、签约等具体工作，并签署全部有关的文件、协议及合同。</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我公司（单位）对授权委托人的签名负全部责任。</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职务：</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firstLine="420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法定代表人（签名或盖章）：</w:t>
      </w:r>
      <w:r>
        <w:rPr>
          <w:rFonts w:hint="eastAsia" w:ascii="宋体" w:hAnsi="宋体" w:eastAsia="宋体" w:cs="Times New Roman"/>
          <w:bCs/>
          <w:sz w:val="24"/>
          <w:szCs w:val="24"/>
          <w:u w:val="single"/>
        </w:rPr>
        <w:t xml:space="preserve">                </w:t>
      </w:r>
      <w:r/>
    </w:p>
    <w:p>
      <w:pPr>
        <w:jc w:val="cente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tbl>
      <w:tblPr>
        <w:tblStyle w:val="866"/>
        <w:tblpPr w:horzAnchor="page" w:tblpX="1775" w:vertAnchor="text" w:tblpY="351" w:leftFromText="180" w:topFromText="0" w:rightFromText="180" w:bottomFromText="0"/>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ascii="宋体" w:hAnsi="宋体" w:eastAsia="宋体" w:cs="Times New Roman"/>
                <w:bCs/>
                <w:sz w:val="24"/>
                <w:szCs w:val="24"/>
              </w:rPr>
            </w:pPr>
            <w:r>
              <w:rPr>
                <w:rFonts w:ascii="宋体" w:hAnsi="宋体" w:eastAsia="宋体" w:cs="Times New Roman"/>
                <w:bCs/>
                <w:sz w:val="24"/>
                <w:szCs w:val="24"/>
              </w:rPr>
            </w:r>
            <w:r/>
          </w:p>
        </w:tc>
        <w:tc>
          <w:tcPr>
            <w:tcW w:w="2843"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法定代表人亲自投标声明</w:t>
      </w:r>
      <w:r/>
    </w:p>
    <w:p>
      <w:pPr>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）由我单位法定代表人亲自参加投标、评标、签约等具体工作，并签署全部有关的文件、协议及合同。</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3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right="480" w:firstLine="25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法定代表人（签名或盖章）：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附：</w:t>
      </w:r>
      <w:r/>
    </w:p>
    <w:tbl>
      <w:tblPr>
        <w:tblStyle w:val="866"/>
        <w:tblpPr w:horzAnchor="page" w:tblpXSpec="center" w:vertAnchor="text" w:tblpY="351" w:leftFromText="180" w:topFromText="0" w:rightFromText="180" w:bottomFromText="0"/>
        <w:tblW w:w="28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24"/>
          <w:szCs w:val="24"/>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六、关于资格的声明函</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按照《中华人民共和国政府采购法》第二十二条和招标文件的规定，我单位郑重声明如下：</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一、我单位是按照中华人民共和国法律规定登记注册的，注册地点为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，全称为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，统一社会信用代码为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，法定代表人（单位负责人）为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，具有独立承担民事责任的能力</w:t>
      </w:r>
      <w:r>
        <w:rPr>
          <w:rFonts w:hint="eastAsia" w:ascii="宋体" w:hAnsi="宋体" w:eastAsia="宋体" w:cs="Times New Roman"/>
          <w:b/>
          <w:bCs/>
          <w:sz w:val="24"/>
          <w:szCs w:val="24"/>
        </w:rPr>
        <w:t xml:space="preserve">（如属于分公司经总公司授权参与项目，由总公司承担民事责任的，须提供总公司项目授权书）</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二、我单位具有良好的商业信誉（指投标人经营状况良好，无本资格声明第五条情形）和健全的财务会计制度。</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三、我单位依法进行纳税和社会保险申报并实际履行了义务。</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四、我单位具备履行本项采购合同所必需的设备和专业技术能力，为履行本项采购合同我公司具备如下主要设备和主要专业技术能力：主要设备有：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。主要专业技术能力有：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五、我单位参加本次政府采购活动前 3 年内，我单位在经营活动中没有因违法经营受到刑事处罚或者责令停产停业、吊销许可证或者执照、较大数额罚款等行政处罚。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六、我单位具备法律、行政法规规定的其他条件。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七、</w:t>
      </w:r>
      <w:r>
        <w:rPr>
          <w:rFonts w:ascii="宋体" w:hAnsi="宋体" w:eastAsia="宋体" w:cs="Times New Roman"/>
          <w:bCs/>
          <w:sz w:val="24"/>
          <w:szCs w:val="24"/>
        </w:rPr>
        <w:t xml:space="preserve">我单位未被列入“信用中国”网站列入失信被执行人、重大税收违法失信主体、政府采购严重违法失信行为信息记录名单。</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八、我单位不具有违反《中华人民共和国政府采购法》第二十二条的任何情形。</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九、我单位投标文件中所有关于投标资格的文件、证明、陈述均是真实的、准确的。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我单位承诺遵守《中华人民共和国政府采购法》第二十二、七十七条之规定，若有违背，我公司（单位）愿意承担因“提供虚假材料谋取中标的”的一切法律后果，依法接受相应处罚。</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rPr>
          <w:rFonts w:ascii="宋体" w:hAnsi="宋体" w:eastAsia="宋体" w:cs="Times New Roman"/>
          <w:b/>
          <w:bCs/>
          <w:sz w:val="24"/>
          <w:szCs w:val="24"/>
        </w:rPr>
      </w:pPr>
      <w:r>
        <w:rPr>
          <w:rFonts w:ascii="宋体" w:hAnsi="宋体" w:eastAsia="宋体" w:cs="Times New Roman"/>
          <w:b/>
          <w:bCs/>
          <w:sz w:val="24"/>
          <w:szCs w:val="24"/>
        </w:rPr>
      </w:r>
      <w:r/>
    </w:p>
    <w:p>
      <w:pPr>
        <w:rPr>
          <w:rFonts w:ascii="宋体" w:hAnsi="宋体" w:eastAsia="宋体" w:cs="Times New Roman"/>
          <w:b/>
          <w:bCs/>
          <w:szCs w:val="21"/>
        </w:rPr>
      </w:pPr>
      <w:r>
        <w:rPr>
          <w:rFonts w:hint="eastAsia" w:ascii="宋体" w:hAnsi="宋体" w:eastAsia="宋体" w:cs="Times New Roman"/>
          <w:b/>
          <w:bCs/>
          <w:szCs w:val="21"/>
        </w:rPr>
        <w:t xml:space="preserve">说明：</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1.无此表或对此表作实质性修改，投标无效。</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2.投标人须对此表中内容作出承诺，否则投标无效。</w:t>
      </w:r>
      <w:r/>
    </w:p>
    <w:p>
      <w:pPr>
        <w:ind w:firstLine="422"/>
        <w:jc w:val="left"/>
        <w:rPr>
          <w:rFonts w:ascii="宋体" w:hAnsi="宋体" w:eastAsia="宋体" w:cs="Times New Roman"/>
          <w:b/>
          <w:bCs/>
          <w:szCs w:val="21"/>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
          <w:bCs/>
          <w:szCs w:val="21"/>
        </w:rPr>
        <w:t xml:space="preserve">3.采购中心或采购人保留核查以上承诺事项真实性的权利。</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附件：</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一、中小企业声明函（货物类项目）</w:t>
      </w:r>
      <w:r/>
    </w:p>
    <w:p>
      <w:pPr>
        <w:ind w:firstLine="482"/>
        <w:jc w:val="center"/>
        <w:spacing w:line="400" w:lineRule="exact"/>
        <w:rPr>
          <w:rFonts w:ascii="宋体" w:hAnsi="宋体" w:eastAsia="宋体" w:cs="宋体"/>
          <w:sz w:val="28"/>
          <w:szCs w:val="28"/>
        </w:rPr>
      </w:pPr>
      <w:r>
        <w:rPr>
          <w:rFonts w:hint="eastAsia" w:ascii="仿宋" w:hAnsi="仿宋" w:eastAsia="仿宋" w:cs="Times New Roman"/>
          <w:b/>
          <w:bCs/>
          <w:sz w:val="24"/>
          <w:szCs w:val="24"/>
        </w:rPr>
        <w:t xml:space="preserve">（非小微型企业无需填写提供）</w:t>
      </w:r>
      <w:r/>
    </w:p>
    <w:p>
      <w:pPr>
        <w:ind w:firstLine="560"/>
        <w:jc w:val="center"/>
        <w:spacing w:line="400" w:lineRule="exact"/>
        <w:rPr>
          <w:rFonts w:ascii="宋体" w:hAnsi="宋体" w:eastAsia="宋体" w:cs="宋体"/>
          <w:sz w:val="28"/>
          <w:szCs w:val="28"/>
        </w:rPr>
      </w:pPr>
      <w:r>
        <w:rPr>
          <w:rFonts w:ascii="宋体" w:hAnsi="宋体" w:eastAsia="宋体" w:cs="宋体"/>
          <w:sz w:val="28"/>
          <w:szCs w:val="28"/>
        </w:rPr>
      </w:r>
      <w:r/>
    </w:p>
    <w:p>
      <w:pPr>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rPr>
        <w:t xml:space="preserve">（采购编号）</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项目（项目名称）（采购包号：**）的采购活动，提供的货物全部由符合政策要求的中小微企业制造。相关企业（含联合体中的中小微企业、签订采购包意向协议的中小微企业）的具体情况如下：</w:t>
      </w:r>
      <w:r/>
    </w:p>
    <w:p>
      <w:pPr>
        <w:ind w:firstLine="360"/>
        <w:spacing w:line="360" w:lineRule="auto"/>
        <w:rPr>
          <w:rFonts w:ascii="宋体" w:hAnsi="宋体" w:eastAsia="宋体" w:cs="Times New Roman"/>
          <w:i/>
          <w:sz w:val="24"/>
          <w:szCs w:val="24"/>
          <w:u w:val="single"/>
        </w:rPr>
      </w:pPr>
      <w:r>
        <w:rPr>
          <w:rFonts w:hint="eastAsia" w:ascii="宋体" w:hAnsi="宋体" w:eastAsia="宋体" w:cs="Times New Roman"/>
          <w:sz w:val="24"/>
          <w:szCs w:val="24"/>
        </w:rPr>
        <w:t xml:space="preserve">1.</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（供应商填写采购文件中明确的所属行业）</w:t>
      </w:r>
      <w:r>
        <w:rPr>
          <w:rFonts w:hint="eastAsia" w:ascii="宋体" w:hAnsi="宋体" w:eastAsia="宋体" w:cs="Times New Roman"/>
          <w:sz w:val="24"/>
          <w:szCs w:val="24"/>
        </w:rPr>
        <w:t xml:space="preserve">行业；制造商为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万元，属于</w:t>
      </w:r>
      <w:r>
        <w:rPr>
          <w:rFonts w:hint="eastAsia" w:ascii="宋体" w:hAnsi="宋体" w:eastAsia="宋体" w:cs="Times New Roman"/>
          <w:sz w:val="24"/>
          <w:szCs w:val="24"/>
          <w:u w:val="single"/>
        </w:rPr>
        <w:t xml:space="preserve">（□中型企业 □小型企业 □微型企业）；</w:t>
      </w:r>
      <w:r/>
    </w:p>
    <w:p>
      <w:pPr>
        <w:ind w:firstLine="360"/>
        <w:spacing w:line="360" w:lineRule="auto"/>
        <w:rPr>
          <w:rFonts w:ascii="宋体" w:hAnsi="宋体" w:eastAsia="宋体" w:cs="Times New Roman"/>
          <w:i/>
          <w:sz w:val="24"/>
          <w:szCs w:val="24"/>
          <w:u w:val="single"/>
        </w:rPr>
      </w:pPr>
      <w:r>
        <w:rPr>
          <w:rFonts w:hint="eastAsia" w:ascii="宋体" w:hAnsi="宋体" w:eastAsia="宋体" w:cs="Times New Roman"/>
          <w:sz w:val="24"/>
          <w:szCs w:val="24"/>
        </w:rPr>
        <w:t xml:space="preserve">2.</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（供应商填写采购文件中明确的所属行业）</w:t>
      </w:r>
      <w:r>
        <w:rPr>
          <w:rFonts w:hint="eastAsia" w:ascii="宋体" w:hAnsi="宋体" w:eastAsia="宋体" w:cs="Times New Roman"/>
          <w:sz w:val="24"/>
          <w:szCs w:val="24"/>
        </w:rPr>
        <w:t xml:space="preserve">行业；制造商为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万元，属于</w:t>
      </w:r>
      <w:r>
        <w:rPr>
          <w:rFonts w:hint="eastAsia" w:ascii="宋体" w:hAnsi="宋体" w:eastAsia="宋体" w:cs="Times New Roman"/>
          <w:sz w:val="24"/>
          <w:szCs w:val="24"/>
          <w:u w:val="single"/>
        </w:rPr>
        <w:t xml:space="preserve">（□中型企业 □小型企业 □微型企业）；</w:t>
      </w:r>
      <w:r/>
    </w:p>
    <w:p>
      <w:pPr>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w:t>
      </w:r>
      <w:r/>
    </w:p>
    <w:p>
      <w:pPr>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以上企业，不属于大企业的分支机构，不存在控股股东为大企业的情形，也不存在与大企业的负责人为同一人的情形。</w:t>
      </w:r>
      <w:r/>
    </w:p>
    <w:p>
      <w:pPr>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本企业对上述声明内容的真实性负责。如有虚假，将依法承担相应责任。</w:t>
      </w:r>
      <w:r/>
    </w:p>
    <w:p>
      <w:pPr>
        <w:ind w:right="720"/>
        <w:spacing w:line="360" w:lineRule="auto"/>
        <w:rPr>
          <w:rFonts w:ascii="宋体" w:hAnsi="宋体" w:eastAsia="宋体" w:cs="Times New Roman"/>
          <w:sz w:val="24"/>
          <w:szCs w:val="24"/>
        </w:rPr>
      </w:pPr>
      <w:r>
        <w:rPr>
          <w:rFonts w:ascii="宋体" w:hAnsi="宋体" w:eastAsia="宋体" w:cs="Times New Roman"/>
          <w:sz w:val="24"/>
          <w:szCs w:val="24"/>
        </w:rPr>
      </w:r>
      <w:r/>
    </w:p>
    <w:p>
      <w:pPr>
        <w:ind w:right="180"/>
        <w:jc w:val="righ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企业名称（加盖CA电子公章）：</w:t>
      </w:r>
      <w:r/>
    </w:p>
    <w:p>
      <w:pPr>
        <w:ind w:right="480"/>
        <w:jc w:val="righ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日  期：</w:t>
      </w:r>
      <w:r>
        <w:rPr>
          <w:rFonts w:hint="eastAsia" w:ascii="宋体" w:hAnsi="宋体" w:eastAsia="宋体" w:cs="Times New Roman"/>
          <w:color w:val="000000"/>
          <w:sz w:val="24"/>
          <w:szCs w:val="21"/>
        </w:rPr>
        <w:t xml:space="preserve">___年____月____日</w:t>
      </w:r>
      <w:r/>
    </w:p>
    <w:p>
      <w:pPr>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1.从业人员、营业收入、资产总额填报上一年度数据，无上一年度数据的新成立企业可不填报。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2.专门</w:t>
      </w:r>
      <w:r>
        <w:rPr>
          <w:rFonts w:ascii="宋体" w:hAnsi="宋体" w:eastAsia="宋体" w:cs="Times New Roman"/>
          <w:sz w:val="24"/>
          <w:szCs w:val="24"/>
        </w:rPr>
        <w:t xml:space="preserve">面向中小微型企业</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的项目，</w:t>
      </w:r>
      <w:r>
        <w:rPr>
          <w:rFonts w:hint="eastAsia" w:ascii="宋体" w:hAnsi="宋体" w:eastAsia="宋体" w:cs="Times New Roman"/>
          <w:sz w:val="24"/>
          <w:szCs w:val="24"/>
        </w:rPr>
        <w:t xml:space="preserve">供应商如不提供此声明函，则</w:t>
      </w:r>
      <w:r>
        <w:rPr>
          <w:rFonts w:ascii="宋体" w:hAnsi="宋体" w:eastAsia="宋体" w:cs="Times New Roman"/>
          <w:sz w:val="24"/>
          <w:szCs w:val="24"/>
        </w:rPr>
        <w:t xml:space="preserve">不能通过资格审查；</w:t>
      </w:r>
      <w:r>
        <w:rPr>
          <w:rFonts w:hint="eastAsia" w:ascii="宋体" w:hAnsi="宋体" w:eastAsia="宋体" w:cs="Times New Roman"/>
          <w:sz w:val="24"/>
          <w:szCs w:val="24"/>
        </w:rPr>
        <w:t xml:space="preserve">非专门</w:t>
      </w:r>
      <w:r>
        <w:rPr>
          <w:rFonts w:ascii="宋体" w:hAnsi="宋体" w:eastAsia="宋体" w:cs="Times New Roman"/>
          <w:sz w:val="24"/>
          <w:szCs w:val="24"/>
        </w:rPr>
        <w:t xml:space="preserve">面向中小微型企业</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的项目，</w:t>
      </w:r>
      <w:r>
        <w:rPr>
          <w:rFonts w:hint="eastAsia" w:ascii="宋体" w:hAnsi="宋体" w:eastAsia="宋体" w:cs="Times New Roman"/>
          <w:sz w:val="24"/>
          <w:szCs w:val="24"/>
        </w:rPr>
        <w:t xml:space="preserve">供应商如不提供此声明函，价格将不做相应扣除。</w:t>
      </w:r>
      <w:r/>
    </w:p>
    <w:p>
      <w:pPr>
        <w:ind w:left="540" w:hanging="12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3.供应商应对照《工业和信息化部、国家统计局、国家发展和改革委员会、</w:t>
      </w:r>
      <w:r/>
    </w:p>
    <w:p>
      <w:pPr>
        <w:rPr>
          <w:rFonts w:ascii="宋体" w:hAnsi="宋体" w:eastAsia="宋体" w:cs="Times New Roman"/>
          <w:sz w:val="24"/>
          <w:szCs w:val="24"/>
        </w:rPr>
      </w:pPr>
      <w:r>
        <w:rPr>
          <w:rFonts w:hint="eastAsia" w:ascii="宋体" w:hAnsi="宋体" w:eastAsia="宋体" w:cs="Times New Roman"/>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eastAsia="宋体" w:cs="Times New Roman"/>
          <w:sz w:val="24"/>
          <w:szCs w:val="24"/>
        </w:rPr>
        <w:t xml:space="preserve">自行勾选</w:t>
      </w:r>
      <w:r>
        <w:rPr>
          <w:rFonts w:hint="eastAsia" w:ascii="宋体" w:hAnsi="宋体" w:eastAsia="宋体" w:cs="Times New Roman"/>
          <w:sz w:val="24"/>
          <w:szCs w:val="24"/>
        </w:rPr>
        <w:t xml:space="preserve">制造商</w:t>
      </w:r>
      <w:r>
        <w:rPr>
          <w:rFonts w:ascii="宋体" w:hAnsi="宋体" w:eastAsia="宋体" w:cs="Times New Roman"/>
          <w:sz w:val="24"/>
          <w:szCs w:val="24"/>
        </w:rPr>
        <w:t xml:space="preserve">的企业</w:t>
      </w:r>
      <w:r>
        <w:rPr>
          <w:rFonts w:hint="eastAsia" w:ascii="宋体" w:hAnsi="宋体" w:eastAsia="宋体" w:cs="Times New Roman"/>
          <w:sz w:val="24"/>
          <w:szCs w:val="24"/>
        </w:rPr>
        <w:t xml:space="preserve">规模类型</w:t>
      </w:r>
      <w:r>
        <w:rPr>
          <w:rFonts w:ascii="宋体" w:hAnsi="宋体" w:eastAsia="宋体" w:cs="Times New Roman"/>
          <w:sz w:val="24"/>
          <w:szCs w:val="24"/>
        </w:rPr>
        <w:t xml:space="preserve">。</w:t>
      </w:r>
      <w:r/>
    </w:p>
    <w:p>
      <w:pPr>
        <w:ind w:firstLine="480"/>
        <w:jc w:val="left"/>
        <w:spacing w:line="400" w:lineRule="exact"/>
        <w:rPr>
          <w:rFonts w:ascii="宋体" w:hAnsi="宋体" w:eastAsia="宋体" w:cs="仿宋"/>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仿宋"/>
          <w:sz w:val="24"/>
          <w:szCs w:val="24"/>
        </w:rPr>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二、残疾人福利性单位声明函（货物类项目）</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（非残疾人福利性单位无需填写提供）</w:t>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Times New Roman"/>
          <w:sz w:val="24"/>
          <w:szCs w:val="24"/>
          <w:u w:val="single"/>
        </w:rPr>
        <w:t xml:space="preserve">（单位名称）</w:t>
      </w:r>
      <w:r>
        <w:rPr>
          <w:rFonts w:hint="eastAsia" w:ascii="宋体" w:hAnsi="宋体" w:eastAsia="宋体" w:cs="Times New Roman"/>
          <w:sz w:val="24"/>
          <w:szCs w:val="21"/>
        </w:rPr>
        <w:t xml:space="preserve">采购编号为</w:t>
      </w:r>
      <w:r>
        <w:rPr>
          <w:rFonts w:hint="eastAsia" w:ascii="宋体" w:hAnsi="宋体" w:eastAsia="宋体" w:cs="Times New Roman"/>
          <w:sz w:val="24"/>
          <w:szCs w:val="24"/>
          <w:u w:val="single"/>
        </w:rPr>
        <w:t xml:space="preserve">（采购编号）</w:t>
      </w:r>
      <w:r>
        <w:rPr>
          <w:rFonts w:hint="eastAsia" w:ascii="宋体" w:hAnsi="宋体" w:eastAsia="宋体" w:cs="Times New Roman"/>
          <w:sz w:val="24"/>
          <w:szCs w:val="21"/>
        </w:rPr>
        <w:t xml:space="preserve">，</w:t>
      </w:r>
      <w:r>
        <w:rPr>
          <w:rFonts w:hint="eastAsia" w:ascii="宋体" w:hAnsi="宋体" w:eastAsia="宋体" w:cs="Times New Roman"/>
          <w:sz w:val="24"/>
          <w:szCs w:val="21"/>
          <w:u w:val="single"/>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项目（项目名称）</w:t>
      </w:r>
      <w:r>
        <w:rPr>
          <w:rFonts w:hint="eastAsia" w:ascii="宋体" w:hAnsi="宋体" w:eastAsia="宋体" w:cs="Times New Roman"/>
          <w:sz w:val="24"/>
          <w:szCs w:val="21"/>
        </w:rPr>
        <w:t xml:space="preserve">（采购包号：**）采购活动提供本单位制造的货物，或者提供其他残疾人福利性单位制造的货物（不包括使用非残疾人福利性单位注册商标的货物）。</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本单位对上述声明的真实性负责。如有虚假，将依法承担相应责任。</w:t>
      </w:r>
      <w:r/>
    </w:p>
    <w:p>
      <w:pPr>
        <w:ind w:firstLine="480"/>
        <w:spacing w:line="360" w:lineRule="auto"/>
        <w:rPr>
          <w:rFonts w:ascii="宋体" w:hAnsi="宋体" w:eastAsia="宋体" w:cs="Times New Roman"/>
          <w:sz w:val="24"/>
          <w:szCs w:val="21"/>
        </w:rPr>
      </w:pPr>
      <w:r>
        <w:rPr>
          <w:rFonts w:ascii="宋体" w:hAnsi="宋体" w:eastAsia="宋体" w:cs="Times New Roman"/>
          <w:sz w:val="24"/>
          <w:szCs w:val="21"/>
        </w:rPr>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备注：</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1</w:t>
      </w:r>
      <w:r>
        <w:rPr>
          <w:rFonts w:ascii="宋体" w:hAnsi="宋体" w:eastAsia="宋体" w:cs="Times New Roman"/>
          <w:sz w:val="24"/>
          <w:szCs w:val="21"/>
        </w:rPr>
        <w:t xml:space="preserve">.</w:t>
      </w:r>
      <w:r>
        <w:rPr>
          <w:rFonts w:hint="eastAsia" w:ascii="宋体" w:hAnsi="宋体" w:eastAsia="宋体" w:cs="Times New Roman"/>
          <w:sz w:val="24"/>
          <w:szCs w:val="21"/>
        </w:rPr>
        <w:t xml:space="preserve">专门面向中小微型企业采购的</w:t>
      </w:r>
      <w:r>
        <w:rPr>
          <w:rFonts w:ascii="宋体" w:hAnsi="宋体" w:eastAsia="宋体" w:cs="Times New Roman"/>
          <w:sz w:val="24"/>
          <w:szCs w:val="21"/>
        </w:rPr>
        <w:t xml:space="preserve">项目</w:t>
      </w:r>
      <w:r>
        <w:rPr>
          <w:rFonts w:hint="eastAsia" w:ascii="宋体" w:hAnsi="宋体" w:eastAsia="宋体" w:cs="Times New Roman"/>
          <w:sz w:val="24"/>
          <w:szCs w:val="21"/>
        </w:rPr>
        <w:t xml:space="preserve">，供应商为残疾人福利性单位并提供本单位制造的货物，或者提供其他残疾人福利性单位制造的货物，必须提供此</w:t>
      </w:r>
      <w:r>
        <w:rPr>
          <w:rFonts w:ascii="宋体" w:hAnsi="宋体" w:eastAsia="宋体" w:cs="Times New Roman"/>
          <w:sz w:val="24"/>
          <w:szCs w:val="21"/>
        </w:rPr>
        <w:t xml:space="preserve">声明函</w:t>
      </w:r>
      <w:r>
        <w:rPr>
          <w:rFonts w:hint="eastAsia" w:ascii="宋体" w:hAnsi="宋体" w:eastAsia="宋体" w:cs="Times New Roman"/>
          <w:sz w:val="24"/>
          <w:szCs w:val="21"/>
        </w:rPr>
        <w:t xml:space="preserve">，</w:t>
      </w:r>
      <w:r>
        <w:rPr>
          <w:rFonts w:ascii="宋体" w:hAnsi="宋体" w:eastAsia="宋体" w:cs="Times New Roman"/>
          <w:sz w:val="24"/>
          <w:szCs w:val="21"/>
        </w:rPr>
        <w:t xml:space="preserve">否则将</w:t>
      </w:r>
      <w:r>
        <w:rPr>
          <w:rFonts w:hint="eastAsia" w:ascii="宋体" w:hAnsi="宋体" w:eastAsia="宋体" w:cs="Times New Roman"/>
          <w:sz w:val="24"/>
          <w:szCs w:val="21"/>
        </w:rPr>
        <w:t xml:space="preserve">不能</w:t>
      </w:r>
      <w:r>
        <w:rPr>
          <w:rFonts w:ascii="宋体" w:hAnsi="宋体" w:eastAsia="宋体" w:cs="Times New Roman"/>
          <w:sz w:val="24"/>
          <w:szCs w:val="21"/>
        </w:rPr>
        <w:t xml:space="preserve">通过资格审查</w:t>
      </w:r>
      <w:r>
        <w:rPr>
          <w:rFonts w:hint="eastAsia" w:ascii="宋体" w:hAnsi="宋体" w:eastAsia="宋体" w:cs="Times New Roman"/>
          <w:sz w:val="24"/>
          <w:szCs w:val="21"/>
        </w:rPr>
        <w:t xml:space="preserve">。</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2. 非专门面向中小微型企业采购的</w:t>
      </w:r>
      <w:r>
        <w:rPr>
          <w:rFonts w:ascii="宋体" w:hAnsi="宋体" w:eastAsia="宋体" w:cs="Times New Roman"/>
          <w:sz w:val="24"/>
          <w:szCs w:val="21"/>
        </w:rPr>
        <w:t xml:space="preserve">项目</w:t>
      </w:r>
      <w:r>
        <w:rPr>
          <w:rFonts w:hint="eastAsia" w:ascii="宋体" w:hAnsi="宋体" w:eastAsia="宋体" w:cs="Times New Roman"/>
          <w:sz w:val="24"/>
          <w:szCs w:val="21"/>
        </w:rPr>
        <w:t xml:space="preserve">，供应商如不提供此声明函，价格将不做相应扣除。</w:t>
      </w:r>
      <w:r/>
    </w:p>
    <w:p>
      <w:pPr>
        <w:ind w:firstLine="480"/>
        <w:spacing w:line="360" w:lineRule="auto"/>
        <w:rPr>
          <w:rFonts w:ascii="宋体" w:hAnsi="宋体" w:eastAsia="宋体" w:cs="Times New Roman"/>
          <w:sz w:val="24"/>
          <w:szCs w:val="21"/>
        </w:rPr>
      </w:pPr>
      <w:r>
        <w:rPr>
          <w:rFonts w:ascii="宋体" w:hAnsi="宋体" w:eastAsia="宋体" w:cs="Times New Roman"/>
          <w:sz w:val="24"/>
          <w:szCs w:val="21"/>
        </w:rPr>
        <w:t xml:space="preserve">3</w:t>
      </w:r>
      <w:r>
        <w:rPr>
          <w:rFonts w:hint="eastAsia" w:ascii="宋体" w:hAnsi="宋体" w:eastAsia="宋体" w:cs="Times New Roman"/>
          <w:sz w:val="24"/>
          <w:szCs w:val="21"/>
        </w:rPr>
        <w:t xml:space="preserve">.中标/成交供应商为残疾人福利性单位的，此声明函将随中标/成交结果同时公告，接受社会监督。</w:t>
      </w:r>
      <w:r/>
    </w:p>
    <w:p>
      <w:pPr>
        <w:ind w:firstLine="624"/>
        <w:spacing w:line="360" w:lineRule="auto"/>
        <w:rPr>
          <w:rFonts w:ascii="仿宋_GB2312" w:hAnsi="Times New Roman" w:eastAsia="仿宋_GB2312" w:cs="Times New Roman"/>
          <w:spacing w:val="6"/>
          <w:sz w:val="30"/>
          <w:szCs w:val="30"/>
        </w:rPr>
      </w:pPr>
      <w:r>
        <w:rPr>
          <w:rFonts w:ascii="仿宋_GB2312" w:hAnsi="Times New Roman" w:eastAsia="仿宋_GB2312" w:cs="Times New Roman"/>
          <w:spacing w:val="6"/>
          <w:sz w:val="30"/>
          <w:szCs w:val="30"/>
        </w:rPr>
      </w:r>
      <w:r/>
    </w:p>
    <w:p>
      <w:pPr>
        <w:jc w:val="right"/>
        <w:spacing w:line="360" w:lineRule="auto"/>
        <w:tabs>
          <w:tab w:val="left" w:pos="4860" w:leader="none"/>
        </w:tabs>
        <w:rPr>
          <w:rFonts w:ascii="宋体" w:hAnsi="宋体" w:eastAsia="宋体" w:cs="Times New Roman"/>
          <w:sz w:val="24"/>
          <w:szCs w:val="21"/>
        </w:rPr>
      </w:pPr>
      <w:r>
        <w:rPr>
          <w:rFonts w:hint="eastAsia" w:ascii="宋体" w:hAnsi="宋体" w:eastAsia="宋体" w:cs="Times New Roman"/>
          <w:sz w:val="24"/>
          <w:szCs w:val="21"/>
        </w:rPr>
        <w:t xml:space="preserve">供应商全称（加盖CA电子公章）：</w:t>
      </w:r>
      <w:r/>
    </w:p>
    <w:p>
      <w:pPr>
        <w:ind w:right="240"/>
        <w:jc w:val="right"/>
        <w:spacing w:line="360" w:lineRule="auto"/>
        <w:tabs>
          <w:tab w:val="left" w:pos="4860" w:leader="none"/>
        </w:tabs>
        <w:rPr>
          <w:rFonts w:ascii="宋体" w:hAnsi="宋体" w:eastAsia="宋体" w:cs="Times New Roman"/>
          <w:sz w:val="24"/>
          <w:szCs w:val="21"/>
        </w:rPr>
      </w:pPr>
      <w:r>
        <w:rPr>
          <w:rFonts w:hint="eastAsia" w:ascii="宋体" w:hAnsi="宋体" w:eastAsia="宋体" w:cs="Times New Roman"/>
          <w:sz w:val="24"/>
          <w:szCs w:val="21"/>
        </w:rPr>
        <w:t xml:space="preserve">日  期：</w:t>
      </w:r>
      <w:r>
        <w:rPr>
          <w:rFonts w:hint="eastAsia" w:ascii="宋体" w:hAnsi="宋体" w:eastAsia="宋体" w:cs="Times New Roman"/>
          <w:color w:val="000000"/>
          <w:sz w:val="24"/>
          <w:szCs w:val="21"/>
        </w:rPr>
        <w:t xml:space="preserve">___年____月____日</w:t>
      </w:r>
      <w:r/>
    </w:p>
    <w:p>
      <w:pPr>
        <w:ind w:firstLine="480"/>
        <w:jc w:val="left"/>
        <w:spacing w:line="400" w:lineRule="exact"/>
        <w:rPr>
          <w:rFonts w:ascii="宋体" w:hAnsi="宋体" w:eastAsia="宋体" w:cs="仿宋"/>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仿宋"/>
          <w:sz w:val="24"/>
          <w:szCs w:val="24"/>
        </w:rPr>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三、关于符合本国产品标准的声明函</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（非本国产品无需填写提供）</w:t>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ind w:firstLine="420"/>
        <w:jc w:val="left"/>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ind w:firstLine="420"/>
        <w:jc w:val="left"/>
        <w:spacing w:before="30" w:after="30"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ind w:firstLine="420"/>
        <w:jc w:val="left"/>
        <w:spacing w:before="30" w:after="30"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w:t>
      </w:r>
      <w:r/>
    </w:p>
    <w:p>
      <w:pPr>
        <w:ind w:firstLine="420"/>
        <w:jc w:val="left"/>
        <w:spacing w:before="30" w:after="30"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jc w:val="left"/>
        <w:spacing w:before="30" w:after="30" w:line="0" w:lineRule="atLeast"/>
        <w:widowControl/>
        <w:rPr>
          <w:rFonts w:ascii="宋体" w:hAnsi="宋体" w:eastAsia="宋体" w:cs="宋体"/>
          <w:color w:val="000000"/>
          <w:sz w:val="24"/>
          <w:szCs w:val="24"/>
        </w:rPr>
      </w:pPr>
      <w:r>
        <w:rPr>
          <w:rFonts w:ascii="宋体" w:hAnsi="宋体" w:eastAsia="宋体" w:cs="宋体"/>
          <w:color w:val="000000"/>
          <w:sz w:val="24"/>
          <w:szCs w:val="24"/>
        </w:rPr>
      </w:r>
      <w:r/>
    </w:p>
    <w:p>
      <w:pPr>
        <w:ind w:right="480"/>
        <w:jc w:val="right"/>
        <w:spacing w:before="30" w:after="30"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公司（单位）名称（加盖CA电子公章）：</w:t>
      </w:r>
      <w:r/>
    </w:p>
    <w:p>
      <w:pPr>
        <w:ind w:right="960"/>
        <w:jc w:val="right"/>
        <w:spacing w:before="30" w:after="30" w:line="360" w:lineRule="auto"/>
        <w:widowControl/>
        <w:rPr>
          <w:rFonts w:ascii="宋体" w:hAnsi="宋体" w:eastAsia="宋体" w:cs="宋体"/>
          <w:color w:val="000000"/>
          <w:sz w:val="24"/>
          <w:szCs w:val="24"/>
        </w:rPr>
      </w:pPr>
      <w:r>
        <w:rPr>
          <w:rFonts w:hint="eastAsia" w:ascii="宋体" w:hAnsi="宋体" w:eastAsia="宋体" w:cs="Times New Roman"/>
          <w:sz w:val="24"/>
          <w:szCs w:val="21"/>
        </w:rPr>
        <w:t xml:space="preserve">日  期：</w:t>
      </w:r>
      <w:r>
        <w:rPr>
          <w:rFonts w:hint="eastAsia" w:ascii="宋体" w:hAnsi="宋体" w:eastAsia="宋体" w:cs="Times New Roman"/>
          <w:color w:val="000000"/>
          <w:sz w:val="24"/>
          <w:szCs w:val="21"/>
        </w:rPr>
        <w:t xml:space="preserve">___年____月____日</w:t>
      </w:r>
      <w:r/>
    </w:p>
    <w:p>
      <w:pPr>
        <w:jc w:val="left"/>
        <w:spacing w:before="30" w:after="30" w:line="0" w:lineRule="atLeast"/>
        <w:widowControl/>
        <w:rPr>
          <w:rFonts w:ascii="宋体" w:hAnsi="宋体" w:eastAsia="宋体" w:cs="宋体"/>
          <w:color w:val="000000"/>
          <w:sz w:val="24"/>
          <w:szCs w:val="24"/>
          <w:shd w:val="clear" w:color="auto" w:fill="ffffff"/>
        </w:rPr>
      </w:pPr>
      <w:r>
        <w:rPr>
          <w:rFonts w:ascii="宋体" w:hAnsi="宋体" w:eastAsia="宋体" w:cs="宋体"/>
          <w:color w:val="000000"/>
          <w:sz w:val="24"/>
          <w:szCs w:val="24"/>
          <w:shd w:val="clear" w:color="auto" w:fill="ffffff"/>
        </w:rPr>
      </w:r>
      <w:r/>
    </w:p>
    <w:p>
      <w:pPr>
        <w:jc w:val="left"/>
        <w:spacing w:before="30" w:after="30" w:line="0" w:lineRule="atLeast"/>
        <w:widowControl/>
        <w:rPr>
          <w:rFonts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_________________</w:t>
      </w:r>
      <w:r/>
    </w:p>
    <w:p>
      <w:pPr>
        <w:jc w:val="left"/>
        <w:spacing w:before="30" w:after="30"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1.产品如有型号，请在“产品名称”栏一并填写。</w:t>
      </w:r>
      <w:r/>
    </w:p>
    <w:p>
      <w:pPr>
        <w:jc w:val="left"/>
        <w:spacing w:before="30" w:after="30"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jc w:val="left"/>
        <w:spacing w:before="30" w:after="30"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jc w:val="left"/>
        <w:spacing w:before="30" w:after="30"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jc w:val="left"/>
        <w:spacing w:before="30" w:after="30" w:line="360" w:lineRule="auto"/>
        <w:widowControl/>
        <w:rPr>
          <w:rFonts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jc w:val="left"/>
        <w:spacing w:before="30" w:after="30" w:line="360" w:lineRule="auto"/>
        <w:widowControl/>
        <w:rPr>
          <w:rFonts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sectPr>
      <w:footnotePr/>
      <w:endnotePr/>
      <w:type w:val="nextPage"/>
      <w:pgSz w:w="11906" w:h="16838" w:orient="portrait"/>
      <w:pgMar w:top="1247" w:right="1247" w:bottom="1247" w:left="1247"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ymbol">
    <w:panose1 w:val="05050102010706020507"/>
  </w:font>
  <w:font w:name="Wingdings">
    <w:panose1 w:val="05000000000000000000"/>
  </w:font>
  <w:font w:name="Times New Roman (标题 CS)">
    <w:panose1 w:val="02020603050405020304"/>
  </w:font>
  <w:font w:name="Songti SC">
    <w:panose1 w:val="020B0503020202020204"/>
  </w:font>
  <w:font w:name="楷体à.ā">
    <w:panose1 w:val="02010609060101010101"/>
  </w:font>
  <w:font w:name="Calibri Light">
    <w:panose1 w:val="020F0302020204030204"/>
  </w:font>
  <w:font w:name="仿宋">
    <w:panose1 w:val="02010609060101010101"/>
  </w:font>
  <w:font w:name="Batang">
    <w:panose1 w:val="02010600040101010101"/>
  </w:font>
  <w:font w:name="Calibri">
    <w:panose1 w:val="020F0502020204030204"/>
  </w:font>
  <w:font w:name="Courier New">
    <w:panose1 w:val="02070309020205020404"/>
  </w:font>
  <w:font w:name="黑体">
    <w:panose1 w:val="02010609060101010101"/>
  </w:font>
  <w:font w:name="仿宋_GB2312">
    <w:panose1 w:val="02010609060101010101"/>
  </w:font>
  <w:font w:name="宋体">
    <w:panose1 w:val="02010600030101010101"/>
  </w:font>
  <w:font w:name="Times New Roman">
    <w:panose1 w:val="02020603050405020304"/>
  </w:font>
  <w:font w:name="楷体_GB2312">
    <w:panose1 w:val="02010609060101010101"/>
  </w:font>
  <w:font w:name="金梅簡體中黑字形">
    <w:panose1 w:val="020B0503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62982909"/>
      <w:docPartObj>
        <w:docPartGallery w:val="autotext"/>
      </w:docPartObj>
      <w:rPr/>
    </w:sdtPr>
    <w:sdtContent>
      <w:p>
        <w:pPr>
          <w:pStyle w:val="881"/>
          <w:jc w:val="center"/>
        </w:pPr>
        <w:r>
          <w:fldChar w:fldCharType="begin"/>
        </w:r>
        <w:r>
          <w:instrText xml:space="preserve">PAGE   \* MERGEFORMAT</w:instrText>
        </w:r>
        <w:r>
          <w:fldChar w:fldCharType="separate"/>
        </w:r>
        <w:r>
          <w:rPr>
            <w:lang w:val="zh-CN"/>
          </w:rPr>
          <w:t xml:space="preserve">-</w:t>
        </w:r>
        <w:r>
          <w:t xml:space="preserve"> 32 -</w:t>
        </w:r>
        <w:r>
          <w:fldChar w:fldCharType="end"/>
        </w:r>
        <w:r/>
      </w:p>
    </w:sdtContent>
  </w:sdt>
  <w:p>
    <w:pPr>
      <w:pStyle w:val="88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rPr>
        <w:rStyle w:val="895"/>
      </w:rPr>
      <w:framePr w:wrap="around" w:vAnchor="text" w:hAnchor="margin" w:xAlign="center" w:y="1"/>
    </w:pPr>
    <w:r>
      <w:fldChar w:fldCharType="begin"/>
    </w:r>
    <w:r>
      <w:rPr>
        <w:rStyle w:val="895"/>
      </w:rPr>
      <w:instrText xml:space="preserve">PAGE  </w:instrText>
    </w:r>
    <w:r>
      <w:fldChar w:fldCharType="separate"/>
    </w:r>
    <w:r>
      <w:rPr>
        <w:rStyle w:val="895"/>
      </w:rPr>
      <w:t xml:space="preserve">1</w:t>
    </w:r>
    <w:r>
      <w:fldChar w:fldCharType="end"/>
    </w:r>
    <w:r/>
  </w:p>
  <w:p>
    <w:pPr>
      <w:pStyle w:val="881"/>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ascii="黑体" w:hAnsi="黑体" w:eastAsia="黑体" w:cs="Times New Roman"/>
        <w:sz w:val="16"/>
        <w:szCs w:val="18"/>
      </w:rPr>
      <w:pBdr>
        <w:bottom w:val="single" w:color="auto" w:sz="6" w:space="1"/>
      </w:pBdr>
    </w:pPr>
    <w:r>
      <w:rPr>
        <w:rFonts w:hint="eastAsia" w:ascii="黑体" w:hAnsi="黑体" w:eastAsia="黑体" w:cs="Times New Roman"/>
        <w:bCs/>
        <w:sz w:val="16"/>
        <w:szCs w:val="18"/>
        <w:lang w:eastAsia="zh-CN"/>
      </w:rPr>
      <w:t xml:space="preserve">JSZC-320281-JZCG-G2026-0035</w:t>
    </w:r>
    <w:r>
      <w:rPr>
        <w:rFonts w:hint="eastAsia" w:ascii="黑体" w:hAnsi="黑体" w:eastAsia="黑体" w:cs="Times New Roman"/>
        <w:bCs/>
        <w:sz w:val="16"/>
        <w:szCs w:val="18"/>
      </w:rPr>
      <w:t xml:space="preserve"> </w:t>
    </w:r>
    <w:r>
      <w:rPr>
        <w:rFonts w:hint="eastAsia" w:ascii="黑体" w:hAnsi="黑体" w:eastAsia="黑体" w:cs="Times New Roman"/>
        <w:bCs/>
        <w:sz w:val="16"/>
        <w:szCs w:val="18"/>
        <w:lang w:eastAsia="zh-CN"/>
      </w:rPr>
      <w:t xml:space="preserve">靖江办案中心智能化改造项目</w:t>
    </w:r>
    <w:r>
      <w:rPr>
        <w:rFonts w:hint="eastAsia" w:ascii="黑体" w:hAnsi="黑体" w:eastAsia="黑体" w:cs="Times New Roman"/>
        <w:bCs/>
        <w:sz w:val="16"/>
        <w:szCs w:val="18"/>
      </w:rPr>
      <w:t xml:space="preserve">                                            江阴市政</w:t>
    </w:r>
    <w:r>
      <w:rPr>
        <w:rFonts w:ascii="黑体" w:hAnsi="黑体" w:eastAsia="黑体" w:cs="Times New Roman"/>
        <w:bCs/>
        <w:sz w:val="16"/>
        <w:szCs w:val="18"/>
      </w:rPr>
      <w:t xml:space="preserve">府采购中心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1">
    <w:multiLevelType w:val="hybridMultilevel"/>
    <w:lvl w:ilvl="0">
      <w:start w:val="1"/>
      <w:numFmt w:val="bullet"/>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2">
    <w:multiLevelType w:val="hybridMultilevel"/>
    <w:lvl w:ilvl="0">
      <w:start w:val="1"/>
      <w:numFmt w:val="bullet"/>
      <w:isLgl w:val="false"/>
      <w:suff w:val="tab"/>
      <w:lvlText w:val=""/>
      <w:lvlJc w:val="left"/>
      <w:pPr>
        <w:ind w:left="704" w:hanging="420"/>
      </w:pPr>
      <w:rPr>
        <w:rFonts w:hint="default" w:ascii="Wingdings" w:hAnsi="Wingdings"/>
      </w:rPr>
    </w:lvl>
    <w:lvl w:ilvl="1">
      <w:start w:val="1"/>
      <w:numFmt w:val="bullet"/>
      <w:isLgl w:val="false"/>
      <w:suff w:val="tab"/>
      <w:lvlText w:val=""/>
      <w:lvlJc w:val="left"/>
      <w:pPr>
        <w:ind w:left="1124" w:hanging="420"/>
      </w:pPr>
      <w:rPr>
        <w:rFonts w:hint="default" w:ascii="Wingdings" w:hAnsi="Wingdings"/>
      </w:rPr>
    </w:lvl>
    <w:lvl w:ilvl="2">
      <w:start w:val="1"/>
      <w:numFmt w:val="bullet"/>
      <w:isLgl w:val="false"/>
      <w:suff w:val="tab"/>
      <w:lvlText w:val=""/>
      <w:lvlJc w:val="left"/>
      <w:pPr>
        <w:ind w:left="1544" w:hanging="420"/>
      </w:pPr>
      <w:rPr>
        <w:rFonts w:hint="default" w:ascii="Wingdings" w:hAnsi="Wingdings"/>
      </w:rPr>
    </w:lvl>
    <w:lvl w:ilvl="3">
      <w:start w:val="1"/>
      <w:numFmt w:val="bullet"/>
      <w:isLgl w:val="false"/>
      <w:suff w:val="tab"/>
      <w:lvlText w:val=""/>
      <w:lvlJc w:val="left"/>
      <w:pPr>
        <w:ind w:left="1964" w:hanging="420"/>
      </w:pPr>
      <w:rPr>
        <w:rFonts w:hint="default" w:ascii="Wingdings" w:hAnsi="Wingdings"/>
      </w:rPr>
    </w:lvl>
    <w:lvl w:ilvl="4">
      <w:start w:val="1"/>
      <w:numFmt w:val="bullet"/>
      <w:isLgl w:val="false"/>
      <w:suff w:val="tab"/>
      <w:lvlText w:val=""/>
      <w:lvlJc w:val="left"/>
      <w:pPr>
        <w:ind w:left="2384" w:hanging="420"/>
      </w:pPr>
      <w:rPr>
        <w:rFonts w:hint="default" w:ascii="Wingdings" w:hAnsi="Wingdings"/>
      </w:rPr>
    </w:lvl>
    <w:lvl w:ilvl="5">
      <w:start w:val="1"/>
      <w:numFmt w:val="bullet"/>
      <w:isLgl w:val="false"/>
      <w:suff w:val="tab"/>
      <w:lvlText w:val=""/>
      <w:lvlJc w:val="left"/>
      <w:pPr>
        <w:ind w:left="2804" w:hanging="420"/>
      </w:pPr>
      <w:rPr>
        <w:rFonts w:hint="default" w:ascii="Wingdings" w:hAnsi="Wingdings"/>
      </w:rPr>
    </w:lvl>
    <w:lvl w:ilvl="6">
      <w:start w:val="1"/>
      <w:numFmt w:val="bullet"/>
      <w:isLgl w:val="false"/>
      <w:suff w:val="tab"/>
      <w:lvlText w:val=""/>
      <w:lvlJc w:val="left"/>
      <w:pPr>
        <w:ind w:left="3224" w:hanging="420"/>
      </w:pPr>
      <w:rPr>
        <w:rFonts w:hint="default" w:ascii="Wingdings" w:hAnsi="Wingdings"/>
      </w:rPr>
    </w:lvl>
    <w:lvl w:ilvl="7">
      <w:start w:val="1"/>
      <w:numFmt w:val="bullet"/>
      <w:isLgl w:val="false"/>
      <w:suff w:val="tab"/>
      <w:lvlText w:val=""/>
      <w:lvlJc w:val="left"/>
      <w:pPr>
        <w:ind w:left="3644" w:hanging="420"/>
      </w:pPr>
      <w:rPr>
        <w:rFonts w:hint="default" w:ascii="Wingdings" w:hAnsi="Wingdings"/>
      </w:rPr>
    </w:lvl>
    <w:lvl w:ilvl="8">
      <w:start w:val="1"/>
      <w:numFmt w:val="bullet"/>
      <w:isLgl w:val="false"/>
      <w:suff w:val="tab"/>
      <w:lvlText w:val=""/>
      <w:lvlJc w:val="left"/>
      <w:pPr>
        <w:ind w:left="4064" w:hanging="420"/>
      </w:pPr>
      <w:rPr>
        <w:rFonts w:hint="default" w:ascii="Wingdings" w:hAnsi="Wingdings"/>
      </w:rPr>
    </w:lvl>
  </w:abstractNum>
  <w:abstractNum w:abstractNumId="3">
    <w:multiLevelType w:val="hybridMultilevel"/>
    <w:lvl w:ilvl="0">
      <w:start w:val="3"/>
      <w:numFmt w:val="chineseCounting"/>
      <w:isLgl w:val="false"/>
      <w:suff w:val="nothing"/>
      <w:lvlText w:val="第%1章　"/>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5">
    <w:multiLevelType w:val="hybridMultilevel"/>
    <w:lvl w:ilvl="0">
      <w:start w:val="1"/>
      <w:numFmt w:val="bullet"/>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num w:numId="1">
    <w:abstractNumId w:val="3"/>
  </w:num>
  <w:num w:numId="2">
    <w:abstractNumId w:val="2"/>
  </w:num>
  <w:num w:numId="3">
    <w:abstractNumId w:val="4"/>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3">
    <w:name w:val="Heading 1 Char"/>
    <w:basedOn w:val="865"/>
    <w:link w:val="860"/>
    <w:uiPriority w:val="9"/>
    <w:rPr>
      <w:rFonts w:ascii="Arial" w:hAnsi="Arial" w:eastAsia="Arial" w:cs="Arial"/>
      <w:sz w:val="40"/>
      <w:szCs w:val="40"/>
    </w:rPr>
  </w:style>
  <w:style w:type="character" w:styleId="704">
    <w:name w:val="Heading 2 Char"/>
    <w:basedOn w:val="865"/>
    <w:link w:val="861"/>
    <w:uiPriority w:val="9"/>
    <w:rPr>
      <w:rFonts w:ascii="Arial" w:hAnsi="Arial" w:eastAsia="Arial" w:cs="Arial"/>
      <w:sz w:val="34"/>
    </w:rPr>
  </w:style>
  <w:style w:type="character" w:styleId="705">
    <w:name w:val="Heading 3 Char"/>
    <w:basedOn w:val="865"/>
    <w:link w:val="862"/>
    <w:uiPriority w:val="9"/>
    <w:rPr>
      <w:rFonts w:ascii="Arial" w:hAnsi="Arial" w:eastAsia="Arial" w:cs="Arial"/>
      <w:sz w:val="30"/>
      <w:szCs w:val="30"/>
    </w:rPr>
  </w:style>
  <w:style w:type="character" w:styleId="706">
    <w:name w:val="Heading 4 Char"/>
    <w:basedOn w:val="865"/>
    <w:link w:val="863"/>
    <w:uiPriority w:val="9"/>
    <w:rPr>
      <w:rFonts w:ascii="Arial" w:hAnsi="Arial" w:eastAsia="Arial" w:cs="Arial"/>
      <w:b/>
      <w:bCs/>
      <w:sz w:val="26"/>
      <w:szCs w:val="26"/>
    </w:rPr>
  </w:style>
  <w:style w:type="character" w:styleId="707">
    <w:name w:val="Heading 5 Char"/>
    <w:basedOn w:val="865"/>
    <w:link w:val="864"/>
    <w:uiPriority w:val="9"/>
    <w:rPr>
      <w:rFonts w:ascii="Arial" w:hAnsi="Arial" w:eastAsia="Arial" w:cs="Arial"/>
      <w:b/>
      <w:bCs/>
      <w:sz w:val="24"/>
      <w:szCs w:val="24"/>
    </w:rPr>
  </w:style>
  <w:style w:type="paragraph" w:styleId="708">
    <w:name w:val="Heading 6"/>
    <w:basedOn w:val="859"/>
    <w:next w:val="859"/>
    <w:link w:val="709"/>
    <w:uiPriority w:val="9"/>
    <w:unhideWhenUsed/>
    <w:qFormat/>
    <w:pPr>
      <w:keepLines/>
      <w:keepNext/>
      <w:spacing w:before="320" w:after="200"/>
      <w:outlineLvl w:val="5"/>
    </w:pPr>
    <w:rPr>
      <w:rFonts w:ascii="Arial" w:hAnsi="Arial" w:eastAsia="Arial" w:cs="Arial"/>
      <w:b/>
      <w:bCs/>
      <w:sz w:val="22"/>
      <w:szCs w:val="22"/>
    </w:rPr>
  </w:style>
  <w:style w:type="character" w:styleId="709">
    <w:name w:val="Heading 6 Char"/>
    <w:basedOn w:val="865"/>
    <w:link w:val="708"/>
    <w:uiPriority w:val="9"/>
    <w:rPr>
      <w:rFonts w:ascii="Arial" w:hAnsi="Arial" w:eastAsia="Arial" w:cs="Arial"/>
      <w:b/>
      <w:bCs/>
      <w:sz w:val="22"/>
      <w:szCs w:val="22"/>
    </w:rPr>
  </w:style>
  <w:style w:type="paragraph" w:styleId="710">
    <w:name w:val="Heading 7"/>
    <w:basedOn w:val="859"/>
    <w:next w:val="859"/>
    <w:link w:val="711"/>
    <w:uiPriority w:val="9"/>
    <w:unhideWhenUsed/>
    <w:qFormat/>
    <w:pPr>
      <w:keepLines/>
      <w:keepNext/>
      <w:spacing w:before="320" w:after="200"/>
      <w:outlineLvl w:val="6"/>
    </w:pPr>
    <w:rPr>
      <w:rFonts w:ascii="Arial" w:hAnsi="Arial" w:eastAsia="Arial" w:cs="Arial"/>
      <w:b/>
      <w:bCs/>
      <w:i/>
      <w:iCs/>
      <w:sz w:val="22"/>
      <w:szCs w:val="22"/>
    </w:rPr>
  </w:style>
  <w:style w:type="character" w:styleId="711">
    <w:name w:val="Heading 7 Char"/>
    <w:basedOn w:val="865"/>
    <w:link w:val="710"/>
    <w:uiPriority w:val="9"/>
    <w:rPr>
      <w:rFonts w:ascii="Arial" w:hAnsi="Arial" w:eastAsia="Arial" w:cs="Arial"/>
      <w:b/>
      <w:bCs/>
      <w:i/>
      <w:iCs/>
      <w:sz w:val="22"/>
      <w:szCs w:val="22"/>
    </w:rPr>
  </w:style>
  <w:style w:type="paragraph" w:styleId="712">
    <w:name w:val="Heading 8"/>
    <w:basedOn w:val="859"/>
    <w:next w:val="859"/>
    <w:link w:val="713"/>
    <w:uiPriority w:val="9"/>
    <w:unhideWhenUsed/>
    <w:qFormat/>
    <w:pPr>
      <w:keepLines/>
      <w:keepNext/>
      <w:spacing w:before="320" w:after="200"/>
      <w:outlineLvl w:val="7"/>
    </w:pPr>
    <w:rPr>
      <w:rFonts w:ascii="Arial" w:hAnsi="Arial" w:eastAsia="Arial" w:cs="Arial"/>
      <w:i/>
      <w:iCs/>
      <w:sz w:val="22"/>
      <w:szCs w:val="22"/>
    </w:rPr>
  </w:style>
  <w:style w:type="character" w:styleId="713">
    <w:name w:val="Heading 8 Char"/>
    <w:basedOn w:val="865"/>
    <w:link w:val="712"/>
    <w:uiPriority w:val="9"/>
    <w:rPr>
      <w:rFonts w:ascii="Arial" w:hAnsi="Arial" w:eastAsia="Arial" w:cs="Arial"/>
      <w:i/>
      <w:iCs/>
      <w:sz w:val="22"/>
      <w:szCs w:val="22"/>
    </w:rPr>
  </w:style>
  <w:style w:type="paragraph" w:styleId="714">
    <w:name w:val="Heading 9"/>
    <w:basedOn w:val="859"/>
    <w:next w:val="859"/>
    <w:link w:val="715"/>
    <w:uiPriority w:val="9"/>
    <w:unhideWhenUsed/>
    <w:qFormat/>
    <w:pPr>
      <w:keepLines/>
      <w:keepNext/>
      <w:spacing w:before="320" w:after="200"/>
      <w:outlineLvl w:val="8"/>
    </w:pPr>
    <w:rPr>
      <w:rFonts w:ascii="Arial" w:hAnsi="Arial" w:eastAsia="Arial" w:cs="Arial"/>
      <w:i/>
      <w:iCs/>
      <w:sz w:val="21"/>
      <w:szCs w:val="21"/>
    </w:rPr>
  </w:style>
  <w:style w:type="character" w:styleId="715">
    <w:name w:val="Heading 9 Char"/>
    <w:basedOn w:val="865"/>
    <w:link w:val="714"/>
    <w:uiPriority w:val="9"/>
    <w:rPr>
      <w:rFonts w:ascii="Arial" w:hAnsi="Arial" w:eastAsia="Arial" w:cs="Arial"/>
      <w:i/>
      <w:iCs/>
      <w:sz w:val="21"/>
      <w:szCs w:val="21"/>
    </w:rPr>
  </w:style>
  <w:style w:type="character" w:styleId="716">
    <w:name w:val="Title Char"/>
    <w:basedOn w:val="865"/>
    <w:link w:val="889"/>
    <w:uiPriority w:val="10"/>
    <w:rPr>
      <w:sz w:val="48"/>
      <w:szCs w:val="48"/>
    </w:rPr>
  </w:style>
  <w:style w:type="paragraph" w:styleId="717">
    <w:name w:val="Subtitle"/>
    <w:basedOn w:val="859"/>
    <w:next w:val="859"/>
    <w:link w:val="718"/>
    <w:uiPriority w:val="11"/>
    <w:qFormat/>
    <w:pPr>
      <w:spacing w:before="200" w:after="200"/>
    </w:pPr>
    <w:rPr>
      <w:sz w:val="24"/>
      <w:szCs w:val="24"/>
    </w:rPr>
  </w:style>
  <w:style w:type="character" w:styleId="718">
    <w:name w:val="Subtitle Char"/>
    <w:basedOn w:val="865"/>
    <w:link w:val="717"/>
    <w:uiPriority w:val="11"/>
    <w:rPr>
      <w:sz w:val="24"/>
      <w:szCs w:val="24"/>
    </w:rPr>
  </w:style>
  <w:style w:type="paragraph" w:styleId="719">
    <w:name w:val="Quote"/>
    <w:basedOn w:val="859"/>
    <w:next w:val="859"/>
    <w:link w:val="720"/>
    <w:uiPriority w:val="29"/>
    <w:qFormat/>
    <w:pPr>
      <w:ind w:left="720" w:right="720"/>
    </w:pPr>
    <w:rPr>
      <w:i/>
    </w:rPr>
  </w:style>
  <w:style w:type="character" w:styleId="720">
    <w:name w:val="Quote Char"/>
    <w:link w:val="719"/>
    <w:uiPriority w:val="29"/>
    <w:rPr>
      <w:i/>
    </w:rPr>
  </w:style>
  <w:style w:type="paragraph" w:styleId="721">
    <w:name w:val="Intense Quote"/>
    <w:basedOn w:val="859"/>
    <w:next w:val="859"/>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character" w:styleId="723">
    <w:name w:val="Header Char"/>
    <w:basedOn w:val="865"/>
    <w:link w:val="882"/>
    <w:uiPriority w:val="99"/>
  </w:style>
  <w:style w:type="character" w:styleId="724">
    <w:name w:val="Footer Char"/>
    <w:basedOn w:val="865"/>
    <w:link w:val="881"/>
    <w:uiPriority w:val="99"/>
  </w:style>
  <w:style w:type="paragraph" w:styleId="725">
    <w:name w:val="Caption"/>
    <w:basedOn w:val="859"/>
    <w:next w:val="859"/>
    <w:uiPriority w:val="35"/>
    <w:semiHidden/>
    <w:unhideWhenUsed/>
    <w:qFormat/>
    <w:pPr>
      <w:spacing w:line="276" w:lineRule="auto"/>
    </w:pPr>
    <w:rPr>
      <w:b/>
      <w:bCs/>
      <w:color w:val="4f81bd" w:themeColor="accent1"/>
      <w:sz w:val="18"/>
      <w:szCs w:val="18"/>
    </w:rPr>
  </w:style>
  <w:style w:type="character" w:styleId="726">
    <w:name w:val="Caption Char"/>
    <w:basedOn w:val="725"/>
    <w:link w:val="881"/>
    <w:uiPriority w:val="99"/>
  </w:style>
  <w:style w:type="table" w:styleId="727">
    <w:name w:val="Table Grid Light"/>
    <w:basedOn w:val="8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8">
    <w:name w:val="Plain Table 1"/>
    <w:basedOn w:val="8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2"/>
    <w:basedOn w:val="8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3"/>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name w:val="Plain Table 4"/>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name w:val="Plain Table 5"/>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3">
    <w:name w:val="Grid Table 1 Light"/>
    <w:basedOn w:val="8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4">
    <w:name w:val="Grid Table 1 Light - Accent 1"/>
    <w:basedOn w:val="8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5">
    <w:name w:val="Grid Table 1 Light - Accent 2"/>
    <w:basedOn w:val="8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6">
    <w:name w:val="Grid Table 1 Light - Accent 3"/>
    <w:basedOn w:val="8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7">
    <w:name w:val="Grid Table 1 Light - Accent 4"/>
    <w:basedOn w:val="8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8">
    <w:name w:val="Grid Table 1 Light - Accent 5"/>
    <w:basedOn w:val="8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9">
    <w:name w:val="Grid Table 1 Light - Accent 6"/>
    <w:basedOn w:val="8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0">
    <w:name w:val="Grid Table 2"/>
    <w:basedOn w:val="8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1">
    <w:name w:val="Grid Table 2 - Accent 1"/>
    <w:basedOn w:val="8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2">
    <w:name w:val="Grid Table 2 - Accent 2"/>
    <w:basedOn w:val="8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3">
    <w:name w:val="Grid Table 2 - Accent 3"/>
    <w:basedOn w:val="8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4">
    <w:name w:val="Grid Table 2 - Accent 4"/>
    <w:basedOn w:val="8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5">
    <w:name w:val="Grid Table 2 - Accent 5"/>
    <w:basedOn w:val="8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6">
    <w:name w:val="Grid Table 2 - Accent 6"/>
    <w:basedOn w:val="8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7">
    <w:name w:val="Grid Table 3"/>
    <w:basedOn w:val="8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1"/>
    <w:basedOn w:val="8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2"/>
    <w:basedOn w:val="8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3"/>
    <w:basedOn w:val="8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4"/>
    <w:basedOn w:val="8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5"/>
    <w:basedOn w:val="8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6"/>
    <w:basedOn w:val="8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4"/>
    <w:basedOn w:val="8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5">
    <w:name w:val="Grid Table 4 - Accent 1"/>
    <w:basedOn w:val="86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6">
    <w:name w:val="Grid Table 4 - Accent 2"/>
    <w:basedOn w:val="86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7">
    <w:name w:val="Grid Table 4 - Accent 3"/>
    <w:basedOn w:val="86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8">
    <w:name w:val="Grid Table 4 - Accent 4"/>
    <w:basedOn w:val="86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9">
    <w:name w:val="Grid Table 4 - Accent 5"/>
    <w:basedOn w:val="86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0">
    <w:name w:val="Grid Table 4 - Accent 6"/>
    <w:basedOn w:val="86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1">
    <w:name w:val="Grid Table 5 Dark"/>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2">
    <w:name w:val="Grid Table 5 Dark- Accent 1"/>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3">
    <w:name w:val="Grid Table 5 Dark - Accent 2"/>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4">
    <w:name w:val="Grid Table 5 Dark - Accent 3"/>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5">
    <w:name w:val="Grid Table 5 Dark- Accent 4"/>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6">
    <w:name w:val="Grid Table 5 Dark - Accent 5"/>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7">
    <w:name w:val="Grid Table 5 Dark - Accent 6"/>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8">
    <w:name w:val="Grid Table 6 Colorful"/>
    <w:basedOn w:val="8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9">
    <w:name w:val="Grid Table 6 Colorful - Accent 1"/>
    <w:basedOn w:val="86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0">
    <w:name w:val="Grid Table 6 Colorful - Accent 2"/>
    <w:basedOn w:val="8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1">
    <w:name w:val="Grid Table 6 Colorful - Accent 3"/>
    <w:basedOn w:val="86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2">
    <w:name w:val="Grid Table 6 Colorful - Accent 4"/>
    <w:basedOn w:val="8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3">
    <w:name w:val="Grid Table 6 Colorful - Accent 5"/>
    <w:basedOn w:val="86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6 Colorful - Accent 6"/>
    <w:basedOn w:val="86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7 Colorful"/>
    <w:basedOn w:val="8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6">
    <w:name w:val="Grid Table 7 Colorful - Accent 1"/>
    <w:basedOn w:val="86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7">
    <w:name w:val="Grid Table 7 Colorful - Accent 2"/>
    <w:basedOn w:val="86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8">
    <w:name w:val="Grid Table 7 Colorful - Accent 3"/>
    <w:basedOn w:val="86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9">
    <w:name w:val="Grid Table 7 Colorful - Accent 4"/>
    <w:basedOn w:val="86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0">
    <w:name w:val="Grid Table 7 Colorful - Accent 5"/>
    <w:basedOn w:val="86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1">
    <w:name w:val="Grid Table 7 Colorful - Accent 6"/>
    <w:basedOn w:val="86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2">
    <w:name w:val="List Table 1 Light"/>
    <w:basedOn w:val="8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name w:val="List Table 1 Light - Accent 1"/>
    <w:basedOn w:val="86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4">
    <w:name w:val="List Table 1 Light - Accent 2"/>
    <w:basedOn w:val="86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5">
    <w:name w:val="List Table 1 Light - Accent 3"/>
    <w:basedOn w:val="86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6">
    <w:name w:val="List Table 1 Light - Accent 4"/>
    <w:basedOn w:val="86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7">
    <w:name w:val="List Table 1 Light - Accent 5"/>
    <w:basedOn w:val="86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8">
    <w:name w:val="List Table 1 Light - Accent 6"/>
    <w:basedOn w:val="86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9">
    <w:name w:val="List Table 2"/>
    <w:basedOn w:val="8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0">
    <w:name w:val="List Table 2 - Accent 1"/>
    <w:basedOn w:val="86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1">
    <w:name w:val="List Table 2 - Accent 2"/>
    <w:basedOn w:val="86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2">
    <w:name w:val="List Table 2 - Accent 3"/>
    <w:basedOn w:val="86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3">
    <w:name w:val="List Table 2 - Accent 4"/>
    <w:basedOn w:val="86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4">
    <w:name w:val="List Table 2 - Accent 5"/>
    <w:basedOn w:val="86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5">
    <w:name w:val="List Table 2 - Accent 6"/>
    <w:basedOn w:val="86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6">
    <w:name w:val="List Table 3"/>
    <w:basedOn w:val="8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3 - Accent 1"/>
    <w:basedOn w:val="86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8">
    <w:name w:val="List Table 3 - Accent 2"/>
    <w:basedOn w:val="8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9">
    <w:name w:val="List Table 3 - Accent 3"/>
    <w:basedOn w:val="86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0">
    <w:name w:val="List Table 3 - Accent 4"/>
    <w:basedOn w:val="8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1">
    <w:name w:val="List Table 3 - Accent 5"/>
    <w:basedOn w:val="86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2">
    <w:name w:val="List Table 3 - Accent 6"/>
    <w:basedOn w:val="86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3">
    <w:name w:val="List Table 4"/>
    <w:basedOn w:val="8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4 - Accent 1"/>
    <w:basedOn w:val="86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5">
    <w:name w:val="List Table 4 - Accent 2"/>
    <w:basedOn w:val="86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6">
    <w:name w:val="List Table 4 - Accent 3"/>
    <w:basedOn w:val="86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7">
    <w:name w:val="List Table 4 - Accent 4"/>
    <w:basedOn w:val="86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8">
    <w:name w:val="List Table 4 - Accent 5"/>
    <w:basedOn w:val="86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9">
    <w:name w:val="List Table 4 - Accent 6"/>
    <w:basedOn w:val="86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0">
    <w:name w:val="List Table 5 Dark"/>
    <w:basedOn w:val="8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1"/>
    <w:basedOn w:val="86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2"/>
    <w:basedOn w:val="86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3"/>
    <w:basedOn w:val="86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4"/>
    <w:basedOn w:val="86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5"/>
    <w:basedOn w:val="86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6"/>
    <w:basedOn w:val="86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6 Colorful"/>
    <w:basedOn w:val="8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8">
    <w:name w:val="List Table 6 Colorful - Accent 1"/>
    <w:basedOn w:val="86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9">
    <w:name w:val="List Table 6 Colorful - Accent 2"/>
    <w:basedOn w:val="86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0">
    <w:name w:val="List Table 6 Colorful - Accent 3"/>
    <w:basedOn w:val="86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1">
    <w:name w:val="List Table 6 Colorful - Accent 4"/>
    <w:basedOn w:val="86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2">
    <w:name w:val="List Table 6 Colorful - Accent 5"/>
    <w:basedOn w:val="86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3">
    <w:name w:val="List Table 6 Colorful - Accent 6"/>
    <w:basedOn w:val="86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4">
    <w:name w:val="List Table 7 Colorful"/>
    <w:basedOn w:val="8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5">
    <w:name w:val="List Table 7 Colorful - Accent 1"/>
    <w:basedOn w:val="86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6">
    <w:name w:val="List Table 7 Colorful - Accent 2"/>
    <w:basedOn w:val="86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7">
    <w:name w:val="List Table 7 Colorful - Accent 3"/>
    <w:basedOn w:val="86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8">
    <w:name w:val="List Table 7 Colorful - Accent 4"/>
    <w:basedOn w:val="86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9">
    <w:name w:val="List Table 7 Colorful - Accent 5"/>
    <w:basedOn w:val="86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0">
    <w:name w:val="List Table 7 Colorful - Accent 6"/>
    <w:basedOn w:val="86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1">
    <w:name w:val="Lined - Accent"/>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2">
    <w:name w:val="Lined - Accent 1"/>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3">
    <w:name w:val="Lined - Accent 2"/>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4">
    <w:name w:val="Lined - Accent 3"/>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5">
    <w:name w:val="Lined - Accent 4"/>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6">
    <w:name w:val="Lined - Accent 5"/>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7">
    <w:name w:val="Lined - Accent 6"/>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8">
    <w:name w:val="Bordered &amp; Lined - Accent"/>
    <w:basedOn w:val="86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9">
    <w:name w:val="Bordered &amp; Lined - Accent 1"/>
    <w:basedOn w:val="86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0">
    <w:name w:val="Bordered &amp; Lined - Accent 2"/>
    <w:basedOn w:val="86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1">
    <w:name w:val="Bordered &amp; Lined - Accent 3"/>
    <w:basedOn w:val="86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2">
    <w:name w:val="Bordered &amp; Lined - Accent 4"/>
    <w:basedOn w:val="86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3">
    <w:name w:val="Bordered &amp; Lined - Accent 5"/>
    <w:basedOn w:val="86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4">
    <w:name w:val="Bordered &amp; Lined - Accent 6"/>
    <w:basedOn w:val="86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5">
    <w:name w:val="Bordered"/>
    <w:basedOn w:val="86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6">
    <w:name w:val="Bordered - Accent 1"/>
    <w:basedOn w:val="8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7">
    <w:name w:val="Bordered - Accent 2"/>
    <w:basedOn w:val="8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8">
    <w:name w:val="Bordered - Accent 3"/>
    <w:basedOn w:val="8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9">
    <w:name w:val="Bordered - Accent 4"/>
    <w:basedOn w:val="8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0">
    <w:name w:val="Bordered - Accent 5"/>
    <w:basedOn w:val="8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1">
    <w:name w:val="Bordered - Accent 6"/>
    <w:basedOn w:val="8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2">
    <w:name w:val="footnote text"/>
    <w:basedOn w:val="85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basedOn w:val="865"/>
    <w:uiPriority w:val="99"/>
    <w:unhideWhenUsed/>
    <w:rPr>
      <w:vertAlign w:val="superscript"/>
    </w:rPr>
  </w:style>
  <w:style w:type="paragraph" w:styleId="855">
    <w:name w:val="endnote text"/>
    <w:basedOn w:val="85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basedOn w:val="865"/>
    <w:uiPriority w:val="99"/>
    <w:semiHidden/>
    <w:unhideWhenUsed/>
    <w:rPr>
      <w:vertAlign w:val="superscript"/>
    </w:rPr>
  </w:style>
  <w:style w:type="paragraph" w:styleId="858">
    <w:name w:val="table of figures"/>
    <w:basedOn w:val="859"/>
    <w:next w:val="859"/>
    <w:uiPriority w:val="99"/>
    <w:unhideWhenUsed/>
    <w:pPr>
      <w:spacing w:after="0" w:afterAutospacing="0"/>
    </w:pPr>
  </w:style>
  <w:style w:type="paragraph" w:styleId="859"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60">
    <w:name w:val="Heading 1"/>
    <w:basedOn w:val="859"/>
    <w:next w:val="859"/>
    <w:link w:val="917"/>
    <w:uiPriority w:val="9"/>
    <w:qFormat/>
    <w:pPr>
      <w:keepLines/>
      <w:keepNext/>
      <w:spacing w:before="340" w:after="330" w:line="578" w:lineRule="auto"/>
      <w:outlineLvl w:val="0"/>
    </w:pPr>
    <w:rPr>
      <w:b/>
      <w:bCs/>
      <w:sz w:val="44"/>
      <w:szCs w:val="44"/>
    </w:rPr>
  </w:style>
  <w:style w:type="paragraph" w:styleId="861">
    <w:name w:val="Heading 2"/>
    <w:basedOn w:val="859"/>
    <w:next w:val="859"/>
    <w:link w:val="922"/>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62">
    <w:name w:val="Heading 3"/>
    <w:basedOn w:val="859"/>
    <w:next w:val="859"/>
    <w:link w:val="923"/>
    <w:uiPriority w:val="9"/>
    <w:semiHidden/>
    <w:unhideWhenUsed/>
    <w:qFormat/>
    <w:pPr>
      <w:keepLines/>
      <w:keepNext/>
      <w:spacing w:before="260" w:after="260" w:line="416" w:lineRule="auto"/>
      <w:outlineLvl w:val="2"/>
    </w:pPr>
    <w:rPr>
      <w:b/>
      <w:bCs/>
      <w:sz w:val="32"/>
      <w:szCs w:val="32"/>
    </w:rPr>
  </w:style>
  <w:style w:type="paragraph" w:styleId="863">
    <w:name w:val="Heading 4"/>
    <w:basedOn w:val="859"/>
    <w:next w:val="859"/>
    <w:link w:val="924"/>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864">
    <w:name w:val="Heading 5"/>
    <w:basedOn w:val="859"/>
    <w:next w:val="859"/>
    <w:link w:val="925"/>
    <w:uiPriority w:val="9"/>
    <w:semiHidden/>
    <w:unhideWhenUsed/>
    <w:qFormat/>
    <w:pPr>
      <w:keepLines/>
      <w:keepNext/>
      <w:spacing w:before="280" w:after="290" w:line="376" w:lineRule="auto"/>
      <w:outlineLvl w:val="4"/>
    </w:pPr>
    <w:rPr>
      <w:b/>
      <w:bCs/>
      <w:sz w:val="28"/>
      <w:szCs w:val="28"/>
    </w:rPr>
  </w:style>
  <w:style w:type="character" w:styleId="865" w:default="1">
    <w:name w:val="Default Paragraph Font"/>
    <w:uiPriority w:val="1"/>
    <w:semiHidden/>
    <w:unhideWhenUsed/>
    <w:qFormat/>
  </w:style>
  <w:style w:type="table" w:styleId="866" w:default="1">
    <w:name w:val="Normal Table"/>
    <w:uiPriority w:val="99"/>
    <w:semiHidden/>
    <w:unhideWhenUsed/>
    <w:qFormat/>
    <w:tblPr>
      <w:tblCellMar>
        <w:left w:w="108" w:type="dxa"/>
        <w:top w:w="0" w:type="dxa"/>
        <w:right w:w="108" w:type="dxa"/>
        <w:bottom w:w="0" w:type="dxa"/>
      </w:tblCellMar>
    </w:tblPr>
  </w:style>
  <w:style w:type="paragraph" w:styleId="867">
    <w:name w:val="toc 7"/>
    <w:basedOn w:val="859"/>
    <w:next w:val="859"/>
    <w:uiPriority w:val="39"/>
    <w:unhideWhenUsed/>
    <w:qFormat/>
    <w:pPr>
      <w:ind w:left="1260"/>
      <w:jc w:val="left"/>
    </w:pPr>
    <w:rPr>
      <w:sz w:val="18"/>
      <w:szCs w:val="18"/>
    </w:rPr>
  </w:style>
  <w:style w:type="paragraph" w:styleId="868">
    <w:name w:val="Note Heading"/>
    <w:basedOn w:val="859"/>
    <w:next w:val="859"/>
    <w:link w:val="926"/>
    <w:uiPriority w:val="0"/>
    <w:qFormat/>
    <w:pPr>
      <w:jc w:val="center"/>
    </w:pPr>
    <w:rPr>
      <w:rFonts w:ascii="金梅簡體中黑字形" w:hAnsi="Arial" w:eastAsia="金梅簡體中黑字形" w:cs="Times New Roman"/>
      <w:sz w:val="24"/>
      <w:szCs w:val="24"/>
    </w:rPr>
  </w:style>
  <w:style w:type="paragraph" w:styleId="869">
    <w:name w:val="Normal Indent"/>
    <w:basedOn w:val="859"/>
    <w:uiPriority w:val="99"/>
    <w:semiHidden/>
    <w:unhideWhenUsed/>
    <w:qFormat/>
    <w:pPr>
      <w:ind w:left="720"/>
    </w:pPr>
  </w:style>
  <w:style w:type="paragraph" w:styleId="870">
    <w:name w:val="Document Map"/>
    <w:basedOn w:val="859"/>
    <w:link w:val="927"/>
    <w:uiPriority w:val="99"/>
    <w:qFormat/>
    <w:rPr>
      <w:rFonts w:ascii="宋体"/>
      <w:sz w:val="18"/>
      <w:szCs w:val="18"/>
    </w:rPr>
  </w:style>
  <w:style w:type="paragraph" w:styleId="871">
    <w:name w:val="annotation text"/>
    <w:basedOn w:val="859"/>
    <w:link w:val="904"/>
    <w:uiPriority w:val="99"/>
    <w:unhideWhenUsed/>
    <w:qFormat/>
    <w:pPr>
      <w:jc w:val="left"/>
    </w:pPr>
  </w:style>
  <w:style w:type="paragraph" w:styleId="872">
    <w:name w:val="Body Text 3"/>
    <w:basedOn w:val="859"/>
    <w:link w:val="928"/>
    <w:uiPriority w:val="0"/>
    <w:qFormat/>
    <w:rPr>
      <w:rFonts w:ascii="仿宋_GB2312" w:eastAsia="仿宋_GB2312"/>
      <w:sz w:val="24"/>
    </w:rPr>
  </w:style>
  <w:style w:type="paragraph" w:styleId="873">
    <w:name w:val="Body Text"/>
    <w:basedOn w:val="859"/>
    <w:link w:val="907"/>
    <w:uiPriority w:val="0"/>
    <w:qFormat/>
    <w:pPr>
      <w:spacing w:line="360" w:lineRule="auto"/>
    </w:pPr>
    <w:rPr>
      <w:rFonts w:ascii="楷体_GB2312" w:hAnsi="Times New Roman" w:eastAsia="楷体_GB2312" w:cs="Times New Roman"/>
      <w:bCs/>
      <w:sz w:val="28"/>
      <w:szCs w:val="24"/>
    </w:rPr>
  </w:style>
  <w:style w:type="paragraph" w:styleId="874">
    <w:name w:val="Body Text Indent"/>
    <w:basedOn w:val="859"/>
    <w:link w:val="911"/>
    <w:uiPriority w:val="0"/>
    <w:unhideWhenUsed/>
    <w:qFormat/>
    <w:pPr>
      <w:ind w:left="420"/>
      <w:spacing w:after="120"/>
    </w:pPr>
  </w:style>
  <w:style w:type="paragraph" w:styleId="875">
    <w:name w:val="Block Text"/>
    <w:basedOn w:val="859"/>
    <w:uiPriority w:val="0"/>
    <w:qFormat/>
    <w:pPr>
      <w:spacing w:line="400" w:lineRule="exact"/>
    </w:pPr>
    <w:rPr>
      <w:sz w:val="24"/>
    </w:rPr>
  </w:style>
  <w:style w:type="paragraph" w:styleId="876">
    <w:name w:val="toc 5"/>
    <w:basedOn w:val="859"/>
    <w:next w:val="859"/>
    <w:uiPriority w:val="39"/>
    <w:unhideWhenUsed/>
    <w:qFormat/>
    <w:pPr>
      <w:ind w:left="840"/>
      <w:jc w:val="left"/>
    </w:pPr>
    <w:rPr>
      <w:sz w:val="18"/>
      <w:szCs w:val="18"/>
    </w:rPr>
  </w:style>
  <w:style w:type="paragraph" w:styleId="877">
    <w:name w:val="toc 3"/>
    <w:basedOn w:val="859"/>
    <w:next w:val="859"/>
    <w:uiPriority w:val="39"/>
    <w:unhideWhenUsed/>
    <w:qFormat/>
    <w:pPr>
      <w:ind w:left="420"/>
      <w:jc w:val="left"/>
    </w:pPr>
    <w:rPr>
      <w:i/>
      <w:iCs/>
      <w:sz w:val="20"/>
      <w:szCs w:val="20"/>
    </w:rPr>
  </w:style>
  <w:style w:type="paragraph" w:styleId="878">
    <w:name w:val="Plain Text"/>
    <w:basedOn w:val="859"/>
    <w:link w:val="929"/>
    <w:uiPriority w:val="0"/>
    <w:qFormat/>
    <w:rPr>
      <w:rFonts w:hAnsi="Courier New" w:cs="Courier New" w:asciiTheme="minorEastAsia"/>
    </w:rPr>
  </w:style>
  <w:style w:type="paragraph" w:styleId="879">
    <w:name w:val="toc 8"/>
    <w:basedOn w:val="859"/>
    <w:next w:val="859"/>
    <w:uiPriority w:val="39"/>
    <w:unhideWhenUsed/>
    <w:qFormat/>
    <w:pPr>
      <w:ind w:left="1470"/>
      <w:jc w:val="left"/>
    </w:pPr>
    <w:rPr>
      <w:sz w:val="18"/>
      <w:szCs w:val="18"/>
    </w:rPr>
  </w:style>
  <w:style w:type="paragraph" w:styleId="880">
    <w:name w:val="Balloon Text"/>
    <w:basedOn w:val="859"/>
    <w:link w:val="902"/>
    <w:uiPriority w:val="99"/>
    <w:semiHidden/>
    <w:unhideWhenUsed/>
    <w:qFormat/>
    <w:rPr>
      <w:sz w:val="18"/>
      <w:szCs w:val="18"/>
    </w:rPr>
  </w:style>
  <w:style w:type="paragraph" w:styleId="881">
    <w:name w:val="Footer"/>
    <w:basedOn w:val="859"/>
    <w:link w:val="900"/>
    <w:uiPriority w:val="99"/>
    <w:unhideWhenUsed/>
    <w:qFormat/>
    <w:pPr>
      <w:jc w:val="left"/>
      <w:tabs>
        <w:tab w:val="center" w:pos="4153" w:leader="none"/>
        <w:tab w:val="right" w:pos="8306" w:leader="none"/>
      </w:tabs>
    </w:pPr>
    <w:rPr>
      <w:sz w:val="18"/>
      <w:szCs w:val="18"/>
    </w:rPr>
  </w:style>
  <w:style w:type="paragraph" w:styleId="882">
    <w:name w:val="Header"/>
    <w:basedOn w:val="859"/>
    <w:link w:val="899"/>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83">
    <w:name w:val="toc 1"/>
    <w:basedOn w:val="859"/>
    <w:next w:val="859"/>
    <w:uiPriority w:val="39"/>
    <w:unhideWhenUsed/>
    <w:qFormat/>
    <w:pPr>
      <w:jc w:val="left"/>
      <w:spacing w:before="120" w:after="120"/>
    </w:pPr>
    <w:rPr>
      <w:b/>
      <w:bCs/>
      <w:caps/>
      <w:sz w:val="20"/>
      <w:szCs w:val="20"/>
    </w:rPr>
  </w:style>
  <w:style w:type="paragraph" w:styleId="884">
    <w:name w:val="toc 4"/>
    <w:basedOn w:val="859"/>
    <w:next w:val="859"/>
    <w:uiPriority w:val="39"/>
    <w:unhideWhenUsed/>
    <w:qFormat/>
    <w:pPr>
      <w:ind w:left="630"/>
      <w:jc w:val="left"/>
    </w:pPr>
    <w:rPr>
      <w:sz w:val="18"/>
      <w:szCs w:val="18"/>
    </w:rPr>
  </w:style>
  <w:style w:type="paragraph" w:styleId="885">
    <w:name w:val="toc 6"/>
    <w:basedOn w:val="859"/>
    <w:next w:val="859"/>
    <w:uiPriority w:val="39"/>
    <w:unhideWhenUsed/>
    <w:qFormat/>
    <w:pPr>
      <w:ind w:left="1050"/>
      <w:jc w:val="left"/>
    </w:pPr>
    <w:rPr>
      <w:sz w:val="18"/>
      <w:szCs w:val="18"/>
    </w:rPr>
  </w:style>
  <w:style w:type="paragraph" w:styleId="886">
    <w:name w:val="toc 2"/>
    <w:basedOn w:val="859"/>
    <w:next w:val="859"/>
    <w:uiPriority w:val="39"/>
    <w:unhideWhenUsed/>
    <w:qFormat/>
    <w:pPr>
      <w:ind w:left="210"/>
      <w:jc w:val="left"/>
    </w:pPr>
    <w:rPr>
      <w:smallCaps/>
      <w:sz w:val="20"/>
      <w:szCs w:val="20"/>
    </w:rPr>
  </w:style>
  <w:style w:type="paragraph" w:styleId="887">
    <w:name w:val="toc 9"/>
    <w:basedOn w:val="859"/>
    <w:next w:val="859"/>
    <w:uiPriority w:val="39"/>
    <w:unhideWhenUsed/>
    <w:qFormat/>
    <w:pPr>
      <w:ind w:left="1680"/>
      <w:jc w:val="left"/>
    </w:pPr>
    <w:rPr>
      <w:sz w:val="18"/>
      <w:szCs w:val="18"/>
    </w:rPr>
  </w:style>
  <w:style w:type="paragraph" w:styleId="888">
    <w:name w:val="Normal (Web)"/>
    <w:basedOn w:val="859"/>
    <w:uiPriority w:val="0"/>
    <w:qFormat/>
    <w:pPr>
      <w:jc w:val="left"/>
      <w:spacing w:before="100" w:beforeAutospacing="1" w:after="100" w:afterAutospacing="1"/>
      <w:widowControl/>
    </w:pPr>
    <w:rPr>
      <w:rFonts w:ascii="宋体" w:hAnsi="宋体" w:cs="宋体"/>
      <w:sz w:val="24"/>
      <w:szCs w:val="24"/>
    </w:rPr>
  </w:style>
  <w:style w:type="paragraph" w:styleId="889">
    <w:name w:val="Title"/>
    <w:basedOn w:val="859"/>
    <w:next w:val="859"/>
    <w:link w:val="898"/>
    <w:uiPriority w:val="10"/>
    <w:qFormat/>
    <w:pPr>
      <w:jc w:val="center"/>
      <w:spacing w:line="400" w:lineRule="exact"/>
      <w:outlineLvl w:val="0"/>
    </w:pPr>
    <w:rPr>
      <w:rFonts w:eastAsia="黑体" w:asciiTheme="majorHAnsi" w:hAnsiTheme="majorHAnsi" w:cstheme="majorBidi"/>
      <w:bCs/>
      <w:sz w:val="30"/>
      <w:szCs w:val="32"/>
    </w:rPr>
  </w:style>
  <w:style w:type="paragraph" w:styleId="890">
    <w:name w:val="annotation subject"/>
    <w:basedOn w:val="871"/>
    <w:next w:val="871"/>
    <w:link w:val="905"/>
    <w:uiPriority w:val="99"/>
    <w:semiHidden/>
    <w:unhideWhenUsed/>
    <w:qFormat/>
    <w:rPr>
      <w:b/>
      <w:bCs/>
    </w:rPr>
  </w:style>
  <w:style w:type="paragraph" w:styleId="891">
    <w:name w:val="Body Text First Indent"/>
    <w:basedOn w:val="873"/>
    <w:link w:val="930"/>
    <w:uiPriority w:val="0"/>
    <w:qFormat/>
    <w:pPr>
      <w:ind w:firstLine="420"/>
      <w:spacing w:after="120" w:line="240" w:lineRule="auto"/>
    </w:pPr>
    <w:rPr>
      <w:rFonts w:ascii="宋体" w:hAnsi="宋体" w:eastAsia="宋体" w:cstheme="minorBidi"/>
      <w:sz w:val="24"/>
      <w:szCs w:val="22"/>
    </w:rPr>
  </w:style>
  <w:style w:type="paragraph" w:styleId="892">
    <w:name w:val="Body Text First Indent 2"/>
    <w:basedOn w:val="874"/>
    <w:link w:val="921"/>
    <w:uiPriority w:val="0"/>
    <w:unhideWhenUsed/>
    <w:qFormat/>
    <w:pPr>
      <w:ind w:firstLine="420"/>
    </w:pPr>
  </w:style>
  <w:style w:type="table" w:styleId="893">
    <w:name w:val="Table Grid"/>
    <w:basedOn w:val="86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4">
    <w:name w:val="Strong"/>
    <w:basedOn w:val="865"/>
    <w:uiPriority w:val="22"/>
    <w:qFormat/>
    <w:rPr>
      <w:b/>
      <w:bCs/>
    </w:rPr>
  </w:style>
  <w:style w:type="character" w:styleId="895">
    <w:name w:val="page number"/>
    <w:uiPriority w:val="0"/>
    <w:qFormat/>
  </w:style>
  <w:style w:type="character" w:styleId="896">
    <w:name w:val="Hyperlink"/>
    <w:basedOn w:val="865"/>
    <w:uiPriority w:val="99"/>
    <w:unhideWhenUsed/>
    <w:qFormat/>
    <w:rPr>
      <w:color w:val="0000ff" w:themeColor="hyperlink"/>
      <w:u w:val="single"/>
      <w14:textFill>
        <w14:solidFill>
          <w14:schemeClr w14:val="hlink"/>
        </w14:solidFill>
      </w14:textFill>
    </w:rPr>
  </w:style>
  <w:style w:type="character" w:styleId="897">
    <w:name w:val="annotation reference"/>
    <w:basedOn w:val="865"/>
    <w:uiPriority w:val="99"/>
    <w:semiHidden/>
    <w:unhideWhenUsed/>
    <w:qFormat/>
    <w:rPr>
      <w:sz w:val="21"/>
      <w:szCs w:val="21"/>
    </w:rPr>
  </w:style>
  <w:style w:type="character" w:styleId="898" w:customStyle="1">
    <w:name w:val="标题 Char"/>
    <w:basedOn w:val="865"/>
    <w:link w:val="889"/>
    <w:uiPriority w:val="10"/>
    <w:qFormat/>
    <w:rPr>
      <w:rFonts w:eastAsia="黑体" w:asciiTheme="majorHAnsi" w:hAnsiTheme="majorHAnsi" w:cstheme="majorBidi"/>
      <w:bCs/>
      <w:sz w:val="30"/>
      <w:szCs w:val="32"/>
    </w:rPr>
  </w:style>
  <w:style w:type="character" w:styleId="899" w:customStyle="1">
    <w:name w:val="页眉 Char"/>
    <w:basedOn w:val="865"/>
    <w:link w:val="882"/>
    <w:uiPriority w:val="0"/>
    <w:qFormat/>
    <w:rPr>
      <w:sz w:val="18"/>
      <w:szCs w:val="18"/>
    </w:rPr>
  </w:style>
  <w:style w:type="character" w:styleId="900" w:customStyle="1">
    <w:name w:val="页脚 Char"/>
    <w:basedOn w:val="865"/>
    <w:link w:val="881"/>
    <w:uiPriority w:val="99"/>
    <w:qFormat/>
    <w:rPr>
      <w:sz w:val="18"/>
      <w:szCs w:val="18"/>
    </w:rPr>
  </w:style>
  <w:style w:type="character" w:styleId="901" w:customStyle="1">
    <w:name w:val="font2800"/>
    <w:basedOn w:val="865"/>
    <w:uiPriority w:val="0"/>
    <w:qFormat/>
  </w:style>
  <w:style w:type="character" w:styleId="902" w:customStyle="1">
    <w:name w:val="批注框文本 Char"/>
    <w:basedOn w:val="865"/>
    <w:link w:val="880"/>
    <w:uiPriority w:val="99"/>
    <w:semiHidden/>
    <w:qFormat/>
    <w:rPr>
      <w:sz w:val="18"/>
      <w:szCs w:val="18"/>
    </w:rPr>
  </w:style>
  <w:style w:type="table" w:styleId="903" w:customStyle="1">
    <w:name w:val="网格型1"/>
    <w:basedOn w:val="866"/>
    <w:uiPriority w:val="59"/>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4" w:customStyle="1">
    <w:name w:val="批注文字 Char"/>
    <w:basedOn w:val="865"/>
    <w:link w:val="871"/>
    <w:uiPriority w:val="99"/>
    <w:qFormat/>
  </w:style>
  <w:style w:type="character" w:styleId="905" w:customStyle="1">
    <w:name w:val="批注主题 Char"/>
    <w:basedOn w:val="904"/>
    <w:link w:val="890"/>
    <w:uiPriority w:val="99"/>
    <w:semiHidden/>
    <w:qFormat/>
    <w:rPr>
      <w:b/>
      <w:bCs/>
    </w:rPr>
  </w:style>
  <w:style w:type="character" w:styleId="906" w:customStyle="1">
    <w:name w:val="正文文本 Char"/>
    <w:basedOn w:val="865"/>
    <w:uiPriority w:val="0"/>
    <w:qFormat/>
  </w:style>
  <w:style w:type="character" w:styleId="907" w:customStyle="1">
    <w:name w:val="正文文本 Char1"/>
    <w:link w:val="873"/>
    <w:uiPriority w:val="0"/>
    <w:qFormat/>
    <w:rPr>
      <w:rFonts w:ascii="楷体_GB2312" w:hAnsi="Times New Roman" w:eastAsia="楷体_GB2312" w:cs="Times New Roman"/>
      <w:bCs/>
      <w:sz w:val="28"/>
      <w:szCs w:val="24"/>
    </w:rPr>
  </w:style>
  <w:style w:type="paragraph" w:styleId="908" w:customStyle="1">
    <w:name w:val="Table Paragraph"/>
    <w:basedOn w:val="859"/>
    <w:uiPriority w:val="1"/>
    <w:qFormat/>
    <w:pPr>
      <w:ind w:firstLine="260"/>
      <w:jc w:val="left"/>
      <w:spacing w:line="360" w:lineRule="auto"/>
    </w:pPr>
    <w:rPr>
      <w:rFonts w:ascii="Calibri" w:hAnsi="Calibri" w:eastAsia="仿宋" w:cs="Times New Roman"/>
      <w:sz w:val="28"/>
      <w:lang w:eastAsia="en-US"/>
    </w:rPr>
  </w:style>
  <w:style w:type="paragraph" w:styleId="909">
    <w:name w:val="No Spacing"/>
    <w:link w:val="910"/>
    <w:uiPriority w:val="1"/>
    <w:qFormat/>
    <w:pPr>
      <w:jc w:val="both"/>
      <w:spacing w:line="360" w:lineRule="auto"/>
      <w:widowControl w:val="off"/>
    </w:pPr>
    <w:rPr>
      <w:rFonts w:ascii="宋体" w:hAnsi="宋体" w:eastAsiaTheme="minorEastAsia" w:cstheme="minorBidi"/>
      <w:sz w:val="24"/>
      <w:szCs w:val="22"/>
      <w:lang w:val="en-US" w:eastAsia="zh-CN" w:bidi="ar-SA"/>
    </w:rPr>
  </w:style>
  <w:style w:type="character" w:styleId="910" w:customStyle="1">
    <w:name w:val="无间隔 Char"/>
    <w:link w:val="909"/>
    <w:uiPriority w:val="1"/>
    <w:qFormat/>
    <w:rPr>
      <w:rFonts w:ascii="宋体" w:hAnsi="宋体"/>
      <w:sz w:val="24"/>
    </w:rPr>
  </w:style>
  <w:style w:type="character" w:styleId="911" w:customStyle="1">
    <w:name w:val="正文文本缩进 Char"/>
    <w:basedOn w:val="865"/>
    <w:link w:val="874"/>
    <w:uiPriority w:val="0"/>
    <w:qFormat/>
  </w:style>
  <w:style w:type="table" w:styleId="912" w:customStyle="1">
    <w:name w:val="网格型2"/>
    <w:basedOn w:val="866"/>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13" w:customStyle="1">
    <w:name w:val="Revision"/>
    <w:hidden/>
    <w:uiPriority w:val="99"/>
    <w:unhideWhenUsed/>
    <w:qFormat/>
    <w:rPr>
      <w:rFonts w:asciiTheme="minorHAnsi" w:hAnsiTheme="minorHAnsi" w:eastAsiaTheme="minorEastAsia" w:cstheme="minorBidi"/>
      <w:sz w:val="21"/>
      <w:szCs w:val="22"/>
      <w:lang w:val="en-US" w:eastAsia="zh-CN" w:bidi="ar-SA"/>
    </w:rPr>
  </w:style>
  <w:style w:type="table" w:styleId="914" w:customStyle="1">
    <w:name w:val="网格型3"/>
    <w:basedOn w:val="866"/>
    <w:uiPriority w:val="59"/>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15" w:customStyle="1">
    <w:name w:val="网格型4"/>
    <w:basedOn w:val="866"/>
    <w:uiPriority w:val="0"/>
    <w:qFormat/>
    <w:pPr>
      <w:jc w:val="both"/>
      <w:widowControl w:val="off"/>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16" w:customStyle="1">
    <w:name w:val="Table Normal"/>
    <w:uiPriority w:val="0"/>
    <w:semiHidden/>
    <w:unhideWhenUsed/>
    <w:qFormat/>
    <w:rPr>
      <w:sz w:val="20"/>
      <w:szCs w:val="20"/>
    </w:rPr>
    <w:tblPr>
      <w:tblCellMar>
        <w:left w:w="0" w:type="dxa"/>
        <w:top w:w="0" w:type="dxa"/>
        <w:right w:w="0" w:type="dxa"/>
        <w:bottom w:w="0" w:type="dxa"/>
      </w:tblCellMar>
    </w:tblPr>
  </w:style>
  <w:style w:type="character" w:styleId="917" w:customStyle="1">
    <w:name w:val="标题 1 Char"/>
    <w:basedOn w:val="865"/>
    <w:link w:val="860"/>
    <w:uiPriority w:val="9"/>
    <w:qFormat/>
    <w:rPr>
      <w:b/>
      <w:bCs/>
      <w:sz w:val="44"/>
      <w:szCs w:val="44"/>
    </w:rPr>
  </w:style>
  <w:style w:type="paragraph" w:styleId="918" w:customStyle="1">
    <w:name w:val="TOC Heading"/>
    <w:basedOn w:val="860"/>
    <w:next w:val="859"/>
    <w:uiPriority w:val="39"/>
    <w:semiHidden/>
    <w:unhideWhenUsed/>
    <w:qFormat/>
    <w:pPr>
      <w:outlineLvl w:val="9"/>
    </w:pPr>
  </w:style>
  <w:style w:type="character" w:styleId="919" w:customStyle="1">
    <w:name w:val="font21"/>
    <w:basedOn w:val="865"/>
    <w:uiPriority w:val="0"/>
    <w:qFormat/>
    <w:rPr>
      <w:rFonts w:ascii="Calibri" w:hAnsi="Calibri" w:cs="Calibri"/>
      <w:color w:val="000000"/>
      <w:sz w:val="21"/>
      <w:szCs w:val="21"/>
      <w:u w:val="none"/>
    </w:rPr>
  </w:style>
  <w:style w:type="character" w:styleId="920" w:customStyle="1">
    <w:name w:val="font11"/>
    <w:basedOn w:val="865"/>
    <w:uiPriority w:val="0"/>
    <w:qFormat/>
    <w:rPr>
      <w:rFonts w:hint="eastAsia" w:ascii="宋体" w:hAnsi="宋体" w:eastAsia="宋体" w:cs="宋体"/>
      <w:color w:val="000000"/>
      <w:sz w:val="21"/>
      <w:szCs w:val="21"/>
      <w:u w:val="none"/>
    </w:rPr>
  </w:style>
  <w:style w:type="character" w:styleId="921" w:customStyle="1">
    <w:name w:val="正文首行缩进 2 Char"/>
    <w:basedOn w:val="911"/>
    <w:link w:val="892"/>
    <w:uiPriority w:val="0"/>
    <w:qFormat/>
  </w:style>
  <w:style w:type="character" w:styleId="922" w:customStyle="1">
    <w:name w:val="标题 2 Char"/>
    <w:basedOn w:val="865"/>
    <w:link w:val="861"/>
    <w:uiPriority w:val="9"/>
    <w:semiHidden/>
    <w:qFormat/>
    <w:rPr>
      <w:rFonts w:asciiTheme="majorHAnsi" w:hAnsiTheme="majorHAnsi" w:eastAsiaTheme="majorEastAsia" w:cstheme="majorBidi"/>
      <w:b/>
      <w:bCs/>
      <w:sz w:val="32"/>
      <w:szCs w:val="32"/>
    </w:rPr>
  </w:style>
  <w:style w:type="character" w:styleId="923" w:customStyle="1">
    <w:name w:val="标题 3 Char"/>
    <w:basedOn w:val="865"/>
    <w:link w:val="862"/>
    <w:uiPriority w:val="9"/>
    <w:semiHidden/>
    <w:qFormat/>
    <w:rPr>
      <w:b/>
      <w:bCs/>
      <w:sz w:val="32"/>
      <w:szCs w:val="32"/>
    </w:rPr>
  </w:style>
  <w:style w:type="character" w:styleId="924" w:customStyle="1">
    <w:name w:val="标题 4 Char"/>
    <w:basedOn w:val="865"/>
    <w:link w:val="863"/>
    <w:uiPriority w:val="9"/>
    <w:semiHidden/>
    <w:qFormat/>
    <w:rPr>
      <w:rFonts w:asciiTheme="majorHAnsi" w:hAnsiTheme="majorHAnsi" w:eastAsiaTheme="majorEastAsia" w:cstheme="majorBidi"/>
      <w:b/>
      <w:bCs/>
      <w:sz w:val="28"/>
      <w:szCs w:val="28"/>
    </w:rPr>
  </w:style>
  <w:style w:type="character" w:styleId="925" w:customStyle="1">
    <w:name w:val="标题 5 Char"/>
    <w:basedOn w:val="865"/>
    <w:link w:val="864"/>
    <w:uiPriority w:val="9"/>
    <w:semiHidden/>
    <w:qFormat/>
    <w:rPr>
      <w:b/>
      <w:bCs/>
      <w:sz w:val="28"/>
      <w:szCs w:val="28"/>
    </w:rPr>
  </w:style>
  <w:style w:type="character" w:styleId="926" w:customStyle="1">
    <w:name w:val="注释标题 Char"/>
    <w:basedOn w:val="865"/>
    <w:link w:val="868"/>
    <w:uiPriority w:val="0"/>
    <w:qFormat/>
    <w:rPr>
      <w:rFonts w:ascii="金梅簡體中黑字形" w:hAnsi="Arial" w:eastAsia="金梅簡體中黑字形" w:cs="Times New Roman"/>
      <w:sz w:val="24"/>
      <w:szCs w:val="24"/>
    </w:rPr>
  </w:style>
  <w:style w:type="character" w:styleId="927" w:customStyle="1">
    <w:name w:val="文档结构图 Char"/>
    <w:basedOn w:val="865"/>
    <w:link w:val="870"/>
    <w:uiPriority w:val="99"/>
    <w:qFormat/>
    <w:rPr>
      <w:rFonts w:ascii="宋体"/>
      <w:sz w:val="18"/>
      <w:szCs w:val="18"/>
    </w:rPr>
  </w:style>
  <w:style w:type="character" w:styleId="928" w:customStyle="1">
    <w:name w:val="正文文本 3 Char"/>
    <w:basedOn w:val="865"/>
    <w:link w:val="872"/>
    <w:uiPriority w:val="0"/>
    <w:qFormat/>
    <w:rPr>
      <w:rFonts w:ascii="仿宋_GB2312" w:eastAsia="仿宋_GB2312"/>
      <w:sz w:val="24"/>
    </w:rPr>
  </w:style>
  <w:style w:type="character" w:styleId="929" w:customStyle="1">
    <w:name w:val="纯文本 Char"/>
    <w:basedOn w:val="865"/>
    <w:link w:val="878"/>
    <w:uiPriority w:val="0"/>
    <w:qFormat/>
    <w:rPr>
      <w:rFonts w:hAnsi="Courier New" w:cs="Courier New" w:asciiTheme="minorEastAsia"/>
    </w:rPr>
  </w:style>
  <w:style w:type="character" w:styleId="930" w:customStyle="1">
    <w:name w:val="正文首行缩进 Char"/>
    <w:basedOn w:val="907"/>
    <w:link w:val="891"/>
    <w:uiPriority w:val="0"/>
    <w:qFormat/>
    <w:rPr>
      <w:rFonts w:ascii="宋体" w:hAnsi="宋体" w:eastAsia="宋体" w:cs="Times New Roman"/>
      <w:sz w:val="24"/>
      <w:szCs w:val="24"/>
    </w:rPr>
  </w:style>
  <w:style w:type="table" w:styleId="931" w:customStyle="1">
    <w:name w:val="网格型5"/>
    <w:basedOn w:val="866"/>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32" w:customStyle="1">
    <w:name w:val="正文首行缩进 21"/>
    <w:basedOn w:val="874"/>
    <w:next w:val="873"/>
    <w:uiPriority w:val="0"/>
    <w:qFormat/>
    <w:pPr>
      <w:ind w:firstLine="210"/>
    </w:pPr>
    <w:rPr>
      <w:szCs w:val="21"/>
    </w:rPr>
  </w:style>
  <w:style w:type="paragraph" w:styleId="933" w:customStyle="1">
    <w:name w:val="标题 21"/>
    <w:basedOn w:val="859"/>
    <w:next w:val="859"/>
    <w:uiPriority w:val="9"/>
    <w:semiHidden/>
    <w:unhideWhenUsed/>
    <w:qFormat/>
    <w:pPr>
      <w:keepLines/>
      <w:keepNext/>
      <w:spacing w:before="260" w:after="260" w:line="416" w:lineRule="auto"/>
      <w:outlineLvl w:val="1"/>
    </w:pPr>
    <w:rPr>
      <w:rFonts w:ascii="Calibri Light" w:hAnsi="Calibri Light" w:eastAsia="宋体" w:cs="Times New Roman"/>
      <w:b/>
      <w:bCs/>
      <w:sz w:val="32"/>
      <w:szCs w:val="32"/>
    </w:rPr>
  </w:style>
  <w:style w:type="table" w:styleId="934" w:customStyle="1">
    <w:name w:val="网格型11"/>
    <w:basedOn w:val="866"/>
    <w:uiPriority w:val="0"/>
    <w:qFormat/>
    <w:pPr>
      <w:jc w:val="both"/>
      <w:widowControl w:val="off"/>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35" w:customStyle="1">
    <w:name w:val="BodyText1I2"/>
    <w:basedOn w:val="859"/>
    <w:next w:val="859"/>
    <w:uiPriority w:val="99"/>
    <w:qFormat/>
    <w:pPr>
      <w:ind w:left="420" w:firstLine="420"/>
      <w:spacing w:after="120"/>
    </w:pPr>
    <w:rPr>
      <w:rFonts w:ascii="楷体_GB2312" w:hAnsi="Times New Roman" w:eastAsia="楷体_GB2312" w:cs="Times New Roman"/>
      <w:szCs w:val="24"/>
    </w:rPr>
  </w:style>
  <w:style w:type="paragraph" w:styleId="936">
    <w:name w:val="List Paragraph"/>
    <w:basedOn w:val="859"/>
    <w:uiPriority w:val="34"/>
    <w:qFormat/>
    <w:pPr>
      <w:ind w:firstLine="420"/>
    </w:pPr>
  </w:style>
  <w:style w:type="paragraph" w:styleId="937" w:customStyle="1">
    <w:name w:val="正文无缩进"/>
    <w:basedOn w:val="859"/>
    <w:uiPriority w:val="0"/>
    <w:qFormat/>
    <w:pPr>
      <w:jc w:val="left"/>
      <w:spacing w:line="300" w:lineRule="auto"/>
      <w:widowControl/>
    </w:pPr>
    <w:rPr>
      <w:rFonts w:eastAsia="楷体_GB2312"/>
      <w:sz w:val="24"/>
    </w:rPr>
  </w:style>
  <w:style w:type="character" w:styleId="938" w:customStyle="1">
    <w:name w:val="NormalCharacter"/>
    <w:uiPriority w:val="0"/>
    <w:qFormat/>
    <w:rPr>
      <w:rFonts w:ascii="Times New Roman" w:hAnsi="Times New Roman" w:eastAsia="宋体"/>
    </w:rPr>
  </w:style>
  <w:style w:type="table" w:styleId="939" w:customStyle="1">
    <w:name w:val="网格型21"/>
    <w:basedOn w:val="866"/>
    <w:uiPriority w:val="0"/>
    <w:qFormat/>
    <w:pPr>
      <w:jc w:val="both"/>
      <w:widowControl w:val="off"/>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40" w:customStyle="1">
    <w:name w:val="Default"/>
    <w:uiPriority w:val="99"/>
    <w:qFormat/>
    <w:pPr>
      <w:ind w:firstLine="1040"/>
      <w:jc w:val="both"/>
      <w:spacing w:line="360" w:lineRule="auto"/>
      <w:widowControl w:val="off"/>
    </w:pPr>
    <w:rPr>
      <w:rFonts w:eastAsia="Songti SC" w:cs="楷体à.ā" w:asciiTheme="minorEastAsia" w:hAnsiTheme="minorEastAsia"/>
      <w:color w:val="000000"/>
      <w:sz w:val="24"/>
      <w:szCs w:val="24"/>
      <w:lang w:val="en-US" w:eastAsia="zh-CN" w:bidi="ar-SA"/>
    </w:rPr>
  </w:style>
  <w:style w:type="paragraph" w:styleId="941" w:customStyle="1">
    <w:name w:val="正文文本首行缩进1"/>
    <w:basedOn w:val="873"/>
    <w:next w:val="942"/>
    <w:uiPriority w:val="0"/>
    <w:qFormat/>
    <w:pPr>
      <w:ind w:firstLine="420"/>
      <w:spacing w:after="120"/>
    </w:pPr>
    <w:rPr>
      <w:rFonts w:eastAsia="宋体"/>
    </w:rPr>
  </w:style>
  <w:style w:type="paragraph" w:styleId="942" w:customStyle="1">
    <w:name w:val="正文文本首行缩进 21"/>
    <w:basedOn w:val="874"/>
    <w:uiPriority w:val="0"/>
    <w:qFormat/>
    <w:pPr>
      <w:ind w:firstLine="420"/>
      <w:widowControl/>
    </w:pPr>
    <w:rPr>
      <w:rFonts w:ascii="仿宋_GB2312" w:eastAsia="仿宋_GB2312"/>
      <w:color w:val="ff6600"/>
    </w:rPr>
  </w:style>
  <w:style w:type="character" w:styleId="943" w:customStyle="1">
    <w:name w:val="font41"/>
    <w:basedOn w:val="865"/>
    <w:uiPriority w:val="0"/>
    <w:qFormat/>
    <w:rPr>
      <w:rFonts w:hint="eastAsia" w:ascii="宋体" w:hAnsi="宋体" w:eastAsia="宋体" w:cs="宋体"/>
      <w:color w:val="000000"/>
      <w:sz w:val="24"/>
      <w:szCs w:val="24"/>
      <w:u w:val="none"/>
    </w:rPr>
  </w:style>
  <w:style w:type="character" w:styleId="944" w:customStyle="1">
    <w:name w:val="font31"/>
    <w:uiPriority w:val="0"/>
    <w:qFormat/>
    <w:rPr>
      <w:rFonts w:hint="default" w:ascii="Times New Roman" w:hAnsi="Times New Roman" w:cs="Times New Roman"/>
      <w:color w:val="000000"/>
      <w:sz w:val="24"/>
      <w:szCs w:val="24"/>
      <w:u w:val="none"/>
    </w:rPr>
  </w:style>
  <w:style w:type="paragraph" w:styleId="945" w:customStyle="1">
    <w:name w:val="msolistparagraph"/>
    <w:basedOn w:val="859"/>
    <w:uiPriority w:val="0"/>
    <w:qFormat/>
    <w:pPr>
      <w:ind w:firstLine="420"/>
    </w:pPr>
    <w:rPr>
      <w:rFonts w:ascii="Calibri" w:hAnsi="Calibri" w:eastAsia="宋体" w:cs="Times New Roman"/>
    </w:rPr>
  </w:style>
  <w:style w:type="paragraph" w:styleId="946" w:customStyle="1">
    <w:name w:val="表格文本"/>
    <w:uiPriority w:val="0"/>
    <w:qFormat/>
    <w:pPr>
      <w:jc w:val="center"/>
    </w:pPr>
    <w:rPr>
      <w:rFonts w:ascii="宋体" w:hAnsi="宋体" w:eastAsia="宋体" w:cs="Times New Roman (标题 CS)"/>
      <w:color w:val="000000" w:themeColor="text1"/>
      <w:sz w:val="24"/>
      <w:szCs w:val="40"/>
      <w:lang w:val="en-US" w:eastAsia="zh-CN" w:bidi="ar-SA"/>
      <w14:textFill>
        <w14:solidFill>
          <w14:schemeClr w14:val="tx1"/>
        </w14:solidFill>
      </w14:textFill>
    </w:rPr>
  </w:style>
  <w:style w:type="paragraph" w:styleId="947" w:customStyle="1">
    <w:name w:val="表格文字"/>
    <w:basedOn w:val="948"/>
    <w:next w:val="873"/>
    <w:uiPriority w:val="0"/>
    <w:qFormat/>
  </w:style>
  <w:style w:type="paragraph" w:styleId="948" w:customStyle="1">
    <w:name w:val="表格文字（两侧对齐）"/>
    <w:basedOn w:val="859"/>
    <w:uiPriority w:val="0"/>
    <w:qFormat/>
    <w:rPr>
      <w:rFonts w:ascii="Calibri" w:hAnsi="Calibri"/>
      <w:sz w:val="20"/>
    </w:rPr>
  </w:style>
  <w:style w:type="paragraph" w:styleId="949" w:customStyle="1">
    <w:name w:val="样式 样式 小四 行距: 1.5 倍行距 + 首行缩进:  3 字符"/>
    <w:basedOn w:val="859"/>
    <w:uiPriority w:val="0"/>
    <w:qFormat/>
    <w:pPr>
      <w:ind w:firstLine="420"/>
    </w:pPr>
    <w:rPr>
      <w:rFonts w:ascii="宋体" w:hAnsi="宋体" w:eastAsia="宋体" w:cs="宋体"/>
      <w:szCs w:val="21"/>
    </w:rPr>
  </w:style>
  <w:style w:type="paragraph" w:styleId="950" w:customStyle="1">
    <w:name w:val="列出段落1"/>
    <w:basedOn w:val="859"/>
    <w:uiPriority w:val="34"/>
    <w:qFormat/>
    <w:pPr>
      <w:ind w:firstLine="420"/>
      <w:spacing w:line="360" w:lineRule="auto"/>
    </w:pPr>
    <w:rPr>
      <w:rFonts w:ascii="Times New Roman" w:hAnsi="Times New Roman" w:eastAsia="宋体" w:cs="Times New Roman"/>
      <w:sz w:val="24"/>
      <w:szCs w:val="24"/>
    </w:rPr>
  </w:style>
  <w:style w:type="paragraph" w:styleId="951" w:customStyle="1">
    <w:name w:val="投标正文"/>
    <w:basedOn w:val="859"/>
    <w:uiPriority w:val="0"/>
    <w:qFormat/>
    <w:pPr>
      <w:ind w:left="567"/>
      <w:spacing w:line="360" w:lineRule="auto"/>
    </w:pPr>
    <w:rPr>
      <w:rFonts w:ascii="Times New Roman" w:hAnsi="Times New Roman"/>
      <w:sz w:val="24"/>
    </w:rPr>
  </w:style>
  <w:style w:type="table" w:styleId="952" w:customStyle="1">
    <w:name w:val="网格型6"/>
    <w:basedOn w:val="866"/>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3" w:customStyle="1">
    <w:name w:val="网格型22"/>
    <w:basedOn w:val="866"/>
    <w:uiPriority w:val="0"/>
    <w:qFormat/>
    <w:pPr>
      <w:jc w:val="both"/>
      <w:widowControl w:val="off"/>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4" w:customStyle="1">
    <w:name w:val="网格型7"/>
    <w:basedOn w:val="866"/>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55" w:customStyle="1">
    <w:name w:val="修订1"/>
    <w:hidden/>
    <w:uiPriority w:val="99"/>
    <w:unhideWhenUsed/>
    <w:qFormat/>
    <w:rPr>
      <w:rFonts w:asciiTheme="minorHAnsi" w:hAnsiTheme="minorHAnsi" w:eastAsiaTheme="minorEastAsia" w:cstheme="minorBidi"/>
      <w:sz w:val="21"/>
      <w:szCs w:val="22"/>
      <w:lang w:val="en-US" w:eastAsia="zh-CN" w:bidi="ar-SA"/>
    </w:rPr>
  </w:style>
  <w:style w:type="paragraph" w:styleId="956" w:customStyle="1">
    <w:name w:val="TOC 标题1"/>
    <w:basedOn w:val="860"/>
    <w:next w:val="859"/>
    <w:uiPriority w:val="39"/>
    <w:semiHidden/>
    <w:unhideWhenUsed/>
    <w:qFormat/>
    <w:pPr>
      <w:outlineLvl w:val="9"/>
    </w:pPr>
  </w:style>
  <w:style w:type="table" w:styleId="957" w:customStyle="1">
    <w:name w:val="网格型8"/>
    <w:basedOn w:val="866"/>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8" w:customStyle="1">
    <w:name w:val="网格型9"/>
    <w:basedOn w:val="866"/>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9" w:customStyle="1">
    <w:name w:val="网格型12"/>
    <w:basedOn w:val="866"/>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0" w:customStyle="1">
    <w:name w:val="网格型23"/>
    <w:basedOn w:val="86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1" w:customStyle="1">
    <w:name w:val="网格型31"/>
    <w:basedOn w:val="866"/>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2" w:customStyle="1">
    <w:name w:val="网格型41"/>
    <w:basedOn w:val="86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3" w:customStyle="1">
    <w:name w:val="Table Normal1"/>
    <w:uiPriority w:val="0"/>
    <w:semiHidden/>
    <w:unhideWhenUsed/>
    <w:qFormat/>
    <w:tblPr>
      <w:tblCellMar>
        <w:left w:w="0" w:type="dxa"/>
        <w:top w:w="0" w:type="dxa"/>
        <w:right w:w="0" w:type="dxa"/>
        <w:bottom w:w="0" w:type="dxa"/>
      </w:tblCellMar>
    </w:tblPr>
  </w:style>
  <w:style w:type="table" w:styleId="964" w:customStyle="1">
    <w:name w:val="网格型51"/>
    <w:basedOn w:val="86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5" w:customStyle="1">
    <w:name w:val="网格型111"/>
    <w:basedOn w:val="86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6" w:customStyle="1">
    <w:name w:val="网格型211"/>
    <w:basedOn w:val="86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7" w:customStyle="1">
    <w:name w:val="网格型61"/>
    <w:basedOn w:val="86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8" w:customStyle="1">
    <w:name w:val="网格型221"/>
    <w:basedOn w:val="86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9" w:customStyle="1">
    <w:name w:val="网格型71"/>
    <w:basedOn w:val="86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70" w:customStyle="1">
    <w:name w:val="网格型10"/>
    <w:basedOn w:val="866"/>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71" w:customStyle="1">
    <w:name w:val="网格型13"/>
    <w:basedOn w:val="866"/>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72" w:customStyle="1">
    <w:name w:val="网格型121"/>
    <w:basedOn w:val="866"/>
    <w:uiPriority w:val="59"/>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73" w:customStyle="1">
    <w:name w:val="网格型231"/>
    <w:basedOn w:val="866"/>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74" w:customStyle="1">
    <w:name w:val="网格型311"/>
    <w:basedOn w:val="866"/>
    <w:uiPriority w:val="59"/>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75" w:customStyle="1">
    <w:name w:val="网格型411"/>
    <w:basedOn w:val="866"/>
    <w:uiPriority w:val="0"/>
    <w:qFormat/>
    <w:pPr>
      <w:jc w:val="both"/>
      <w:widowControl w:val="off"/>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76" w:customStyle="1">
    <w:name w:val="Table Normal11"/>
    <w:uiPriority w:val="0"/>
    <w:semiHidden/>
    <w:unhideWhenUsed/>
    <w:qFormat/>
    <w:rPr>
      <w:sz w:val="20"/>
      <w:szCs w:val="20"/>
    </w:rPr>
    <w:tblPr>
      <w:tblCellMar>
        <w:left w:w="0" w:type="dxa"/>
        <w:top w:w="0" w:type="dxa"/>
        <w:right w:w="0" w:type="dxa"/>
        <w:bottom w:w="0" w:type="dxa"/>
      </w:tblCellMar>
    </w:tblPr>
  </w:style>
  <w:style w:type="table" w:styleId="977" w:customStyle="1">
    <w:name w:val="网格型511"/>
    <w:basedOn w:val="866"/>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78" w:customStyle="1">
    <w:name w:val="网格型1111"/>
    <w:basedOn w:val="866"/>
    <w:uiPriority w:val="0"/>
    <w:qFormat/>
    <w:pPr>
      <w:jc w:val="both"/>
      <w:widowControl w:val="off"/>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79" w:customStyle="1">
    <w:name w:val="网格型2111"/>
    <w:basedOn w:val="866"/>
    <w:uiPriority w:val="0"/>
    <w:qFormat/>
    <w:pPr>
      <w:jc w:val="both"/>
      <w:widowControl w:val="off"/>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80" w:customStyle="1">
    <w:name w:val="网格型611"/>
    <w:basedOn w:val="866"/>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81" w:customStyle="1">
    <w:name w:val="网格型2211"/>
    <w:basedOn w:val="866"/>
    <w:uiPriority w:val="0"/>
    <w:qFormat/>
    <w:pPr>
      <w:jc w:val="both"/>
      <w:widowControl w:val="off"/>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82" w:customStyle="1">
    <w:name w:val="网格型711"/>
    <w:basedOn w:val="866"/>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numbering" w:styleId="9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7B71FA6-79A5-44B4-BD51-B27AB13ED314}"/>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刘亚勇</cp:lastModifiedBy>
  <cp:revision>459</cp:revision>
  <dcterms:created xsi:type="dcterms:W3CDTF">2025-10-17T05:39:00Z</dcterms:created>
  <dcterms:modified xsi:type="dcterms:W3CDTF">2026-06-05T07:48:48Z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eyJoZGlkIjoiY2I1MWNmNTMyZGM2NGExNWZhMWVmNDU4NGExYjMyZjkiLCJ1c2VySWQiOiI3NjU2OTk2MDEifQ==</vt:lpwstr>
  </property>
  <property fmtid="{D5CDD505-2E9C-101B-9397-08002B2CF9AE}" pid="3" name="KSOProductBuildVer">
    <vt:lpwstr>2052-12.1.0.26895</vt:lpwstr>
  </property>
  <property fmtid="{D5CDD505-2E9C-101B-9397-08002B2CF9AE}" pid="4" name="ICV">
    <vt:lpwstr>CA8FB7B979EC476E91E795E5FDDA8404_12</vt:lpwstr>
  </property>
</Properties>
</file>