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7A99">
      <w:pPr>
        <w:jc w:val="center"/>
        <w:rPr>
          <w:b/>
          <w:bCs/>
          <w:sz w:val="28"/>
          <w:szCs w:val="28"/>
        </w:rPr>
      </w:pPr>
      <w:r>
        <w:rPr>
          <w:rFonts w:hint="eastAsia"/>
          <w:b/>
          <w:bCs/>
          <w:sz w:val="28"/>
          <w:szCs w:val="28"/>
        </w:rPr>
        <w:t>三高中屋面钢结构、运动场地及宿舍供水等维修项目清单编制说明</w:t>
      </w:r>
    </w:p>
    <w:p w14:paraId="2E6442DB">
      <w:pPr>
        <w:jc w:val="center"/>
        <w:rPr>
          <w:b/>
          <w:bCs/>
          <w:sz w:val="24"/>
        </w:rPr>
      </w:pPr>
    </w:p>
    <w:p w14:paraId="050FD111">
      <w:pPr>
        <w:numPr>
          <w:ilvl w:val="0"/>
          <w:numId w:val="1"/>
        </w:numPr>
        <w:autoSpaceDE w:val="0"/>
        <w:autoSpaceDN w:val="0"/>
        <w:adjustRightInd w:val="0"/>
        <w:snapToGrid w:val="0"/>
        <w:spacing w:line="360" w:lineRule="auto"/>
        <w:rPr>
          <w:b/>
          <w:sz w:val="24"/>
        </w:rPr>
      </w:pPr>
      <w:r>
        <w:rPr>
          <w:rFonts w:hint="eastAsia"/>
          <w:b/>
          <w:sz w:val="24"/>
        </w:rPr>
        <w:t>项目概况</w:t>
      </w:r>
    </w:p>
    <w:p w14:paraId="38825985">
      <w:pPr>
        <w:adjustRightInd w:val="0"/>
        <w:snapToGrid w:val="0"/>
        <w:spacing w:line="360" w:lineRule="auto"/>
        <w:ind w:firstLine="480" w:firstLineChars="200"/>
        <w:rPr>
          <w:rFonts w:hint="eastAsia"/>
          <w:bCs/>
          <w:sz w:val="24"/>
        </w:rPr>
      </w:pPr>
      <w:r>
        <w:rPr>
          <w:rFonts w:hint="eastAsia" w:ascii="宋体" w:hAnsi="宋体" w:eastAsia="宋体" w:cs="Times New Roman"/>
          <w:color w:val="000000" w:themeColor="text1"/>
          <w:sz w:val="24"/>
          <w14:textFill>
            <w14:solidFill>
              <w14:schemeClr w14:val="tx1"/>
            </w14:solidFill>
          </w14:textFill>
        </w:rPr>
        <w:t>项目名称：</w:t>
      </w:r>
      <w:r>
        <w:rPr>
          <w:rFonts w:hint="eastAsia"/>
          <w:bCs/>
          <w:sz w:val="24"/>
        </w:rPr>
        <w:t>三高中屋面钢结构、运动场地及宿舍供水等维修项目</w:t>
      </w:r>
    </w:p>
    <w:p w14:paraId="00097B41">
      <w:pPr>
        <w:adjustRightInd w:val="0"/>
        <w:snapToGrid w:val="0"/>
        <w:spacing w:line="360" w:lineRule="auto"/>
        <w:ind w:firstLine="480" w:firstLineChars="200"/>
        <w:rPr>
          <w:rFonts w:hint="eastAsia" w:ascii="宋体" w:hAnsi="宋体" w:cs="宋体" w:eastAsiaTheme="minorEastAsia"/>
          <w:sz w:val="24"/>
          <w:lang w:val="en-US" w:eastAsia="zh-CN"/>
        </w:rPr>
      </w:pPr>
      <w:r>
        <w:rPr>
          <w:rFonts w:hint="eastAsia" w:ascii="宋体" w:hAnsi="宋体" w:cs="宋体"/>
          <w:sz w:val="24"/>
        </w:rPr>
        <w:t>项目位于</w:t>
      </w:r>
      <w:r>
        <w:rPr>
          <w:rFonts w:hint="eastAsia" w:ascii="宋体" w:hAnsi="宋体" w:cs="宋体"/>
          <w:sz w:val="24"/>
          <w:lang w:val="en-US" w:eastAsia="zh-CN"/>
        </w:rPr>
        <w:t>无锡市第三高级中学内</w:t>
      </w:r>
      <w:r>
        <w:rPr>
          <w:rFonts w:hint="eastAsia" w:ascii="宋体" w:hAnsi="宋体" w:cs="宋体"/>
          <w:sz w:val="24"/>
        </w:rPr>
        <w:t>。本项目</w:t>
      </w:r>
      <w:r>
        <w:rPr>
          <w:rFonts w:hint="eastAsia" w:ascii="宋体" w:hAnsi="宋体" w:cs="宋体"/>
          <w:sz w:val="24"/>
          <w:lang w:val="en-US" w:eastAsia="zh-CN"/>
        </w:rPr>
        <w:t>内容</w:t>
      </w:r>
      <w:r>
        <w:rPr>
          <w:rFonts w:hint="eastAsia" w:ascii="宋体" w:hAnsi="宋体" w:cs="宋体"/>
          <w:sz w:val="24"/>
        </w:rPr>
        <w:t>包括</w:t>
      </w:r>
      <w:r>
        <w:rPr>
          <w:rFonts w:hint="eastAsia" w:ascii="宋体" w:hAnsi="宋体" w:cs="宋体"/>
          <w:sz w:val="24"/>
          <w:lang w:val="en-US" w:eastAsia="zh-CN"/>
        </w:rPr>
        <w:t>以下：</w:t>
      </w:r>
    </w:p>
    <w:p w14:paraId="327433EF">
      <w:pPr>
        <w:adjustRightInd w:val="0"/>
        <w:snapToGrid w:val="0"/>
        <w:spacing w:line="360" w:lineRule="auto"/>
        <w:ind w:firstLine="480" w:firstLineChars="200"/>
        <w:rPr>
          <w:rFonts w:hint="default" w:ascii="宋体" w:hAnsi="宋体" w:cs="宋体"/>
          <w:sz w:val="24"/>
          <w:lang w:val="en-US"/>
        </w:rPr>
      </w:pPr>
      <w:r>
        <w:rPr>
          <w:rFonts w:hint="eastAsia"/>
          <w:bCs/>
          <w:sz w:val="24"/>
        </w:rPr>
        <w:t>三高中屋面钢结构、运动场地及宿舍供水等维修项目</w:t>
      </w:r>
      <w:r>
        <w:rPr>
          <w:rFonts w:hint="eastAsia" w:ascii="宋体" w:hAnsi="宋体" w:cs="宋体"/>
          <w:sz w:val="24"/>
          <w:lang w:val="en-US" w:eastAsia="zh-CN"/>
        </w:rPr>
        <w:t>包括:1号楼宿舍给水主管更换、宿舍楼水电增压系统、西门卫顶棚钢结构改造、高阳楼楼顶钢结构、文治楼楼顶钢结构、中学西学楼顶钢结构改造、以及三高中行政楼屋顶修缮、运动场疏散通道以及室外篮球场场地维修等</w:t>
      </w:r>
    </w:p>
    <w:p w14:paraId="4C55BBED">
      <w:pPr>
        <w:numPr>
          <w:ilvl w:val="0"/>
          <w:numId w:val="1"/>
        </w:numPr>
        <w:autoSpaceDE w:val="0"/>
        <w:autoSpaceDN w:val="0"/>
        <w:adjustRightInd w:val="0"/>
        <w:snapToGrid w:val="0"/>
        <w:rPr>
          <w:b/>
          <w:sz w:val="24"/>
        </w:rPr>
      </w:pPr>
      <w:r>
        <w:rPr>
          <w:rFonts w:hint="eastAsia"/>
          <w:b/>
          <w:sz w:val="24"/>
        </w:rPr>
        <w:t>采购范围</w:t>
      </w:r>
    </w:p>
    <w:p w14:paraId="53309AAC">
      <w:pPr>
        <w:autoSpaceDE w:val="0"/>
        <w:autoSpaceDN w:val="0"/>
        <w:spacing w:line="480" w:lineRule="auto"/>
        <w:ind w:firstLine="480" w:firstLineChars="200"/>
        <w:textAlignment w:val="bottom"/>
        <w:rPr>
          <w:sz w:val="24"/>
        </w:rPr>
      </w:pPr>
      <w:r>
        <w:rPr>
          <w:rFonts w:hint="eastAsia" w:ascii="宋体" w:hAnsi="宋体"/>
          <w:sz w:val="24"/>
        </w:rPr>
        <w:t>本项目采购范围为图纸及清单范围内的</w:t>
      </w:r>
      <w:r>
        <w:rPr>
          <w:rFonts w:hint="eastAsia" w:ascii="宋体" w:hAnsi="宋体"/>
          <w:sz w:val="24"/>
          <w:lang w:val="en-US" w:eastAsia="zh-CN"/>
        </w:rPr>
        <w:t>修缮土建、安装工程、市政</w:t>
      </w:r>
      <w:r>
        <w:rPr>
          <w:rFonts w:hint="eastAsia" w:ascii="宋体" w:hAnsi="宋体"/>
          <w:sz w:val="24"/>
        </w:rPr>
        <w:t>及配套的安装</w:t>
      </w:r>
      <w:r>
        <w:rPr>
          <w:rFonts w:hint="eastAsia" w:ascii="宋体" w:hAnsi="宋体"/>
          <w:sz w:val="24"/>
          <w:lang w:val="en-US" w:eastAsia="zh-CN"/>
        </w:rPr>
        <w:t>工程，</w:t>
      </w:r>
      <w:r>
        <w:rPr>
          <w:rFonts w:hint="eastAsia" w:ascii="宋体" w:hAnsi="宋体"/>
          <w:sz w:val="24"/>
        </w:rPr>
        <w:t>详见工程量清单。</w:t>
      </w:r>
    </w:p>
    <w:p w14:paraId="37F10D70">
      <w:pPr>
        <w:numPr>
          <w:ilvl w:val="0"/>
          <w:numId w:val="1"/>
        </w:numPr>
        <w:autoSpaceDE w:val="0"/>
        <w:autoSpaceDN w:val="0"/>
        <w:adjustRightInd w:val="0"/>
        <w:snapToGrid w:val="0"/>
        <w:spacing w:line="360" w:lineRule="auto"/>
        <w:ind w:left="873"/>
        <w:rPr>
          <w:b/>
          <w:sz w:val="24"/>
        </w:rPr>
      </w:pPr>
      <w:r>
        <w:rPr>
          <w:rFonts w:hint="eastAsia"/>
          <w:b/>
          <w:sz w:val="24"/>
        </w:rPr>
        <w:t>编制依据</w:t>
      </w:r>
    </w:p>
    <w:p w14:paraId="4D7B13D0">
      <w:pPr>
        <w:numPr>
          <w:ilvl w:val="0"/>
          <w:numId w:val="2"/>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国家相关法律、法规。</w:t>
      </w:r>
    </w:p>
    <w:p w14:paraId="230227C4">
      <w:pPr>
        <w:numPr>
          <w:ilvl w:val="0"/>
          <w:numId w:val="2"/>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采购人提供的图纸及编制过程中反馈意见。</w:t>
      </w:r>
    </w:p>
    <w:p w14:paraId="07FAD08C">
      <w:pPr>
        <w:numPr>
          <w:ilvl w:val="0"/>
          <w:numId w:val="2"/>
        </w:numPr>
        <w:adjustRightInd w:val="0"/>
        <w:snapToGrid w:val="0"/>
        <w:spacing w:line="400" w:lineRule="exact"/>
        <w:ind w:left="845"/>
        <w:rPr>
          <w:rFonts w:hint="eastAsia" w:ascii="宋体" w:hAnsi="宋体" w:eastAsia="宋体" w:cs="Times New Roman"/>
          <w:sz w:val="24"/>
          <w:lang w:val="en-US" w:eastAsia="zh-CN"/>
        </w:rPr>
      </w:pPr>
      <w:r>
        <w:rPr>
          <w:rFonts w:hint="eastAsia" w:ascii="宋体" w:hAnsi="宋体" w:eastAsia="宋体" w:cs="Times New Roman"/>
          <w:sz w:val="24"/>
        </w:rPr>
        <w:t>计量依据：</w:t>
      </w:r>
      <w:r>
        <w:rPr>
          <w:rFonts w:hint="eastAsia" w:ascii="宋体" w:hAnsi="宋体" w:eastAsia="宋体" w:cs="Times New Roman"/>
          <w:sz w:val="24"/>
          <w:lang w:val="en-US" w:eastAsia="zh-CN"/>
        </w:rPr>
        <w:t>《建设工程工程量清单计价标准》GB/T50500-2024、《房屋建筑与装饰工程工程量计算标准》GB/T50854-2024、《通用安装工程工程量计算标准》GB/T50856-2024工程量计算规则。</w:t>
      </w:r>
    </w:p>
    <w:p w14:paraId="6DD54EB1">
      <w:pPr>
        <w:numPr>
          <w:ilvl w:val="0"/>
          <w:numId w:val="2"/>
        </w:numPr>
        <w:adjustRightInd w:val="0"/>
        <w:snapToGrid w:val="0"/>
        <w:spacing w:line="400" w:lineRule="exact"/>
        <w:ind w:left="845"/>
        <w:rPr>
          <w:rFonts w:hint="eastAsia" w:ascii="宋体" w:hAnsi="宋体" w:eastAsia="宋体" w:cs="Times New Roman"/>
          <w:sz w:val="24"/>
        </w:rPr>
      </w:pPr>
      <w:r>
        <w:rPr>
          <w:rFonts w:hint="eastAsia" w:ascii="宋体" w:hAnsi="宋体" w:eastAsia="宋体" w:cs="Times New Roman"/>
          <w:sz w:val="24"/>
        </w:rPr>
        <w:t>计费依据：《江苏省建设工程费用</w:t>
      </w:r>
      <w:r>
        <w:rPr>
          <w:rFonts w:hint="eastAsia" w:ascii="宋体" w:hAnsi="宋体" w:eastAsia="宋体" w:cs="Times New Roman"/>
          <w:sz w:val="24"/>
          <w:lang w:val="en-US" w:eastAsia="zh-CN"/>
        </w:rPr>
        <w:t>参考</w:t>
      </w:r>
      <w:r>
        <w:rPr>
          <w:rFonts w:hint="eastAsia" w:ascii="宋体" w:hAnsi="宋体" w:eastAsia="宋体" w:cs="Times New Roman"/>
          <w:sz w:val="24"/>
        </w:rPr>
        <w:t>》（2</w:t>
      </w:r>
      <w:r>
        <w:rPr>
          <w:rFonts w:hint="eastAsia" w:ascii="宋体" w:hAnsi="宋体" w:eastAsia="宋体" w:cs="Times New Roman"/>
          <w:sz w:val="24"/>
          <w:lang w:val="en-US" w:eastAsia="zh-CN"/>
        </w:rPr>
        <w:t>026</w:t>
      </w:r>
      <w:r>
        <w:rPr>
          <w:rFonts w:hint="eastAsia" w:ascii="宋体" w:hAnsi="宋体" w:eastAsia="宋体" w:cs="Times New Roman"/>
          <w:sz w:val="24"/>
        </w:rPr>
        <w:t>）</w:t>
      </w:r>
      <w:r>
        <w:rPr>
          <w:rFonts w:hint="eastAsia" w:ascii="宋体" w:hAnsi="宋体" w:eastAsia="宋体" w:cs="Times New Roman"/>
          <w:sz w:val="24"/>
          <w:lang w:eastAsia="zh-CN"/>
        </w:rPr>
        <w:t>、</w:t>
      </w:r>
      <w:r>
        <w:rPr>
          <w:rFonts w:hint="eastAsia" w:ascii="宋体" w:hAnsi="宋体" w:eastAsia="宋体" w:cs="Times New Roman"/>
          <w:sz w:val="24"/>
        </w:rPr>
        <w:t>《2026江苏省建筑与装饰工程消耗量》</w:t>
      </w:r>
      <w:r>
        <w:rPr>
          <w:rFonts w:hint="eastAsia" w:ascii="宋体" w:hAnsi="宋体" w:eastAsia="宋体" w:cs="Times New Roman"/>
          <w:sz w:val="24"/>
          <w:lang w:eastAsia="zh-CN"/>
        </w:rPr>
        <w:t>、</w:t>
      </w:r>
      <w:r>
        <w:rPr>
          <w:rFonts w:hint="eastAsia" w:ascii="宋体" w:hAnsi="宋体" w:eastAsia="宋体" w:cs="Times New Roman"/>
          <w:sz w:val="24"/>
        </w:rPr>
        <w:t>《2026江苏省通用安装工程消耗量》</w:t>
      </w:r>
      <w:r>
        <w:rPr>
          <w:rFonts w:hint="eastAsia" w:ascii="宋体" w:hAnsi="宋体" w:eastAsia="宋体" w:cs="Times New Roman"/>
          <w:sz w:val="24"/>
          <w:lang w:eastAsia="zh-CN"/>
        </w:rPr>
        <w:t>、</w:t>
      </w:r>
      <w:r>
        <w:rPr>
          <w:rFonts w:hint="eastAsia" w:ascii="宋体" w:hAnsi="宋体" w:eastAsia="宋体" w:cs="Times New Roman"/>
          <w:sz w:val="24"/>
        </w:rPr>
        <w:t>《</w:t>
      </w:r>
      <w:r>
        <w:rPr>
          <w:rFonts w:hint="eastAsia" w:ascii="宋体" w:hAnsi="宋体" w:eastAsia="宋体" w:cs="Times New Roman"/>
          <w:sz w:val="24"/>
          <w:lang w:val="en-US" w:eastAsia="zh-CN"/>
        </w:rPr>
        <w:t>2009</w:t>
      </w:r>
      <w:r>
        <w:rPr>
          <w:rFonts w:hint="eastAsia" w:ascii="宋体" w:hAnsi="宋体" w:eastAsia="宋体" w:cs="Times New Roman"/>
          <w:sz w:val="24"/>
        </w:rPr>
        <w:t>江苏</w:t>
      </w:r>
      <w:r>
        <w:rPr>
          <w:rFonts w:hint="eastAsia" w:ascii="宋体" w:hAnsi="宋体" w:eastAsia="宋体" w:cs="Times New Roman"/>
          <w:sz w:val="24"/>
          <w:lang w:val="en-US" w:eastAsia="zh-CN"/>
        </w:rPr>
        <w:t>江苏房屋修缮</w:t>
      </w:r>
      <w:r>
        <w:rPr>
          <w:rFonts w:hint="eastAsia" w:ascii="宋体" w:hAnsi="宋体" w:eastAsia="宋体" w:cs="Times New Roman"/>
          <w:sz w:val="24"/>
        </w:rPr>
        <w:t>工程计价表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土建</w:t>
      </w:r>
      <w:r>
        <w:rPr>
          <w:rFonts w:hint="eastAsia" w:ascii="宋体" w:hAnsi="宋体" w:eastAsia="宋体" w:cs="Times New Roman"/>
          <w:sz w:val="24"/>
          <w:lang w:eastAsia="zh-CN"/>
        </w:rPr>
        <w:t>）</w:t>
      </w:r>
      <w:r>
        <w:rPr>
          <w:rFonts w:hint="eastAsia" w:ascii="宋体" w:hAnsi="宋体" w:eastAsia="宋体" w:cs="Times New Roman"/>
          <w:sz w:val="24"/>
        </w:rPr>
        <w:t>》</w:t>
      </w:r>
      <w:r>
        <w:rPr>
          <w:rFonts w:hint="eastAsia" w:ascii="宋体" w:hAnsi="宋体" w:eastAsia="宋体" w:cs="Times New Roman"/>
          <w:sz w:val="24"/>
          <w:lang w:eastAsia="zh-CN"/>
        </w:rPr>
        <w:t>、</w:t>
      </w:r>
      <w:r>
        <w:rPr>
          <w:rFonts w:hint="eastAsia" w:ascii="宋体" w:hAnsi="宋体" w:eastAsia="宋体" w:cs="Times New Roman"/>
          <w:sz w:val="24"/>
        </w:rPr>
        <w:t>《</w:t>
      </w:r>
      <w:r>
        <w:rPr>
          <w:rFonts w:hint="eastAsia" w:ascii="宋体" w:hAnsi="宋体" w:eastAsia="宋体" w:cs="Times New Roman"/>
          <w:sz w:val="24"/>
          <w:lang w:val="en-US" w:eastAsia="zh-CN"/>
        </w:rPr>
        <w:t>关于</w:t>
      </w:r>
      <w:r>
        <w:rPr>
          <w:rFonts w:hint="eastAsia" w:ascii="宋体" w:hAnsi="宋体" w:eastAsia="宋体" w:cs="Times New Roman"/>
          <w:sz w:val="24"/>
        </w:rPr>
        <w:t>省住房城乡建设厅关于建筑工人实名制费用计取方法的公告》（〔2019〕19</w:t>
      </w:r>
      <w:r>
        <w:rPr>
          <w:rFonts w:hint="eastAsia" w:ascii="宋体" w:hAnsi="宋体" w:eastAsia="宋体" w:cs="Times New Roman"/>
          <w:sz w:val="24"/>
          <w:lang w:val="en-US" w:eastAsia="zh-CN"/>
        </w:rPr>
        <w:t>号）、</w:t>
      </w:r>
      <w:r>
        <w:rPr>
          <w:rFonts w:hint="eastAsia" w:ascii="宋体" w:hAnsi="宋体" w:eastAsia="宋体" w:cs="Times New Roman"/>
          <w:sz w:val="24"/>
        </w:rPr>
        <w:t>《关于建筑业实施营改增后江苏省建设工程计价依据调整的通知》（苏建价〔2016〕154号）、《关于调整建设工程计价增值税税率的通知》（苏建函价〔2019〕178号）</w:t>
      </w:r>
      <w:r>
        <w:rPr>
          <w:rFonts w:hint="eastAsia" w:ascii="宋体" w:hAnsi="宋体" w:eastAsia="宋体" w:cs="Times New Roman"/>
          <w:sz w:val="24"/>
          <w:lang w:eastAsia="zh-CN"/>
        </w:rPr>
        <w:t>。</w:t>
      </w:r>
    </w:p>
    <w:p w14:paraId="58BFEB42">
      <w:pPr>
        <w:numPr>
          <w:ilvl w:val="0"/>
          <w:numId w:val="0"/>
        </w:numPr>
        <w:adjustRightInd w:val="0"/>
        <w:snapToGrid w:val="0"/>
        <w:spacing w:line="400" w:lineRule="exact"/>
        <w:ind w:left="420" w:leftChars="0"/>
        <w:rPr>
          <w:rFonts w:ascii="宋体" w:hAnsi="宋体"/>
          <w:sz w:val="24"/>
        </w:rPr>
      </w:pPr>
      <w:r>
        <w:rPr>
          <w:rFonts w:hint="eastAsia" w:ascii="宋体" w:hAnsi="宋体" w:eastAsia="宋体" w:cs="Times New Roman"/>
          <w:sz w:val="24"/>
          <w:lang w:val="en-US" w:eastAsia="zh-CN"/>
        </w:rPr>
        <w:t>5)</w:t>
      </w:r>
      <w:r>
        <w:rPr>
          <w:rFonts w:hint="eastAsia" w:ascii="宋体" w:hAnsi="宋体" w:eastAsia="宋体" w:cs="Times New Roman"/>
          <w:sz w:val="24"/>
        </w:rPr>
        <w:t>无锡市住建局有关文件。</w:t>
      </w:r>
    </w:p>
    <w:p w14:paraId="7B0ADB11">
      <w:pPr>
        <w:numPr>
          <w:ilvl w:val="0"/>
          <w:numId w:val="0"/>
        </w:numPr>
        <w:adjustRightInd w:val="0"/>
        <w:snapToGrid w:val="0"/>
        <w:spacing w:beforeLines="50" w:line="360" w:lineRule="auto"/>
        <w:ind w:left="420" w:leftChars="0"/>
        <w:rPr>
          <w:rFonts w:ascii="宋体" w:hAnsi="宋体" w:eastAsia="宋体" w:cs="Times New Roman"/>
          <w:color w:val="000000" w:themeColor="text1"/>
          <w:sz w:val="24"/>
          <w14:textFill>
            <w14:solidFill>
              <w14:schemeClr w14:val="tx1"/>
            </w14:solidFill>
          </w14:textFill>
        </w:rPr>
      </w:pPr>
      <w:r>
        <w:rPr>
          <w:rFonts w:hint="eastAsia" w:ascii="宋体" w:hAnsi="宋体"/>
          <w:sz w:val="24"/>
          <w:lang w:val="en-US" w:eastAsia="zh-CN"/>
        </w:rPr>
        <w:t>6)</w:t>
      </w:r>
      <w:r>
        <w:rPr>
          <w:rFonts w:hint="eastAsia" w:ascii="宋体" w:hAnsi="宋体"/>
          <w:sz w:val="24"/>
        </w:rPr>
        <w:t>采购文件。</w:t>
      </w:r>
    </w:p>
    <w:p w14:paraId="0509439B">
      <w:pPr>
        <w:numPr>
          <w:ilvl w:val="0"/>
          <w:numId w:val="1"/>
        </w:numPr>
        <w:autoSpaceDE w:val="0"/>
        <w:autoSpaceDN w:val="0"/>
        <w:adjustRightInd w:val="0"/>
        <w:snapToGrid w:val="0"/>
        <w:spacing w:beforeLines="50" w:line="400" w:lineRule="exact"/>
        <w:ind w:left="873"/>
        <w:rPr>
          <w:b/>
          <w:sz w:val="24"/>
        </w:rPr>
      </w:pPr>
      <w:r>
        <w:rPr>
          <w:rFonts w:hint="eastAsia"/>
          <w:b/>
          <w:sz w:val="24"/>
        </w:rPr>
        <w:t>供应商自行采购主要材料品牌及采购人暂列金额</w:t>
      </w:r>
    </w:p>
    <w:p w14:paraId="699403D8">
      <w:pPr>
        <w:spacing w:line="440" w:lineRule="atLeast"/>
        <w:ind w:left="420"/>
        <w:rPr>
          <w:sz w:val="24"/>
        </w:rPr>
      </w:pPr>
      <w:r>
        <w:rPr>
          <w:rFonts w:hint="eastAsia"/>
          <w:sz w:val="24"/>
        </w:rPr>
        <w:t>1）供应商对现场施工情况应按设计要求，考虑综合因素，进行投标报价。</w:t>
      </w:r>
    </w:p>
    <w:p w14:paraId="70390E16">
      <w:pPr>
        <w:snapToGrid w:val="0"/>
        <w:spacing w:line="500" w:lineRule="exact"/>
        <w:ind w:left="420"/>
        <w:rPr>
          <w:rFonts w:hint="eastAsia"/>
          <w:sz w:val="24"/>
          <w:lang w:val="en-US" w:eastAsia="zh-CN"/>
        </w:rPr>
      </w:pPr>
      <w:r>
        <w:rPr>
          <w:rFonts w:hint="eastAsia"/>
          <w:sz w:val="24"/>
        </w:rPr>
        <w:t>2）本项目暂列金额：</w:t>
      </w:r>
      <w:r>
        <w:rPr>
          <w:rFonts w:hint="eastAsia"/>
          <w:sz w:val="24"/>
          <w:lang w:val="en-US" w:eastAsia="zh-CN"/>
        </w:rPr>
        <w:t>0</w:t>
      </w:r>
    </w:p>
    <w:p w14:paraId="00DAD5BF">
      <w:pPr>
        <w:pStyle w:val="6"/>
        <w:rPr>
          <w:rFonts w:hint="default"/>
          <w:lang w:val="en-US"/>
        </w:rPr>
      </w:pPr>
      <w:r>
        <w:rPr>
          <w:rFonts w:hint="eastAsia"/>
          <w:sz w:val="24"/>
          <w:lang w:val="en-US" w:eastAsia="zh-CN"/>
        </w:rPr>
        <w:t>材料暂估价：0元</w:t>
      </w:r>
    </w:p>
    <w:p w14:paraId="757F03E1">
      <w:pPr>
        <w:numPr>
          <w:ilvl w:val="0"/>
          <w:numId w:val="1"/>
        </w:numPr>
        <w:autoSpaceDE w:val="0"/>
        <w:autoSpaceDN w:val="0"/>
        <w:adjustRightInd w:val="0"/>
        <w:snapToGrid w:val="0"/>
        <w:spacing w:beforeLines="50" w:line="360" w:lineRule="auto"/>
        <w:ind w:left="873"/>
        <w:rPr>
          <w:b/>
          <w:sz w:val="24"/>
        </w:rPr>
      </w:pPr>
      <w:r>
        <w:rPr>
          <w:rFonts w:hint="eastAsia"/>
          <w:b/>
          <w:sz w:val="24"/>
        </w:rPr>
        <w:t>关于清单编制及结算相关内容的说明</w:t>
      </w:r>
    </w:p>
    <w:p w14:paraId="337BD0E2">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质量要求详见采购文件。</w:t>
      </w:r>
    </w:p>
    <w:p w14:paraId="5004162F">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施工的特殊要求：详见采购文件及技术要求、招标图中“施工说明”。</w:t>
      </w:r>
    </w:p>
    <w:p w14:paraId="05B3E29A">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适用规范与技术标准详见本工程采购文件及施工图纸。</w:t>
      </w:r>
    </w:p>
    <w:p w14:paraId="3E4264F3">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质量检测按照国家相关规定和规范执行。供应商按规定进行材料、构配件等试样的制作、封样和其它为保证工程质量进行的材料检验试验工作所发生的费用以及根据有关国家标准或验收规范要求对材料、构配件和建筑物工程质量检测检验发生的费用均由承包商支付，供应商需将可能发生的该项费用列入报价，合同执行过程中不予调整。</w:t>
      </w:r>
    </w:p>
    <w:p w14:paraId="38EF19A3">
      <w:pPr>
        <w:numPr>
          <w:ilvl w:val="0"/>
          <w:numId w:val="3"/>
        </w:numPr>
        <w:snapToGrid w:val="0"/>
        <w:spacing w:line="360" w:lineRule="auto"/>
        <w:ind w:left="845"/>
        <w:rPr>
          <w:rFonts w:ascii="宋体" w:hAnsi="宋体" w:eastAsia="宋体" w:cs="宋体"/>
          <w:sz w:val="24"/>
        </w:rPr>
      </w:pPr>
      <w:r>
        <w:rPr>
          <w:rFonts w:hint="eastAsia" w:ascii="宋体" w:hAnsi="宋体" w:eastAsia="宋体" w:cs="宋体"/>
          <w:sz w:val="24"/>
        </w:rPr>
        <w:t>脚手架由供应商在报价中自行考虑，结算不予调整。</w:t>
      </w:r>
    </w:p>
    <w:p w14:paraId="4244BCC5">
      <w:pPr>
        <w:numPr>
          <w:ilvl w:val="0"/>
          <w:numId w:val="3"/>
        </w:numPr>
        <w:snapToGrid w:val="0"/>
        <w:spacing w:line="360" w:lineRule="auto"/>
        <w:ind w:left="845"/>
        <w:rPr>
          <w:rFonts w:asciiTheme="minorEastAsia" w:hAnsiTheme="minorEastAsia" w:cstheme="minorEastAsia"/>
          <w:sz w:val="24"/>
        </w:rPr>
      </w:pPr>
      <w:r>
        <w:rPr>
          <w:rFonts w:hint="eastAsia" w:asciiTheme="minorEastAsia" w:hAnsiTheme="minorEastAsia" w:cstheme="minorEastAsia"/>
          <w:sz w:val="24"/>
        </w:rPr>
        <w:t>清运垃圾的现场归堆、垂直运输、场内短驳及调运运距由供应商自定，费用综合考虑在报价中。</w:t>
      </w:r>
    </w:p>
    <w:p w14:paraId="6FF04BF2">
      <w:pPr>
        <w:numPr>
          <w:ilvl w:val="0"/>
          <w:numId w:val="3"/>
        </w:numPr>
        <w:snapToGrid w:val="0"/>
        <w:spacing w:line="360" w:lineRule="auto"/>
        <w:ind w:left="845"/>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供应商在编制报价文件时应充分考虑到可能发生的各项措施费用，计入投标总报价中，工程竣工结算时不得另行计算。</w:t>
      </w:r>
    </w:p>
    <w:p w14:paraId="60EE740C">
      <w:pPr>
        <w:numPr>
          <w:ilvl w:val="0"/>
          <w:numId w:val="1"/>
        </w:numPr>
        <w:autoSpaceDE w:val="0"/>
        <w:autoSpaceDN w:val="0"/>
        <w:adjustRightInd w:val="0"/>
        <w:snapToGrid w:val="0"/>
        <w:spacing w:beforeLines="50" w:line="360" w:lineRule="auto"/>
        <w:ind w:left="873"/>
        <w:rPr>
          <w:b/>
          <w:sz w:val="24"/>
        </w:rPr>
      </w:pPr>
      <w:r>
        <w:rPr>
          <w:rFonts w:hint="eastAsia"/>
          <w:b/>
          <w:sz w:val="24"/>
        </w:rPr>
        <w:t>其他需要说明的问题</w:t>
      </w:r>
    </w:p>
    <w:p w14:paraId="1BAA155C">
      <w:pPr>
        <w:numPr>
          <w:ilvl w:val="0"/>
          <w:numId w:val="4"/>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供应商应按采购文件中的要求认真报价。供应商在编制报价文件时发现本清单说明部分内容若与采购文件有矛盾时，供应商应在规定时间内提疑。</w:t>
      </w:r>
    </w:p>
    <w:p w14:paraId="7DFC6748">
      <w:pPr>
        <w:numPr>
          <w:ilvl w:val="0"/>
          <w:numId w:val="4"/>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项目指引“工程内容”中列举了分项工程计量范围内完成本分项工程应有的工作内容，凡说明了的工作内容均应包括在报价范围中，清单中未描述到但又是完成分项工程必须有的工作内容，也应包括在报价中。工程量清单内项目特征描述与技术要求相矛盾时，以技术要求为准。</w:t>
      </w:r>
    </w:p>
    <w:p w14:paraId="510729FF">
      <w:pPr>
        <w:numPr>
          <w:ilvl w:val="0"/>
          <w:numId w:val="4"/>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工程量清单所列的工程量系根据采购人提供的施工图计算的，作为报价的基础。本工程量清单应与采购文件须知、合同条件、合同协议、工程范围和图纸一起使用。</w:t>
      </w:r>
    </w:p>
    <w:p w14:paraId="00B2A585">
      <w:pPr>
        <w:adjustRightInd w:val="0"/>
        <w:snapToGrid w:val="0"/>
        <w:spacing w:line="400" w:lineRule="exact"/>
        <w:ind w:left="840" w:leftChars="4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①供应商在拿到工程量清单后必须严格按此清单数量自主报价，并充分考虑风险因素。</w:t>
      </w:r>
    </w:p>
    <w:p w14:paraId="673AC95D">
      <w:pPr>
        <w:adjustRightInd w:val="0"/>
        <w:snapToGrid w:val="0"/>
        <w:spacing w:line="400" w:lineRule="exact"/>
        <w:ind w:left="840" w:leftChars="4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②各供应商可根据施工组织设计采取的方案相应增加或减少措施费用，各供应商的最终报价必须包括完成本工程的所有费用在内。</w:t>
      </w:r>
    </w:p>
    <w:p w14:paraId="532E9C15">
      <w:pPr>
        <w:numPr>
          <w:ilvl w:val="0"/>
          <w:numId w:val="4"/>
        </w:numPr>
        <w:adjustRightInd w:val="0"/>
        <w:snapToGrid w:val="0"/>
        <w:spacing w:line="400" w:lineRule="exact"/>
        <w:ind w:left="845"/>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编制报价时，单位工程费汇总严格按照工程量清单提供的格式。</w:t>
      </w:r>
    </w:p>
    <w:p w14:paraId="2B286254">
      <w:pPr>
        <w:pStyle w:val="6"/>
        <w:rPr>
          <w:rFonts w:hint="eastAsia"/>
        </w:rPr>
      </w:pPr>
    </w:p>
    <w:p w14:paraId="34885857">
      <w:pPr>
        <w:numPr>
          <w:ilvl w:val="0"/>
          <w:numId w:val="1"/>
        </w:numPr>
        <w:autoSpaceDE w:val="0"/>
        <w:autoSpaceDN w:val="0"/>
        <w:adjustRightInd w:val="0"/>
        <w:snapToGrid w:val="0"/>
        <w:spacing w:beforeLines="50" w:line="360" w:lineRule="auto"/>
        <w:ind w:left="873"/>
        <w:rPr>
          <w:b/>
          <w:sz w:val="24"/>
        </w:rPr>
      </w:pPr>
      <w:r>
        <w:rPr>
          <w:rFonts w:hint="eastAsia"/>
          <w:b/>
          <w:sz w:val="24"/>
        </w:rPr>
        <w:t>供应商不得将下列不可竞争费用降低标准计取：（结算时根据有关规定按照不同类别调整）</w:t>
      </w:r>
    </w:p>
    <w:p w14:paraId="41444337">
      <w:pPr>
        <w:spacing w:line="360" w:lineRule="auto"/>
        <w:ind w:left="31" w:leftChars="15" w:firstLine="560" w:firstLineChars="200"/>
        <w:jc w:val="center"/>
        <w:rPr>
          <w:rFonts w:hint="eastAsia" w:ascii="宋体" w:hAnsi="宋体" w:eastAsia="宋体" w:cs="宋体"/>
          <w:sz w:val="28"/>
          <w:szCs w:val="28"/>
        </w:rPr>
      </w:pPr>
      <w:r>
        <w:rPr>
          <w:rFonts w:hint="eastAsia" w:ascii="宋体" w:hAnsi="宋体" w:eastAsia="宋体" w:cs="宋体"/>
          <w:sz w:val="28"/>
          <w:szCs w:val="28"/>
        </w:rPr>
        <w:t>不可竞争费用一览表</w:t>
      </w:r>
    </w:p>
    <w:tbl>
      <w:tblPr>
        <w:tblStyle w:val="7"/>
        <w:tblW w:w="82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84"/>
        <w:gridCol w:w="2175"/>
        <w:gridCol w:w="1680"/>
        <w:gridCol w:w="1911"/>
      </w:tblGrid>
      <w:tr w14:paraId="3A4B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dxa"/>
            <w:noWrap w:val="0"/>
            <w:vAlign w:val="top"/>
          </w:tcPr>
          <w:p w14:paraId="79B4CBA8">
            <w:pPr>
              <w:spacing w:line="360" w:lineRule="auto"/>
              <w:jc w:val="center"/>
              <w:rPr>
                <w:rFonts w:hint="eastAsia" w:ascii="宋体" w:hAnsi="宋体" w:eastAsia="宋体" w:cs="宋体"/>
                <w:sz w:val="20"/>
                <w:szCs w:val="20"/>
              </w:rPr>
            </w:pPr>
            <w:r>
              <w:rPr>
                <w:rFonts w:hint="eastAsia" w:ascii="宋体" w:hAnsi="宋体" w:eastAsia="宋体" w:cs="宋体"/>
                <w:sz w:val="20"/>
                <w:szCs w:val="20"/>
              </w:rPr>
              <w:t>序号</w:t>
            </w:r>
          </w:p>
        </w:tc>
        <w:tc>
          <w:tcPr>
            <w:tcW w:w="1684" w:type="dxa"/>
            <w:noWrap w:val="0"/>
            <w:vAlign w:val="top"/>
          </w:tcPr>
          <w:p w14:paraId="2EE7FFB9">
            <w:pPr>
              <w:spacing w:line="360" w:lineRule="auto"/>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2175" w:type="dxa"/>
            <w:noWrap w:val="0"/>
            <w:vAlign w:val="top"/>
          </w:tcPr>
          <w:p w14:paraId="466F7992">
            <w:pPr>
              <w:spacing w:line="36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市政</w:t>
            </w:r>
          </w:p>
        </w:tc>
        <w:tc>
          <w:tcPr>
            <w:tcW w:w="1680" w:type="dxa"/>
            <w:noWrap w:val="0"/>
            <w:vAlign w:val="top"/>
          </w:tcPr>
          <w:p w14:paraId="3C537229">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修缮</w:t>
            </w:r>
          </w:p>
        </w:tc>
        <w:tc>
          <w:tcPr>
            <w:tcW w:w="1911" w:type="dxa"/>
            <w:noWrap w:val="0"/>
            <w:vAlign w:val="top"/>
          </w:tcPr>
          <w:p w14:paraId="7549FB52">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安装</w:t>
            </w:r>
          </w:p>
        </w:tc>
      </w:tr>
      <w:tr w14:paraId="1B27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dxa"/>
            <w:noWrap w:val="0"/>
            <w:vAlign w:val="center"/>
          </w:tcPr>
          <w:p w14:paraId="34D2AC68">
            <w:pPr>
              <w:spacing w:line="36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684" w:type="dxa"/>
            <w:noWrap w:val="0"/>
            <w:vAlign w:val="center"/>
          </w:tcPr>
          <w:p w14:paraId="35826738">
            <w:pPr>
              <w:rPr>
                <w:rFonts w:hint="eastAsia" w:ascii="宋体" w:hAnsi="宋体" w:eastAsia="宋体" w:cs="宋体"/>
                <w:sz w:val="20"/>
                <w:szCs w:val="20"/>
                <w:lang w:val="en-US" w:eastAsia="zh-CN"/>
              </w:rPr>
            </w:pPr>
            <w:r>
              <w:rPr>
                <w:rFonts w:hint="eastAsia" w:ascii="宋体" w:hAnsi="宋体" w:eastAsia="宋体" w:cs="宋体"/>
                <w:sz w:val="20"/>
                <w:szCs w:val="20"/>
              </w:rPr>
              <w:t>安全</w:t>
            </w:r>
            <w:r>
              <w:rPr>
                <w:rFonts w:hint="eastAsia" w:ascii="宋体" w:hAnsi="宋体" w:eastAsia="宋体" w:cs="宋体"/>
                <w:sz w:val="20"/>
                <w:szCs w:val="20"/>
                <w:lang w:val="en-US" w:eastAsia="zh-CN"/>
              </w:rPr>
              <w:t>生产费</w:t>
            </w:r>
          </w:p>
        </w:tc>
        <w:tc>
          <w:tcPr>
            <w:tcW w:w="2175" w:type="dxa"/>
            <w:noWrap w:val="0"/>
            <w:vAlign w:val="center"/>
          </w:tcPr>
          <w:p w14:paraId="4B53C715">
            <w:pPr>
              <w:spacing w:line="36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1.9</w:t>
            </w:r>
            <w:r>
              <w:rPr>
                <w:rFonts w:hint="eastAsia" w:ascii="宋体" w:hAnsi="宋体" w:eastAsia="宋体" w:cs="宋体"/>
                <w:sz w:val="20"/>
                <w:szCs w:val="20"/>
              </w:rPr>
              <w:t>%</w:t>
            </w:r>
          </w:p>
        </w:tc>
        <w:tc>
          <w:tcPr>
            <w:tcW w:w="1680" w:type="dxa"/>
            <w:noWrap w:val="0"/>
            <w:vAlign w:val="center"/>
          </w:tcPr>
          <w:p w14:paraId="040B0913">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3.8%</w:t>
            </w:r>
          </w:p>
        </w:tc>
        <w:tc>
          <w:tcPr>
            <w:tcW w:w="1911" w:type="dxa"/>
            <w:noWrap w:val="0"/>
            <w:vAlign w:val="center"/>
          </w:tcPr>
          <w:p w14:paraId="02D6EB85">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r>
              <w:rPr>
                <w:rFonts w:hint="eastAsia" w:ascii="宋体" w:hAnsi="宋体" w:eastAsia="宋体" w:cs="宋体"/>
                <w:sz w:val="20"/>
                <w:szCs w:val="20"/>
              </w:rPr>
              <w:t>%</w:t>
            </w:r>
          </w:p>
        </w:tc>
      </w:tr>
      <w:tr w14:paraId="1C96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dxa"/>
            <w:noWrap w:val="0"/>
            <w:vAlign w:val="top"/>
          </w:tcPr>
          <w:p w14:paraId="0C8C397E">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684" w:type="dxa"/>
            <w:noWrap w:val="0"/>
            <w:vAlign w:val="top"/>
          </w:tcPr>
          <w:p w14:paraId="2BEA7E79">
            <w:pPr>
              <w:spacing w:line="360" w:lineRule="auto"/>
              <w:jc w:val="left"/>
              <w:rPr>
                <w:rFonts w:hint="eastAsia" w:ascii="宋体" w:hAnsi="宋体" w:eastAsia="宋体" w:cs="宋体"/>
                <w:sz w:val="20"/>
                <w:szCs w:val="20"/>
              </w:rPr>
            </w:pPr>
            <w:r>
              <w:rPr>
                <w:rFonts w:hint="eastAsia" w:ascii="宋体" w:hAnsi="宋体" w:eastAsia="宋体" w:cs="宋体"/>
                <w:sz w:val="20"/>
                <w:szCs w:val="20"/>
              </w:rPr>
              <w:t>税金</w:t>
            </w:r>
          </w:p>
        </w:tc>
        <w:tc>
          <w:tcPr>
            <w:tcW w:w="2175" w:type="dxa"/>
            <w:noWrap w:val="0"/>
            <w:vAlign w:val="center"/>
          </w:tcPr>
          <w:p w14:paraId="66045875">
            <w:pPr>
              <w:spacing w:line="360" w:lineRule="auto"/>
              <w:jc w:val="center"/>
              <w:rPr>
                <w:rFonts w:hint="eastAsia" w:ascii="宋体" w:hAnsi="宋体" w:eastAsia="宋体" w:cs="宋体"/>
                <w:sz w:val="22"/>
                <w:szCs w:val="28"/>
              </w:rPr>
            </w:pPr>
            <w:r>
              <w:rPr>
                <w:rFonts w:hint="eastAsia" w:ascii="宋体" w:hAnsi="宋体" w:eastAsia="宋体" w:cs="宋体"/>
                <w:sz w:val="20"/>
                <w:szCs w:val="20"/>
              </w:rPr>
              <w:t>9%</w:t>
            </w:r>
          </w:p>
        </w:tc>
        <w:tc>
          <w:tcPr>
            <w:tcW w:w="1680" w:type="dxa"/>
            <w:noWrap w:val="0"/>
            <w:vAlign w:val="center"/>
          </w:tcPr>
          <w:p w14:paraId="3EAF31EF">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911" w:type="dxa"/>
            <w:noWrap w:val="0"/>
            <w:vAlign w:val="center"/>
          </w:tcPr>
          <w:p w14:paraId="2381A05C">
            <w:pPr>
              <w:spacing w:line="360" w:lineRule="auto"/>
              <w:jc w:val="center"/>
              <w:rPr>
                <w:rFonts w:hint="eastAsia" w:ascii="宋体" w:hAnsi="宋体" w:eastAsia="宋体" w:cs="宋体"/>
                <w:sz w:val="20"/>
                <w:szCs w:val="20"/>
              </w:rPr>
            </w:pPr>
            <w:r>
              <w:rPr>
                <w:rFonts w:hint="eastAsia" w:ascii="宋体" w:hAnsi="宋体" w:eastAsia="宋体" w:cs="宋体"/>
                <w:sz w:val="20"/>
                <w:szCs w:val="20"/>
              </w:rPr>
              <w:t>9%</w:t>
            </w:r>
          </w:p>
        </w:tc>
      </w:tr>
    </w:tbl>
    <w:p w14:paraId="697E3156">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0D2F0E51">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0AA3C0AE">
      <w:pPr>
        <w:numPr>
          <w:ilvl w:val="0"/>
          <w:numId w:val="0"/>
        </w:numPr>
        <w:spacing w:line="360" w:lineRule="auto"/>
        <w:ind w:leftChars="215"/>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主要材料、设备品牌选择表：</w:t>
      </w:r>
    </w:p>
    <w:p w14:paraId="2ADD73AB">
      <w:pPr>
        <w:wordWrap/>
        <w:spacing w:line="360" w:lineRule="auto"/>
        <w:jc w:val="both"/>
        <w:rPr>
          <w:rFonts w:hint="eastAsia" w:ascii="仿宋_GB2312" w:eastAsia="仿宋_GB2312"/>
          <w:sz w:val="28"/>
          <w:szCs w:val="28"/>
          <w:lang w:val="en-US" w:eastAsia="zh-CN"/>
        </w:rPr>
      </w:pPr>
      <w:r>
        <w:rPr>
          <w:rFonts w:hint="eastAsia" w:ascii="宋体" w:hAnsi="宋体" w:eastAsia="宋体" w:cs="宋体"/>
          <w:sz w:val="28"/>
          <w:szCs w:val="28"/>
          <w:lang w:val="en-US" w:eastAsia="zh-CN"/>
        </w:rPr>
        <w:t>详见附件1：</w:t>
      </w:r>
    </w:p>
    <w:tbl>
      <w:tblPr>
        <w:tblStyle w:val="7"/>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
        <w:gridCol w:w="3108"/>
        <w:gridCol w:w="1603"/>
        <w:gridCol w:w="1574"/>
        <w:gridCol w:w="1463"/>
      </w:tblGrid>
      <w:tr w14:paraId="205D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700" w:type="dxa"/>
            <w:gridSpan w:val="5"/>
            <w:tcBorders>
              <w:top w:val="nil"/>
              <w:left w:val="nil"/>
              <w:bottom w:val="nil"/>
              <w:right w:val="nil"/>
            </w:tcBorders>
            <w:noWrap/>
            <w:vAlign w:val="center"/>
          </w:tcPr>
          <w:p w14:paraId="65B9E54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材料品牌表</w:t>
            </w:r>
          </w:p>
        </w:tc>
      </w:tr>
      <w:tr w14:paraId="0370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64A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633B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bottom"/>
          </w:tcPr>
          <w:p w14:paraId="282809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r>
      <w:tr w14:paraId="3F5E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00" w:type="dxa"/>
            <w:gridSpan w:val="5"/>
            <w:tcBorders>
              <w:top w:val="single" w:color="000000" w:sz="4" w:space="0"/>
              <w:left w:val="single" w:color="000000" w:sz="4" w:space="0"/>
              <w:bottom w:val="single" w:color="000000" w:sz="4" w:space="0"/>
              <w:right w:val="single" w:color="000000" w:sz="4" w:space="0"/>
            </w:tcBorders>
            <w:noWrap w:val="0"/>
            <w:vAlign w:val="center"/>
          </w:tcPr>
          <w:p w14:paraId="5690A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室外工程</w:t>
            </w:r>
          </w:p>
        </w:tc>
      </w:tr>
      <w:tr w14:paraId="4130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2E99A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72C84A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篮球场室外专用硅PU</w:t>
            </w:r>
          </w:p>
        </w:tc>
        <w:tc>
          <w:tcPr>
            <w:tcW w:w="1603" w:type="dxa"/>
            <w:tcBorders>
              <w:top w:val="single" w:color="000000" w:sz="4" w:space="0"/>
              <w:left w:val="single" w:color="000000" w:sz="4" w:space="0"/>
              <w:bottom w:val="single" w:color="000000" w:sz="4" w:space="0"/>
              <w:right w:val="single" w:color="000000" w:sz="4" w:space="0"/>
            </w:tcBorders>
            <w:noWrap w:val="0"/>
            <w:vAlign w:val="bottom"/>
          </w:tcPr>
          <w:p w14:paraId="04F2814E">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长河</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2E35B9E3">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杰锐</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313587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w:t>
            </w:r>
          </w:p>
        </w:tc>
      </w:tr>
      <w:tr w14:paraId="151B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2AEA8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B4AB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603" w:type="dxa"/>
            <w:tcBorders>
              <w:top w:val="single" w:color="000000" w:sz="4" w:space="0"/>
              <w:left w:val="single" w:color="000000" w:sz="4" w:space="0"/>
              <w:bottom w:val="single" w:color="000000" w:sz="4" w:space="0"/>
              <w:right w:val="single" w:color="000000" w:sz="4" w:space="0"/>
            </w:tcBorders>
            <w:noWrap w:val="0"/>
            <w:vAlign w:val="bottom"/>
          </w:tcPr>
          <w:p w14:paraId="6C2FB5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5EAA1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0F07BA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786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00" w:type="dxa"/>
            <w:gridSpan w:val="5"/>
            <w:tcBorders>
              <w:top w:val="single" w:color="000000" w:sz="4" w:space="0"/>
              <w:left w:val="single" w:color="000000" w:sz="4" w:space="0"/>
              <w:bottom w:val="single" w:color="000000" w:sz="4" w:space="0"/>
              <w:right w:val="single" w:color="000000" w:sz="4" w:space="0"/>
            </w:tcBorders>
            <w:noWrap w:val="0"/>
            <w:vAlign w:val="center"/>
          </w:tcPr>
          <w:p w14:paraId="49311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w:t>
            </w:r>
          </w:p>
        </w:tc>
      </w:tr>
      <w:tr w14:paraId="0F30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28D56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08" w:type="dxa"/>
            <w:tcBorders>
              <w:top w:val="single" w:color="000000" w:sz="4" w:space="0"/>
              <w:left w:val="single" w:color="000000" w:sz="4" w:space="0"/>
              <w:bottom w:val="single" w:color="000000" w:sz="4" w:space="0"/>
              <w:right w:val="single" w:color="000000" w:sz="4" w:space="0"/>
            </w:tcBorders>
            <w:noWrap w:val="0"/>
            <w:vAlign w:val="bottom"/>
          </w:tcPr>
          <w:p w14:paraId="7F35D6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配电箱内主要元器件</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0DB085D3">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Abb</w:t>
            </w:r>
          </w:p>
        </w:tc>
        <w:tc>
          <w:tcPr>
            <w:tcW w:w="1574" w:type="dxa"/>
            <w:tcBorders>
              <w:top w:val="single" w:color="000000" w:sz="4" w:space="0"/>
              <w:left w:val="single" w:color="000000" w:sz="4" w:space="0"/>
              <w:bottom w:val="single" w:color="000000" w:sz="4" w:space="0"/>
              <w:right w:val="single" w:color="000000" w:sz="4" w:space="0"/>
            </w:tcBorders>
            <w:noWrap w:val="0"/>
            <w:vAlign w:val="bottom"/>
          </w:tcPr>
          <w:p w14:paraId="2FB6D3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672298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r>
      <w:tr w14:paraId="6268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696B6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3D6F3E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塑料管</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5E5CFC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中财</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029F0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52F352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伟星</w:t>
            </w:r>
          </w:p>
        </w:tc>
      </w:tr>
      <w:tr w14:paraId="42CC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19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610631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电缆电线</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3F456E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766080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1DD21F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w:t>
            </w:r>
          </w:p>
        </w:tc>
      </w:tr>
      <w:tr w14:paraId="1571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C52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2F1831F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03413F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亚美</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02CAA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雷士</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323B1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奔豪</w:t>
            </w:r>
          </w:p>
        </w:tc>
      </w:tr>
      <w:tr w14:paraId="57D5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3BC4A0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3FD765E1">
            <w:pPr>
              <w:keepNext w:val="0"/>
              <w:keepLines w:val="0"/>
              <w:widowControl/>
              <w:suppressLineNumbers w:val="0"/>
              <w:jc w:val="lef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54B72AA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凯泉</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02CD548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连成</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15F6C84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格兰富</w:t>
            </w:r>
          </w:p>
        </w:tc>
      </w:tr>
    </w:tbl>
    <w:p w14:paraId="591CED86">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1763F9E9">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3BB9390B">
      <w:pPr>
        <w:spacing w:line="500" w:lineRule="exact"/>
        <w:jc w:val="right"/>
        <w:rPr>
          <w:rFonts w:hint="eastAsia" w:asciiTheme="minorEastAsia" w:hAnsiTheme="minorEastAsia" w:eastAsiaTheme="minorEastAsia"/>
          <w:szCs w:val="21"/>
        </w:rPr>
      </w:pPr>
    </w:p>
    <w:p w14:paraId="236F2C9F">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4B039"/>
    <w:multiLevelType w:val="singleLevel"/>
    <w:tmpl w:val="13C4B039"/>
    <w:lvl w:ilvl="0" w:tentative="0">
      <w:start w:val="1"/>
      <w:numFmt w:val="decimal"/>
      <w:lvlText w:val="%1)"/>
      <w:lvlJc w:val="left"/>
      <w:pPr>
        <w:ind w:left="425" w:hanging="425"/>
      </w:pPr>
      <w:rPr>
        <w:rFonts w:hint="default"/>
      </w:rPr>
    </w:lvl>
  </w:abstractNum>
  <w:abstractNum w:abstractNumId="1">
    <w:nsid w:val="24AD8587"/>
    <w:multiLevelType w:val="singleLevel"/>
    <w:tmpl w:val="24AD8587"/>
    <w:lvl w:ilvl="0" w:tentative="0">
      <w:start w:val="1"/>
      <w:numFmt w:val="decimal"/>
      <w:lvlText w:val="%1)"/>
      <w:lvlJc w:val="left"/>
      <w:pPr>
        <w:ind w:left="425" w:hanging="425"/>
      </w:pPr>
      <w:rPr>
        <w:rFonts w:hint="default"/>
      </w:rPr>
    </w:lvl>
  </w:abstractNum>
  <w:abstractNum w:abstractNumId="2">
    <w:nsid w:val="30923791"/>
    <w:multiLevelType w:val="singleLevel"/>
    <w:tmpl w:val="30923791"/>
    <w:lvl w:ilvl="0" w:tentative="0">
      <w:start w:val="1"/>
      <w:numFmt w:val="decimal"/>
      <w:lvlText w:val="%1)"/>
      <w:lvlJc w:val="left"/>
      <w:pPr>
        <w:ind w:left="425" w:hanging="425"/>
      </w:pPr>
      <w:rPr>
        <w:rFonts w:hint="default"/>
      </w:rPr>
    </w:lvl>
  </w:abstractNum>
  <w:abstractNum w:abstractNumId="3">
    <w:nsid w:val="78BC28D3"/>
    <w:multiLevelType w:val="multilevel"/>
    <w:tmpl w:val="78BC28D3"/>
    <w:lvl w:ilvl="0" w:tentative="0">
      <w:start w:val="1"/>
      <w:numFmt w:val="japaneseCounting"/>
      <w:lvlText w:val="%1、"/>
      <w:lvlJc w:val="left"/>
      <w:pPr>
        <w:ind w:left="871" w:hanging="51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MDE4M2RjMDQ3MjkzYzk4Yjk0ZGU0NmJiYmViOGMifQ=="/>
  </w:docVars>
  <w:rsids>
    <w:rsidRoot w:val="19402724"/>
    <w:rsid w:val="001655E6"/>
    <w:rsid w:val="00271CA8"/>
    <w:rsid w:val="005156F6"/>
    <w:rsid w:val="00563349"/>
    <w:rsid w:val="008B7A10"/>
    <w:rsid w:val="00974507"/>
    <w:rsid w:val="00A32062"/>
    <w:rsid w:val="00AA723A"/>
    <w:rsid w:val="00D60006"/>
    <w:rsid w:val="00FA14C3"/>
    <w:rsid w:val="03105D72"/>
    <w:rsid w:val="04A61AE4"/>
    <w:rsid w:val="04BB6F38"/>
    <w:rsid w:val="063E18FD"/>
    <w:rsid w:val="07697AE5"/>
    <w:rsid w:val="091E1C1B"/>
    <w:rsid w:val="098E4BD8"/>
    <w:rsid w:val="09D06189"/>
    <w:rsid w:val="0AB22379"/>
    <w:rsid w:val="0F19719C"/>
    <w:rsid w:val="106273A7"/>
    <w:rsid w:val="143720A1"/>
    <w:rsid w:val="14A81E98"/>
    <w:rsid w:val="17724999"/>
    <w:rsid w:val="19402724"/>
    <w:rsid w:val="194F68C1"/>
    <w:rsid w:val="19E0523F"/>
    <w:rsid w:val="1CC00EAF"/>
    <w:rsid w:val="1D305121"/>
    <w:rsid w:val="1EDD55A7"/>
    <w:rsid w:val="204942DB"/>
    <w:rsid w:val="20B17640"/>
    <w:rsid w:val="233C6938"/>
    <w:rsid w:val="255D2237"/>
    <w:rsid w:val="25DA1749"/>
    <w:rsid w:val="277449F7"/>
    <w:rsid w:val="27840543"/>
    <w:rsid w:val="2AA46484"/>
    <w:rsid w:val="2ADA5364"/>
    <w:rsid w:val="2ADA7870"/>
    <w:rsid w:val="2B3E4EAD"/>
    <w:rsid w:val="2CDE1189"/>
    <w:rsid w:val="2DF060F4"/>
    <w:rsid w:val="310756B1"/>
    <w:rsid w:val="32722D62"/>
    <w:rsid w:val="34A635C0"/>
    <w:rsid w:val="36A829B6"/>
    <w:rsid w:val="375101B9"/>
    <w:rsid w:val="390076FB"/>
    <w:rsid w:val="3B4575BF"/>
    <w:rsid w:val="3D1716EB"/>
    <w:rsid w:val="3E360367"/>
    <w:rsid w:val="3F296CD9"/>
    <w:rsid w:val="3F860A4E"/>
    <w:rsid w:val="3FAD23D5"/>
    <w:rsid w:val="41C04416"/>
    <w:rsid w:val="421C118F"/>
    <w:rsid w:val="44121792"/>
    <w:rsid w:val="460A3EB2"/>
    <w:rsid w:val="49E27FBA"/>
    <w:rsid w:val="4B274AFB"/>
    <w:rsid w:val="4C166C78"/>
    <w:rsid w:val="4E7606E4"/>
    <w:rsid w:val="4EB64BD7"/>
    <w:rsid w:val="4F737BF2"/>
    <w:rsid w:val="4FE76D3F"/>
    <w:rsid w:val="5100482F"/>
    <w:rsid w:val="521970D5"/>
    <w:rsid w:val="54472A67"/>
    <w:rsid w:val="550D4D12"/>
    <w:rsid w:val="56BD1EB4"/>
    <w:rsid w:val="56D118D5"/>
    <w:rsid w:val="57E76F16"/>
    <w:rsid w:val="5A52466D"/>
    <w:rsid w:val="5B915DAD"/>
    <w:rsid w:val="62AA2E36"/>
    <w:rsid w:val="64886537"/>
    <w:rsid w:val="657F1D6E"/>
    <w:rsid w:val="65CE6852"/>
    <w:rsid w:val="66A86CEB"/>
    <w:rsid w:val="681D761D"/>
    <w:rsid w:val="6AB50751"/>
    <w:rsid w:val="6B923E7E"/>
    <w:rsid w:val="6BC34A5A"/>
    <w:rsid w:val="6E222B0F"/>
    <w:rsid w:val="6EDA6267"/>
    <w:rsid w:val="6EE3511C"/>
    <w:rsid w:val="70221C74"/>
    <w:rsid w:val="71265794"/>
    <w:rsid w:val="71B22914"/>
    <w:rsid w:val="7293629A"/>
    <w:rsid w:val="73117AC4"/>
    <w:rsid w:val="74791404"/>
    <w:rsid w:val="75F95225"/>
    <w:rsid w:val="7A9510F0"/>
    <w:rsid w:val="7EAF501B"/>
    <w:rsid w:val="7FB72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szCs w:val="22"/>
    </w:rPr>
  </w:style>
  <w:style w:type="paragraph" w:styleId="3">
    <w:name w:val="Body Text Indent"/>
    <w:basedOn w:val="1"/>
    <w:semiHidden/>
    <w:unhideWhenUsed/>
    <w:qFormat/>
    <w:uiPriority w:val="99"/>
    <w:pPr>
      <w:spacing w:after="120"/>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1582</Words>
  <Characters>1669</Characters>
  <Lines>17</Lines>
  <Paragraphs>5</Paragraphs>
  <TotalTime>69</TotalTime>
  <ScaleCrop>false</ScaleCrop>
  <LinksUpToDate>false</LinksUpToDate>
  <CharactersWithSpaces>1710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2021-09-08T01:43:00Z</dcterms:created>
  <dc:creator> cheng</dc:creator>
  <cp:lastModifiedBy>微信用户</cp:lastModifiedBy>
  <cp:lastPrinted>2021-09-13T07:28:00Z</cp:lastPrinted>
  <dcterms:modified xsi:type="dcterms:W3CDTF">2026-07-22T08:35:14Z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A3CB8121EE394F948263C9428AAF9DEB_13</vt:lpwstr>
  </property>
  <property fmtid="{D5CDD505-2E9C-101B-9397-08002B2CF9AE}" pid="4" name="commondata">
    <vt:lpwstr>eyJoZGlkIjoiNGU2MWMzOTlkOGQ5ZThkODczM2FjNTY5YmQxZDgzNTEifQ==</vt:lpwstr>
  </property>
  <property fmtid="{D5CDD505-2E9C-101B-9397-08002B2CF9AE}" pid="5" name="KSOTemplateDocerSaveRecord">
    <vt:lpwstr>eyJoZGlkIjoiOWZhMmQxODY0ZmU0ODI2MjNhMzZhOTFlZDdkZmYwNWEiLCJ1c2VySWQiOiIxNDE4ODQyMTYzIn0=</vt:lpwstr>
  </property>
</Properties>
</file>