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jc w:val="center"/>
        <w:spacing w:line="360" w:lineRule="auto"/>
        <w:rPr>
          <w:rFonts w:ascii="宋体" w:hAnsi="宋体" w:eastAsia="宋体"/>
          <w:b/>
          <w:color w:val="000000"/>
          <w:sz w:val="72"/>
          <w:szCs w:val="20"/>
          <w:highlight w:val="none"/>
        </w:rPr>
      </w:pPr>
      <w:r/>
      <w:bookmarkStart w:id="0" w:name="_Toc97193183"/>
      <w:r/>
      <w:bookmarkStart w:id="1" w:name="_Toc2583690"/>
      <w:r/>
      <w:bookmarkStart w:id="2" w:name="_Toc97191716"/>
      <w:r/>
      <w:bookmarkStart w:id="3" w:name="_Toc97193184"/>
      <w:r/>
      <w:bookmarkStart w:id="4" w:name="_Toc97191717"/>
      <w:r/>
      <w:bookmarkStart w:id="5" w:name="_Toc97193185"/>
      <w:r/>
      <w:bookmarkStart w:id="6" w:name="_Toc97191718"/>
      <w:r/>
      <w:bookmarkStart w:id="7" w:name="_Toc97191719"/>
      <w:r/>
      <w:bookmarkStart w:id="8" w:name="_Toc97193186"/>
      <w:r/>
      <w:bookmarkStart w:id="9" w:name="_Hlk145533390"/>
      <w:r/>
      <w:bookmarkStart w:id="10" w:name="_Toc97193187"/>
      <w:r/>
      <w:bookmarkStart w:id="11" w:name="_Toc97191725"/>
      <w:r/>
      <w:bookmarkStart w:id="12" w:name="_Toc97193188"/>
      <w:r/>
      <w:bookmarkStart w:id="13" w:name="_Toc97191730"/>
      <w:r/>
      <w:bookmarkStart w:id="14" w:name="_Toc97191731"/>
      <w:r/>
      <w:bookmarkStart w:id="15" w:name="_Toc97193189"/>
      <w:r>
        <w:rPr>
          <w:rFonts w:hint="eastAsia" w:ascii="宋体" w:hAnsi="宋体" w:eastAsia="宋体"/>
          <w:b/>
          <w:color w:val="000000"/>
          <w:sz w:val="72"/>
          <w:szCs w:val="20"/>
          <w:highlight w:val="none"/>
        </w:rPr>
        <w:t xml:space="preserve">苏 州 市 政 府 采 购 </w:t>
      </w:r>
      <w:r/>
    </w:p>
    <w:p>
      <w:pPr>
        <w:ind w:left="420"/>
        <w:jc w:val="center"/>
        <w:spacing w:line="360" w:lineRule="auto"/>
        <w:rPr>
          <w:rFonts w:ascii="宋体" w:hAnsi="宋体" w:eastAsia="宋体"/>
          <w:b/>
          <w:color w:val="000000"/>
          <w:sz w:val="72"/>
          <w:szCs w:val="20"/>
          <w:highlight w:val="none"/>
        </w:rPr>
      </w:pPr>
      <w:r>
        <w:rPr>
          <w:rFonts w:hint="eastAsia" w:ascii="宋体" w:hAnsi="宋体" w:eastAsia="宋体"/>
          <w:b/>
          <w:color w:val="000000"/>
          <w:sz w:val="72"/>
          <w:szCs w:val="20"/>
          <w:highlight w:val="none"/>
        </w:rPr>
        <w:t xml:space="preserve">招 标 文 件</w:t>
      </w:r>
      <w:r/>
    </w:p>
    <w:p>
      <w:pPr>
        <w:ind w:left="420"/>
        <w:jc w:val="center"/>
        <w:rPr>
          <w:rFonts w:ascii="宋体" w:hAnsi="宋体" w:eastAsia="宋体"/>
          <w:b/>
          <w:color w:val="000000"/>
          <w:spacing w:val="40"/>
          <w:sz w:val="15"/>
          <w:szCs w:val="15"/>
          <w:highlight w:val="none"/>
        </w:rPr>
      </w:pPr>
      <w:r>
        <w:rPr>
          <w:rFonts w:ascii="宋体" w:hAnsi="宋体" w:eastAsia="宋体"/>
          <w:b/>
          <w:color w:val="000000"/>
          <w:spacing w:val="40"/>
          <w:sz w:val="15"/>
          <w:szCs w:val="15"/>
          <w:highlight w:val="none"/>
        </w:rPr>
      </w:r>
      <w:r/>
    </w:p>
    <w:p>
      <w:pPr>
        <w:ind w:left="420"/>
        <w:jc w:val="center"/>
        <w:rPr>
          <w:rFonts w:ascii="宋体" w:hAnsi="宋体" w:eastAsia="宋体"/>
          <w:b/>
          <w:color w:val="000000"/>
          <w:spacing w:val="40"/>
          <w:sz w:val="15"/>
          <w:szCs w:val="15"/>
          <w:highlight w:val="none"/>
        </w:rPr>
      </w:pPr>
      <w:r>
        <w:rPr>
          <w:rFonts w:ascii="宋体" w:hAnsi="宋体" w:eastAsia="宋体"/>
          <w:b/>
          <w:color w:val="000000"/>
          <w:spacing w:val="40"/>
          <w:sz w:val="15"/>
          <w:szCs w:val="15"/>
          <w:highlight w:val="none"/>
        </w:rPr>
      </w:r>
      <w:r/>
    </w:p>
    <w:p>
      <w:pPr>
        <w:ind w:left="420"/>
        <w:jc w:val="center"/>
        <w:rPr>
          <w:rFonts w:ascii="宋体" w:hAnsi="宋体" w:eastAsia="宋体"/>
          <w:color w:val="000000"/>
          <w:szCs w:val="24"/>
          <w:highlight w:val="none"/>
        </w:rPr>
      </w:pPr>
      <w:r>
        <w:rPr>
          <w:rFonts w:ascii="宋体" w:hAnsi="宋体" w:eastAsia="宋体"/>
          <w:color w:val="000000"/>
          <w:szCs w:val="24"/>
          <w:highlight w:val="none"/>
        </w:rPr>
      </w:r>
      <w:r/>
    </w:p>
    <w:p>
      <w:pPr>
        <w:pStyle w:val="875"/>
        <w:ind w:firstLine="0"/>
        <w:rPr>
          <w:rFonts w:hint="default"/>
          <w:highlight w:val="none"/>
        </w:rPr>
      </w:pPr>
      <w:r>
        <w:rPr>
          <w:rFonts w:hint="default"/>
          <w:highlight w:val="none"/>
        </w:rPr>
      </w:r>
      <w:r/>
    </w:p>
    <w:p>
      <w:pPr>
        <w:ind w:left="420"/>
        <w:jc w:val="center"/>
        <w:rPr>
          <w:rFonts w:ascii="宋体" w:hAnsi="宋体" w:eastAsia="宋体"/>
          <w:color w:val="000000"/>
          <w:highlight w:val="none"/>
        </w:rPr>
      </w:pPr>
      <w:r>
        <w:rPr>
          <w:rFonts w:ascii="宋体" w:hAnsi="宋体" w:eastAsia="宋体"/>
          <w:color w:val="000000"/>
          <w:highlight w:val="none"/>
        </w:rPr>
      </w:r>
      <w:r/>
    </w:p>
    <w:p>
      <w:pPr>
        <w:ind w:left="1225"/>
        <w:jc w:val="left"/>
        <w:spacing w:line="360" w:lineRule="auto"/>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采购编号</w:t>
      </w:r>
      <w:r>
        <w:rPr>
          <w:rFonts w:ascii="宋体" w:hAnsi="宋体" w:eastAsia="宋体"/>
          <w:b/>
          <w:color w:val="000000"/>
          <w:sz w:val="32"/>
          <w:highlight w:val="none"/>
        </w:rPr>
        <w:t xml:space="preserve">:</w:t>
      </w:r>
      <w:r>
        <w:rPr>
          <w:rFonts w:hint="eastAsia" w:ascii="宋体" w:hAnsi="宋体" w:eastAsia="宋体"/>
          <w:b/>
          <w:color w:val="000000"/>
          <w:sz w:val="32"/>
          <w:highlight w:val="none"/>
        </w:rPr>
        <w:t xml:space="preserve">JSZC-320500-HJSS-G2026-0005号             </w:t>
      </w:r>
      <w:r/>
    </w:p>
    <w:p>
      <w:pPr>
        <w:ind w:left="1225"/>
        <w:jc w:val="left"/>
        <w:spacing w:line="360" w:lineRule="auto"/>
        <w:rPr>
          <w:rFonts w:ascii="宋体" w:hAnsi="宋体" w:eastAsia="宋体"/>
          <w:b/>
          <w:color w:val="000000"/>
          <w:sz w:val="32"/>
          <w:highlight w:val="none"/>
        </w:rPr>
      </w:pPr>
      <w:r>
        <w:rPr>
          <w:rFonts w:hint="eastAsia" w:ascii="宋体" w:hAnsi="宋体" w:eastAsia="宋体"/>
          <w:b/>
          <w:color w:val="000000"/>
          <w:sz w:val="32"/>
          <w:highlight w:val="none"/>
        </w:rPr>
        <w:t xml:space="preserve">采购人</w:t>
      </w:r>
      <w:r>
        <w:rPr>
          <w:rFonts w:ascii="宋体" w:hAnsi="宋体" w:eastAsia="宋体"/>
          <w:b/>
          <w:color w:val="000000"/>
          <w:sz w:val="32"/>
          <w:highlight w:val="none"/>
        </w:rPr>
        <w:t xml:space="preserve">:  </w:t>
      </w:r>
      <w:r>
        <w:rPr>
          <w:rFonts w:hint="eastAsia" w:ascii="宋体" w:hAnsi="宋体" w:eastAsia="宋体"/>
          <w:b/>
          <w:color w:val="000000"/>
          <w:sz w:val="32"/>
          <w:highlight w:val="none"/>
        </w:rPr>
        <w:t xml:space="preserve">苏州市石湖景区管理处（华南虎苏州培育基地）</w:t>
      </w:r>
      <w:r/>
    </w:p>
    <w:p>
      <w:pPr>
        <w:ind w:left="2811" w:hanging="1593"/>
        <w:jc w:val="left"/>
        <w:rPr>
          <w:rFonts w:ascii="宋体" w:hAnsi="宋体" w:eastAsia="宋体"/>
          <w:b/>
          <w:color w:val="000000"/>
          <w:sz w:val="32"/>
          <w:highlight w:val="none"/>
        </w:rPr>
      </w:pPr>
      <w:r>
        <w:rPr>
          <w:rFonts w:hint="eastAsia" w:ascii="宋体" w:hAnsi="宋体" w:eastAsia="宋体"/>
          <w:b/>
          <w:color w:val="000000"/>
          <w:sz w:val="32"/>
          <w:highlight w:val="none"/>
        </w:rPr>
        <w:t xml:space="preserve">采购内容</w:t>
      </w:r>
      <w:r>
        <w:rPr>
          <w:rFonts w:ascii="宋体" w:hAnsi="宋体" w:eastAsia="宋体"/>
          <w:b/>
          <w:color w:val="000000"/>
          <w:sz w:val="32"/>
          <w:highlight w:val="none"/>
        </w:rPr>
        <w:t xml:space="preserve">: </w:t>
      </w:r>
      <w:r>
        <w:rPr>
          <w:rFonts w:hint="eastAsia" w:ascii="宋体" w:hAnsi="宋体" w:eastAsia="宋体"/>
          <w:b/>
          <w:color w:val="000000"/>
          <w:sz w:val="32"/>
          <w:highlight w:val="none"/>
        </w:rPr>
        <w:t xml:space="preserve">2026-2027年动、植物园保安项目</w:t>
      </w:r>
      <w:r/>
    </w:p>
    <w:p>
      <w:pPr>
        <w:pStyle w:val="852"/>
        <w:ind w:left="420"/>
        <w:rPr>
          <w:rFonts w:ascii="宋体" w:hAnsi="宋体" w:eastAsia="宋体"/>
          <w:color w:val="000000"/>
          <w:highlight w:val="none"/>
        </w:rPr>
      </w:pPr>
      <w:r>
        <w:rPr>
          <w:rFonts w:ascii="宋体" w:hAnsi="宋体" w:eastAsia="宋体"/>
          <w:color w:val="000000"/>
          <w:highlight w:val="none"/>
        </w:rPr>
      </w:r>
      <w:r/>
    </w:p>
    <w:p>
      <w:pPr>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                  </w:t>
      </w:r>
      <w:r/>
    </w:p>
    <w:p>
      <w:pPr>
        <w:rPr>
          <w:rFonts w:ascii="宋体" w:hAnsi="宋体" w:eastAsia="宋体" w:cs="宋体"/>
          <w:color w:val="000000"/>
          <w:sz w:val="24"/>
          <w:highlight w:val="none"/>
        </w:rPr>
      </w:pPr>
      <w:r>
        <w:rPr>
          <w:rFonts w:ascii="宋体" w:hAnsi="宋体" w:eastAsia="宋体" w:cs="宋体"/>
          <w:color w:val="000000"/>
          <w:sz w:val="24"/>
          <w:highlight w:val="none"/>
        </w:rPr>
      </w:r>
      <w:r/>
    </w:p>
    <w:p>
      <w:pPr>
        <w:jc w:val="center"/>
        <w:rPr>
          <w:rFonts w:ascii="宋体" w:hAnsi="宋体" w:eastAsia="宋体"/>
          <w:color w:val="000000"/>
          <w:highlight w:val="none"/>
        </w:rPr>
      </w:pPr>
      <w:r>
        <w:rPr>
          <w:rFonts w:ascii="宋体" w:hAnsi="宋体" w:eastAsia="宋体"/>
          <w:color w:val="000000"/>
          <w:highlight w:val="none"/>
        </w:rPr>
      </w:r>
      <w:r/>
    </w:p>
    <w:p>
      <w:pPr>
        <w:ind w:left="420"/>
        <w:rPr>
          <w:rFonts w:ascii="宋体" w:hAnsi="宋体" w:eastAsia="宋体"/>
          <w:color w:val="000000"/>
          <w:highlight w:val="none"/>
        </w:rPr>
      </w:pPr>
      <w:r>
        <w:rPr>
          <w:rFonts w:ascii="宋体" w:hAnsi="宋体" w:eastAsia="宋体"/>
          <w:color w:val="000000"/>
          <w:highlight w:val="none"/>
        </w:rPr>
      </w:r>
      <w:r/>
    </w:p>
    <w:p>
      <w:pPr>
        <w:ind w:left="420"/>
        <w:rPr>
          <w:rFonts w:ascii="宋体" w:hAnsi="宋体" w:eastAsia="宋体"/>
          <w:b/>
          <w:color w:val="000000"/>
          <w:highlight w:val="none"/>
        </w:rPr>
      </w:pPr>
      <w:r>
        <w:rPr>
          <w:rFonts w:ascii="宋体" w:hAnsi="宋体" w:eastAsia="宋体"/>
          <w:b/>
          <w:color w:val="000000"/>
          <w:highlight w:val="none"/>
        </w:rPr>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pStyle w:val="720"/>
        <w:rPr>
          <w:rFonts w:hint="default"/>
          <w:b/>
          <w:color w:val="000000"/>
          <w:sz w:val="32"/>
          <w:highlight w:val="none"/>
        </w:rPr>
      </w:pPr>
      <w:r>
        <w:rPr>
          <w:rFonts w:hint="default"/>
          <w:b/>
          <w:color w:val="000000"/>
          <w:sz w:val="32"/>
          <w:highlight w:val="none"/>
        </w:rPr>
      </w:r>
      <w:r/>
    </w:p>
    <w:p>
      <w:pPr>
        <w:rPr>
          <w:rFonts w:ascii="宋体" w:hAnsi="宋体" w:eastAsia="宋体"/>
          <w:b/>
          <w:color w:val="000000"/>
          <w:sz w:val="32"/>
          <w:highlight w:val="none"/>
        </w:rPr>
      </w:pPr>
      <w:r>
        <w:rPr>
          <w:rFonts w:ascii="宋体" w:hAnsi="宋体" w:eastAsia="宋体"/>
          <w:b/>
          <w:color w:val="000000"/>
          <w:sz w:val="32"/>
          <w:highlight w:val="none"/>
        </w:rPr>
      </w:r>
      <w:r/>
    </w:p>
    <w:p>
      <w:pPr>
        <w:pStyle w:val="720"/>
        <w:rPr>
          <w:rFonts w:hint="default"/>
          <w:highlight w:val="none"/>
        </w:rPr>
      </w:pPr>
      <w:r>
        <w:rPr>
          <w:rFonts w:hint="default"/>
          <w:highlight w:val="none"/>
        </w:rPr>
      </w:r>
      <w:r/>
    </w:p>
    <w:p>
      <w:pPr>
        <w:ind w:firstLine="1928"/>
        <w:rPr>
          <w:rFonts w:ascii="宋体" w:hAnsi="宋体" w:eastAsia="宋体"/>
          <w:b/>
          <w:color w:val="000000"/>
          <w:sz w:val="32"/>
          <w:highlight w:val="none"/>
        </w:rPr>
      </w:pPr>
      <w:r>
        <w:rPr>
          <w:rFonts w:hint="eastAsia" w:ascii="宋体" w:hAnsi="宋体" w:eastAsia="宋体"/>
          <w:b/>
          <w:color w:val="000000"/>
          <w:sz w:val="32"/>
          <w:highlight w:val="none"/>
        </w:rPr>
        <w:t xml:space="preserve">苏州汇进升工程咨询有限公司</w:t>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ind w:firstLine="3213"/>
        <w:rPr>
          <w:rFonts w:ascii="宋体" w:hAnsi="宋体" w:eastAsia="宋体"/>
          <w:b/>
          <w:color w:val="000000"/>
          <w:sz w:val="32"/>
          <w:highlight w:val="none"/>
        </w:rPr>
      </w:pPr>
      <w:r>
        <w:rPr>
          <w:rFonts w:hint="eastAsia" w:ascii="宋体" w:hAnsi="宋体" w:eastAsia="宋体"/>
          <w:b/>
          <w:color w:val="000000"/>
          <w:sz w:val="32"/>
          <w:highlight w:val="none"/>
        </w:rPr>
        <w:t xml:space="preserve">二O二六年七月</w:t>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ind w:firstLine="1928"/>
        <w:rPr>
          <w:rFonts w:ascii="宋体" w:hAnsi="宋体" w:eastAsia="宋体"/>
          <w:b/>
          <w:color w:val="000000"/>
          <w:sz w:val="32"/>
          <w:highlight w:val="none"/>
        </w:rPr>
      </w:pPr>
      <w:r>
        <w:rPr>
          <w:rFonts w:ascii="宋体" w:hAnsi="宋体" w:eastAsia="宋体"/>
          <w:b/>
          <w:color w:val="000000"/>
          <w:sz w:val="32"/>
          <w:highlight w:val="none"/>
        </w:rPr>
      </w:r>
      <w:r/>
    </w:p>
    <w:p>
      <w:pPr>
        <w:ind w:firstLine="3213"/>
        <w:jc w:val="center"/>
        <w:rPr>
          <w:rFonts w:ascii="宋体" w:hAnsi="宋体" w:eastAsia="宋体"/>
          <w:b/>
          <w:color w:val="000000"/>
          <w:sz w:val="32"/>
          <w:highlight w:val="none"/>
        </w:rPr>
      </w:pPr>
      <w:r>
        <w:rPr>
          <w:rFonts w:ascii="宋体" w:hAnsi="宋体" w:eastAsia="宋体"/>
          <w:b/>
          <w:color w:val="000000"/>
          <w:sz w:val="32"/>
          <w:highlight w:val="none"/>
        </w:rPr>
      </w:r>
      <w:r/>
    </w:p>
    <w:p>
      <w:pPr>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rPr>
          <w:rFonts w:ascii="宋体" w:hAnsi="宋体" w:eastAsia="宋体" w:cs="宋体"/>
          <w:b/>
          <w:bCs/>
          <w:sz w:val="28"/>
          <w:szCs w:val="28"/>
          <w:highlight w:val="none"/>
        </w:rPr>
      </w:pPr>
      <w:r>
        <w:rPr>
          <w:rFonts w:ascii="宋体" w:hAnsi="宋体" w:eastAsia="宋体" w:cs="宋体"/>
          <w:b/>
          <w:bCs/>
          <w:sz w:val="28"/>
          <w:szCs w:val="28"/>
          <w:highlight w:val="none"/>
        </w:rPr>
      </w:r>
      <w:r/>
    </w:p>
    <w:p>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投标须知前附表</w:t>
      </w:r>
      <w:bookmarkEnd w:id="0"/>
      <w:r/>
      <w:bookmarkEnd w:id="1"/>
      <w:r/>
      <w:bookmarkEnd w:id="2"/>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下述关于要采购的2026-2027年动、植物园保安项目的具体资料是对招标文件第一部分投标单位须知的具体补充和修改，如果有矛盾的话，应以本附表为准。</w:t>
      </w:r>
      <w:r/>
    </w:p>
    <w:tbl>
      <w:tblPr>
        <w:tblStyle w:val="719"/>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jc w:val="center"/>
          <w:trHeight w:val="529"/>
        </w:trPr>
        <w:tc>
          <w:tcPr>
            <w:tcW w:w="681" w:type="dxa"/>
            <w:vAlign w:val="center"/>
            <w:textDirection w:val="lrTb"/>
            <w:noWrap w:val="false"/>
          </w:tcPr>
          <w:p>
            <w:pPr>
              <w:jc w:val="cente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项号</w:t>
            </w:r>
            <w:r/>
          </w:p>
        </w:tc>
        <w:tc>
          <w:tcPr>
            <w:tcW w:w="1559" w:type="dxa"/>
            <w:vAlign w:val="center"/>
            <w:textDirection w:val="lrTb"/>
            <w:noWrap w:val="false"/>
          </w:tcPr>
          <w:p>
            <w:pPr>
              <w:jc w:val="center"/>
              <w:spacing w:line="360" w:lineRule="auto"/>
              <w:rPr>
                <w:rFonts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名称</w:t>
            </w:r>
            <w:r/>
          </w:p>
        </w:tc>
        <w:tc>
          <w:tcPr>
            <w:tcW w:w="7541" w:type="dxa"/>
            <w:vAlign w:val="center"/>
            <w:textDirection w:val="lrTb"/>
            <w:noWrap w:val="false"/>
          </w:tcPr>
          <w:p>
            <w:pPr>
              <w:jc w:val="cente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zh-CN"/>
              </w:rPr>
              <w:t xml:space="preserve">内容</w:t>
            </w:r>
            <w:r/>
          </w:p>
        </w:tc>
      </w:tr>
      <w:tr>
        <w:trPr>
          <w:jc w:val="center"/>
          <w:trHeight w:val="529"/>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p>
        </w:tc>
        <w:tc>
          <w:tcPr>
            <w:tcW w:w="1559" w:type="dxa"/>
            <w:vAlign w:val="center"/>
            <w:textDirection w:val="lrTb"/>
            <w:noWrap w:val="false"/>
          </w:tcPr>
          <w:p>
            <w:pPr>
              <w:jc w:val="center"/>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采购人</w:t>
            </w:r>
            <w:r/>
          </w:p>
        </w:tc>
        <w:tc>
          <w:tcPr>
            <w:tcW w:w="7541" w:type="dxa"/>
            <w:vAlign w:val="center"/>
            <w:textDirection w:val="lrTb"/>
            <w:noWrap w:val="false"/>
          </w:tcPr>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名称：苏州市石湖景区管理处（华南虎苏州培育基地）</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地址：苏州市虎丘区上方山行春桥堍</w:t>
            </w:r>
            <w:r/>
          </w:p>
          <w:p>
            <w:pPr>
              <w:jc w:val="left"/>
              <w:spacing w:line="360" w:lineRule="auto"/>
              <w:tabs>
                <w:tab w:val="left" w:pos="360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联系人：王玉燕 </w:t>
            </w:r>
            <w:r/>
          </w:p>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rPr>
              <w:t xml:space="preserve">0512-68439729</w:t>
            </w:r>
            <w:r>
              <w:rPr>
                <w:rFonts w:hint="eastAsia" w:ascii="宋体" w:hAnsi="宋体" w:eastAsia="宋体" w:cs="宋体"/>
                <w:color w:val="000000"/>
                <w:sz w:val="24"/>
                <w:szCs w:val="24"/>
                <w:highlight w:val="none"/>
                <w:lang w:val="zh-CN"/>
              </w:rPr>
              <w:t xml:space="preserve"> </w:t>
            </w:r>
            <w:r/>
          </w:p>
        </w:tc>
      </w:tr>
      <w:tr>
        <w:trPr>
          <w:jc w:val="center"/>
          <w:trHeight w:val="48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招标编号</w:t>
            </w:r>
            <w:r/>
          </w:p>
        </w:tc>
        <w:tc>
          <w:tcPr>
            <w:tcW w:w="7541" w:type="dxa"/>
            <w:vAlign w:val="center"/>
            <w:textDirection w:val="lrTb"/>
            <w:noWrap w:val="false"/>
          </w:tcPr>
          <w:p>
            <w:pPr>
              <w:jc w:val="left"/>
              <w:spacing w:line="360" w:lineRule="auto"/>
              <w:tabs>
                <w:tab w:val="left" w:pos="3600" w:leader="none"/>
              </w:tabs>
              <w:rPr>
                <w:rFonts w:hint="eastAsia" w:ascii="宋体" w:hAnsi="宋体" w:eastAsia="宋体" w:cs="宋体"/>
                <w:color w:val="000000"/>
                <w:sz w:val="24"/>
                <w:szCs w:val="24"/>
                <w:highlight w:val="none"/>
                <w:lang w:val="en-US" w:eastAsia="zh-CN"/>
              </w:rPr>
            </w:pPr>
            <w:r>
              <w:rPr>
                <w:rFonts w:ascii="Segoe UI" w:hAnsi="Segoe UI" w:eastAsia="Segoe UI" w:cs="Segoe UI"/>
                <w:i w:val="0"/>
                <w:iCs w:val="0"/>
                <w:caps w:val="0"/>
                <w:spacing w:val="0"/>
                <w:sz w:val="21"/>
                <w:szCs w:val="21"/>
                <w:shd w:val="clear" w:color="auto" w:fill="ffffff"/>
              </w:rPr>
              <w:t xml:space="preserve">JSZC-320500-HJSS-G2026-0005</w:t>
            </w:r>
            <w:r>
              <w:rPr>
                <w:rFonts w:hint="eastAsia" w:ascii="Segoe UI" w:hAnsi="Segoe UI" w:eastAsia="宋体" w:cs="Segoe UI"/>
                <w:i w:val="0"/>
                <w:iCs w:val="0"/>
                <w:caps w:val="0"/>
                <w:spacing w:val="0"/>
                <w:sz w:val="21"/>
                <w:szCs w:val="21"/>
                <w:shd w:val="clear" w:color="auto" w:fill="ffffff"/>
                <w:lang w:val="en-US" w:eastAsia="zh-CN"/>
              </w:rPr>
              <w:t xml:space="preserve">号</w:t>
            </w:r>
            <w:r/>
          </w:p>
        </w:tc>
      </w:tr>
      <w:tr>
        <w:trPr>
          <w:jc w:val="center"/>
          <w:trHeight w:val="48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招标内容</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2026-2027年动、植物园保安项目</w:t>
            </w:r>
            <w:r/>
          </w:p>
        </w:tc>
      </w:tr>
      <w:tr>
        <w:trPr>
          <w:jc w:val="center"/>
          <w:trHeight w:val="9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采购预算</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人民币肆佰肆拾肆万零柒元捌角柒分（￥ 4440007.87元）</w:t>
            </w:r>
            <w:r/>
          </w:p>
        </w:tc>
      </w:tr>
      <w:tr>
        <w:trPr>
          <w:jc w:val="center"/>
          <w:trHeight w:val="48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sz w:val="24"/>
                <w:szCs w:val="24"/>
                <w:highlight w:val="none"/>
                <w:lang w:val="zh-CN"/>
              </w:rPr>
              <w:t xml:space="preserve">最高限价</w:t>
            </w:r>
            <w:r/>
          </w:p>
        </w:tc>
        <w:tc>
          <w:tcPr>
            <w:tcW w:w="7541" w:type="dxa"/>
            <w:vAlign w:val="center"/>
            <w:textDirection w:val="lrTb"/>
            <w:noWrap w:val="false"/>
          </w:tcPr>
          <w:p>
            <w:pPr>
              <w:jc w:val="left"/>
              <w:spacing w:line="360" w:lineRule="auto"/>
              <w:tabs>
                <w:tab w:val="left" w:pos="3600" w:leader="none"/>
              </w:tabs>
              <w:rPr>
                <w:highlight w:val="none"/>
                <w:lang w:val="zh-CN"/>
              </w:rPr>
            </w:pPr>
            <w:r>
              <w:rPr>
                <w:rFonts w:hint="eastAsia" w:ascii="宋体" w:hAnsi="宋体" w:eastAsia="宋体" w:cs="宋体"/>
                <w:sz w:val="24"/>
                <w:szCs w:val="24"/>
                <w:highlight w:val="none"/>
              </w:rPr>
              <w:t xml:space="preserve">人民币肆佰肆拾肆万零柒元捌角柒分（￥ 4440007.87元）</w:t>
            </w:r>
            <w:r/>
          </w:p>
        </w:tc>
      </w:tr>
      <w:tr>
        <w:trPr>
          <w:jc w:val="center"/>
          <w:trHeight w:val="48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6</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2026年8月1日至2027年7月31日。</w:t>
            </w:r>
            <w:r/>
          </w:p>
        </w:tc>
      </w:tr>
      <w:tr>
        <w:trPr>
          <w:jc w:val="center"/>
          <w:trHeight w:val="455"/>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7</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投标有效期</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90天（日历日）</w:t>
            </w:r>
            <w:r/>
          </w:p>
        </w:tc>
      </w:tr>
      <w:tr>
        <w:trPr>
          <w:jc w:val="center"/>
          <w:trHeight w:val="542"/>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8</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投标保证金</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无，投标文件内提供投标（响应）保证承诺书，格式见附件。</w:t>
            </w:r>
            <w:r/>
          </w:p>
        </w:tc>
      </w:tr>
      <w:tr>
        <w:trPr>
          <w:jc w:val="center"/>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9</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招标代理机构</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苏州汇进升工程咨询有限公司</w:t>
            </w:r>
            <w:r/>
          </w:p>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地址：苏州市吴中区苏蠡路63号蠡谐大厦506室</w:t>
            </w:r>
            <w:r/>
          </w:p>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w:t>
            </w:r>
            <w:r>
              <w:rPr>
                <w:rFonts w:hint="eastAsia" w:ascii="宋体" w:hAnsi="宋体" w:eastAsia="宋体" w:cs="宋体"/>
                <w:color w:val="000000"/>
                <w:sz w:val="24"/>
                <w:szCs w:val="24"/>
                <w:highlight w:val="none"/>
              </w:rPr>
              <w:t xml:space="preserve">陈超叶</w:t>
            </w:r>
            <w:r/>
          </w:p>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rPr>
              <w:t xml:space="preserve">18994397598</w:t>
            </w:r>
            <w:r>
              <w:rPr>
                <w:rFonts w:hint="eastAsia" w:ascii="宋体" w:hAnsi="宋体" w:eastAsia="宋体" w:cs="宋体"/>
                <w:color w:val="000000"/>
                <w:sz w:val="24"/>
                <w:szCs w:val="24"/>
                <w:highlight w:val="none"/>
                <w:lang w:val="zh-CN"/>
              </w:rPr>
              <w:t xml:space="preserve"> </w:t>
            </w:r>
            <w:r/>
          </w:p>
        </w:tc>
      </w:tr>
      <w:tr>
        <w:trPr>
          <w:jc w:val="center"/>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依法获取招标文件</w:t>
            </w:r>
            <w:r/>
          </w:p>
        </w:tc>
        <w:tc>
          <w:tcPr>
            <w:tcW w:w="7541" w:type="dxa"/>
            <w:vAlign w:val="center"/>
            <w:textDirection w:val="lrTb"/>
            <w:noWrap w:val="false"/>
          </w:tcPr>
          <w:p>
            <w:pPr>
              <w:jc w:val="left"/>
              <w:spacing w:line="360" w:lineRule="auto"/>
              <w:tabs>
                <w:tab w:val="left" w:pos="360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sz w:val="24"/>
                <w:szCs w:val="24"/>
                <w:highlight w:val="none"/>
                <w:lang w:bidi="ar"/>
              </w:rPr>
              <w:t xml:space="preserve">投标供应商确认函</w:t>
            </w:r>
            <w:r>
              <w:rPr>
                <w:rFonts w:hint="eastAsia" w:ascii="宋体" w:hAnsi="宋体" w:eastAsia="宋体" w:cs="宋体"/>
                <w:color w:val="000000"/>
                <w:sz w:val="24"/>
                <w:szCs w:val="24"/>
                <w:highlight w:val="none"/>
                <w:lang w:val="zh-CN"/>
              </w:rPr>
              <w:t xml:space="preserve">”，质疑时与质疑函一并提交。未依照采购公告要求实行网上报名的</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，视为未参与该项政府采购活动，不具备对该政府采购项目提出质疑的法定权利。代理机构不再收取报名费或资料成本费。</w:t>
            </w:r>
            <w:r/>
          </w:p>
        </w:tc>
      </w:tr>
      <w:tr>
        <w:trPr>
          <w:jc w:val="center"/>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质疑</w:t>
            </w:r>
            <w:r/>
          </w:p>
        </w:tc>
        <w:tc>
          <w:tcPr>
            <w:tcW w:w="7541" w:type="dxa"/>
            <w:vAlign w:val="bottom"/>
            <w:textDirection w:val="lrTb"/>
            <w:noWrap w:val="false"/>
          </w:tcPr>
          <w:p>
            <w:pPr>
              <w:jc w:val="left"/>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招标代理单位。在采购活动中本身权益未受到损害或从采购活动受益的供应商所提出的质疑不予受理。供应商应当在法定质疑期内一次性提出针对同一采购程序环节的质疑。</w:t>
            </w:r>
            <w:r/>
          </w:p>
        </w:tc>
      </w:tr>
      <w:tr>
        <w:trPr>
          <w:jc w:val="center"/>
          <w:trHeight w:val="48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投标文件份数</w:t>
            </w:r>
            <w:r/>
          </w:p>
        </w:tc>
        <w:tc>
          <w:tcPr>
            <w:tcW w:w="7541" w:type="dxa"/>
            <w:vAlign w:val="center"/>
            <w:textDirection w:val="lrTb"/>
            <w:noWrap w:val="false"/>
          </w:tcPr>
          <w:p>
            <w:pPr>
              <w:jc w:val="left"/>
              <w:spacing w:line="360" w:lineRule="auto"/>
              <w:rPr>
                <w:rFonts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1、本项目采用电子投标文件，投标单位按照招标文件要求制作上传电子投标文件。</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bCs/>
                <w:sz w:val="24"/>
                <w:szCs w:val="24"/>
                <w:highlight w:val="none"/>
                <w:lang w:bidi="ar"/>
              </w:rPr>
              <w:t xml:space="preserve">2、本项目采用电子网上招投标（电子标书），中标单位在领取中标通知书时向采购代理机构提交盖章版投标文件纸质版，份数为四份（一正三副）。纸质投标文件与上传的电子投标文件一致。用于存档备案。</w:t>
            </w:r>
            <w:r/>
          </w:p>
        </w:tc>
      </w:tr>
      <w:tr>
        <w:trPr>
          <w:jc w:val="center"/>
          <w:trHeight w:val="48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投标文件递交（上传）截止时间</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递交（上传）</w:t>
            </w:r>
            <w:r>
              <w:rPr>
                <w:rFonts w:hint="eastAsia" w:ascii="宋体" w:hAnsi="宋体" w:eastAsia="宋体" w:cs="宋体"/>
                <w:spacing w:val="-6"/>
                <w:sz w:val="24"/>
                <w:szCs w:val="24"/>
                <w:highlight w:val="none"/>
              </w:rPr>
              <w:t xml:space="preserve">截止时间：</w:t>
            </w:r>
            <w:r>
              <w:rPr>
                <w:rFonts w:hint="eastAsia" w:ascii="宋体" w:hAnsi="宋体" w:eastAsia="宋体" w:cs="宋体"/>
                <w:color w:val="000000" w:themeColor="text1"/>
                <w:sz w:val="24"/>
                <w:szCs w:val="24"/>
                <w:highlight w:val="none"/>
                <w:lang w:val="zh-CN"/>
                <w14:textFill>
                  <w14:solidFill>
                    <w14:schemeClr w14:val="tx1"/>
                  </w14:solidFill>
                </w14:textFill>
              </w:rPr>
              <w:t xml:space="preserve">202</w:t>
            </w: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年07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月30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日09</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14:textFill>
                  <w14:solidFill>
                    <w14:schemeClr w14:val="tx1"/>
                  </w14:solidFill>
                </w14:textFill>
              </w:rPr>
              <w:t xml:space="preserve">30</w:t>
            </w:r>
            <w:r>
              <w:rPr>
                <w:rFonts w:hint="eastAsia" w:ascii="宋体" w:hAnsi="宋体" w:eastAsia="宋体" w:cs="宋体"/>
                <w:color w:val="0000ff"/>
                <w:sz w:val="24"/>
                <w:szCs w:val="24"/>
                <w:highlight w:val="none"/>
                <w:lang w:val="zh-CN"/>
              </w:rPr>
              <w:t xml:space="preserve">（</w:t>
            </w:r>
            <w:r>
              <w:rPr>
                <w:rFonts w:hint="eastAsia" w:ascii="宋体" w:hAnsi="宋体" w:eastAsia="宋体" w:cs="宋体"/>
                <w:color w:val="000000"/>
                <w:sz w:val="24"/>
                <w:szCs w:val="24"/>
                <w:highlight w:val="none"/>
                <w:lang w:val="zh-CN"/>
              </w:rPr>
              <w:t xml:space="preserve">北京时间）</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sz w:val="24"/>
                <w:szCs w:val="24"/>
                <w:highlight w:val="none"/>
              </w:rPr>
              <w:t xml:space="preserve">投标文件必须在截止时间前完成递交（上传），逾期递交（上传）的投标文件恕不接收。</w:t>
            </w:r>
            <w:r/>
          </w:p>
        </w:tc>
      </w:tr>
      <w:tr>
        <w:trPr>
          <w:jc w:val="center"/>
          <w:trHeight w:val="44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投标文件递交地点</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网址</w:t>
            </w:r>
            <w:r>
              <w:rPr>
                <w:rFonts w:hint="eastAsia" w:ascii="宋体" w:hAnsi="宋体" w:eastAsia="宋体" w:cs="宋体"/>
                <w:color w:val="000000"/>
                <w:sz w:val="24"/>
                <w:szCs w:val="24"/>
                <w:highlight w:val="none"/>
              </w:rPr>
              <w:t xml:space="preserve">：http://jszfcg.jsczt.cn/）</w:t>
            </w:r>
            <w:r/>
          </w:p>
        </w:tc>
      </w:tr>
      <w:tr>
        <w:trPr>
          <w:jc w:val="center"/>
          <w:trHeight w:val="939"/>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开标时间</w:t>
            </w:r>
            <w:r/>
          </w:p>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地点</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2026</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年07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月30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日09</w:t>
            </w:r>
            <w:r>
              <w:rPr>
                <w:rFonts w:hint="eastAsia" w:ascii="宋体" w:hAnsi="宋体" w:eastAsia="宋体" w:cs="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sz w:val="24"/>
                <w:szCs w:val="24"/>
                <w:highlight w:val="none"/>
                <w:lang w:val="zh-CN"/>
              </w:rPr>
              <w:t xml:space="preserve">北京时间</w:t>
            </w:r>
            <w:r>
              <w:rPr>
                <w:rFonts w:hint="eastAsia" w:ascii="宋体" w:hAnsi="宋体" w:eastAsia="宋体" w:cs="宋体"/>
                <w:color w:val="000000"/>
                <w:sz w:val="24"/>
                <w:szCs w:val="24"/>
                <w:highlight w:val="none"/>
              </w:rPr>
              <w:t xml:space="preserve">）</w:t>
            </w:r>
            <w:r/>
          </w:p>
          <w:p>
            <w:pPr>
              <w:jc w:val="left"/>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苏采云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网址</w:t>
            </w:r>
            <w:r>
              <w:rPr>
                <w:rFonts w:hint="eastAsia" w:ascii="宋体" w:hAnsi="宋体" w:eastAsia="宋体" w:cs="宋体"/>
                <w:color w:val="000000"/>
                <w:sz w:val="24"/>
                <w:szCs w:val="24"/>
                <w:highlight w:val="none"/>
              </w:rPr>
              <w:t xml:space="preserve">：http://jszfcg.jsczt.cn/）</w:t>
            </w:r>
            <w:r/>
          </w:p>
        </w:tc>
      </w:tr>
      <w:tr>
        <w:trPr>
          <w:jc w:val="center"/>
          <w:trHeight w:val="440"/>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履约保证金</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本项目不需要。</w:t>
            </w:r>
            <w:r/>
          </w:p>
        </w:tc>
      </w:tr>
      <w:tr>
        <w:trPr>
          <w:jc w:val="center"/>
          <w:trHeight w:val="349"/>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中标服务费</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由</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zh-CN"/>
              </w:rPr>
              <w:t xml:space="preserve">支付代理服务费，收费按以下标准</w:t>
            </w:r>
            <w:r>
              <w:rPr>
                <w:rFonts w:hint="eastAsia" w:ascii="宋体" w:hAnsi="宋体" w:eastAsia="宋体" w:cs="宋体"/>
                <w:color w:val="000000"/>
                <w:sz w:val="24"/>
                <w:szCs w:val="24"/>
                <w:highlight w:val="none"/>
              </w:rPr>
              <w:t xml:space="preserve">的98.5%</w:t>
            </w:r>
            <w:r>
              <w:rPr>
                <w:rFonts w:hint="eastAsia" w:ascii="宋体" w:hAnsi="宋体" w:eastAsia="宋体" w:cs="宋体"/>
                <w:color w:val="000000"/>
                <w:sz w:val="24"/>
                <w:szCs w:val="24"/>
                <w:highlight w:val="none"/>
                <w:lang w:val="zh-CN"/>
              </w:rPr>
              <w:t xml:space="preserve">计取：</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预算金额100万以下费率为预算金额的1.5%；</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预算金额100－500万费率为预算金额的1.1%；</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预算金额500-1000万费率为预算金额的0.8%；</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预算金额1000-5000万费率为预算金额的0.5%；</w:t>
            </w:r>
            <w:r/>
          </w:p>
          <w:p>
            <w:pPr>
              <w:jc w:val="left"/>
              <w:spacing w:line="360" w:lineRule="auto"/>
              <w:tabs>
                <w:tab w:val="left" w:pos="540" w:leader="none"/>
              </w:tabs>
              <w:rPr>
                <w:rFonts w:ascii="宋体" w:hAnsi="宋体" w:eastAsia="宋体" w:cs="宋体"/>
                <w:spacing w:val="-6"/>
                <w:sz w:val="24"/>
                <w:szCs w:val="24"/>
                <w:highlight w:val="none"/>
              </w:rPr>
            </w:pPr>
            <w:r>
              <w:rPr>
                <w:rFonts w:hint="eastAsia" w:ascii="宋体" w:hAnsi="宋体" w:eastAsia="宋体" w:cs="宋体"/>
                <w:color w:val="000000"/>
                <w:sz w:val="24"/>
                <w:szCs w:val="24"/>
                <w:highlight w:val="none"/>
                <w:lang w:val="zh-CN"/>
              </w:rPr>
              <w:t xml:space="preserve">注：代理服务费按上述规定的标准和差额定率累进法进行计算后收取。</w:t>
            </w:r>
            <w:r>
              <w:rPr>
                <w:rFonts w:hint="eastAsia" w:ascii="宋体" w:hAnsi="宋体" w:eastAsia="宋体" w:cs="宋体"/>
                <w:spacing w:val="-6"/>
                <w:sz w:val="24"/>
                <w:szCs w:val="24"/>
                <w:highlight w:val="none"/>
              </w:rPr>
              <w:t xml:space="preserve">本项目代理服务费金额为52047</w:t>
            </w:r>
            <w:r>
              <w:rPr>
                <w:rFonts w:ascii="宋体" w:hAnsi="宋体" w:eastAsia="宋体" w:cs="宋体"/>
                <w:spacing w:val="-6"/>
                <w:sz w:val="24"/>
                <w:szCs w:val="24"/>
                <w:highlight w:val="none"/>
              </w:rPr>
              <w:t xml:space="preserve"> </w:t>
            </w:r>
            <w:r>
              <w:rPr>
                <w:rFonts w:hint="eastAsia" w:ascii="宋体" w:hAnsi="宋体" w:eastAsia="宋体" w:cs="宋体"/>
                <w:spacing w:val="-6"/>
                <w:sz w:val="24"/>
                <w:szCs w:val="24"/>
                <w:highlight w:val="none"/>
              </w:rPr>
              <w:t xml:space="preserve">元。</w:t>
            </w:r>
            <w:r/>
          </w:p>
          <w:p>
            <w:pPr>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账户名：苏州汇进升工程咨询有限公司</w:t>
            </w:r>
            <w:r/>
          </w:p>
          <w:p>
            <w:pPr>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号：32250199759600001073</w:t>
            </w:r>
            <w:r/>
          </w:p>
          <w:p>
            <w:pPr>
              <w:jc w:val="left"/>
              <w:spacing w:line="360" w:lineRule="auto"/>
              <w:rPr>
                <w:rFonts w:ascii="宋体" w:hAnsi="宋体" w:eastAsia="宋体" w:cs="宋体"/>
                <w:spacing w:val="-6"/>
                <w:sz w:val="24"/>
                <w:szCs w:val="24"/>
                <w:highlight w:val="none"/>
              </w:rPr>
            </w:pPr>
            <w:r>
              <w:rPr>
                <w:rFonts w:hint="eastAsia" w:ascii="宋体" w:hAnsi="宋体" w:eastAsia="宋体" w:cs="宋体"/>
                <w:color w:val="000000"/>
                <w:sz w:val="24"/>
                <w:szCs w:val="24"/>
                <w:highlight w:val="none"/>
              </w:rPr>
              <w:t xml:space="preserve">开 户 银 行：建行苏州苏蠡支行开户银行：</w:t>
            </w:r>
            <w:r>
              <w:rPr>
                <w:rFonts w:ascii="宋体" w:hAnsi="宋体" w:eastAsia="宋体" w:cs="宋体"/>
                <w:spacing w:val="-6"/>
                <w:sz w:val="24"/>
                <w:szCs w:val="24"/>
                <w:highlight w:val="none"/>
              </w:rPr>
              <w:t xml:space="preserve"> </w:t>
            </w:r>
            <w:r/>
          </w:p>
        </w:tc>
      </w:tr>
      <w:tr>
        <w:trPr>
          <w:jc w:val="center"/>
          <w:trHeight w:val="426"/>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导致废标因素</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出现下列情形之一的，为废标：</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（一）符合专业条件的投标单位或者对招标文件作实质响应的投标单位不足三家的；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（二）出现影响采购公正的违法、违规行为的；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（三）投标单位的报价均超过了采购预算，采购人不能支付的；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（四）因重大变故，采购任务取消的。</w:t>
            </w:r>
            <w:r/>
          </w:p>
        </w:tc>
      </w:tr>
      <w:tr>
        <w:trPr>
          <w:jc w:val="center"/>
          <w:trHeight w:val="426"/>
        </w:trPr>
        <w:tc>
          <w:tcPr>
            <w:tcW w:w="681" w:type="dxa"/>
            <w:vAlign w:val="center"/>
            <w:textDirection w:val="lrTb"/>
            <w:noWrap w:val="false"/>
          </w:tcPr>
          <w:p>
            <w:pPr>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p>
        </w:tc>
        <w:tc>
          <w:tcPr>
            <w:tcW w:w="1559" w:type="dxa"/>
            <w:vAlign w:val="center"/>
            <w:textDirection w:val="lrTb"/>
            <w:noWrap w:val="false"/>
          </w:tcPr>
          <w:p>
            <w:pPr>
              <w:jc w:val="center"/>
              <w:spacing w:line="360" w:lineRule="auto"/>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导致无效标因素</w:t>
            </w:r>
            <w:r/>
          </w:p>
        </w:tc>
        <w:tc>
          <w:tcPr>
            <w:tcW w:w="7541" w:type="dxa"/>
            <w:vAlign w:val="center"/>
            <w:textDirection w:val="lrTb"/>
            <w:noWrap w:val="false"/>
          </w:tcPr>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投标文件属下列情况之一的，在资格性、符合性检查时按照无效投标处理：</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（一）未按照招标文件规定要求签署、盖章的；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（二）不具备招标文件中规定资格要求的；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（三）投标报价超过采购预算或最高限价的；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（四）投标单位的报价只投了同一标段中部分内容；</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（五）投标文件含有采购人不能接受的附加条件的；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（六）投标单位的投标文件中出现评委会认为不应雷同的；</w:t>
            </w:r>
            <w:r>
              <w:rPr>
                <w:rFonts w:hint="eastAsia" w:ascii="宋体" w:hAnsi="宋体" w:eastAsia="宋体" w:cs="宋体"/>
                <w:color w:val="000000"/>
                <w:sz w:val="24"/>
                <w:szCs w:val="24"/>
                <w:highlight w:val="none"/>
              </w:rPr>
              <w:t xml:space="preserve">不同投标单位制作响应文件的机器码一致的</w:t>
            </w:r>
            <w:r>
              <w:rPr>
                <w:rFonts w:hint="eastAsia" w:ascii="宋体" w:hAnsi="宋体" w:eastAsia="宋体" w:cs="宋体"/>
                <w:color w:val="000000"/>
                <w:sz w:val="24"/>
                <w:szCs w:val="24"/>
                <w:highlight w:val="none"/>
                <w:lang w:val="zh-CN"/>
              </w:rPr>
              <w:t xml:space="preserve">；</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（七）投标有效期短于90天的；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（八）与招标文件有重大偏离，不符合法律、法规和招标文件中规定的实质性要求的；</w:t>
            </w:r>
            <w:r/>
          </w:p>
          <w:p>
            <w:pPr>
              <w:jc w:val="left"/>
              <w:spacing w:line="360" w:lineRule="auto"/>
              <w:tabs>
                <w:tab w:val="left" w:pos="540" w:leader="none"/>
              </w:tabs>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（九）其他被评委会认定无效的情况。</w:t>
            </w:r>
            <w:r/>
          </w:p>
        </w:tc>
      </w:tr>
    </w:tbl>
    <w:p>
      <w:pPr>
        <w:jc w:val="center"/>
        <w:spacing w:line="480" w:lineRule="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jc w:val="center"/>
        <w:spacing w:line="480" w:lineRule="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jc w:val="center"/>
        <w:spacing w:line="480" w:lineRule="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pStyle w:val="720"/>
        <w:rPr>
          <w:rFonts w:hint="default"/>
          <w:highlight w:val="none"/>
          <w:lang w:val="zh-CN"/>
        </w:rPr>
      </w:pPr>
      <w:r>
        <w:rPr>
          <w:rFonts w:hint="default"/>
          <w:highlight w:val="none"/>
          <w:lang w:val="zh-CN"/>
        </w:rPr>
      </w:r>
      <w:r/>
    </w:p>
    <w:p>
      <w:pPr>
        <w:rPr>
          <w:highlight w:val="none"/>
          <w:lang w:val="zh-CN"/>
        </w:rPr>
      </w:pPr>
      <w:r>
        <w:rPr>
          <w:highlight w:val="none"/>
          <w:lang w:val="zh-CN"/>
        </w:rPr>
      </w:r>
      <w:r/>
    </w:p>
    <w:p>
      <w:pPr>
        <w:pStyle w:val="720"/>
        <w:rPr>
          <w:rFonts w:hint="default"/>
          <w:highlight w:val="none"/>
          <w:lang w:val="zh-CN"/>
        </w:rPr>
      </w:pPr>
      <w:r>
        <w:rPr>
          <w:rFonts w:hint="default"/>
          <w:highlight w:val="none"/>
          <w:lang w:val="zh-CN"/>
        </w:rPr>
      </w:r>
      <w:r/>
    </w:p>
    <w:p>
      <w:pPr>
        <w:rPr>
          <w:highlight w:val="none"/>
          <w:lang w:val="zh-CN"/>
        </w:rPr>
      </w:pPr>
      <w:r>
        <w:rPr>
          <w:highlight w:val="none"/>
          <w:lang w:val="zh-CN"/>
        </w:rPr>
      </w:r>
      <w:r/>
    </w:p>
    <w:p>
      <w:pPr>
        <w:jc w:val="center"/>
        <w:spacing w:line="480" w:lineRule="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spacing w:line="480" w:lineRule="auto"/>
        <w:rPr>
          <w:rFonts w:ascii="宋体" w:hAnsi="宋体" w:eastAsia="宋体"/>
          <w:b/>
          <w:bCs/>
          <w:color w:val="000000"/>
          <w:sz w:val="30"/>
          <w:szCs w:val="30"/>
          <w:highlight w:val="none"/>
          <w:lang w:val="zh-CN"/>
        </w:rPr>
      </w:pPr>
      <w:r>
        <w:rPr>
          <w:rFonts w:ascii="宋体" w:hAnsi="宋体" w:eastAsia="宋体"/>
          <w:b/>
          <w:bCs/>
          <w:color w:val="000000"/>
          <w:sz w:val="30"/>
          <w:szCs w:val="30"/>
          <w:highlight w:val="none"/>
          <w:lang w:val="zh-CN"/>
        </w:rPr>
      </w:r>
      <w:r/>
    </w:p>
    <w:p>
      <w:pPr>
        <w:jc w:val="center"/>
        <w:spacing w:line="480" w:lineRule="auto"/>
        <w:rPr>
          <w:rFonts w:ascii="宋体" w:hAnsi="宋体" w:eastAsia="宋体"/>
          <w:sz w:val="30"/>
          <w:szCs w:val="30"/>
          <w:highlight w:val="none"/>
        </w:rPr>
      </w:pPr>
      <w:r>
        <w:rPr>
          <w:rFonts w:ascii="宋体" w:hAnsi="宋体" w:eastAsia="宋体"/>
          <w:b/>
          <w:bCs/>
          <w:color w:val="000000"/>
          <w:sz w:val="30"/>
          <w:szCs w:val="30"/>
          <w:highlight w:val="none"/>
          <w:lang w:val="zh-CN"/>
        </w:rPr>
        <w:t xml:space="preserve">目录</w:t>
      </w:r>
      <w:r/>
    </w:p>
    <w:p>
      <w:pPr>
        <w:jc w:val="left"/>
        <w:spacing w:line="480" w:lineRule="auto"/>
        <w:tabs>
          <w:tab w:val="right" w:pos="9259" w:leader="dot"/>
        </w:tabs>
        <w:rPr>
          <w:rFonts w:ascii="宋体" w:hAnsi="宋体" w:eastAsia="宋体"/>
          <w:color w:val="000000"/>
          <w:sz w:val="24"/>
          <w:szCs w:val="24"/>
          <w:highlight w:val="none"/>
        </w:rPr>
      </w:pPr>
      <w:r>
        <w:rPr>
          <w:rFonts w:ascii="宋体" w:hAnsi="宋体" w:eastAsia="宋体"/>
          <w:color w:val="000000"/>
          <w:sz w:val="24"/>
          <w:szCs w:val="24"/>
          <w:highlight w:val="none"/>
        </w:rPr>
        <w:fldChar w:fldCharType="begin"/>
      </w:r>
      <w:r>
        <w:rPr>
          <w:rFonts w:ascii="宋体" w:hAnsi="宋体" w:eastAsia="宋体"/>
          <w:color w:val="000000"/>
          <w:sz w:val="24"/>
          <w:szCs w:val="24"/>
          <w:highlight w:val="none"/>
        </w:rPr>
        <w:instrText xml:space="preserve"> TOC \o "1-3" \h \z \u </w:instrText>
      </w:r>
      <w:r>
        <w:rPr>
          <w:rFonts w:ascii="宋体" w:hAnsi="宋体" w:eastAsia="宋体"/>
          <w:color w:val="000000"/>
          <w:sz w:val="24"/>
          <w:szCs w:val="24"/>
          <w:highlight w:val="none"/>
        </w:rPr>
        <w:fldChar w:fldCharType="separate"/>
      </w:r>
      <w:r>
        <w:rPr>
          <w:highlight w:val="none"/>
        </w:rPr>
        <w:fldChar w:fldCharType="begin"/>
      </w:r>
      <w:r>
        <w:rPr>
          <w:highlight w:val="none"/>
        </w:rPr>
        <w:instrText xml:space="preserve"> HYPERLINK \l "_Toc97193183" </w:instrText>
      </w:r>
      <w:r>
        <w:rPr>
          <w:highlight w:val="none"/>
        </w:rPr>
        <w:fldChar w:fldCharType="separate"/>
      </w:r>
      <w:r>
        <w:rPr>
          <w:rFonts w:ascii="宋体" w:hAnsi="宋体" w:eastAsia="宋体"/>
          <w:color w:val="000000"/>
          <w:sz w:val="24"/>
          <w:szCs w:val="24"/>
          <w:highlight w:val="none"/>
        </w:rPr>
        <w:t xml:space="preserve">投标须知前附表</w:t>
      </w:r>
      <w:r>
        <w:rPr>
          <w:rFonts w:ascii="宋体" w:hAnsi="宋体" w:eastAsia="宋体"/>
          <w:color w:val="000000"/>
          <w:sz w:val="24"/>
          <w:szCs w:val="24"/>
          <w:highlight w:val="none"/>
        </w:rPr>
        <w:fldChar w:fldCharType="end"/>
      </w:r>
      <w:r/>
    </w:p>
    <w:p>
      <w:pPr>
        <w:jc w:val="left"/>
        <w:spacing w:line="480" w:lineRule="auto"/>
        <w:tabs>
          <w:tab w:val="right" w:pos="9259" w:leader="dot"/>
        </w:tabs>
        <w:rPr>
          <w:rFonts w:ascii="宋体" w:hAnsi="宋体" w:eastAsia="宋体"/>
          <w:color w:val="000000"/>
          <w:sz w:val="24"/>
          <w:szCs w:val="24"/>
          <w:highlight w:val="none"/>
        </w:rPr>
      </w:pPr>
      <w:r>
        <w:rPr>
          <w:highlight w:val="none"/>
        </w:rPr>
        <w:fldChar w:fldCharType="begin"/>
      </w:r>
      <w:r>
        <w:rPr>
          <w:highlight w:val="none"/>
        </w:rPr>
        <w:instrText xml:space="preserve"> HYPERLINK \l "_Toc97193184" </w:instrText>
      </w:r>
      <w:r>
        <w:rPr>
          <w:highlight w:val="none"/>
        </w:rPr>
        <w:fldChar w:fldCharType="separate"/>
      </w:r>
      <w:r>
        <w:rPr>
          <w:rFonts w:ascii="宋体" w:hAnsi="宋体" w:eastAsia="宋体"/>
          <w:color w:val="000000"/>
          <w:sz w:val="24"/>
          <w:szCs w:val="24"/>
          <w:highlight w:val="none"/>
        </w:rPr>
        <w:t xml:space="preserve">第一章投标邀请函</w:t>
      </w:r>
      <w:r>
        <w:rPr>
          <w:rFonts w:ascii="宋体" w:hAnsi="宋体" w:eastAsia="宋体"/>
          <w:color w:val="000000"/>
          <w:sz w:val="24"/>
          <w:szCs w:val="24"/>
          <w:highlight w:val="none"/>
        </w:rPr>
        <w:fldChar w:fldCharType="end"/>
      </w:r>
      <w:r/>
    </w:p>
    <w:p>
      <w:pPr>
        <w:jc w:val="left"/>
        <w:spacing w:line="480" w:lineRule="auto"/>
        <w:tabs>
          <w:tab w:val="right" w:pos="9259" w:leader="dot"/>
        </w:tabs>
        <w:rPr>
          <w:rFonts w:ascii="宋体" w:hAnsi="宋体" w:eastAsia="宋体"/>
          <w:color w:val="000000"/>
          <w:sz w:val="24"/>
          <w:szCs w:val="24"/>
          <w:highlight w:val="none"/>
        </w:rPr>
      </w:pPr>
      <w:r>
        <w:rPr>
          <w:highlight w:val="none"/>
        </w:rPr>
        <w:fldChar w:fldCharType="begin"/>
      </w:r>
      <w:r>
        <w:rPr>
          <w:highlight w:val="none"/>
        </w:rPr>
        <w:instrText xml:space="preserve"> HYPERLINK \l "_Toc97193185" </w:instrText>
      </w:r>
      <w:r>
        <w:rPr>
          <w:highlight w:val="none"/>
        </w:rPr>
        <w:fldChar w:fldCharType="separate"/>
      </w:r>
      <w:r>
        <w:rPr>
          <w:rFonts w:ascii="宋体" w:hAnsi="宋体" w:eastAsia="宋体"/>
          <w:color w:val="000000"/>
          <w:sz w:val="24"/>
          <w:szCs w:val="24"/>
          <w:highlight w:val="none"/>
        </w:rPr>
        <w:t xml:space="preserve">第二章</w:t>
      </w:r>
      <w:r>
        <w:rPr>
          <w:rFonts w:hint="eastAsia" w:ascii="宋体" w:hAnsi="宋体" w:eastAsia="宋体"/>
          <w:color w:val="000000"/>
          <w:sz w:val="24"/>
          <w:szCs w:val="24"/>
          <w:highlight w:val="none"/>
        </w:rPr>
        <w:t xml:space="preserve">投标单位</w:t>
      </w:r>
      <w:r>
        <w:rPr>
          <w:rFonts w:ascii="宋体" w:hAnsi="宋体" w:eastAsia="宋体"/>
          <w:color w:val="000000"/>
          <w:sz w:val="24"/>
          <w:szCs w:val="24"/>
          <w:highlight w:val="none"/>
        </w:rPr>
        <w:t xml:space="preserve">须知</w:t>
      </w:r>
      <w:r>
        <w:rPr>
          <w:rFonts w:ascii="宋体" w:hAnsi="宋体" w:eastAsia="宋体"/>
          <w:color w:val="000000"/>
          <w:sz w:val="24"/>
          <w:szCs w:val="24"/>
          <w:highlight w:val="none"/>
        </w:rPr>
        <w:fldChar w:fldCharType="end"/>
      </w:r>
      <w:r/>
    </w:p>
    <w:p>
      <w:pPr>
        <w:jc w:val="left"/>
        <w:spacing w:line="480" w:lineRule="auto"/>
        <w:tabs>
          <w:tab w:val="right" w:pos="9259" w:leader="dot"/>
        </w:tabs>
        <w:rPr>
          <w:rFonts w:ascii="宋体" w:hAnsi="宋体" w:eastAsia="宋体"/>
          <w:color w:val="000000"/>
          <w:sz w:val="24"/>
          <w:szCs w:val="24"/>
          <w:highlight w:val="none"/>
        </w:rPr>
      </w:pPr>
      <w:r>
        <w:rPr>
          <w:highlight w:val="none"/>
        </w:rPr>
        <w:fldChar w:fldCharType="begin"/>
      </w:r>
      <w:r>
        <w:rPr>
          <w:highlight w:val="none"/>
        </w:rPr>
        <w:instrText xml:space="preserve"> HYPERLINK \l "_Toc97193186" </w:instrText>
      </w:r>
      <w:r>
        <w:rPr>
          <w:highlight w:val="none"/>
        </w:rPr>
        <w:fldChar w:fldCharType="separate"/>
      </w:r>
      <w:r>
        <w:rPr>
          <w:rFonts w:ascii="宋体" w:hAnsi="宋体" w:eastAsia="宋体"/>
          <w:color w:val="000000"/>
          <w:sz w:val="24"/>
          <w:szCs w:val="24"/>
          <w:highlight w:val="none"/>
        </w:rPr>
        <w:t xml:space="preserve">第三章投标文件格式</w:t>
      </w:r>
      <w:r>
        <w:rPr>
          <w:rFonts w:ascii="宋体" w:hAnsi="宋体" w:eastAsia="宋体"/>
          <w:color w:val="000000"/>
          <w:sz w:val="24"/>
          <w:szCs w:val="24"/>
          <w:highlight w:val="none"/>
        </w:rPr>
        <w:fldChar w:fldCharType="end"/>
      </w:r>
      <w:r/>
    </w:p>
    <w:p>
      <w:pPr>
        <w:jc w:val="left"/>
        <w:spacing w:line="480" w:lineRule="auto"/>
        <w:tabs>
          <w:tab w:val="right" w:pos="9259" w:leader="dot"/>
        </w:tabs>
        <w:rPr>
          <w:rFonts w:ascii="宋体" w:hAnsi="宋体" w:eastAsia="宋体"/>
          <w:color w:val="000000"/>
          <w:sz w:val="24"/>
          <w:szCs w:val="24"/>
          <w:highlight w:val="none"/>
        </w:rPr>
      </w:pPr>
      <w:r>
        <w:rPr>
          <w:highlight w:val="none"/>
        </w:rPr>
        <w:fldChar w:fldCharType="begin"/>
      </w:r>
      <w:r>
        <w:rPr>
          <w:highlight w:val="none"/>
        </w:rPr>
        <w:instrText xml:space="preserve"> HYPERLINK \l "_Toc97193187" </w:instrText>
      </w:r>
      <w:r>
        <w:rPr>
          <w:highlight w:val="none"/>
        </w:rPr>
        <w:fldChar w:fldCharType="separate"/>
      </w:r>
      <w:r>
        <w:rPr>
          <w:rFonts w:ascii="宋体" w:hAnsi="宋体" w:eastAsia="宋体"/>
          <w:color w:val="000000"/>
          <w:sz w:val="24"/>
          <w:szCs w:val="24"/>
          <w:highlight w:val="none"/>
        </w:rPr>
        <w:t xml:space="preserve">第四章招标书</w:t>
      </w:r>
      <w:r>
        <w:rPr>
          <w:rFonts w:ascii="宋体" w:hAnsi="宋体" w:eastAsia="宋体"/>
          <w:color w:val="000000"/>
          <w:sz w:val="24"/>
          <w:szCs w:val="24"/>
          <w:highlight w:val="none"/>
        </w:rPr>
        <w:fldChar w:fldCharType="end"/>
      </w:r>
      <w:r/>
    </w:p>
    <w:p>
      <w:pPr>
        <w:jc w:val="left"/>
        <w:spacing w:line="480" w:lineRule="auto"/>
        <w:tabs>
          <w:tab w:val="right" w:pos="9259" w:leader="dot"/>
        </w:tabs>
        <w:rPr>
          <w:rFonts w:ascii="宋体" w:hAnsi="宋体" w:eastAsia="宋体"/>
          <w:color w:val="000000"/>
          <w:sz w:val="24"/>
          <w:szCs w:val="24"/>
          <w:highlight w:val="none"/>
        </w:rPr>
      </w:pPr>
      <w:r>
        <w:rPr>
          <w:highlight w:val="none"/>
        </w:rPr>
        <w:fldChar w:fldCharType="begin"/>
      </w:r>
      <w:r>
        <w:rPr>
          <w:highlight w:val="none"/>
        </w:rPr>
        <w:instrText xml:space="preserve"> HYPERLINK \l "_Toc97193188" </w:instrText>
      </w:r>
      <w:r>
        <w:rPr>
          <w:highlight w:val="none"/>
        </w:rPr>
        <w:fldChar w:fldCharType="separate"/>
      </w:r>
      <w:r>
        <w:rPr>
          <w:rFonts w:ascii="宋体" w:hAnsi="宋体" w:eastAsia="宋体"/>
          <w:color w:val="000000"/>
          <w:sz w:val="24"/>
          <w:szCs w:val="24"/>
          <w:highlight w:val="none"/>
        </w:rPr>
        <w:t xml:space="preserve">第五章合同文本</w:t>
      </w:r>
      <w:r>
        <w:rPr>
          <w:rFonts w:ascii="宋体" w:hAnsi="宋体" w:eastAsia="宋体"/>
          <w:color w:val="000000"/>
          <w:sz w:val="24"/>
          <w:szCs w:val="24"/>
          <w:highlight w:val="none"/>
        </w:rPr>
        <w:fldChar w:fldCharType="end"/>
      </w:r>
      <w:r/>
    </w:p>
    <w:p>
      <w:pPr>
        <w:jc w:val="left"/>
        <w:spacing w:line="480" w:lineRule="auto"/>
        <w:tabs>
          <w:tab w:val="right" w:pos="9259" w:leader="dot"/>
        </w:tabs>
        <w:rPr>
          <w:rFonts w:ascii="宋体" w:hAnsi="宋体" w:eastAsia="宋体"/>
          <w:color w:val="000000"/>
          <w:sz w:val="24"/>
          <w:szCs w:val="24"/>
          <w:highlight w:val="none"/>
        </w:rPr>
      </w:pPr>
      <w:r>
        <w:rPr>
          <w:highlight w:val="none"/>
        </w:rPr>
        <w:fldChar w:fldCharType="begin"/>
      </w:r>
      <w:r>
        <w:rPr>
          <w:highlight w:val="none"/>
        </w:rPr>
        <w:instrText xml:space="preserve"> HYPERLINK \l "_Toc97193189" </w:instrText>
      </w:r>
      <w:r>
        <w:rPr>
          <w:highlight w:val="none"/>
        </w:rPr>
        <w:fldChar w:fldCharType="separate"/>
      </w:r>
      <w:r>
        <w:rPr>
          <w:rFonts w:ascii="宋体" w:hAnsi="宋体" w:eastAsia="宋体"/>
          <w:color w:val="000000"/>
          <w:spacing w:val="20"/>
          <w:sz w:val="24"/>
          <w:szCs w:val="24"/>
          <w:highlight w:val="none"/>
        </w:rPr>
        <w:t xml:space="preserve">第六章评标办法及评分标准</w:t>
      </w:r>
      <w:r>
        <w:rPr>
          <w:rFonts w:ascii="宋体" w:hAnsi="宋体" w:eastAsia="宋体"/>
          <w:color w:val="000000"/>
          <w:spacing w:val="20"/>
          <w:sz w:val="24"/>
          <w:szCs w:val="24"/>
          <w:highlight w:val="none"/>
        </w:rPr>
        <w:fldChar w:fldCharType="end"/>
      </w:r>
      <w:r>
        <w:rPr>
          <w:rFonts w:ascii="宋体" w:hAnsi="宋体" w:eastAsia="宋体"/>
          <w:color w:val="000000"/>
          <w:sz w:val="24"/>
          <w:szCs w:val="24"/>
          <w:highlight w:val="none"/>
        </w:rPr>
        <w:br w:type="textWrapping" w:clear="all"/>
      </w:r>
      <w:r/>
    </w:p>
    <w:p>
      <w:pPr>
        <w:spacing w:line="480" w:lineRule="auto"/>
        <w:rPr>
          <w:rFonts w:ascii="宋体" w:hAnsi="宋体" w:eastAsia="宋体"/>
          <w:color w:val="000000"/>
          <w:highlight w:val="none"/>
          <w:lang w:val="zh-CN"/>
        </w:rPr>
      </w:pPr>
      <w:r>
        <w:rPr>
          <w:rFonts w:ascii="宋体" w:hAnsi="宋体" w:eastAsia="宋体"/>
          <w:b/>
          <w:bCs/>
          <w:color w:val="000000"/>
          <w:sz w:val="24"/>
          <w:szCs w:val="24"/>
          <w:highlight w:val="none"/>
          <w:lang w:val="zh-CN"/>
        </w:rPr>
        <w:fldChar w:fldCharType="end"/>
      </w:r>
      <w:r/>
    </w:p>
    <w:p>
      <w:pP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br w:type="page" w:clear="all"/>
      </w:r>
      <w:r>
        <w:rPr>
          <w:rFonts w:ascii="宋体" w:hAnsi="宋体" w:eastAsia="宋体"/>
          <w:b/>
          <w:bCs/>
          <w:color w:val="000000"/>
          <w:sz w:val="32"/>
          <w:szCs w:val="32"/>
          <w:highlight w:val="none"/>
        </w:rPr>
        <w:t xml:space="preserve">第一章</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投标邀请函</w:t>
      </w:r>
      <w:bookmarkEnd w:id="3"/>
      <w:r/>
      <w:bookmarkEnd w:id="4"/>
      <w:r/>
      <w:r/>
    </w:p>
    <w:p>
      <w:pPr>
        <w:ind w:firstLine="420"/>
        <w:jc w:val="left"/>
        <w:spacing w:line="480" w:lineRule="atLeast"/>
        <w:shd w:val="clear" w:color="auto" w:fill="ffffff"/>
        <w:widowControl/>
        <w:rPr>
          <w:rFonts w:ascii="宋体" w:hAnsi="宋体" w:eastAsia="宋体" w:cs="宋体"/>
          <w:color w:val="000000"/>
          <w:sz w:val="24"/>
          <w:szCs w:val="24"/>
          <w:highlight w:val="none"/>
        </w:rPr>
      </w:pPr>
      <w:r/>
      <w:bookmarkStart w:id="16" w:name="_Hlk73190876"/>
      <w:r>
        <w:rPr>
          <w:rFonts w:hint="eastAsia" w:ascii="宋体" w:hAnsi="宋体" w:eastAsia="宋体" w:cs="宋体"/>
          <w:color w:val="000000"/>
          <w:sz w:val="24"/>
          <w:szCs w:val="24"/>
          <w:highlight w:val="none"/>
        </w:rPr>
        <w:t xml:space="preserve">项目概况： </w:t>
      </w:r>
      <w:r/>
    </w:p>
    <w:p>
      <w:pPr>
        <w:ind w:firstLine="420"/>
        <w:jc w:val="left"/>
        <w:spacing w:line="480" w:lineRule="atLeas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2026-2027年动、植物园保安项目</w:t>
      </w:r>
      <w:r>
        <w:rPr>
          <w:rFonts w:hint="eastAsia" w:ascii="宋体" w:hAnsi="宋体" w:eastAsia="宋体" w:cs="宋体"/>
          <w:color w:val="000000"/>
          <w:sz w:val="24"/>
          <w:szCs w:val="24"/>
          <w:highlight w:val="none"/>
        </w:rPr>
        <w:t xml:space="preserve">的潜在供应商应在</w:t>
      </w:r>
      <w:r>
        <w:rPr>
          <w:rFonts w:hint="eastAsia" w:ascii="宋体" w:hAnsi="宋体" w:eastAsia="宋体" w:cs="宋体"/>
          <w:color w:val="000000"/>
          <w:sz w:val="24"/>
          <w:szCs w:val="24"/>
          <w:highlight w:val="none"/>
          <w:u w:val="single"/>
        </w:rPr>
        <w:t xml:space="preserve">“苏采云”系统（网址：http://jszfcg.jsczt.cn/）</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2026年07月30日09点30分</w:t>
      </w:r>
      <w:r>
        <w:rPr>
          <w:rFonts w:hint="eastAsia" w:ascii="宋体" w:hAnsi="宋体" w:eastAsia="宋体" w:cs="宋体"/>
          <w:color w:val="000000"/>
          <w:sz w:val="24"/>
          <w:szCs w:val="24"/>
          <w:highlight w:val="none"/>
        </w:rPr>
        <w:t xml:space="preserve">（北京时间）前提交投标文件。</w:t>
      </w:r>
      <w:r/>
    </w:p>
    <w:p>
      <w:pPr>
        <w:ind w:firstLine="422"/>
        <w:jc w:val="left"/>
        <w:spacing w:line="480" w:lineRule="atLeast"/>
        <w:shd w:val="clear" w:color="auto" w:fill="ffffff"/>
        <w:widowControl/>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一、项目基本情况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ascii="Segoe UI" w:hAnsi="Segoe UI" w:eastAsia="Segoe UI" w:cs="Segoe UI"/>
          <w:i w:val="0"/>
          <w:iCs w:val="0"/>
          <w:caps w:val="0"/>
          <w:spacing w:val="0"/>
          <w:sz w:val="21"/>
          <w:szCs w:val="21"/>
          <w:shd w:val="clear" w:color="auto" w:fill="ffffff"/>
        </w:rPr>
        <w:t xml:space="preserve">JSZC-320500-HJSS-G2026-0005</w:t>
      </w:r>
      <w:r>
        <w:rPr>
          <w:rFonts w:hint="eastAsia" w:ascii="Segoe UI" w:hAnsi="Segoe UI" w:eastAsia="宋体" w:cs="Segoe UI"/>
          <w:i w:val="0"/>
          <w:iCs w:val="0"/>
          <w:caps w:val="0"/>
          <w:spacing w:val="0"/>
          <w:sz w:val="21"/>
          <w:szCs w:val="21"/>
          <w:shd w:val="clear" w:color="auto" w:fill="ffffff"/>
          <w:lang w:val="en-US" w:eastAsia="zh-CN"/>
        </w:rPr>
        <w:t xml:space="preserve">号</w:t>
      </w:r>
      <w:r>
        <w:rPr>
          <w:rFonts w:hint="eastAsia" w:ascii="宋体" w:hAnsi="宋体" w:eastAsia="宋体" w:cs="宋体"/>
          <w:color w:val="000000"/>
          <w:sz w:val="24"/>
          <w:szCs w:val="24"/>
          <w:highlight w:val="none"/>
        </w:rPr>
        <w:t xml:space="preserve">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项目名称：2026-2027年动、植物园保安项目</w:t>
      </w:r>
      <w:r/>
    </w:p>
    <w:p>
      <w:pPr>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预算金额：人民币肆佰肆拾肆万零柒元捌角柒分（￥ 4440007.87元）</w:t>
      </w:r>
      <w:r/>
    </w:p>
    <w:p>
      <w:pPr>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最高限价：人民币肆佰肆拾肆万零柒元捌角柒分（￥ 4440007.87元）</w:t>
      </w:r>
      <w:r/>
    </w:p>
    <w:p>
      <w:pPr>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服务期限：2026年8月1日至2027年7月31日。</w:t>
      </w:r>
      <w:r/>
    </w:p>
    <w:p>
      <w:pPr>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动物园片区包括办公区域、内外广场、园内游客游览区域、游客服务处、售检票口、换检口、次入口、游乐区、水面、兽医院、停车场、救护中心等区域安保工作。植物园片区包括石湖景区管理处办公区域、监控值班室、森林公园开放区、植物园二期等不同游览区域安保工作。具体详见第四章招标书。</w:t>
      </w:r>
      <w:bookmarkEnd w:id="16"/>
      <w:r/>
      <w:r/>
    </w:p>
    <w:p>
      <w:pPr>
        <w:ind w:firstLine="422"/>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二、申请人的资格要求：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 </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1.3履行合同所必备的设备和专业技术能力。</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1.4有依法缴纳税收和社会保障基金的良好记录。</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1.5参加本次政府采购活动前三年内，在经营活动中没有重大违法记录。</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p>
    <w:p>
      <w:pPr>
        <w:numPr>
          <w:ilvl w:val="0"/>
          <w:numId w:val="1"/>
        </w:numPr>
        <w:ind w:firstLine="42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本项目的特定资格要求：</w:t>
      </w:r>
      <w:r/>
    </w:p>
    <w:p>
      <w:pPr>
        <w:ind w:firstLine="42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2.1单位负责人为同一人或者存在直接控股、管理关系的不同供应商，不得参加同一合同项下的采购活动。</w:t>
      </w:r>
      <w:r/>
    </w:p>
    <w:p>
      <w:pPr>
        <w:ind w:firstLine="42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2.2未被“信用中国”网站或“中国政府采购网”网站列入失信被执行人、重大税收违法案件当事人名单、政府采购严重失信行为记录名单。</w:t>
      </w:r>
      <w:r/>
    </w:p>
    <w:p>
      <w:pPr>
        <w:ind w:firstLine="42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注：本项目不接受联合投标。</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3.落实政府采购政策需满足的资格要求：根据《政府采购促进中小企业发展管理办法》的相关规定，</w:t>
      </w:r>
      <w:r>
        <w:rPr>
          <w:rFonts w:hint="eastAsia" w:ascii="宋体" w:hAnsi="宋体" w:eastAsia="宋体" w:cs="宋体"/>
          <w:b/>
          <w:bCs/>
          <w:color w:val="000000"/>
          <w:sz w:val="24"/>
          <w:szCs w:val="24"/>
          <w:highlight w:val="none"/>
        </w:rPr>
        <w:t xml:space="preserve">本项目专门面向中小企业，所属行业为租赁和商务服务业</w:t>
      </w:r>
      <w:r>
        <w:rPr>
          <w:rFonts w:hint="eastAsia" w:ascii="宋体" w:hAnsi="宋体" w:eastAsia="宋体" w:cs="宋体"/>
          <w:color w:val="000000"/>
          <w:sz w:val="24"/>
          <w:szCs w:val="24"/>
          <w:highlight w:val="none"/>
        </w:rPr>
        <w:t xml:space="preserve">，承接服务的投标单位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p>
    <w:p>
      <w:pPr>
        <w:ind w:firstLine="420"/>
        <w:spacing w:line="360" w:lineRule="auto"/>
        <w:tabs>
          <w:tab w:val="left" w:pos="54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三、获取招标文件</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1、获取时间：自招标公告发布之日起</w:t>
      </w:r>
      <w:r>
        <w:rPr>
          <w:rFonts w:hint="eastAsia" w:ascii="宋体" w:hAnsi="宋体" w:eastAsia="宋体" w:cs="宋体"/>
          <w:color w:val="000000"/>
          <w:sz w:val="24"/>
          <w:szCs w:val="24"/>
          <w:highlight w:val="none"/>
        </w:rPr>
        <w:t xml:space="preserve">五个</w:t>
      </w:r>
      <w:r>
        <w:rPr>
          <w:rFonts w:hint="eastAsia" w:ascii="宋体" w:hAnsi="宋体" w:eastAsia="宋体" w:cs="宋体"/>
          <w:color w:val="000000"/>
          <w:sz w:val="24"/>
          <w:szCs w:val="24"/>
          <w:highlight w:val="none"/>
        </w:rPr>
        <w:t xml:space="preserve">工作日</w:t>
      </w:r>
      <w:r>
        <w:rPr>
          <w:rFonts w:hint="eastAsia" w:ascii="宋体" w:hAnsi="宋体" w:eastAsia="宋体" w:cs="宋体"/>
          <w:color w:val="000000"/>
          <w:sz w:val="24"/>
          <w:szCs w:val="24"/>
          <w:highlight w:val="none"/>
        </w:rPr>
        <w:t xml:space="preserve">。</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2、地点：苏采云系统自行下载。</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3、获取方式：自行下载。</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4、售价：免费。</w:t>
      </w:r>
      <w:r/>
    </w:p>
    <w:p>
      <w:pPr>
        <w:ind w:firstLine="420"/>
        <w:spacing w:line="360" w:lineRule="auto"/>
        <w:tabs>
          <w:tab w:val="left" w:pos="54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四、上传投标文件截止时间、开标时间和地点</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1、上传投标文件截止时间：2026年07月30日上午09:30</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2、开标时间：2026年07月30日上午09:30</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3、开标地点：苏采云政府采购一体化平台开标大厅（网上不见面开标）</w:t>
      </w:r>
      <w:r/>
    </w:p>
    <w:p>
      <w:pPr>
        <w:ind w:firstLine="420"/>
        <w:spacing w:line="360" w:lineRule="auto"/>
        <w:tabs>
          <w:tab w:val="left" w:pos="54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p>
    <w:p>
      <w:pPr>
        <w:ind w:firstLine="420"/>
        <w:spacing w:line="360" w:lineRule="auto"/>
        <w:tabs>
          <w:tab w:val="left" w:pos="540" w:leader="none"/>
        </w:tabs>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六、其他补充事宜</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1、采购文件获取方式（网上报名）</w:t>
      </w:r>
      <w:r/>
    </w:p>
    <w:p>
      <w:pPr>
        <w:ind w:firstLine="420"/>
        <w:spacing w:line="360" w:lineRule="auto"/>
        <w:tabs>
          <w:tab w:val="left" w:pos="54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窗口电话：0512-65737699）</w:t>
      </w:r>
      <w:r/>
    </w:p>
    <w:p>
      <w:pPr>
        <w:ind w:firstLine="420"/>
        <w:spacing w:line="360" w:lineRule="auto"/>
        <w:tabs>
          <w:tab w:val="left" w:pos="540" w:leader="none"/>
        </w:tabs>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（2）报名: 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w:t>
      </w:r>
      <w:r>
        <w:rPr>
          <w:rFonts w:hint="eastAsia" w:ascii="宋体" w:hAnsi="宋体" w:eastAsia="宋体" w:cs="宋体"/>
          <w:sz w:val="24"/>
          <w:szCs w:val="24"/>
          <w:highlight w:val="none"/>
        </w:rPr>
        <w:t xml:space="preserve">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系统使用指导与咨询：联系电话：18261002950；0512-69820854；智能客服：登录苏采云系统后，联系系统右下方智能客服图标进行咨询。</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未依照采购公告要求实行网上报名的供应商，视为未参加该项政府采购活动，不具备对该政府采购项目提出质疑的法定权利，但因供应商资格条件或报名时间设定不符合有关法律法规规定等原因使供应商权益受损的除外。</w:t>
      </w:r>
      <w:r/>
    </w:p>
    <w:p>
      <w:pPr>
        <w:ind w:firstLine="480"/>
        <w:spacing w:after="12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Cs/>
          <w:sz w:val="24"/>
          <w:szCs w:val="24"/>
          <w:highlight w:val="none"/>
        </w:rPr>
        <w:t xml:space="preserve">电子投标文件的提交</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（1）提交方式：“苏采云”政府采购交易系统网上开标大厅（</w:t>
      </w:r>
      <w:r>
        <w:rPr>
          <w:highlight w:val="none"/>
        </w:rPr>
        <w:fldChar w:fldCharType="begin"/>
      </w:r>
      <w:r>
        <w:rPr>
          <w:highlight w:val="none"/>
        </w:rPr>
        <w:instrText xml:space="preserve"> HYPERLINK "http://jszfcg.jsczt.cn/），响应文件网上递交，供应商不需要到现场参加采购活动。" </w:instrText>
      </w:r>
      <w:r>
        <w:rPr>
          <w:highlight w:val="none"/>
        </w:rPr>
        <w:fldChar w:fldCharType="separate"/>
      </w:r>
      <w:r>
        <w:rPr>
          <w:rFonts w:hint="eastAsia" w:ascii="宋体" w:hAnsi="宋体" w:eastAsia="宋体" w:cs="宋体"/>
          <w:color w:val="0000ff"/>
          <w:sz w:val="24"/>
          <w:szCs w:val="24"/>
          <w:highlight w:val="none"/>
          <w:u w:val="single"/>
        </w:rPr>
        <w:t xml:space="preserve">响应文件网上递交，供应商不需要到现场参加采购活动。</w:t>
      </w:r>
      <w:r>
        <w:rPr>
          <w:rFonts w:hint="eastAsia" w:ascii="宋体" w:hAnsi="宋体" w:eastAsia="宋体" w:cs="宋体"/>
          <w:color w:val="0000ff"/>
          <w:sz w:val="24"/>
          <w:szCs w:val="24"/>
          <w:highlight w:val="none"/>
          <w:u w:val="single"/>
        </w:rPr>
        <w:fldChar w:fldCharType="end"/>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 CA证书解密电子响应文件，如在系统规定的解密时间（响应文件提交截止时间后30分钟）内未能完成解密的视为放弃参与本项目。请供应商确保电脑、系统及其他设备（视频输入输出设备等）无误，且开启直至项目结束始终保持系统在线状态。</w:t>
      </w:r>
      <w:r/>
    </w:p>
    <w:p>
      <w:pPr>
        <w:ind w:firstLine="480"/>
        <w:jc w:val="left"/>
        <w:spacing w:line="360" w:lineRule="auto"/>
        <w:shd w:val="clear" w:color="auto" w:fill="ffffff"/>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（3）逾期上传的电子投标文件恕不接受。</w:t>
      </w:r>
      <w:r/>
    </w:p>
    <w:p>
      <w:pPr>
        <w:ind w:firstLine="480"/>
        <w:jc w:val="left"/>
        <w:spacing w:line="360" w:lineRule="auto"/>
        <w:shd w:val="clear" w:color="auto" w:fill="ffffff"/>
        <w:widowControl/>
        <w:rPr>
          <w:rFonts w:ascii="宋体" w:hAnsi="宋体" w:eastAsia="宋体" w:cs="宋体"/>
          <w:b/>
          <w:sz w:val="24"/>
          <w:szCs w:val="24"/>
          <w:highlight w:val="none"/>
        </w:rPr>
      </w:pPr>
      <w:r>
        <w:rPr>
          <w:rFonts w:hint="eastAsia" w:ascii="宋体" w:hAnsi="宋体" w:eastAsia="宋体" w:cs="宋体"/>
          <w:sz w:val="24"/>
          <w:szCs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highlight w:val="none"/>
        </w:rPr>
        <w:t xml:space="preserve">供应商应充分考虑到网络环境、网络带宽等风险因素，如因供应商自身原因造成的电子投标文件上传不成功由供应商自行承担全部责任。</w:t>
      </w:r>
      <w:r/>
    </w:p>
    <w:p>
      <w:pPr>
        <w:ind w:firstLine="480"/>
        <w:spacing w:line="480" w:lineRule="exact"/>
        <w:rPr>
          <w:rFonts w:ascii="宋体" w:hAnsi="宋体" w:eastAsia="宋体" w:cs="宋体"/>
          <w:color w:val="000000"/>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4、本次采购的有关信息将在以下网站上发布：</w:t>
      </w:r>
      <w:r/>
    </w:p>
    <w:p>
      <w:pPr>
        <w:ind w:firstLine="480"/>
        <w:spacing w:line="480" w:lineRule="exact"/>
        <w:rPr>
          <w:rFonts w:ascii="宋体" w:hAnsi="宋体" w:eastAsia="宋体" w:cs="宋体"/>
          <w:color w:val="000000"/>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（1）江苏政府采购网</w:t>
      </w:r>
      <w:r/>
    </w:p>
    <w:p>
      <w:pPr>
        <w:ind w:firstLine="480"/>
        <w:spacing w:line="480" w:lineRule="exact"/>
        <w:rPr>
          <w:rFonts w:ascii="宋体" w:hAnsi="宋体" w:eastAsia="宋体" w:cs="宋体"/>
          <w:color w:val="000000"/>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（2）苏州市政府采购网</w:t>
      </w:r>
      <w:r/>
    </w:p>
    <w:p>
      <w:pPr>
        <w:ind w:firstLine="480"/>
        <w:spacing w:line="480" w:lineRule="exact"/>
        <w:rPr>
          <w:rFonts w:ascii="宋体" w:hAnsi="宋体" w:eastAsia="宋体" w:cs="宋体"/>
          <w:color w:val="000000"/>
          <w:sz w:val="24"/>
          <w:szCs w:val="24"/>
          <w:highlight w:val="none"/>
        </w:rPr>
        <w:pBdr>
          <w:top w:val="none" w:color="000000" w:sz="0" w:space="1"/>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5、苏州市财政局政府采购监督电话：0512-68616651。</w:t>
      </w:r>
      <w:r/>
    </w:p>
    <w:p>
      <w:pPr>
        <w:ind w:firstLine="422"/>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七、凡对本次招标提出询问，请按以下方式联系。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1.招标人信息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称：苏州市石湖景区管理处（华南虎苏州培育基地）</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址：苏州市虎丘区上方山行春桥堍</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联系人：王玉燕</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电话：0512-68439729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2.代理机构信息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称：苏州汇进升工程咨询有限公司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址：苏州市吴中区苏蠡路63号蠡谐大厦506室</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联系人：陈超叶         </w:t>
      </w:r>
      <w:r/>
    </w:p>
    <w:p>
      <w:pPr>
        <w:ind w:firstLine="42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电话：18994397598</w:t>
      </w:r>
      <w:r>
        <w:rPr>
          <w:rFonts w:hint="eastAsia" w:ascii="宋体" w:hAnsi="宋体" w:eastAsia="宋体" w:cs="宋体"/>
          <w:color w:val="000000"/>
          <w:sz w:val="24"/>
          <w:szCs w:val="24"/>
          <w:highlight w:val="none"/>
          <w:lang w:val="zh-CN"/>
        </w:rPr>
        <w:t xml:space="preserve"> </w:t>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ind w:firstLine="420"/>
        <w:jc w:val="right"/>
        <w:spacing w:line="480" w:lineRule="atLeas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苏州汇进升工程咨询有限公司</w:t>
      </w:r>
      <w:r/>
    </w:p>
    <w:p>
      <w:pPr>
        <w:jc w:val="center"/>
        <w:keepLines/>
        <w:keepNext/>
        <w:spacing w:before="340" w:after="330" w:line="578" w:lineRule="auto"/>
        <w:rPr>
          <w:rFonts w:ascii="宋体" w:hAnsi="宋体" w:eastAsia="宋体"/>
          <w:b/>
          <w:bCs/>
          <w:color w:val="000000"/>
          <w:sz w:val="28"/>
          <w:szCs w:val="28"/>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32"/>
          <w:szCs w:val="32"/>
          <w:highlight w:val="none"/>
        </w:rPr>
        <w:t xml:space="preserve">第二章</w:t>
      </w:r>
      <w:r>
        <w:rPr>
          <w:rFonts w:hint="eastAsia" w:ascii="宋体" w:hAnsi="宋体" w:eastAsia="宋体"/>
          <w:b/>
          <w:bCs/>
          <w:color w:val="000000"/>
          <w:sz w:val="32"/>
          <w:szCs w:val="32"/>
          <w:highlight w:val="none"/>
        </w:rPr>
        <w:t xml:space="preserve">  投标单位</w:t>
      </w:r>
      <w:r>
        <w:rPr>
          <w:rFonts w:ascii="宋体" w:hAnsi="宋体" w:eastAsia="宋体"/>
          <w:b/>
          <w:bCs/>
          <w:color w:val="000000"/>
          <w:sz w:val="32"/>
          <w:szCs w:val="32"/>
          <w:highlight w:val="none"/>
        </w:rPr>
        <w:t xml:space="preserve">须知</w:t>
      </w:r>
      <w:bookmarkEnd w:id="5"/>
      <w:r/>
      <w:bookmarkEnd w:id="6"/>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A说明和释义</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1.说明</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1.1本招标文件仅适用于招标代理单位组织的招标活动。</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1.2本次招标活动及因本次招标产生的合同受中国法律、法规及规章制度制约和保护。</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1.3本招标文件的解释权属于苏州市石湖景区管理处（华南虎苏州培育基地）。</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2.词语释义</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2.1采购人：指依法进行政府采购的国家机关、事业单位、团体组织。</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2.2采购代理机构：指依法接受采购人委托，从事货物、工程和服务等政府采购代理业务的社会中介机构。</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2.3投标单位：指响应招标、参加投标竞争的法人、其他组织或者自然人。</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2.4响应：投标单位根据采购人或采购代理机构发布的招标文件，编制投标文件并按规定投标的行为。</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2.5合同：采供双方根据招标文件和中标的投标文件及中标通知书规定的内容签署的以书面形式所达成的协议，包括所有的附件、附录和构成协议的所有文件。</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2.6甲方（采购人）：合同中明确规定的实际购买货物和服务的法人或其他组织和自然人。</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2.7乙方（供应商）：合同中规定的向采购人提供货物和服务的法人或其他组织和自然人。</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2.8货物：系指乙方按招标采购文件规定，应向甲方提供的一切设备、备品、备件、工具、手册及其它有关技术资料和材料。</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2.10知识产权：指专利权、商标权、著作权等无形财产专有权的统称。</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2.11天：日历日。</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2.12时间：除特别说明，均指北京时间。</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2.13交货地点：合同中明确约定的乙方提交的货物和服务最终到达地点。</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2.14合同价款：根据合同规定，乙方在正确地履行合同义务后甲方应支付乙方的价款。</w:t>
      </w:r>
      <w:r/>
    </w:p>
    <w:p>
      <w:pPr>
        <w:pStyle w:val="867"/>
        <w:ind w:left="0" w:firstLine="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2.15产地：货物开采、生长、生产、最终制造、加工或提供服务的来源地。</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2.16不可抗力：不能预见、不能避免并且不能克服的客观情况。</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2.17实质响应：满足有关本次采购标的、数量、质量、价款或者报酬、履行期限、履行地点和方式、违约责任和解决争议方法等要求。</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2.18进口产品：通过中国海关报关验放进入中国境内且产自关境外的产品。</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2.19书面形式：指书面文字、合同书、信件和传真等可以有形地表现所载内容的形式。</w:t>
      </w:r>
      <w:r/>
    </w:p>
    <w:p>
      <w:pPr>
        <w:ind w:firstLine="42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2.20核心产品：根据本项目技术构成、产品价格比重等合理确定的产品。</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B投标单位</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3.合格投标单位的一般条件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3.1具有独立承担民事责任的能力；</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3.2具有良好的商业信誉和健全的财务会计制度；</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3.3具有履行合同所必需的设备和专业技术能力；</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3.4有依法缴纳税收和社会保障资金的良好记录；</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3.5参加政府采购活动前三年内，在经营活动中没有重大违法记录；</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3.6法律、行政法规规定的其他条件。</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4.合格投标单位的特殊条件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见招标公告。</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5.投标单位代表</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5.1指全权代表投标单位参加投标活动并签署投标文件的人，如果投标单位代表不是法人代表，须持有《法人代表授权委托书》（详见统一格式）。</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6.投标费用</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6.1无论投标过程中的做法和结果如何，投标单位自行承担所有与参加投标有关的全部费用。</w:t>
      </w:r>
      <w:r/>
    </w:p>
    <w:p>
      <w:pPr>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7.联合投标</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本项目不接受联合体投标。</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C招标文件的说明</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8.招标文件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8.1招标文件由招标文件总目录所列内容组成，投标单位应仔细检查招标文件的所有内容。投标单位同时应认真审阅招标文件中所有的事项、格式、条款和规范要求等，若投标单位的投标文件没有按招标文件要求提交全部资料，或投标文件没有对招标文件做出实质性响应，其风险由投标单位自行承担，并根据有关条款规定，该投标有可能被拒绝。</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9.招标文件的澄清</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9.1采购人或采购代理机构无论出于自己的考虑，还是出于对投标单位提问的澄清，均可对招标文件用更正公告的方式进行澄清或者修改，并通过苏州市政府采购网对外进行发布。</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9.2对于补充通知（包括更正公告），报名成功的供应商通过“苏州市政府采购网”的“采购公告”自行查看所报项目的补充通知（包括更正公告）。补充通知（包括更正公告）将作为招标文件的组成部分，对所有投标单位有约束力。</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9.3为使投标单位有足够的时间按招标文件的修改要求考虑修正投标文件，或出于其他原因，采购代理机构有权推迟投标截止日期和开标日期，并将此变更通知以更正公告的形式对外发布。</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9.4招标文件的澄清、修改、补充等内容均以苏州政府采购网上发布的内容为准。</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10.投标答疑</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10.1勘察现场：</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10.1.1根据自身投标需要，投标单位可对有关现场和周围环境进行勘察，以获取编制投标文件和签署合同所需的信息。勘察现场所发生的费用由投标单位自己承担。</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10.1.2采购人或采购代理机构向投标单位提供的有关现场的资料和数据，是采购人或采购代理机构现有的并认为能使投标单位可利用的资料。采购人或采购代理机构对投标单位由此而做出的推论、理解和结论概不负责。</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10.1.3经采购人允许，投标单位可为勘察目的进入采购人的项目现场，但投标单位不得因此使采购人承担有关的责任和蒙受损失。投标单位应承担勘察现场发生意外的责任及风险。</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10.1.4投标单位应在现场勘察时，熟悉现场及周围交通道路等情况，以获得一切可能影响其投标的直接资料。投标单位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10.2投标答疑包括采购人或采购代理机构认为可以回答且不会引起投标单位误解的相关问题和答复，答疑的副本将提供给所有获得招标文件的投标单位。由于投标答疑而产生的对招标文件内容的修改，由采购人或采购代理机构按照本须知有关规定，以更正公告的方式发出。</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D投标文件说明</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11.提示与要求</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11.1投标单位应仔细阅读招标文件的所有内容，按招标文件的要求提供投标文件，并保证所提供的全部资料的真实性，以使其投标对招标文件作出实质性响应，否则，其投标可能被拒绝。</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11.2无论是否提交投标文件，投标单位都应将招标文件及以后的所有通知、文件等视为保密文件。</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12.投标文件计量单位和使用文字</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12.1投标文件中所使用的计量单位，除招标文件中有特殊要求外，均应使用中华人民共和国法定计量单位。</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12.2投标文件应使用中文编制，投标文件中必须使用其他文字的，必须附有中文译本。对于未附有中文译本和中文译本不准确的投标文件可能引起的对投标单位不利的后果，采购人或采购代理机构概不负责。</w:t>
      </w:r>
      <w:r/>
    </w:p>
    <w:p>
      <w:pPr>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13.投标文件的组成</w:t>
      </w:r>
      <w:r/>
    </w:p>
    <w:p>
      <w:pPr>
        <w:ind w:firstLine="42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13.1报价部分（格式见第三章）：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13.1.1投标函（格式见第三章）；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13.1.2开标一览表（格式见第三章）；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13.1.3投标报价明细表（格式见第三章）；</w:t>
      </w:r>
      <w:r/>
    </w:p>
    <w:p>
      <w:pPr>
        <w:ind w:firstLine="422"/>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13.2资格及技术部分（部分格式见第三章）：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13.2.1关于资格文件的声明函、《投标单位与其他单位存在直接控股、管理关系情况表》（格式见第三章）；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13.2.2授权委托书及投标单位授权代理人身份证复印件（如有授权）；</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13.2.3投标单位情况表（格式见第三章）；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13.2.4投标单位《营业执照》副本复印件；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13.2.5投标单位法定代表人身份证复印件；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13.2.6合格供应商的资格条件所需提供的相应证明材料：</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13.2.6.1具有独立承担民事责任的能力证明。包括法人或者其他组织的营业执照等证明文件，自然人的身份证明；</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13.2.6.2具有良好的商业信誉和健全的财务会计制度证明。包括但不限于最近一期经审计的财务报告，其他组织、自然人及成立未满一年的法人应提供银行出具的资信证明；</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13.2.6.3具备履行合同所必需设备和专业技术能力证明材料；（完成本项目所使用的设备的购置合同或发票、本项目服务人员情况介绍和用工合同等证明材料）</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13.2.6.4有依法缴纳税收和社会保障资金的良好记录。供应商应提供截止开标日期当月或者上月的依法缴纳税收的凭据和依法缴纳社会保险的凭据（专用收据或社会保险缴纳清单等），依法免税或不需要缴纳社会保障资金的供应商，应提供相应证明文件；</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13.2.6.5参加政府采购活动前三年内在经营活动中没有重大违法记录的书面声明函；</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13.2.6.6《中小企业声明函》或《残疾人福利性单位声明函》或由省级以上监狱管理局、戒毒管理局（含新疆生产建设兵团）出具的属于监狱企业的证明文件；</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13.2.6.7未被“信用中国”网站（www.creditchina.gov.cn）列入失信被执行人、重大税收违法案件当事人名单、政府采购严重失信行为记录名单。提供通过“信用中国”网站渠道查询企业信用记录的网页截图或信用报告；</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13.2.7《服务要求偏离表》、《商务条款偏离表》（格式见第三章）；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13.2.8《投标（响应）保证承诺书》（格式见第三章）；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13.2.9《项目组人员一览表》（格式见第三章）；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13.2.10招标文件要求的承诺函等其他材料；</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13.2.11《服务实施方案》（格式见第三章）；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13.2.12</w:t>
      </w:r>
      <w:r>
        <w:rPr>
          <w:rFonts w:hint="eastAsia" w:ascii="宋体" w:hAnsi="宋体" w:eastAsia="宋体" w:cs="宋体"/>
          <w:sz w:val="24"/>
          <w:szCs w:val="24"/>
          <w:highlight w:val="none"/>
        </w:rPr>
        <w:t xml:space="preserve"> </w:t>
      </w:r>
      <w:r>
        <w:rPr>
          <w:rFonts w:ascii="SimSun" w:hAnsi="SimSun" w:eastAsia="SimSun" w:cs="SimSun"/>
          <w:color w:val="000000"/>
          <w:sz w:val="24"/>
        </w:rPr>
        <w:t xml:space="preserve">其它有关资格证明文件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13.2.12.1其他可以证明投标单位资信、资质和货物、服务质量的证书、文件、推荐信等资料；</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13.2.11.2</w:t>
      </w:r>
      <w:r>
        <w:rPr>
          <w:rFonts w:hint="eastAsia" w:ascii="宋体" w:hAnsi="宋体" w:eastAsia="宋体" w:cs="宋体"/>
          <w:b/>
          <w:bCs/>
          <w:sz w:val="24"/>
          <w:szCs w:val="24"/>
          <w:highlight w:val="none"/>
        </w:rPr>
        <w:t xml:space="preserve">价格折扣文件：中小企业此处重复上传一遍“中小企业声明函（格式见第三章）或残疾人福利性单位声明函（格式见第三章）或监狱企业证明”。</w:t>
      </w:r>
      <w:r/>
    </w:p>
    <w:p>
      <w:pPr>
        <w:pStyle w:val="867"/>
        <w:ind w:left="0" w:firstLine="0"/>
        <w:spacing w:line="360" w:lineRule="auto"/>
        <w:tabs>
          <w:tab w:val="left" w:pos="0"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注：投标单位必须提交上述13.1.1—13.2.10款规定的资料，否则，投标文件将因未实质响应招标文件而被拒绝；投标单位所提交的资格文件的完整与否，将直接影响投标单位的评分。</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13.3投标文件由13.1、13.2款规定的内容共同组成。</w:t>
      </w:r>
      <w:r/>
    </w:p>
    <w:p>
      <w:pPr>
        <w:pStyle w:val="867"/>
        <w:ind w:left="0"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13.4制作电子投标文件时必须与投标文件制作软件目录一一对应，将相关资料上传至相应模块。</w:t>
      </w:r>
      <w:r/>
    </w:p>
    <w:p>
      <w:pPr>
        <w:pStyle w:val="867"/>
        <w:ind w:left="0" w:firstLine="420"/>
        <w:spacing w:line="360" w:lineRule="auto"/>
        <w:tabs>
          <w:tab w:val="left" w:pos="0" w:leader="none"/>
        </w:tabs>
        <w:rPr>
          <w:rFonts w:ascii="宋体" w:hAnsi="宋体" w:eastAsia="宋体" w:cs="宋体"/>
          <w:b/>
          <w:bCs/>
          <w:sz w:val="24"/>
          <w:szCs w:val="24"/>
          <w:highlight w:val="none"/>
        </w:rPr>
      </w:pPr>
      <w:r>
        <w:rPr>
          <w:rFonts w:hint="eastAsia" w:ascii="宋体" w:hAnsi="宋体" w:eastAsia="宋体" w:cs="宋体"/>
          <w:sz w:val="24"/>
          <w:szCs w:val="24"/>
          <w:highlight w:val="none"/>
        </w:rPr>
        <w:t xml:space="preserve">13.5开评标过程中如有问题采购代理机构工作人员会及时通过《投标供应商确认函》留存的手机号与供应商联系。</w:t>
      </w:r>
      <w:r>
        <w:rPr>
          <w:rFonts w:hint="eastAsia" w:ascii="宋体" w:hAnsi="宋体" w:eastAsia="宋体" w:cs="宋体"/>
          <w:b/>
          <w:bCs/>
          <w:sz w:val="24"/>
          <w:szCs w:val="24"/>
          <w:highlight w:val="none"/>
        </w:rPr>
        <w:t xml:space="preserve">请供应商确保该手机号通讯畅通，否则导致的不利后果由供应商自行承担。</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14.投标文件编制要求</w:t>
      </w:r>
      <w:r/>
    </w:p>
    <w:p>
      <w:pPr>
        <w:ind w:firstLine="422"/>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14.1投标文件按统一格式、顺序编写。</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14.2《开标一览表》为在开标仪式上唱标的内容，要求按格式填写，统一规范，不得自行增减内容。</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15.投标报价（编制）要求的说明</w:t>
      </w:r>
      <w:r/>
    </w:p>
    <w:p>
      <w:pPr>
        <w:ind w:firstLine="422"/>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15.1除非合同中另有规定，投标单位对《开标一览表》中的全部服务的报价应包括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15.2投标单位应按《投标报价明细表》中的全部服务计算单价和总价。《投标报价明细表》中的每一单项均应计算并填写单价和总价，并由法定代表人或授权代理人签署。投标单位未填单价或合价的项目，在实施后，采购人将不予支付，并视为该项费用已包括在其它有价款的单价或合价内。</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15.3投标单位应对招标文件内所要采购的全部内容进行报价，只投其中部分内容者，其标书将被拒绝。</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15.4一项投标内容只允许一个报价，采购人或采购代理机构不接受任何有选择性的投标报价。投标单位应按《投标报价明细表》中的全部内容的每一单项计算并填写单价和总价，该表并由法定代表人或代理人签署。</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15.5投标文件报价中的单价和总价全部采用人民币表示，除非合同的特殊条款另有规定。</w:t>
      </w:r>
      <w:r/>
    </w:p>
    <w:p>
      <w:pPr>
        <w:ind w:firstLine="422"/>
        <w:spacing w:line="360" w:lineRule="auto"/>
        <w:rPr>
          <w:rFonts w:ascii="宋体" w:hAnsi="宋体" w:eastAsia="宋体" w:cs="宋体"/>
          <w:b/>
          <w:bCs/>
          <w:sz w:val="24"/>
          <w:szCs w:val="24"/>
          <w:highlight w:val="none"/>
        </w:rPr>
      </w:pPr>
      <w:r>
        <w:rPr>
          <w:rFonts w:hint="eastAsia" w:ascii="宋体" w:hAnsi="宋体" w:eastAsia="宋体" w:cs="宋体"/>
          <w:b/>
          <w:sz w:val="24"/>
          <w:szCs w:val="24"/>
          <w:highlight w:val="none"/>
        </w:rPr>
        <w:t xml:space="preserve">15.6最低报价不能作为中标的保证。</w:t>
      </w:r>
      <w:r/>
    </w:p>
    <w:p>
      <w:pPr>
        <w:pStyle w:val="867"/>
        <w:ind w:left="0" w:firstLine="0"/>
        <w:spacing w:line="360" w:lineRule="auto"/>
        <w:rPr>
          <w:rFonts w:ascii="宋体" w:hAnsi="宋体" w:eastAsia="宋体" w:cs="宋体"/>
          <w:sz w:val="24"/>
          <w:szCs w:val="24"/>
          <w:highlight w:val="none"/>
        </w:rPr>
      </w:pPr>
      <w:r>
        <w:rPr>
          <w:rFonts w:hint="eastAsia" w:ascii="宋体" w:hAnsi="宋体" w:eastAsia="宋体" w:cs="宋体"/>
          <w:bCs/>
          <w:sz w:val="24"/>
          <w:szCs w:val="24"/>
          <w:highlight w:val="none"/>
        </w:rPr>
        <w:t xml:space="preserve">16.投标保证金：见投标须知前附表。</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17.投标文件的有效期</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17.1自投标截止日起</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天内，投标书应保持有效。有效期短于这个规定期限的投标将被拒绝。</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17.2在特殊情况下，采购人或采购代理机构可与投标单位协商延长投标书的有效期。这种要求和答复都应以书面形式进行。同意延长有效期的投标单位不能修改投标文件，按本须知规定的投标保证金的有效期也相应延长。拒绝接受延期要求的投标单位的投标将被拒绝，但投标保证金仍予以退还。</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E投标文件的递交</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18.电子投标（响应）文件的制作</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18.1电子投标（响应）文件制作：本项目为网上招投标项目，请投标单位插入CA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18.2电子投标（响应)文件递交：投标单位应当按照《操作手册》指引，在投标（响应）文件提交截止时间前完成电子投标（响应）文件的上传，未按要求成功上传的投标（响应）文件视为未递交。投标单位应充分考虑到网络环境、网络带宽等风险因素，如因投标单位自身原因造成的电子投标（响应）文件上传不成功由投标单位自行承担全部责任。</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注：（1）请投标单位务必保管好编制递交电子投标（响应）文件时使用的CA，如因丢失、损坏等原因更换CA锁时，需重新制作电子投标（响应）文件并递交，否则可能无法解密，因此导致的响应失败等不利后果由投标单位自行承担。</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单位自行承担。</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18.3投标文件未按照招标文件要求加盖CA电子公章的，投标无效。</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18.4联合体投标：如招标（采购）公告中允许联合体投标，联合体投标的投标（响应）文件制作上传操作如下：</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第一步：在投标（响应）文件中上传联合体投标协议书。</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第二步；在投标（响应）文件中，由联合体中的牵头人制作投标（响应）文件。</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18.5如投标（响应）文件制作机器码信息一致，视为不同投标供应商使用同一台电脑编制投标（响应）文件，投标（响应）无效。</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18.6技术支持</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注册咨询：18261002950；</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CA技术咨询电话：400-608-6099；</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签章使用问题：025-83633811、025-83633812、15380932027、15371015030；</w:t>
      </w:r>
      <w:r/>
    </w:p>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系统使用指导与咨询：联系电话：0512-69820854；智能客服：登录苏采云系统后，联系系统右下方智能客服图标进行咨询。</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19.投标文件的修改和撤回</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F开标和评标</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20.开标</w:t>
      </w:r>
      <w:r/>
    </w:p>
    <w:p>
      <w:pPr>
        <w:pStyle w:val="871"/>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0</w:t>
      </w:r>
      <w:r>
        <w:rPr>
          <w:rFonts w:hint="eastAsia" w:ascii="宋体" w:hAnsi="宋体" w:eastAsia="宋体" w:cs="宋体"/>
          <w:color w:val="000000"/>
          <w:sz w:val="24"/>
          <w:szCs w:val="24"/>
          <w:highlight w:val="none"/>
        </w:rPr>
        <w:t xml:space="preserve">.1开标由采购代理机构</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主持，邀请投标单位</w:t>
      </w:r>
      <w:r>
        <w:rPr>
          <w:rFonts w:hint="eastAsia" w:ascii="宋体" w:hAnsi="宋体" w:eastAsia="宋体" w:cs="宋体"/>
          <w:color w:val="000000"/>
          <w:sz w:val="24"/>
          <w:szCs w:val="24"/>
          <w:highlight w:val="none"/>
          <w:lang w:val="en-US"/>
        </w:rPr>
        <w:t xml:space="preserve">在线</w:t>
      </w:r>
      <w:r>
        <w:rPr>
          <w:rFonts w:hint="eastAsia" w:ascii="宋体" w:hAnsi="宋体" w:eastAsia="宋体" w:cs="宋体"/>
          <w:color w:val="000000"/>
          <w:sz w:val="24"/>
          <w:szCs w:val="24"/>
          <w:highlight w:val="none"/>
        </w:rPr>
        <w:t xml:space="preserve">参加。投标单位应当按照《苏采云系统供应商操作手册》规定，</w:t>
      </w:r>
      <w:r>
        <w:rPr>
          <w:rFonts w:hint="eastAsia" w:ascii="宋体" w:hAnsi="宋体" w:eastAsia="宋体" w:cs="宋体"/>
          <w:b/>
          <w:color w:val="000000"/>
          <w:sz w:val="24"/>
          <w:szCs w:val="24"/>
          <w:highlight w:val="none"/>
        </w:rPr>
        <w:t xml:space="preserve">参加开标活动和在“苏采云”系统规定的时间内对投标文件进行解密</w:t>
      </w:r>
      <w:r>
        <w:rPr>
          <w:rFonts w:hint="eastAsia" w:ascii="宋体" w:hAnsi="宋体" w:eastAsia="宋体" w:cs="宋体"/>
          <w:color w:val="000000"/>
          <w:sz w:val="24"/>
          <w:szCs w:val="24"/>
          <w:highlight w:val="none"/>
        </w:rPr>
        <w:t xml:space="preserve">。评标委员会成员不得参加开标活动。</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.2开标时，由采购代理机构</w:t>
      </w:r>
      <w:r>
        <w:rPr>
          <w:rFonts w:hint="eastAsia" w:ascii="宋体" w:hAnsi="宋体" w:eastAsia="宋体" w:cs="宋体"/>
          <w:sz w:val="24"/>
          <w:szCs w:val="24"/>
          <w:highlight w:val="none"/>
          <w:lang w:val="en-US"/>
        </w:rPr>
        <w:t xml:space="preserve">通过“苏采云”系统在线</w:t>
      </w:r>
      <w:r>
        <w:rPr>
          <w:rFonts w:hint="eastAsia" w:ascii="宋体" w:hAnsi="宋体" w:eastAsia="宋体" w:cs="宋体"/>
          <w:sz w:val="24"/>
          <w:szCs w:val="24"/>
          <w:highlight w:val="none"/>
        </w:rPr>
        <w:t xml:space="preserve">宣布投标单位名称、投标价格和招标文件规定的需要宣布的其他内容。</w:t>
      </w:r>
      <w:r>
        <w:rPr>
          <w:rFonts w:hint="eastAsia" w:ascii="宋体" w:hAnsi="宋体" w:eastAsia="宋体" w:cs="宋体"/>
          <w:sz w:val="24"/>
          <w:szCs w:val="24"/>
          <w:highlight w:val="none"/>
          <w:lang w:val="en-US"/>
        </w:rPr>
        <w:t xml:space="preserve">投标单位在不见面开标系统中确认投标价格，如</w:t>
      </w:r>
      <w:r>
        <w:rPr>
          <w:rFonts w:hint="eastAsia" w:ascii="宋体" w:hAnsi="宋体" w:eastAsia="宋体" w:cs="宋体"/>
          <w:sz w:val="24"/>
          <w:szCs w:val="24"/>
          <w:highlight w:val="none"/>
        </w:rPr>
        <w:t xml:space="preserve">投标单位未</w:t>
      </w:r>
      <w:r>
        <w:rPr>
          <w:rFonts w:hint="eastAsia" w:ascii="宋体" w:hAnsi="宋体" w:eastAsia="宋体" w:cs="宋体"/>
          <w:sz w:val="24"/>
          <w:szCs w:val="24"/>
          <w:highlight w:val="none"/>
          <w:lang w:val="en-US"/>
        </w:rPr>
        <w:t xml:space="preserve">在线</w:t>
      </w:r>
      <w:r>
        <w:rPr>
          <w:rFonts w:hint="eastAsia" w:ascii="宋体" w:hAnsi="宋体" w:eastAsia="宋体" w:cs="宋体"/>
          <w:sz w:val="24"/>
          <w:szCs w:val="24"/>
          <w:highlight w:val="none"/>
        </w:rPr>
        <w:t xml:space="preserve">参加开标</w:t>
      </w:r>
      <w:r>
        <w:rPr>
          <w:rFonts w:hint="eastAsia" w:ascii="宋体" w:hAnsi="宋体" w:eastAsia="宋体" w:cs="宋体"/>
          <w:sz w:val="24"/>
          <w:szCs w:val="24"/>
          <w:highlight w:val="none"/>
          <w:lang w:val="en-US"/>
        </w:rPr>
        <w:t xml:space="preserve">或未在规定时间内确认价格</w:t>
      </w:r>
      <w:r>
        <w:rPr>
          <w:rFonts w:hint="eastAsia" w:ascii="宋体" w:hAnsi="宋体" w:eastAsia="宋体" w:cs="宋体"/>
          <w:sz w:val="24"/>
          <w:szCs w:val="24"/>
          <w:highlight w:val="none"/>
        </w:rPr>
        <w:t xml:space="preserve">的，视同认可开标结果。</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.3资格审查</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.3.1公开招标采购项目开标结束后，采购人应当依法对投标单位的资格进行审查，未通过资格审查的视为无效投标。</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.3.2.1查询时间：投标文件递交截止时间。</w:t>
      </w:r>
      <w:r/>
    </w:p>
    <w:p>
      <w:pPr>
        <w:pStyle w:val="871"/>
        <w:ind w:firstLine="42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.3.2.2查询渠道</w:t>
      </w:r>
      <w:r>
        <w:rPr>
          <w:rFonts w:hint="eastAsia" w:ascii="宋体" w:hAnsi="宋体" w:eastAsia="宋体" w:cs="宋体"/>
          <w:b/>
          <w:sz w:val="24"/>
          <w:szCs w:val="24"/>
          <w:highlight w:val="none"/>
        </w:rPr>
        <w:t xml:space="preserve">：</w:t>
      </w:r>
      <w:r>
        <w:rPr>
          <w:rFonts w:hint="eastAsia" w:ascii="宋体" w:hAnsi="宋体" w:eastAsia="宋体" w:cs="宋体"/>
          <w:color w:val="000000"/>
          <w:sz w:val="24"/>
          <w:szCs w:val="24"/>
          <w:highlight w:val="none"/>
        </w:rPr>
        <w:t xml:space="preserve">采购代理机构会在接收投标文件截止时间后，登录信用中国网站（www.creditchina.gov.cn）和中国政府采购网（www.ccgp.gov.cn/）查询供应商的信用记录，并将查询结果递交评标委员会。</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 w:val="24"/>
          <w:szCs w:val="24"/>
          <w:highlight w:val="none"/>
          <w:lang w:val="en-US"/>
        </w:rPr>
        <w:t xml:space="preserve">录</w:t>
      </w:r>
      <w:r>
        <w:rPr>
          <w:rFonts w:hint="eastAsia" w:ascii="宋体" w:hAnsi="宋体" w:eastAsia="宋体" w:cs="宋体"/>
          <w:sz w:val="24"/>
          <w:szCs w:val="24"/>
          <w:highlight w:val="none"/>
        </w:rPr>
        <w:t xml:space="preserve">到来源网站页面进行复核并打印，作为证据留存。</w:t>
      </w:r>
      <w:r/>
    </w:p>
    <w:p>
      <w:pPr>
        <w:pStyle w:val="871"/>
        <w:ind w:firstLine="42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w:t>
      </w:r>
      <w:r>
        <w:rPr>
          <w:rFonts w:hint="eastAsia" w:ascii="宋体" w:hAnsi="宋体" w:eastAsia="宋体" w:cs="宋体"/>
          <w:b/>
          <w:sz w:val="24"/>
          <w:szCs w:val="24"/>
          <w:highlight w:val="none"/>
          <w:lang w:val="en-US"/>
        </w:rPr>
        <w:t xml:space="preserve">0</w:t>
      </w:r>
      <w:r>
        <w:rPr>
          <w:rFonts w:hint="eastAsia" w:ascii="宋体" w:hAnsi="宋体" w:eastAsia="宋体" w:cs="宋体"/>
          <w:b/>
          <w:sz w:val="24"/>
          <w:szCs w:val="24"/>
          <w:highlight w:val="none"/>
        </w:rPr>
        <w:t xml:space="preserve">.3.4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21.评标委员会或评标小组</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21.1评标委员会由采购人或采购代理机构依法组建。</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21.2评标委员会负责具体的评标事务，并独立履行以下职责：</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21.2.1审查、评价投标文件是否符合招标文件的商务、技术等实质性要求；</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21.2.2要求投标单位对投标文件有关事项作出澄清或者说明；</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21.2.3对投标文件进行比较和评价；</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21.2.4确定中标候选人名单；</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21.2.5向采购人、采购代理机构或者有关部门报告评标中发现的违法行为。</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21.3评标委员会成员应当履行下列义务：</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21.3.1遵纪守法，客观、公正、廉洁地履行职责；</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21.3.2按照招标文件规定的评标办法和评标标准进行评标，对评审意见承担个人责任；</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21.3.3对评标过程和结果，以及投标单位的商业秘密保密；</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21.3.4参与评审报告的起草；</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21.3.5配合相关部门的投诉处理工作；</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21.3.6配合采购人或采购代理机构答复投标供应商提出的质疑。</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22.评标内容的保密</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22.1公开开标后，直到宣布授予中标单位合同为止，凡属于审查、澄清、评价和比较投标的所有资料，有关授予合同的信息都不应向投标单位或与评标无关的其他人泄露。</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22.2在投标文件的审查、澄清、评价和比较以及授予合同的过程中，投标单位对采购人或采购代理机构和评标委员会成员施加影响的任何行为，都将取消其中标资格。</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22.3在评标期间，采购人或采购代理机构将通过指定联络人与投标单位进行联系。</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23.对投标文件初审</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23.1开标后，评标委员会在初审过程中有权拒绝有下列情况之一的投标文件：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23.1.1投标单位的投标文件未按照本须知规定制作的；</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23.1.2与招标文件有重大偏离；</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23.1.3投标单位拒绝修正错误；</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23.1.4投标单位的报价是选择性的；</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23.1.5投标单位的报价只投了部分内容；</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23.1.6投标单位的投标文件出现了评标委员会认为不应当雷同的情况；</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23.1.7其他被评标委员会认定无效的情况。</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单位的义务。这些偏离或保留将会对其他实质上响应要求的投标单位的竞争地位产生不公正的影响。</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23.3评标委员会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23.4评标委员会将拒绝被确定为非实质性响应的投标，投标单位不能通过修正或撤销不符之处而使其投标成为实质性响应的投标。</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23.5评标委员会将对确定为实质性响应的投标进行审核，看其是否有计算上或累加上的算术错误。投标文件报价出现前后不一致的，除招标文件另有规定外，按照下列规定修正：</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（一）投标文件中开标一览表（报价表）内容与投标文件中相应内容不一致的，以开标一览表（报价表）为准；</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（二）大写金额和小写金额不一致的，以大写金额为准；</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（三）单价金额小数点或者百分比有明显错位的，以开标一览表的总价为准，并修改单价；</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（四）总价金额与按单价汇总金额不一致的，以单价金额计算结果为准。</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单位确认后产生约束力，投标单位不确认的，其投标无效。</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（五）投标单位不同意以上修正，则其投标将被拒绝。</w:t>
      </w:r>
      <w:r/>
    </w:p>
    <w:p>
      <w:pPr>
        <w:ind w:firstLine="482"/>
        <w:spacing w:line="360" w:lineRule="auto"/>
        <w:widowControl/>
        <w:tabs>
          <w:tab w:val="left" w:pos="540" w:leader="none"/>
          <w:tab w:val="left" w:pos="567" w:leader="none"/>
        </w:tabs>
        <w:rPr>
          <w:rFonts w:ascii="宋体" w:hAnsi="宋体" w:eastAsia="宋体" w:cs="宋体"/>
          <w:color w:val="000000"/>
          <w:sz w:val="24"/>
          <w:szCs w:val="24"/>
          <w:highlight w:val="none"/>
          <w:lang w:bidi="ar"/>
        </w:rPr>
      </w:pPr>
      <w:r>
        <w:rPr>
          <w:rFonts w:hint="eastAsia" w:ascii="宋体" w:hAnsi="宋体" w:eastAsia="宋体" w:cs="宋体"/>
          <w:b/>
          <w:bCs/>
          <w:sz w:val="24"/>
          <w:szCs w:val="24"/>
          <w:highlight w:val="none"/>
        </w:rPr>
        <w:t xml:space="preserve">23.6</w:t>
      </w:r>
      <w:r>
        <w:rPr>
          <w:rFonts w:hint="eastAsia" w:ascii="宋体" w:hAnsi="宋体" w:eastAsia="宋体" w:cs="宋体"/>
          <w:color w:val="000000"/>
          <w:sz w:val="24"/>
          <w:szCs w:val="24"/>
          <w:highlight w:val="none"/>
          <w:lang w:bidi="ar"/>
        </w:rPr>
        <w:t xml:space="preserve">本项目执行评审委员会启动异常低价投标（响应）的审查，相关情形和具体要求如下：</w:t>
      </w:r>
      <w:r/>
    </w:p>
    <w:p>
      <w:pPr>
        <w:ind w:firstLine="480"/>
        <w:spacing w:line="360" w:lineRule="auto"/>
        <w:widowControl/>
        <w:tabs>
          <w:tab w:val="left" w:pos="540" w:leader="none"/>
          <w:tab w:val="left" w:pos="567"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23.6.1评标过程中出现下列情形之一的，评标委员会应当启动异常低价投标审查程序：</w:t>
      </w:r>
      <w:r/>
    </w:p>
    <w:p>
      <w:pPr>
        <w:ind w:firstLine="480"/>
        <w:spacing w:line="360" w:lineRule="auto"/>
        <w:widowControl/>
        <w:tabs>
          <w:tab w:val="left" w:pos="540" w:leader="none"/>
          <w:tab w:val="left" w:pos="567"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（1）投标（响应）报价低于全部通过符合性审查供应商投标（响应）报价平均值50%的，即投标（响应）报价〈全部通过符合性审查供应商投标（响应）报价平均值×50%；</w:t>
      </w:r>
      <w:r/>
    </w:p>
    <w:p>
      <w:pPr>
        <w:ind w:firstLine="480"/>
        <w:spacing w:line="360" w:lineRule="auto"/>
        <w:widowControl/>
        <w:tabs>
          <w:tab w:val="left" w:pos="540" w:leader="none"/>
          <w:tab w:val="left" w:pos="567"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（2）投标（响应）报价低于通过符合性审查的次低报价供应商投标（响应）报价50%的，即投标（响应）报价〈通过符合性审查的次低报价供应商投标（响应）报价×50%；</w:t>
      </w:r>
      <w:r/>
    </w:p>
    <w:p>
      <w:pPr>
        <w:ind w:firstLine="480"/>
        <w:spacing w:line="360" w:lineRule="auto"/>
        <w:widowControl/>
        <w:tabs>
          <w:tab w:val="left" w:pos="540" w:leader="none"/>
          <w:tab w:val="left" w:pos="567"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（3）投标报价低于采购项目最高限价45%的，即投标报价＜采购项目最高限价×45%；</w:t>
      </w:r>
      <w:r/>
    </w:p>
    <w:p>
      <w:pPr>
        <w:ind w:firstLine="480"/>
        <w:spacing w:line="360" w:lineRule="auto"/>
        <w:widowControl/>
        <w:tabs>
          <w:tab w:val="left" w:pos="540" w:leader="none"/>
          <w:tab w:val="left" w:pos="567" w:leader="none"/>
        </w:tabs>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（4）评标委员会认定的供应商报价过低、有可能影响产品质量或者不能诚信履约的其他情形。</w:t>
      </w:r>
      <w:r/>
    </w:p>
    <w:p>
      <w:pPr>
        <w:ind w:firstLine="410"/>
        <w:spacing w:line="360" w:lineRule="auto"/>
        <w:rPr>
          <w:rFonts w:ascii="宋体" w:hAnsi="宋体" w:eastAsia="宋体" w:cs="宋体"/>
          <w:b/>
          <w:bCs/>
          <w:color w:val="000000"/>
          <w:sz w:val="24"/>
          <w:szCs w:val="24"/>
          <w:highlight w:val="none"/>
        </w:rPr>
        <w:outlineLvl w:val="0"/>
      </w:pPr>
      <w:r>
        <w:rPr>
          <w:rFonts w:hint="eastAsia" w:ascii="宋体" w:hAnsi="宋体" w:eastAsia="宋体" w:cs="宋体"/>
          <w:color w:val="000000"/>
          <w:sz w:val="24"/>
          <w:szCs w:val="24"/>
          <w:highlight w:val="none"/>
          <w:lang w:bidi="ar"/>
        </w:rPr>
        <w:t xml:space="preserve">23.6.2启动异常低价投标审查后，评标委员会应当要求相关供应商在评标现场合理的时间内，提供项目具体成本测算等与报价合理性相关的书面说明材料及相关证明材料，对投标价格作出解释，包括但不限于原材料成</w:t>
      </w:r>
      <w:r>
        <w:rPr>
          <w:rFonts w:hint="eastAsia" w:ascii="宋体" w:hAnsi="宋体" w:eastAsia="宋体" w:cs="宋体"/>
          <w:color w:val="000000"/>
          <w:sz w:val="24"/>
          <w:szCs w:val="24"/>
          <w:highlight w:val="none"/>
          <w:lang w:bidi="ar"/>
        </w:rPr>
        <w:t xml:space="preserve">本、人工成本、制造费用等；评审委员会依投标（响应）供应商不能提供书面说明、证明材料，或者提供的书面说明、证明材料不能证明其 报价合理性的，评审委员会应当将其作为无效投标（响应）处理。由评标委员会根据专业经验，参考同类项目中标（成交）价格、类似产品市场价格水平、行业人工费用标准、国家有关部门指导行业协会发布的行业平均成本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spacing w:line="360" w:lineRule="auto"/>
        <w:tabs>
          <w:tab w:val="left" w:pos="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23.7除上述情形外，对电子投标文件的判定，只依据电子投标文件本身，不依靠开标后的任何外来证明。</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24.投标的澄清</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4</w:t>
      </w:r>
      <w:r>
        <w:rPr>
          <w:rFonts w:hint="eastAsia" w:ascii="宋体" w:hAnsi="宋体" w:eastAsia="宋体" w:cs="宋体"/>
          <w:sz w:val="24"/>
          <w:szCs w:val="24"/>
          <w:highlight w:val="none"/>
        </w:rPr>
        <w:t xml:space="preserve">.1对于投标文件中含义不明确、同类问题表述不一致或者有明显文字和计算错误的内容，评标委员会应当以书面形式要求投标单位作出必要的澄清、说明或者补正。</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rPr>
        <w:t xml:space="preserve">4</w:t>
      </w:r>
      <w:r>
        <w:rPr>
          <w:rFonts w:hint="eastAsia" w:ascii="宋体" w:hAnsi="宋体" w:eastAsia="宋体" w:cs="宋体"/>
          <w:sz w:val="24"/>
          <w:szCs w:val="24"/>
          <w:highlight w:val="none"/>
        </w:rPr>
        <w:t xml:space="preserve">.2投标单位的澄清、说明或者补正应当采用书面形式，并加盖</w:t>
      </w:r>
      <w:r>
        <w:rPr>
          <w:rFonts w:hint="eastAsia" w:ascii="宋体" w:hAnsi="宋体" w:eastAsia="宋体" w:cs="宋体"/>
          <w:sz w:val="24"/>
          <w:szCs w:val="24"/>
          <w:highlight w:val="none"/>
          <w:lang w:val="en-US"/>
        </w:rPr>
        <w:t xml:space="preserve">其单位电子</w:t>
      </w:r>
      <w:r>
        <w:rPr>
          <w:rFonts w:hint="eastAsia" w:ascii="宋体" w:hAnsi="宋体" w:eastAsia="宋体" w:cs="宋体"/>
          <w:sz w:val="24"/>
          <w:szCs w:val="24"/>
          <w:highlight w:val="none"/>
        </w:rPr>
        <w:t xml:space="preserve">公章。投标单位的澄清、说明或者补正不得超出投标文件的范围或者改变投标文件的实质性内容。</w:t>
      </w:r>
      <w:r/>
    </w:p>
    <w:p>
      <w:pPr>
        <w:pStyle w:val="871"/>
        <w:ind w:firstLine="422"/>
        <w:spacing w:line="360" w:lineRule="auto"/>
        <w:rPr>
          <w:rFonts w:ascii="宋体" w:hAnsi="宋体" w:eastAsia="宋体" w:cs="宋体"/>
          <w:color w:val="000000"/>
          <w:sz w:val="24"/>
          <w:szCs w:val="24"/>
          <w:highlight w:val="none"/>
        </w:rPr>
      </w:pPr>
      <w:r>
        <w:rPr>
          <w:rFonts w:hint="eastAsia" w:ascii="宋体" w:hAnsi="宋体" w:eastAsia="宋体" w:cs="宋体"/>
          <w:b/>
          <w:sz w:val="24"/>
          <w:szCs w:val="24"/>
          <w:highlight w:val="none"/>
        </w:rPr>
        <w:t xml:space="preserve">本项目投标单位的澄清、说明或者补正采用线上澄清: 评标委员会将通过“苏采云”系统向投标单位发布“澄清要求函”，接到“澄清要求函”的投标单位应当按要求在规定时间内通过“苏采云”系统提交“澄清响应函”并加盖CA电子公章，澄清、说明和补充的内容作为投标文件的补充部分。</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此处规定时间的计算以系统中的倒计时间为准，</w:t>
      </w:r>
      <w:r>
        <w:rPr>
          <w:rFonts w:hint="eastAsia" w:ascii="宋体" w:hAnsi="宋体" w:eastAsia="宋体" w:cs="宋体"/>
          <w:color w:val="000000"/>
          <w:sz w:val="24"/>
          <w:szCs w:val="24"/>
          <w:highlight w:val="none"/>
        </w:rPr>
        <w:t xml:space="preserve">供应商应随时保持系统在线，如因供应商自身原因未在规定时间内提交澄清确认资料的，导致的不利后果由供应商自行承担。</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25.废标</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25.1在招标过程中，出现下列情况之一的，应予废标：</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25.1.1符合专业条件的供应商或者对招标文件作实质响应的供应商不足三家的；</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25.1.2出现影响采购公正的违法、违规行为的；</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25.1.3投标单位的报价均超过了采购预算，采购人不能支付的；</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25.1.4因重大变故，采购任务取消的；</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25.2废标后，采购代理机构将把废标的理由通知所有投标单位。</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26.投标文件的评价和比较</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26.1评标委员会将仅对按照本须知有关规定确定为实质上响应招标文件要求的投标文件进行评价和比较。</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26.2评价和比较采用综合评分法，即指投标文件满足招标文件全部实质性要求，且按照评审因素的量化指标评审得分最高的投标单位为排名第一的中标候选人的评标方法。</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评标委员会严格按照招标文件的要求、条件、评分标准，对投标单位所提供货物或服务的先进性、可靠性、售后服务承诺、质量保证承诺等实质性响应内容进行比较报价，同时考虑以下因素：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26.2.1投标者的资信情况和履约能力；</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26.2.2投标者提供的其他优惠条件；</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26.3最低的投标报价或最高的折扣比例是中标的重要条件，但不是唯一条件。</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G授予合同</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27.中标单位的确认</w:t>
      </w:r>
      <w:r/>
    </w:p>
    <w:p>
      <w:pPr>
        <w:ind w:firstLine="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27.1由招标人在评审报告推荐的中标候选人中按顺序确定中标供应商。逾期未确认，视同确定排名第一的中标候选人为中标供应商。</w:t>
      </w:r>
      <w:r/>
    </w:p>
    <w:p>
      <w:pPr>
        <w:ind w:firstLine="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27.2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28.合同授予标准</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28.1采购人将把合同授予其投标文件在实质上响应招标文件要求和按本须知规定评选出的投标单位。确定为中标的投标单位必须具有实施本合同的能力和资源。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29.中标通知书</w:t>
      </w:r>
      <w:r/>
    </w:p>
    <w:p>
      <w:pPr>
        <w:pStyle w:val="871"/>
        <w:ind w:firstLine="42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lang w:val="en-US"/>
        </w:rPr>
        <w:t xml:space="preserve">29</w:t>
      </w:r>
      <w:r>
        <w:rPr>
          <w:rFonts w:hint="eastAsia" w:ascii="宋体" w:hAnsi="宋体" w:eastAsia="宋体" w:cs="宋体"/>
          <w:sz w:val="24"/>
          <w:szCs w:val="24"/>
          <w:highlight w:val="none"/>
        </w:rPr>
        <w:t xml:space="preserve">.1确定出中标人后，采购代理机构在法定时间内向中标人发出中标通知书。</w:t>
      </w:r>
      <w:r>
        <w:rPr>
          <w:rFonts w:hint="eastAsia" w:ascii="宋体" w:hAnsi="宋体" w:eastAsia="宋体" w:cs="宋体"/>
          <w:b/>
          <w:sz w:val="24"/>
          <w:szCs w:val="24"/>
          <w:highlight w:val="none"/>
        </w:rPr>
        <w:t xml:space="preserve">请中标人在中标结果公告届满之日起30日内,使用CA证书登录“苏采云”系统及时下载中标通知书。</w:t>
      </w:r>
      <w:r>
        <w:rPr>
          <w:rFonts w:hint="eastAsia" w:ascii="宋体" w:hAnsi="宋体" w:eastAsia="宋体" w:cs="宋体"/>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rPr>
        <w:t xml:space="preserve">29</w:t>
      </w:r>
      <w:r>
        <w:rPr>
          <w:rFonts w:hint="eastAsia" w:ascii="宋体" w:hAnsi="宋体" w:eastAsia="宋体" w:cs="宋体"/>
          <w:sz w:val="24"/>
          <w:szCs w:val="24"/>
          <w:highlight w:val="none"/>
        </w:rPr>
        <w:t xml:space="preserve">.2中标通知书将成为合同的组成部分，对采购人和中标人具有同等法律效力。</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rPr>
        <w:t xml:space="preserve">29</w:t>
      </w:r>
      <w:r>
        <w:rPr>
          <w:rFonts w:hint="eastAsia" w:ascii="宋体" w:hAnsi="宋体" w:eastAsia="宋体" w:cs="宋体"/>
          <w:sz w:val="24"/>
          <w:szCs w:val="24"/>
          <w:highlight w:val="none"/>
        </w:rPr>
        <w:t xml:space="preserve">.3中标通知书发出后，采购人不得违法改变中标结果，中标人无正当理由不得放弃中标。</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29.4采购人或采购代理机构对未中标单位不承担解释未中标原因的义务。</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30.合同的签订</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.1 按照《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pStyle w:val="871"/>
        <w:ind w:firstLine="42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.2 </w:t>
      </w:r>
      <w:r>
        <w:rPr>
          <w:rFonts w:hint="eastAsia" w:ascii="宋体" w:hAnsi="宋体" w:eastAsia="宋体" w:cs="宋体"/>
          <w:sz w:val="24"/>
          <w:szCs w:val="24"/>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.3招标文件、中标人的投标文件及招标过程中有关澄清、承诺文件均应作为合同附件。</w:t>
      </w:r>
      <w:r/>
    </w:p>
    <w:p>
      <w:pPr>
        <w:pStyle w:val="871"/>
        <w:ind w:firstLine="42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rPr>
        <w:t xml:space="preserve">0</w:t>
      </w:r>
      <w:r>
        <w:rPr>
          <w:rFonts w:hint="eastAsia" w:ascii="宋体" w:hAnsi="宋体" w:eastAsia="宋体" w:cs="宋体"/>
          <w:sz w:val="24"/>
          <w:szCs w:val="24"/>
          <w:highlight w:val="none"/>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871"/>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30.6中标或者成交供应商拒绝与招标人签订合同的，招标人可以按照评审报告推荐的中标或者成交候选人名单排序，确定下一候选人为中标或者成交供应商，也可以重新开展政府采购活动。</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31.履约保证金</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31.1中标的投标单位应按前附表的规定提交履约保证金</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31.2中标单位在合同期满后且缺陷更正，并配合主管部门办理移交手续后，采购单位退还履约保证金（无息）。如中标单位对服务缺陷不予更正，采购单位有权另请其他单位更正，所发生的费用在履约保证金中扣除。合同期间中标单位收到扣款通知后，还需在30个工作日内补足履约保证金，否则采购单位有权解除合同，由此造成的损失和责任由中标单位承担。</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H其他事项</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32.代理服务费</w:t>
      </w:r>
      <w:r/>
    </w:p>
    <w:p>
      <w:pPr>
        <w:pStyle w:val="867"/>
        <w:ind w:left="0"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采购人从代理服务费中扣除该项目实际发生的、应由采购人直接支付的专家评审费总额后，按扣减后的余额在每个项目代理服务履约完毕之日起30个工作日支付给代理机构。</w:t>
      </w:r>
      <w:r/>
    </w:p>
    <w:p>
      <w:pPr>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33.监督和公证</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33.1有关监督部门将对招投标全过程进行监督。</w:t>
      </w:r>
      <w:r/>
    </w:p>
    <w:p>
      <w:pP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34.未尽事宜</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按《中华人民共和国政府采购法》及其他有关的法律法规的规定执行。</w:t>
      </w:r>
      <w:r/>
    </w:p>
    <w:p>
      <w:pPr>
        <w:rPr>
          <w:rFonts w:ascii="宋体" w:hAnsi="宋体" w:eastAsia="宋体"/>
          <w:highlight w:val="none"/>
        </w:rPr>
      </w:pPr>
      <w:r>
        <w:rPr>
          <w:rFonts w:ascii="宋体" w:hAnsi="宋体" w:eastAsia="宋体"/>
          <w:highlight w:val="none"/>
        </w:rPr>
      </w:r>
      <w:r/>
    </w:p>
    <w:p>
      <w:pPr>
        <w:jc w:val="center"/>
        <w:keepLines/>
        <w:keepNext/>
        <w:spacing w:before="340" w:after="330" w:line="578" w:lineRule="auto"/>
        <w:rPr>
          <w:rFonts w:ascii="宋体" w:hAnsi="宋体" w:eastAsia="宋体"/>
          <w:b/>
          <w:bCs/>
          <w:color w:val="000000"/>
          <w:sz w:val="28"/>
          <w:szCs w:val="28"/>
          <w:highlight w:val="none"/>
        </w:rPr>
        <w:outlineLvl w:val="0"/>
      </w:pPr>
      <w:r>
        <w:rPr>
          <w:rFonts w:ascii="宋体" w:hAnsi="宋体" w:eastAsia="宋体"/>
          <w:b/>
          <w:bCs/>
          <w:color w:val="000000"/>
          <w:sz w:val="28"/>
          <w:szCs w:val="28"/>
          <w:highlight w:val="none"/>
        </w:rPr>
        <w:br w:type="page" w:clear="all"/>
      </w:r>
      <w:r>
        <w:rPr>
          <w:rFonts w:ascii="宋体" w:hAnsi="宋体" w:eastAsia="宋体"/>
          <w:b/>
          <w:bCs/>
          <w:color w:val="000000"/>
          <w:sz w:val="32"/>
          <w:szCs w:val="32"/>
          <w:highlight w:val="none"/>
        </w:rPr>
        <w:t xml:space="preserve">第三章</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投标文件格式</w:t>
      </w:r>
      <w:bookmarkEnd w:id="7"/>
      <w:r/>
      <w:bookmarkEnd w:id="8"/>
      <w:r/>
      <w:r/>
    </w:p>
    <w:p>
      <w:pPr>
        <w:ind w:firstLine="420"/>
        <w:spacing w:line="360" w:lineRule="auto"/>
        <w:rPr>
          <w:rFonts w:ascii="宋体" w:hAnsi="宋体" w:eastAsia="宋体"/>
          <w:sz w:val="24"/>
          <w:szCs w:val="24"/>
          <w:highlight w:val="none"/>
        </w:rPr>
      </w:pPr>
      <w:r>
        <w:rPr>
          <w:rFonts w:ascii="宋体" w:hAnsi="宋体" w:eastAsia="宋体"/>
          <w:sz w:val="24"/>
          <w:szCs w:val="24"/>
          <w:highlight w:val="none"/>
        </w:rPr>
        <w:t xml:space="preserve">说明：</w:t>
      </w:r>
      <w:r/>
    </w:p>
    <w:p>
      <w:pPr>
        <w:ind w:firstLine="420"/>
        <w:spacing w:line="360" w:lineRule="auto"/>
        <w:rPr>
          <w:rFonts w:ascii="宋体" w:hAnsi="宋体" w:eastAsia="宋体"/>
          <w:sz w:val="24"/>
          <w:szCs w:val="24"/>
          <w:highlight w:val="none"/>
        </w:rPr>
      </w:pPr>
      <w:r>
        <w:rPr>
          <w:rFonts w:ascii="宋体" w:hAnsi="宋体" w:eastAsia="宋体"/>
          <w:sz w:val="24"/>
          <w:szCs w:val="24"/>
          <w:highlight w:val="none"/>
        </w:rPr>
        <w:t xml:space="preserve">对本章所有的投标书格式，</w:t>
      </w:r>
      <w:r>
        <w:rPr>
          <w:rFonts w:hint="eastAsia" w:ascii="宋体" w:hAnsi="宋体" w:eastAsia="宋体"/>
          <w:sz w:val="24"/>
          <w:szCs w:val="24"/>
          <w:highlight w:val="none"/>
        </w:rPr>
        <w:t xml:space="preserve">投标单位</w:t>
      </w:r>
      <w:r>
        <w:rPr>
          <w:rFonts w:ascii="宋体" w:hAnsi="宋体" w:eastAsia="宋体"/>
          <w:sz w:val="24"/>
          <w:szCs w:val="24"/>
          <w:highlight w:val="none"/>
        </w:rPr>
        <w:t xml:space="preserve">可根据自身情况进行补充和修改，但补充和修改不得造成与本格式内容有实质性的违背。</w:t>
      </w:r>
      <w:r/>
    </w:p>
    <w:p>
      <w:pPr>
        <w:ind w:firstLine="420"/>
        <w:spacing w:line="360" w:lineRule="auto"/>
        <w:rPr>
          <w:rFonts w:ascii="宋体" w:hAnsi="宋体" w:eastAsia="宋体"/>
          <w:highlight w:val="none"/>
        </w:rPr>
      </w:pPr>
      <w:r>
        <w:rPr>
          <w:rFonts w:ascii="宋体" w:hAnsi="宋体" w:eastAsia="宋体"/>
          <w:highlight w:val="none"/>
        </w:rPr>
      </w:r>
      <w:r/>
    </w:p>
    <w:p>
      <w:pPr>
        <w:pStyle w:val="867"/>
        <w:ind w:firstLine="0"/>
        <w:spacing w:line="360" w:lineRule="auto"/>
        <w:rPr>
          <w:rFonts w:ascii="宋体" w:hAnsi="宋体" w:eastAsia="宋体" w:cs="宋体"/>
          <w:b/>
          <w:sz w:val="24"/>
          <w:szCs w:val="24"/>
          <w:highlight w:val="none"/>
        </w:rPr>
        <w:outlineLvl w:val="1"/>
      </w:pPr>
      <w:r>
        <w:rPr>
          <w:rFonts w:ascii="宋体" w:hAnsi="宋体" w:eastAsia="宋体"/>
          <w:highlight w:val="none"/>
        </w:rPr>
        <w:br w:type="page" w:clear="all"/>
      </w:r>
      <w:r>
        <w:rPr>
          <w:rFonts w:hint="eastAsia" w:ascii="宋体" w:hAnsi="宋体" w:eastAsia="宋体" w:cs="宋体"/>
          <w:b/>
          <w:sz w:val="24"/>
          <w:szCs w:val="24"/>
          <w:highlight w:val="none"/>
        </w:rPr>
        <w:t xml:space="preserve">1、（投标单位）法定代表人授权委托书</w:t>
      </w:r>
      <w:r/>
    </w:p>
    <w:p>
      <w:pPr>
        <w:pStyle w:val="867"/>
        <w:ind w:firstLine="0"/>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授权委托书</w:t>
      </w:r>
      <w:r/>
    </w:p>
    <w:p>
      <w:pPr>
        <w:pStyle w:val="867"/>
        <w:ind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本授权委托书声明：我</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（投标单位名称）        </w:t>
      </w:r>
      <w:r>
        <w:rPr>
          <w:rFonts w:hint="eastAsia" w:ascii="宋体" w:hAnsi="宋体" w:eastAsia="宋体" w:cs="宋体"/>
          <w:sz w:val="24"/>
          <w:szCs w:val="24"/>
          <w:highlight w:val="none"/>
        </w:rPr>
        <w:t xml:space="preserve">的法定代表人，现授权委托</w:t>
      </w:r>
      <w:r>
        <w:rPr>
          <w:rFonts w:hint="eastAsia" w:ascii="宋体" w:hAnsi="宋体" w:eastAsia="宋体" w:cs="宋体"/>
          <w:sz w:val="24"/>
          <w:szCs w:val="24"/>
          <w:highlight w:val="none"/>
          <w:u w:val="single"/>
        </w:rPr>
        <w:t xml:space="preserve">（投标单位名称）     </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（姓名）      </w:t>
      </w:r>
      <w:r>
        <w:rPr>
          <w:rFonts w:hint="eastAsia" w:ascii="宋体" w:hAnsi="宋体" w:eastAsia="宋体" w:cs="宋体"/>
          <w:sz w:val="24"/>
          <w:szCs w:val="24"/>
          <w:highlight w:val="none"/>
        </w:rPr>
        <w:t xml:space="preserve">为我公司代理人，以本公司的名义参加招标代理单位组织实施的编号为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号的招标活动。代理人在开标、评标、合同招标过程中所签署的一切文件和处理与这有关的一切事务，我均予以承认。</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r/>
    </w:p>
    <w:p>
      <w:pPr>
        <w:pStyle w:val="867"/>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投标单位：（盖章）</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代理人：（签字或盖章）</w:t>
      </w:r>
      <w:r/>
    </w:p>
    <w:p>
      <w:pPr>
        <w:pStyle w:val="867"/>
        <w:ind w:firstLine="42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p>
    <w:p>
      <w:pPr>
        <w:pStyle w:val="867"/>
        <w:ind w:firstLine="0"/>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2、投标函</w:t>
      </w:r>
      <w:r/>
    </w:p>
    <w:p>
      <w:pPr>
        <w:pStyle w:val="843"/>
        <w:jc w:val="center"/>
        <w:spacing w:line="360" w:lineRule="auto"/>
        <w:rPr>
          <w:rFonts w:hAnsi="宋体" w:eastAsia="宋体" w:cs="宋体"/>
          <w:b/>
          <w:sz w:val="24"/>
          <w:szCs w:val="24"/>
          <w:highlight w:val="none"/>
        </w:rPr>
      </w:pPr>
      <w:r>
        <w:rPr>
          <w:rFonts w:hAnsi="宋体" w:eastAsia="宋体" w:cs="宋体"/>
          <w:b/>
          <w:sz w:val="24"/>
          <w:szCs w:val="24"/>
          <w:highlight w:val="none"/>
        </w:rPr>
      </w:r>
      <w:r/>
    </w:p>
    <w:p>
      <w:pPr>
        <w:pStyle w:val="843"/>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投标函</w:t>
      </w:r>
      <w:r/>
    </w:p>
    <w:p>
      <w:pPr>
        <w:pStyle w:val="843"/>
        <w:jc w:val="center"/>
        <w:spacing w:line="360" w:lineRule="auto"/>
        <w:rPr>
          <w:rFonts w:hAnsi="宋体" w:eastAsia="宋体" w:cs="宋体"/>
          <w:sz w:val="24"/>
          <w:szCs w:val="24"/>
          <w:highlight w:val="none"/>
        </w:rPr>
      </w:pPr>
      <w:r>
        <w:rPr>
          <w:rFonts w:hAnsi="宋体" w:eastAsia="宋体" w:cs="宋体"/>
          <w:sz w:val="24"/>
          <w:szCs w:val="24"/>
          <w:highlight w:val="none"/>
        </w:rPr>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u w:val="single"/>
        </w:rPr>
        <w:t xml:space="preserve"> 招标代理单位 </w:t>
      </w:r>
      <w:r>
        <w:rPr>
          <w:rFonts w:hint="eastAsia" w:hAnsi="宋体" w:eastAsia="宋体" w:cs="宋体"/>
          <w:sz w:val="24"/>
          <w:szCs w:val="24"/>
          <w:highlight w:val="none"/>
        </w:rPr>
        <w:t xml:space="preserve">：</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我们收到贵公司</w:t>
      </w:r>
      <w:r>
        <w:rPr>
          <w:rFonts w:hint="eastAsia" w:hAnsi="宋体" w:eastAsia="宋体" w:cs="宋体"/>
          <w:sz w:val="24"/>
          <w:szCs w:val="24"/>
          <w:highlight w:val="none"/>
          <w:u w:val="single"/>
        </w:rPr>
        <w:t xml:space="preserve">       </w:t>
      </w:r>
      <w:r>
        <w:rPr>
          <w:rFonts w:hint="eastAsia" w:hAnsi="宋体" w:eastAsia="宋体" w:cs="宋体"/>
          <w:sz w:val="24"/>
          <w:szCs w:val="24"/>
          <w:highlight w:val="none"/>
        </w:rPr>
        <w:t xml:space="preserve">号招标文件，经仔细阅读和研究，我们决定参加投标。</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1、我们愿意按照招标文件的一切要求，承诺所提供的服务能够至少达到以上要求，同时明确详细的服务方案。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p>
    <w:p>
      <w:pPr>
        <w:pStyle w:val="828"/>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2、如果我们的投标书被接受，我们将严格履行招标文件中规定的每一项要求，按期、按质、按量履行合同的义务。</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3、我们已详细审查全部招标文件，包括补充文件(如果有)。我们完全理解并同意放弃对这方面有不明及误解的权力。</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4、我们同意按招标文件中的规定，本投标书的有效期限为投标截止日起</w:t>
      </w:r>
      <w:r>
        <w:rPr>
          <w:rFonts w:hint="eastAsia" w:hAnsi="宋体" w:eastAsia="宋体" w:cs="宋体"/>
          <w:sz w:val="24"/>
          <w:szCs w:val="24"/>
          <w:highlight w:val="none"/>
          <w:u w:val="single"/>
        </w:rPr>
        <w:t xml:space="preserve">九十</w:t>
      </w:r>
      <w:r>
        <w:rPr>
          <w:rFonts w:hint="eastAsia" w:hAnsi="宋体" w:eastAsia="宋体" w:cs="宋体"/>
          <w:sz w:val="24"/>
          <w:szCs w:val="24"/>
          <w:highlight w:val="none"/>
        </w:rPr>
        <w:t xml:space="preserve">天。</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5、我们愿意提供采购人或采购代理机构在招标文件中要求的所有资料。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6、我们声明：我们在参加本次政府采购活动前3年内在经营活动中没有重大违法记录。</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7、我们愿意遵守招标公告及招标文件中所列的收费标准。</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8、我们承诺该项投标在开标后的全过程中保持有效，不作任何更改和变动。</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9、我们愿意按招标文件的规定交纳投标保证金，并同意投标单位须知中关于不予退还投标保证金的规定。</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10、如果我们中标，我们愿意按招标文件规定支付代理服务费和履约保证金。</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11、我们承诺我公司符合招标文件投标单位须知中“合格投标单位的资格条件”的要求，若与真实情况不符，本公司愿意承担由此而产生的一切后果。</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12、综合说明：</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（1）伴随服务及配合措施；</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（2）要求甲方提供的配合；</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（3）对招标文件有不同意见的偏离说明；</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（4）其它说明。</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所有有关标书的函电，请按下列地址联系：</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单位：</w:t>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 xml:space="preserve">联系人：</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地址：</w:t>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 xml:space="preserve">邮政编码：</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联系电话：</w:t>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ab/>
      </w:r>
      <w:r>
        <w:rPr>
          <w:rFonts w:hint="eastAsia" w:hAnsi="宋体" w:eastAsia="宋体" w:cs="宋体"/>
          <w:sz w:val="24"/>
          <w:szCs w:val="24"/>
          <w:highlight w:val="none"/>
        </w:rPr>
        <w:t xml:space="preserve">传真：</w:t>
      </w:r>
      <w:r/>
    </w:p>
    <w:p>
      <w:pPr>
        <w:pStyle w:val="843"/>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电子邮箱：</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867"/>
        <w:ind w:firstLine="0"/>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t xml:space="preserve">3、开标一览表</w:t>
      </w:r>
      <w:r/>
    </w:p>
    <w:p>
      <w:pPr>
        <w:pStyle w:val="828"/>
        <w:jc w:val="center"/>
        <w:spacing w:line="360" w:lineRule="auto"/>
        <w:rPr>
          <w:rFonts w:hAnsi="宋体" w:eastAsia="宋体" w:cs="宋体"/>
          <w:b/>
          <w:sz w:val="24"/>
          <w:szCs w:val="24"/>
          <w:highlight w:val="none"/>
        </w:rPr>
      </w:pPr>
      <w:r>
        <w:rPr>
          <w:rFonts w:hAnsi="宋体" w:eastAsia="宋体" w:cs="宋体"/>
          <w:b/>
          <w:sz w:val="24"/>
          <w:szCs w:val="24"/>
          <w:highlight w:val="none"/>
        </w:rPr>
      </w:r>
      <w:r/>
    </w:p>
    <w:p>
      <w:pPr>
        <w:pStyle w:val="828"/>
        <w:jc w:val="center"/>
        <w:spacing w:line="360" w:lineRule="auto"/>
        <w:rPr>
          <w:rFonts w:hAnsi="宋体" w:eastAsia="宋体" w:cs="宋体"/>
          <w:b/>
          <w:sz w:val="24"/>
          <w:szCs w:val="24"/>
          <w:highlight w:val="none"/>
        </w:rPr>
      </w:pPr>
      <w:r>
        <w:rPr>
          <w:rFonts w:hint="eastAsia" w:hAnsi="宋体" w:eastAsia="宋体" w:cs="宋体"/>
          <w:b/>
          <w:sz w:val="24"/>
          <w:szCs w:val="24"/>
          <w:highlight w:val="none"/>
        </w:rPr>
        <w:t xml:space="preserve">开标一览表（以苏采云系统为准）</w:t>
      </w:r>
      <w:r/>
    </w:p>
    <w:p>
      <w:pPr>
        <w:pStyle w:val="828"/>
        <w:jc w:val="center"/>
        <w:spacing w:line="360" w:lineRule="auto"/>
        <w:rPr>
          <w:rFonts w:hAnsi="宋体" w:eastAsia="宋体" w:cs="宋体"/>
          <w:b/>
          <w:sz w:val="24"/>
          <w:szCs w:val="24"/>
          <w:highlight w:val="none"/>
        </w:rPr>
      </w:pPr>
      <w:r>
        <w:rPr>
          <w:rFonts w:hAnsi="宋体" w:eastAsia="宋体" w:cs="宋体"/>
          <w:b/>
          <w:sz w:val="24"/>
          <w:szCs w:val="24"/>
          <w:highlight w:val="none"/>
        </w:rPr>
      </w:r>
      <w:r/>
    </w:p>
    <w:tbl>
      <w:tblPr>
        <w:tblStyle w:val="719"/>
        <w:tblW w:w="98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3497"/>
        <w:gridCol w:w="2662"/>
      </w:tblGrid>
      <w:tr>
        <w:trPr>
          <w:jc w:val="center"/>
          <w:trHeight w:val="1036"/>
        </w:trPr>
        <w:tc>
          <w:tcPr>
            <w:tcW w:w="700"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981" w:type="dxa"/>
            <w:vAlign w:val="center"/>
            <w:textDirection w:val="lrTb"/>
            <w:noWrap w:val="false"/>
          </w:tcPr>
          <w:p>
            <w:pPr>
              <w:jc w:val="center"/>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3497" w:type="dxa"/>
            <w:vAlign w:val="center"/>
            <w:textDirection w:val="lrTb"/>
            <w:noWrap w:val="false"/>
          </w:tcPr>
          <w:p>
            <w:pPr>
              <w:jc w:val="center"/>
              <w:spacing w:before="120" w:after="120"/>
              <w:rPr>
                <w:rFonts w:ascii="宋体" w:hAnsi="宋体" w:eastAsia="宋体" w:cs="宋体"/>
                <w:sz w:val="24"/>
                <w:szCs w:val="24"/>
                <w:highlight w:val="none"/>
              </w:rPr>
            </w:pPr>
            <w:r>
              <w:rPr>
                <w:rFonts w:hint="eastAsia" w:ascii="宋体" w:hAnsi="宋体" w:eastAsia="宋体" w:cs="宋体"/>
                <w:bCs/>
                <w:sz w:val="24"/>
                <w:szCs w:val="24"/>
                <w:highlight w:val="none"/>
              </w:rPr>
              <w:t xml:space="preserve">投标总价（含税）</w:t>
            </w:r>
            <w:r/>
          </w:p>
        </w:tc>
        <w:tc>
          <w:tcPr>
            <w:tcW w:w="2662" w:type="dxa"/>
            <w:vAlign w:val="center"/>
            <w:textDirection w:val="lrTb"/>
            <w:noWrap w:val="false"/>
          </w:tcPr>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服务期限</w:t>
            </w:r>
            <w:r/>
          </w:p>
        </w:tc>
      </w:tr>
      <w:tr>
        <w:trPr>
          <w:jc w:val="center"/>
          <w:trHeight w:val="1545"/>
        </w:trPr>
        <w:tc>
          <w:tcPr>
            <w:tcW w:w="700"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981" w:type="dxa"/>
            <w:vAlign w:val="center"/>
            <w:textDirection w:val="lrTb"/>
            <w:noWrap w:val="false"/>
          </w:tcPr>
          <w:p>
            <w:pPr>
              <w:jc w:val="center"/>
              <w:widowControl/>
              <w:rPr>
                <w:rFonts w:ascii="宋体" w:hAnsi="宋体" w:eastAsia="宋体" w:cs="宋体"/>
                <w:sz w:val="24"/>
                <w:szCs w:val="24"/>
                <w:highlight w:val="none"/>
                <w:u w:val="single"/>
              </w:rPr>
            </w:pPr>
            <w:r>
              <w:rPr>
                <w:rFonts w:hint="eastAsia" w:ascii="宋体" w:hAnsi="宋体" w:eastAsia="宋体" w:cs="宋体"/>
                <w:sz w:val="24"/>
                <w:szCs w:val="24"/>
                <w:highlight w:val="none"/>
              </w:rPr>
              <w:t xml:space="preserve">2026-2027年动、植物园保安项目</w:t>
            </w:r>
            <w:r/>
          </w:p>
        </w:tc>
        <w:tc>
          <w:tcPr>
            <w:tcW w:w="3497" w:type="dxa"/>
            <w:vAlign w:val="center"/>
            <w:textDirection w:val="lrTb"/>
            <w:noWrap w:val="false"/>
          </w:tcPr>
          <w:p>
            <w:pPr>
              <w:pStyle w:val="720"/>
              <w:rPr>
                <w:rFonts w:hint="default" w:cs="宋体"/>
                <w:sz w:val="24"/>
                <w:szCs w:val="24"/>
                <w:highlight w:val="none"/>
              </w:rPr>
            </w:pPr>
            <w:r>
              <w:rPr>
                <w:rFonts w:cs="宋体"/>
                <w:sz w:val="24"/>
                <w:szCs w:val="24"/>
                <w:highlight w:val="none"/>
              </w:rPr>
              <w:t xml:space="preserve">小写：    元</w:t>
            </w:r>
            <w:r/>
          </w:p>
          <w:p>
            <w:pPr>
              <w:pStyle w:val="720"/>
              <w:rPr>
                <w:rFonts w:hint="default"/>
                <w:highlight w:val="none"/>
              </w:rPr>
            </w:pPr>
            <w:r>
              <w:rPr>
                <w:rFonts w:cs="宋体"/>
                <w:sz w:val="24"/>
                <w:szCs w:val="24"/>
                <w:highlight w:val="none"/>
              </w:rPr>
              <w:t xml:space="preserve">大写：</w:t>
            </w:r>
            <w:r/>
          </w:p>
        </w:tc>
        <w:tc>
          <w:tcPr>
            <w:tcW w:w="266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pStyle w:val="867"/>
        <w:ind w:firstLine="0"/>
        <w:spacing w:line="360" w:lineRule="auto"/>
        <w:rPr>
          <w:rFonts w:ascii="宋体" w:hAnsi="宋体" w:eastAsia="宋体" w:cs="宋体"/>
          <w:sz w:val="24"/>
          <w:szCs w:val="24"/>
          <w:highlight w:val="none"/>
        </w:rPr>
        <w:outlineLvl w:val="1"/>
      </w:pPr>
      <w:r>
        <w:rPr>
          <w:rFonts w:ascii="宋体" w:hAnsi="宋体" w:eastAsia="宋体" w:cs="宋体"/>
          <w:sz w:val="24"/>
          <w:szCs w:val="24"/>
          <w:highlight w:val="none"/>
        </w:rPr>
      </w:r>
      <w:r/>
    </w:p>
    <w:p>
      <w:pPr>
        <w:pStyle w:val="950"/>
        <w:ind w:firstLine="0"/>
        <w:rPr>
          <w:rFonts w:hAnsi="宋体" w:eastAsia="宋体" w:cs="宋体"/>
          <w:sz w:val="24"/>
          <w:szCs w:val="24"/>
          <w:highlight w:val="none"/>
        </w:rPr>
      </w:pPr>
      <w:r>
        <w:rPr>
          <w:rFonts w:hAnsi="宋体" w:eastAsia="宋体" w:cs="宋体"/>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950"/>
        <w:ind w:firstLine="420"/>
        <w:rPr>
          <w:rFonts w:hAnsi="宋体" w:eastAsia="宋体" w:cs="宋体"/>
          <w:sz w:val="24"/>
          <w:szCs w:val="24"/>
          <w:highlight w:val="none"/>
        </w:rPr>
      </w:pPr>
      <w:r>
        <w:rPr>
          <w:rFonts w:hAnsi="宋体" w:eastAsia="宋体" w:cs="宋体"/>
          <w:sz w:val="24"/>
          <w:szCs w:val="24"/>
          <w:highlight w:val="none"/>
        </w:rPr>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950"/>
        <w:ind w:firstLine="0"/>
        <w:spacing w:line="360" w:lineRule="auto"/>
        <w:rPr>
          <w:rFonts w:hAnsi="宋体" w:eastAsia="宋体" w:cs="宋体"/>
          <w:b/>
          <w:sz w:val="24"/>
          <w:szCs w:val="24"/>
          <w:highlight w:val="none"/>
        </w:rPr>
      </w:pPr>
      <w:r>
        <w:rPr>
          <w:rFonts w:hint="eastAsia" w:hAnsi="宋体" w:eastAsia="宋体" w:cs="宋体"/>
          <w:sz w:val="24"/>
          <w:szCs w:val="24"/>
          <w:highlight w:val="none"/>
        </w:rPr>
        <w:br w:type="page" w:clear="all"/>
      </w:r>
      <w:r>
        <w:rPr>
          <w:rFonts w:hint="eastAsia" w:hAnsi="宋体" w:eastAsia="宋体" w:cs="宋体"/>
          <w:b/>
          <w:sz w:val="24"/>
          <w:szCs w:val="24"/>
          <w:highlight w:val="none"/>
        </w:rPr>
        <w:t xml:space="preserve">4、投标报价明细表（格式可自拟）</w:t>
      </w:r>
      <w:r/>
    </w:p>
    <w:p>
      <w:pPr>
        <w:pStyle w:val="950"/>
        <w:ind w:firstLine="0"/>
        <w:jc w:val="center"/>
        <w:spacing w:line="360" w:lineRule="auto"/>
        <w:rPr>
          <w:rFonts w:hAnsi="宋体" w:eastAsia="宋体" w:cs="宋体"/>
          <w:b/>
          <w:bCs/>
          <w:sz w:val="24"/>
          <w:szCs w:val="24"/>
          <w:highlight w:val="none"/>
        </w:rPr>
      </w:pPr>
      <w:r>
        <w:rPr>
          <w:rFonts w:hint="eastAsia" w:hAnsi="宋体" w:eastAsia="宋体" w:cs="宋体"/>
          <w:b/>
          <w:bCs/>
          <w:sz w:val="24"/>
          <w:szCs w:val="24"/>
          <w:highlight w:val="none"/>
        </w:rPr>
        <w:t xml:space="preserve">投标报价明细表</w:t>
      </w:r>
      <w:r/>
    </w:p>
    <w:tbl>
      <w:tblPr>
        <w:tblStyle w:val="719"/>
        <w:tblW w:w="4996"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80" w:type="dxa"/>
          <w:top w:w="80" w:type="dxa"/>
          <w:right w:w="80" w:type="dxa"/>
          <w:bottom w:w="80" w:type="dxa"/>
        </w:tblCellMar>
        <w:tblLook w:val="04A0" w:firstRow="1" w:lastRow="0" w:firstColumn="1" w:lastColumn="0" w:noHBand="0" w:noVBand="1"/>
      </w:tblPr>
      <w:tblGrid>
        <w:gridCol w:w="1248"/>
        <w:gridCol w:w="1856"/>
        <w:gridCol w:w="917"/>
        <w:gridCol w:w="1915"/>
        <w:gridCol w:w="1916"/>
        <w:gridCol w:w="1373"/>
      </w:tblGrid>
      <w:tr>
        <w:trPr>
          <w:jc w:val="center"/>
          <w:trHeight w:val="970"/>
        </w:trPr>
        <w:tc>
          <w:tcPr>
            <w:tcMar>
              <w:left w:w="80" w:type="dxa"/>
              <w:top w:w="80" w:type="dxa"/>
              <w:right w:w="80" w:type="dxa"/>
              <w:bottom w:w="80" w:type="dxa"/>
            </w:tcMar>
            <w:tcW w:w="1248" w:type="dxa"/>
            <w:vAlign w:val="center"/>
            <w:textDirection w:val="lrTb"/>
            <w:noWrap w:val="false"/>
          </w:tcPr>
          <w:p>
            <w:pPr>
              <w:pStyle w:val="867"/>
              <w:ind w:firstLine="0"/>
              <w:jc w:val="center"/>
              <w:rPr>
                <w:rFonts w:ascii="宋体" w:hAnsi="宋体" w:eastAsia="宋体" w:cs="宋体"/>
                <w:sz w:val="24"/>
                <w:szCs w:val="24"/>
                <w:highlight w:val="none"/>
              </w:rPr>
            </w:pPr>
            <w:r>
              <w:rPr>
                <w:rFonts w:hint="eastAsia" w:ascii="宋体" w:hAnsi="宋体" w:eastAsia="宋体" w:cs="宋体"/>
                <w:sz w:val="24"/>
                <w:szCs w:val="24"/>
                <w:highlight w:val="none"/>
                <w:lang w:val="zh-TW" w:eastAsia="zh-TW"/>
              </w:rPr>
              <w:t xml:space="preserve">序号</w:t>
            </w:r>
            <w:r/>
          </w:p>
        </w:tc>
        <w:tc>
          <w:tcPr>
            <w:tcMar>
              <w:left w:w="80" w:type="dxa"/>
              <w:top w:w="80" w:type="dxa"/>
              <w:right w:w="80" w:type="dxa"/>
              <w:bottom w:w="80" w:type="dxa"/>
            </w:tcMar>
            <w:tcW w:w="1856"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lang w:val="zh-TW" w:eastAsia="zh-TW"/>
              </w:rPr>
              <w:t xml:space="preserve">项目名称</w:t>
            </w:r>
            <w:r/>
          </w:p>
        </w:tc>
        <w:tc>
          <w:tcPr>
            <w:tcMar>
              <w:left w:w="80" w:type="dxa"/>
              <w:top w:w="80" w:type="dxa"/>
              <w:right w:w="80" w:type="dxa"/>
              <w:bottom w:w="80" w:type="dxa"/>
            </w:tcMar>
            <w:tcW w:w="917"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lang w:val="zh-TW"/>
              </w:rPr>
              <w:t xml:space="preserve">数量</w:t>
            </w:r>
            <w:r/>
          </w:p>
        </w:tc>
        <w:tc>
          <w:tcPr>
            <w:tcMar>
              <w:left w:w="80" w:type="dxa"/>
              <w:top w:w="80" w:type="dxa"/>
              <w:right w:w="80" w:type="dxa"/>
              <w:bottom w:w="80" w:type="dxa"/>
            </w:tcMar>
            <w:tcW w:w="1915"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lang w:val="zh-TW"/>
              </w:rPr>
              <w:t xml:space="preserve">单价（</w:t>
            </w:r>
            <w:r>
              <w:rPr>
                <w:rFonts w:hint="eastAsia" w:ascii="宋体" w:hAnsi="宋体" w:eastAsia="宋体" w:cs="宋体"/>
                <w:sz w:val="24"/>
                <w:szCs w:val="24"/>
                <w:highlight w:val="none"/>
              </w:rPr>
              <w:t xml:space="preserve">元）</w:t>
            </w:r>
            <w:r/>
          </w:p>
        </w:tc>
        <w:tc>
          <w:tcPr>
            <w:tcMar>
              <w:left w:w="80" w:type="dxa"/>
              <w:top w:w="80" w:type="dxa"/>
              <w:right w:w="80" w:type="dxa"/>
              <w:bottom w:w="80" w:type="dxa"/>
            </w:tcMar>
            <w:tcW w:w="1916"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lang w:val="zh-TW"/>
              </w:rPr>
              <w:t xml:space="preserve">合价（</w:t>
            </w:r>
            <w:r>
              <w:rPr>
                <w:rFonts w:hint="eastAsia" w:ascii="宋体" w:hAnsi="宋体" w:eastAsia="宋体" w:cs="宋体"/>
                <w:sz w:val="24"/>
                <w:szCs w:val="24"/>
                <w:highlight w:val="none"/>
              </w:rPr>
              <w:t xml:space="preserve">元）</w:t>
            </w:r>
            <w:r/>
          </w:p>
        </w:tc>
        <w:tc>
          <w:tcPr>
            <w:tcMar>
              <w:left w:w="80" w:type="dxa"/>
              <w:top w:w="80" w:type="dxa"/>
              <w:right w:w="80" w:type="dxa"/>
              <w:bottom w:w="80" w:type="dxa"/>
            </w:tcMar>
            <w:tcW w:w="1373"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lang w:val="zh-TW" w:eastAsia="zh-TW"/>
              </w:rPr>
              <w:t xml:space="preserve">服务时间</w:t>
            </w:r>
            <w:r/>
          </w:p>
        </w:tc>
      </w:tr>
      <w:tr>
        <w:trPr>
          <w:jc w:val="center"/>
          <w:trHeight w:val="121"/>
        </w:trPr>
        <w:tc>
          <w:tcPr>
            <w:tcMar>
              <w:left w:w="80" w:type="dxa"/>
              <w:top w:w="80" w:type="dxa"/>
              <w:right w:w="80" w:type="dxa"/>
              <w:bottom w:w="80" w:type="dxa"/>
            </w:tcMar>
            <w:tcW w:w="124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80" w:type="dxa"/>
              <w:top w:w="80" w:type="dxa"/>
              <w:right w:w="80" w:type="dxa"/>
              <w:bottom w:w="80" w:type="dxa"/>
            </w:tcMar>
            <w:tcW w:w="1856" w:type="dxa"/>
            <w:vAlign w:val="center"/>
            <w:textDirection w:val="lrTb"/>
            <w:noWrap w:val="false"/>
          </w:tcPr>
          <w:p>
            <w:pPr>
              <w:pStyle w:val="867"/>
              <w:ind w:left="0" w:firstLine="0"/>
              <w:jc w:val="left"/>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121"/>
        </w:trPr>
        <w:tc>
          <w:tcPr>
            <w:tcMar>
              <w:left w:w="80" w:type="dxa"/>
              <w:top w:w="80" w:type="dxa"/>
              <w:right w:w="80" w:type="dxa"/>
              <w:bottom w:w="80" w:type="dxa"/>
            </w:tcMar>
            <w:tcW w:w="124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80" w:type="dxa"/>
              <w:top w:w="80" w:type="dxa"/>
              <w:right w:w="80" w:type="dxa"/>
              <w:bottom w:w="80" w:type="dxa"/>
            </w:tcMar>
            <w:tcW w:w="1856" w:type="dxa"/>
            <w:vAlign w:val="center"/>
            <w:textDirection w:val="lrTb"/>
            <w:noWrap w:val="false"/>
          </w:tcPr>
          <w:p>
            <w:pPr>
              <w:pStyle w:val="867"/>
              <w:ind w:firstLine="0"/>
              <w:jc w:val="left"/>
              <w:rPr>
                <w:rFonts w:ascii="宋体" w:hAnsi="宋体" w:eastAsia="宋体" w:cs="宋体"/>
                <w:sz w:val="24"/>
                <w:szCs w:val="24"/>
                <w:highlight w:val="none"/>
                <w:lang w:val="zh-TW"/>
              </w:rPr>
            </w:pPr>
            <w:r>
              <w:rPr>
                <w:rFonts w:ascii="宋体" w:hAnsi="宋体" w:eastAsia="宋体" w:cs="宋体"/>
                <w:sz w:val="24"/>
                <w:szCs w:val="24"/>
                <w:highlight w:val="none"/>
                <w:lang w:val="zh-TW"/>
              </w:rPr>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17"/>
        </w:trPr>
        <w:tc>
          <w:tcPr>
            <w:tcMar>
              <w:left w:w="80" w:type="dxa"/>
              <w:top w:w="80" w:type="dxa"/>
              <w:right w:w="80" w:type="dxa"/>
              <w:bottom w:w="80" w:type="dxa"/>
            </w:tcMar>
            <w:tcW w:w="124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80" w:type="dxa"/>
              <w:top w:w="80" w:type="dxa"/>
              <w:right w:w="80" w:type="dxa"/>
              <w:bottom w:w="80" w:type="dxa"/>
            </w:tcMar>
            <w:tcW w:w="1856" w:type="dxa"/>
            <w:vAlign w:val="center"/>
            <w:textDirection w:val="lrTb"/>
            <w:noWrap w:val="false"/>
          </w:tcPr>
          <w:p>
            <w:pPr>
              <w:pStyle w:val="867"/>
              <w:ind w:firstLine="0"/>
              <w:jc w:val="left"/>
              <w:rPr>
                <w:rFonts w:ascii="宋体" w:hAnsi="宋体" w:eastAsia="宋体" w:cs="宋体"/>
                <w:sz w:val="24"/>
                <w:szCs w:val="24"/>
                <w:highlight w:val="none"/>
                <w:lang w:val="zh-TW"/>
              </w:rPr>
            </w:pPr>
            <w:r>
              <w:rPr>
                <w:rFonts w:ascii="宋体" w:hAnsi="宋体" w:eastAsia="宋体" w:cs="宋体"/>
                <w:sz w:val="24"/>
                <w:szCs w:val="24"/>
                <w:highlight w:val="none"/>
                <w:lang w:val="zh-TW"/>
              </w:rPr>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71"/>
        </w:trPr>
        <w:tc>
          <w:tcPr>
            <w:tcMar>
              <w:left w:w="80" w:type="dxa"/>
              <w:top w:w="80" w:type="dxa"/>
              <w:right w:w="80" w:type="dxa"/>
              <w:bottom w:w="80" w:type="dxa"/>
            </w:tcMar>
            <w:tcW w:w="124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80" w:type="dxa"/>
              <w:top w:w="80" w:type="dxa"/>
              <w:right w:w="80" w:type="dxa"/>
              <w:bottom w:w="80" w:type="dxa"/>
            </w:tcMar>
            <w:tcW w:w="1856" w:type="dxa"/>
            <w:vAlign w:val="center"/>
            <w:textDirection w:val="lrTb"/>
            <w:noWrap w:val="false"/>
          </w:tcPr>
          <w:p>
            <w:pPr>
              <w:pStyle w:val="867"/>
              <w:ind w:firstLine="0"/>
              <w:jc w:val="left"/>
              <w:rPr>
                <w:rFonts w:ascii="宋体" w:hAnsi="宋体" w:eastAsia="宋体" w:cs="宋体"/>
                <w:sz w:val="24"/>
                <w:szCs w:val="24"/>
                <w:highlight w:val="none"/>
                <w:lang w:val="zh-TW" w:eastAsia="zh-TW"/>
              </w:rPr>
            </w:pPr>
            <w:r>
              <w:rPr>
                <w:rFonts w:ascii="宋体" w:hAnsi="宋体" w:eastAsia="宋体" w:cs="宋体"/>
                <w:sz w:val="24"/>
                <w:szCs w:val="24"/>
                <w:highlight w:val="none"/>
                <w:lang w:val="zh-TW" w:eastAsia="zh-TW"/>
              </w:rPr>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83"/>
        </w:trPr>
        <w:tc>
          <w:tcPr>
            <w:tcMar>
              <w:left w:w="80" w:type="dxa"/>
              <w:top w:w="80" w:type="dxa"/>
              <w:right w:w="80" w:type="dxa"/>
              <w:bottom w:w="80" w:type="dxa"/>
            </w:tcMar>
            <w:tcW w:w="1248" w:type="dxa"/>
            <w:vAlign w:val="center"/>
            <w:textDirection w:val="lrTb"/>
            <w:noWrap w:val="false"/>
          </w:tcPr>
          <w:p>
            <w:pPr>
              <w:pStyle w:val="867"/>
              <w:ind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Mar>
              <w:left w:w="80" w:type="dxa"/>
              <w:top w:w="80" w:type="dxa"/>
              <w:right w:w="80" w:type="dxa"/>
              <w:bottom w:w="80" w:type="dxa"/>
            </w:tcMar>
            <w:tcW w:w="1856" w:type="dxa"/>
            <w:vAlign w:val="center"/>
            <w:textDirection w:val="lrTb"/>
            <w:noWrap w:val="false"/>
          </w:tcPr>
          <w:p>
            <w:pPr>
              <w:jc w:val="center"/>
              <w:rPr>
                <w:rFonts w:ascii="宋体" w:hAnsi="宋体" w:eastAsia="宋体" w:cs="宋体"/>
                <w:sz w:val="24"/>
                <w:szCs w:val="24"/>
                <w:highlight w:val="none"/>
                <w:lang w:val="zh-TW"/>
              </w:rPr>
            </w:pPr>
            <w:r>
              <w:rPr>
                <w:rFonts w:hint="eastAsia" w:ascii="宋体" w:hAnsi="宋体" w:eastAsia="宋体" w:cs="宋体"/>
                <w:sz w:val="24"/>
                <w:szCs w:val="24"/>
                <w:highlight w:val="none"/>
              </w:rPr>
              <w:t xml:space="preserve">...</w:t>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83"/>
        </w:trPr>
        <w:tc>
          <w:tcPr>
            <w:tcMar>
              <w:left w:w="80" w:type="dxa"/>
              <w:top w:w="80" w:type="dxa"/>
              <w:right w:w="80" w:type="dxa"/>
              <w:bottom w:w="80" w:type="dxa"/>
            </w:tcMar>
            <w:tcW w:w="1248" w:type="dxa"/>
            <w:vAlign w:val="center"/>
            <w:textDirection w:val="lrTb"/>
            <w:noWrap w:val="false"/>
          </w:tcPr>
          <w:p>
            <w:pPr>
              <w:pStyle w:val="867"/>
              <w:ind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856" w:type="dxa"/>
            <w:vAlign w:val="center"/>
            <w:textDirection w:val="lrTb"/>
            <w:noWrap w:val="false"/>
          </w:tcPr>
          <w:p>
            <w:pPr>
              <w:jc w:val="center"/>
              <w:rPr>
                <w:rFonts w:ascii="宋体" w:hAnsi="宋体" w:eastAsia="宋体" w:cs="宋体"/>
                <w:sz w:val="24"/>
                <w:szCs w:val="24"/>
                <w:highlight w:val="none"/>
                <w:lang w:eastAsia="zh-TW"/>
              </w:rPr>
            </w:pPr>
            <w:r>
              <w:rPr>
                <w:rFonts w:ascii="宋体" w:hAnsi="宋体" w:eastAsia="宋体" w:cs="宋体"/>
                <w:sz w:val="24"/>
                <w:szCs w:val="24"/>
                <w:highlight w:val="none"/>
                <w:lang w:eastAsia="zh-TW"/>
              </w:rPr>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83"/>
        </w:trPr>
        <w:tc>
          <w:tcPr>
            <w:tcMar>
              <w:left w:w="80" w:type="dxa"/>
              <w:top w:w="80" w:type="dxa"/>
              <w:right w:w="80" w:type="dxa"/>
              <w:bottom w:w="80" w:type="dxa"/>
            </w:tcMar>
            <w:tcW w:w="1248" w:type="dxa"/>
            <w:vAlign w:val="center"/>
            <w:textDirection w:val="lrTb"/>
            <w:noWrap w:val="false"/>
          </w:tcPr>
          <w:p>
            <w:pPr>
              <w:pStyle w:val="867"/>
              <w:ind w:firstLine="0"/>
              <w:jc w:val="cente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85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917"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5"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916"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Mar>
              <w:left w:w="80" w:type="dxa"/>
              <w:top w:w="80" w:type="dxa"/>
              <w:right w:w="80" w:type="dxa"/>
              <w:bottom w:w="80" w:type="dxa"/>
            </w:tcMar>
            <w:tcW w:w="1373" w:type="dxa"/>
            <w:vAlign w:val="center"/>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83"/>
        </w:trPr>
        <w:tc>
          <w:tcPr>
            <w:gridSpan w:val="6"/>
            <w:tcMar>
              <w:left w:w="80" w:type="dxa"/>
              <w:top w:w="80" w:type="dxa"/>
              <w:right w:w="80" w:type="dxa"/>
              <w:bottom w:w="80" w:type="dxa"/>
            </w:tcMar>
            <w:tcW w:w="9225" w:type="dxa"/>
            <w:vAlign w:val="center"/>
            <w:textDirection w:val="lrTb"/>
            <w:noWrap w:val="false"/>
          </w:tcPr>
          <w:p>
            <w:pPr>
              <w:rPr>
                <w:rFonts w:ascii="宋体" w:hAnsi="宋体" w:eastAsia="宋体" w:cs="宋体"/>
                <w:sz w:val="24"/>
                <w:szCs w:val="24"/>
                <w:highlight w:val="none"/>
              </w:rPr>
            </w:pPr>
            <w:r>
              <w:rPr>
                <w:rFonts w:hint="eastAsia" w:ascii="宋体" w:hAnsi="宋体" w:eastAsia="宋体" w:cs="宋体"/>
                <w:sz w:val="24"/>
                <w:szCs w:val="24"/>
                <w:highlight w:val="none"/>
              </w:rPr>
              <w:t xml:space="preserve">合计金额（含税）：小写      大写</w:t>
            </w:r>
            <w:r/>
          </w:p>
        </w:tc>
      </w:tr>
    </w:tbl>
    <w:p>
      <w:pPr>
        <w:ind w:firstLine="420"/>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20"/>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注：（1）明细表包含投标单位各项成本核算和投入的成本明细。投标报价明细表中的合计金额应与开标一览表投标总价金额一致；否则，以开标一览表为准。</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（2）投标单位可根据实际情况自行调整表格内容。</w:t>
      </w:r>
      <w:r/>
    </w:p>
    <w:p>
      <w:pPr>
        <w:ind w:firstLine="420"/>
        <w:spacing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投标单位：（盖章）</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法定代表人或授权代理人：（签字或盖章）           </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pStyle w:val="867"/>
        <w:ind w:firstLine="0"/>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5、商务条款偏离表</w:t>
      </w:r>
      <w:r/>
    </w:p>
    <w:p>
      <w:pPr>
        <w:pStyle w:val="867"/>
        <w:ind w:firstLine="0"/>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pStyle w:val="867"/>
        <w:ind w:firstLine="0"/>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商务条款偏离表</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jc w:val="center"/>
          <w:trHeight w:val="567"/>
        </w:trPr>
        <w:tc>
          <w:tcPr>
            <w:tcW w:w="960" w:type="dxa"/>
            <w:vAlign w:val="center"/>
            <w:textDirection w:val="lrTb"/>
            <w:noWrap w:val="false"/>
          </w:tcPr>
          <w:p>
            <w:pPr>
              <w:jc w:val="center"/>
              <w:spacing w:before="156" w:after="156"/>
              <w:rPr>
                <w:rFonts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W w:w="2218" w:type="dxa"/>
            <w:vAlign w:val="center"/>
            <w:textDirection w:val="lrTb"/>
            <w:noWrap w:val="false"/>
          </w:tcPr>
          <w:p>
            <w:pPr>
              <w:jc w:val="center"/>
              <w:spacing w:before="156" w:after="156"/>
              <w:rPr>
                <w:rFonts w:ascii="宋体" w:hAnsi="宋体" w:eastAsia="宋体" w:cs="宋体"/>
                <w:b/>
                <w:sz w:val="24"/>
                <w:szCs w:val="24"/>
                <w:highlight w:val="none"/>
              </w:rPr>
            </w:pPr>
            <w:r>
              <w:rPr>
                <w:rFonts w:hint="eastAsia" w:ascii="宋体" w:hAnsi="宋体" w:eastAsia="宋体" w:cs="宋体"/>
                <w:b/>
                <w:sz w:val="24"/>
                <w:szCs w:val="24"/>
                <w:highlight w:val="none"/>
              </w:rPr>
              <w:t xml:space="preserve">招标文件条目号</w:t>
            </w:r>
            <w:r/>
          </w:p>
        </w:tc>
        <w:tc>
          <w:tcPr>
            <w:tcW w:w="2661" w:type="dxa"/>
            <w:vAlign w:val="center"/>
            <w:textDirection w:val="lrTb"/>
            <w:noWrap w:val="false"/>
          </w:tcPr>
          <w:p>
            <w:pPr>
              <w:jc w:val="center"/>
              <w:spacing w:before="156" w:after="156"/>
              <w:rPr>
                <w:rFonts w:ascii="宋体" w:hAnsi="宋体" w:eastAsia="宋体" w:cs="宋体"/>
                <w:b/>
                <w:sz w:val="24"/>
                <w:szCs w:val="24"/>
                <w:highlight w:val="none"/>
              </w:rPr>
            </w:pPr>
            <w:r>
              <w:rPr>
                <w:rFonts w:hint="eastAsia" w:ascii="宋体" w:hAnsi="宋体" w:eastAsia="宋体" w:cs="宋体"/>
                <w:b/>
                <w:sz w:val="24"/>
                <w:szCs w:val="24"/>
                <w:highlight w:val="none"/>
              </w:rPr>
              <w:t xml:space="preserve">招标文件的商务条款</w:t>
            </w:r>
            <w:r/>
          </w:p>
        </w:tc>
        <w:tc>
          <w:tcPr>
            <w:tcW w:w="2683" w:type="dxa"/>
            <w:vAlign w:val="center"/>
            <w:textDirection w:val="lrTb"/>
            <w:noWrap w:val="false"/>
          </w:tcPr>
          <w:p>
            <w:pPr>
              <w:jc w:val="center"/>
              <w:spacing w:before="156" w:after="156"/>
              <w:rPr>
                <w:rFonts w:ascii="宋体" w:hAnsi="宋体" w:eastAsia="宋体" w:cs="宋体"/>
                <w:b/>
                <w:sz w:val="24"/>
                <w:szCs w:val="24"/>
                <w:highlight w:val="none"/>
              </w:rPr>
            </w:pPr>
            <w:r>
              <w:rPr>
                <w:rFonts w:hint="eastAsia" w:ascii="宋体" w:hAnsi="宋体" w:eastAsia="宋体" w:cs="宋体"/>
                <w:b/>
                <w:sz w:val="24"/>
                <w:szCs w:val="24"/>
                <w:highlight w:val="none"/>
              </w:rPr>
              <w:t xml:space="preserve">投标文件的商务条款</w:t>
            </w:r>
            <w:r/>
          </w:p>
        </w:tc>
        <w:tc>
          <w:tcPr>
            <w:tcW w:w="1086" w:type="dxa"/>
            <w:vAlign w:val="center"/>
            <w:textDirection w:val="lrTb"/>
            <w:noWrap w:val="false"/>
          </w:tcPr>
          <w:p>
            <w:pPr>
              <w:jc w:val="center"/>
              <w:spacing w:before="156" w:after="156"/>
              <w:rPr>
                <w:rFonts w:ascii="宋体" w:hAnsi="宋体" w:eastAsia="宋体" w:cs="宋体"/>
                <w:b/>
                <w:sz w:val="24"/>
                <w:szCs w:val="24"/>
                <w:highlight w:val="none"/>
              </w:rPr>
            </w:pPr>
            <w:r>
              <w:rPr>
                <w:rFonts w:hint="eastAsia" w:ascii="宋体" w:hAnsi="宋体" w:eastAsia="宋体" w:cs="宋体"/>
                <w:b/>
                <w:sz w:val="24"/>
                <w:szCs w:val="24"/>
                <w:highlight w:val="none"/>
              </w:rPr>
              <w:t xml:space="preserve">说明</w:t>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960"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218"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61"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2683"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c>
          <w:tcPr>
            <w:tcW w:w="1086" w:type="dxa"/>
            <w:vAlign w:val="center"/>
            <w:textDirection w:val="lrTb"/>
            <w:noWrap w:val="false"/>
          </w:tcPr>
          <w:p>
            <w:pPr>
              <w:jc w:val="center"/>
              <w:spacing w:before="156" w:after="156"/>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投标单位的投标文件与招标文件规定的有偏离的，应在此表中说明。未在上表中说明的，如在投标文件其他内容中已有文字说明的，则以已有文字说明为准，否则，将被认为完全响应招标文件的规定。但该表不作为投标单位对所投标的物关于商务条款等详细描述和说明的替代。</w:t>
      </w:r>
      <w:r/>
    </w:p>
    <w:p>
      <w:pPr>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投标单位：（盖章）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法定代表人或代理人：（签字或盖章）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日期：    年   月   日</w:t>
      </w:r>
      <w:r/>
    </w:p>
    <w:p>
      <w:pPr>
        <w:pStyle w:val="843"/>
        <w:ind w:firstLine="420"/>
        <w:spacing w:line="360" w:lineRule="auto"/>
        <w:rPr>
          <w:rFonts w:hAnsi="宋体" w:eastAsia="宋体" w:cs="宋体"/>
          <w:sz w:val="24"/>
          <w:szCs w:val="24"/>
          <w:highlight w:val="none"/>
        </w:rPr>
      </w:pPr>
      <w:r>
        <w:rPr>
          <w:rFonts w:hAnsi="宋体" w:eastAsia="宋体" w:cs="宋体"/>
          <w:sz w:val="24"/>
          <w:szCs w:val="24"/>
          <w:highlight w:val="none"/>
        </w:rPr>
      </w:r>
      <w:r/>
    </w:p>
    <w:p>
      <w:pPr>
        <w:pStyle w:val="843"/>
        <w:ind w:firstLine="420"/>
        <w:spacing w:line="360" w:lineRule="auto"/>
        <w:rPr>
          <w:rFonts w:hAnsi="宋体" w:eastAsia="宋体" w:cs="宋体"/>
          <w:sz w:val="24"/>
          <w:szCs w:val="24"/>
          <w:highlight w:val="none"/>
        </w:rPr>
      </w:pPr>
      <w:r>
        <w:rPr>
          <w:rFonts w:hAnsi="宋体" w:eastAsia="宋体" w:cs="宋体"/>
          <w:sz w:val="24"/>
          <w:szCs w:val="24"/>
          <w:highlight w:val="none"/>
        </w:rPr>
      </w:r>
      <w:r/>
    </w:p>
    <w:p>
      <w:pPr>
        <w:pStyle w:val="843"/>
        <w:ind w:firstLine="420"/>
        <w:spacing w:line="360" w:lineRule="auto"/>
        <w:rPr>
          <w:rFonts w:hAnsi="宋体" w:eastAsia="宋体" w:cs="宋体"/>
          <w:sz w:val="24"/>
          <w:szCs w:val="24"/>
          <w:highlight w:val="none"/>
        </w:rPr>
      </w:pPr>
      <w:r>
        <w:rPr>
          <w:rFonts w:hAnsi="宋体" w:eastAsia="宋体" w:cs="宋体"/>
          <w:sz w:val="24"/>
          <w:szCs w:val="24"/>
          <w:highlight w:val="none"/>
        </w:rPr>
      </w:r>
      <w:r/>
    </w:p>
    <w:p>
      <w:pPr>
        <w:pStyle w:val="867"/>
        <w:ind w:firstLine="0"/>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6、服务要求偏离表</w:t>
      </w:r>
      <w:r/>
    </w:p>
    <w:p>
      <w:pPr>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服务要求偏离表</w:t>
      </w:r>
      <w:r/>
    </w:p>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jc w:val="center"/>
          <w:trHeight w:val="567"/>
        </w:trPr>
        <w:tc>
          <w:tcPr>
            <w:tcW w:w="1231"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W w:w="2044"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项目名称</w:t>
            </w:r>
            <w:r/>
          </w:p>
        </w:tc>
        <w:tc>
          <w:tcPr>
            <w:tcW w:w="1636"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服务要求</w:t>
            </w:r>
            <w:r/>
          </w:p>
        </w:tc>
        <w:tc>
          <w:tcPr>
            <w:tcW w:w="1452"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响应要求</w:t>
            </w:r>
            <w:r/>
          </w:p>
        </w:tc>
        <w:tc>
          <w:tcPr>
            <w:tcW w:w="1717"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偏离/响应</w:t>
            </w:r>
            <w:r/>
          </w:p>
        </w:tc>
        <w:tc>
          <w:tcPr>
            <w:tcW w:w="1774" w:type="dxa"/>
            <w:vAlign w:val="center"/>
            <w:textDirection w:val="lrTb"/>
            <w:noWrap w:val="false"/>
          </w:tcPr>
          <w:p>
            <w:pPr>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说明</w:t>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W w:w="1231"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204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636"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452"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17"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774" w:type="dxa"/>
            <w:vAlign w:val="center"/>
            <w:textDirection w:val="lrTb"/>
            <w:noWrap w:val="false"/>
          </w:tcPr>
          <w:p>
            <w:pPr>
              <w:jc w:val="center"/>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注：1、投标单位应对照招标文件服务要求等，所响应的要求与招标文件的规定有偏离的，应在此表中申明与服务要求条文的偏差和例外。</w:t>
      </w:r>
      <w:r/>
    </w:p>
    <w:p>
      <w:pPr>
        <w:pStyle w:val="867"/>
        <w:ind w:firstLine="42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未在上表中说明的，如在投标文件其他内容中已有文字说明的，则以已有文字说明为准，否则，将被认为完全响应招标文件的规定。但该表不作为投标单位对所投标的物关于服务要求等详细描述和说明的替代。</w:t>
      </w:r>
      <w:r/>
    </w:p>
    <w:p>
      <w:pPr>
        <w:pStyle w:val="867"/>
        <w:ind w:firstLine="0"/>
        <w:spacing w:line="360" w:lineRule="auto"/>
        <w:rPr>
          <w:rFonts w:ascii="宋体" w:hAnsi="宋体" w:eastAsia="宋体" w:cs="宋体"/>
          <w:bCs/>
          <w:sz w:val="24"/>
          <w:szCs w:val="24"/>
          <w:highlight w:val="none"/>
        </w:rPr>
        <w:outlineLvl w:val="1"/>
      </w:pPr>
      <w:r>
        <w:rPr>
          <w:rFonts w:ascii="宋体" w:hAnsi="宋体" w:eastAsia="宋体" w:cs="宋体"/>
          <w:bCs/>
          <w:sz w:val="24"/>
          <w:szCs w:val="24"/>
          <w:highlight w:val="none"/>
        </w:rPr>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720"/>
        <w:rPr>
          <w:rFonts w:hint="default" w:cs="宋体"/>
          <w:sz w:val="24"/>
          <w:szCs w:val="24"/>
          <w:highlight w:val="none"/>
        </w:rPr>
      </w:pPr>
      <w:r>
        <w:rPr>
          <w:rFonts w:hint="default"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投标单位：（盖章）</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jc w:val="left"/>
        <w:spacing w:line="360" w:lineRule="auto"/>
        <w:widowControl/>
        <w:rPr>
          <w:rFonts w:ascii="宋体" w:hAnsi="宋体" w:eastAsia="宋体" w:cs="宋体"/>
          <w:b/>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7、服务实施方案</w:t>
      </w:r>
      <w:r/>
    </w:p>
    <w:p>
      <w:pPr>
        <w:pStyle w:val="867"/>
        <w:ind w:firstLine="0"/>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pStyle w:val="867"/>
        <w:ind w:firstLine="0"/>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服务实施方案</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bl>
      <w:tblPr>
        <w:tblStyle w:val="71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088"/>
      </w:tblGrid>
      <w:tr>
        <w:trPr>
          <w:jc w:val="center"/>
          <w:trHeight w:val="1350"/>
        </w:trPr>
        <w:tc>
          <w:tcPr>
            <w:tcW w:w="9088" w:type="dxa"/>
            <w:textDirection w:val="lrTb"/>
            <w:noWrap w:val="false"/>
          </w:tcPr>
          <w:p>
            <w:pPr>
              <w:pStyle w:val="849"/>
              <w:rPr>
                <w:rFonts w:hAnsi="宋体" w:eastAsia="宋体" w:cs="宋体"/>
                <w:sz w:val="24"/>
                <w:szCs w:val="24"/>
                <w:highlight w:val="none"/>
              </w:rPr>
            </w:pPr>
            <w:r>
              <w:rPr>
                <w:rStyle w:val="947"/>
                <w:rFonts w:hint="eastAsia" w:hAnsi="宋体" w:eastAsia="宋体" w:cs="宋体"/>
                <w:sz w:val="24"/>
                <w:szCs w:val="24"/>
                <w:highlight w:val="none"/>
              </w:rPr>
              <w:t xml:space="preserve">提示：</w:t>
            </w:r>
            <w:r/>
          </w:p>
          <w:p>
            <w:pPr>
              <w:pStyle w:val="849"/>
              <w:rPr>
                <w:rFonts w:hAnsi="宋体" w:eastAsia="宋体" w:cs="宋体"/>
                <w:sz w:val="24"/>
                <w:szCs w:val="24"/>
                <w:highlight w:val="none"/>
              </w:rPr>
            </w:pPr>
            <w:r>
              <w:rPr>
                <w:rStyle w:val="947"/>
                <w:rFonts w:hint="eastAsia" w:hAnsi="宋体" w:eastAsia="宋体" w:cs="宋体"/>
                <w:sz w:val="24"/>
                <w:szCs w:val="24"/>
                <w:highlight w:val="none"/>
              </w:rPr>
              <w:t xml:space="preserve">1、供应商应根据本次采购项目要求，对所投服务进行详细的说明与描述，包括针对本次采购项目特点及具体情况编写中标后拟采取的实施方案等。</w:t>
            </w:r>
            <w:r/>
          </w:p>
          <w:p>
            <w:pPr>
              <w:pStyle w:val="849"/>
              <w:rPr>
                <w:rFonts w:hAnsi="宋体" w:eastAsia="宋体" w:cs="宋体"/>
                <w:sz w:val="24"/>
                <w:szCs w:val="24"/>
                <w:highlight w:val="none"/>
              </w:rPr>
            </w:pPr>
            <w:r>
              <w:rPr>
                <w:rStyle w:val="947"/>
                <w:rFonts w:hint="eastAsia" w:hAnsi="宋体" w:eastAsia="宋体" w:cs="宋体"/>
                <w:sz w:val="24"/>
                <w:szCs w:val="24"/>
                <w:highlight w:val="none"/>
              </w:rPr>
              <w:t xml:space="preserve">2、供应商可根据自身情况编写，本页不够可另加页附后。</w:t>
            </w:r>
            <w:r/>
          </w:p>
        </w:tc>
      </w:tr>
      <w:tr>
        <w:trPr>
          <w:jc w:val="center"/>
          <w:trHeight w:val="7216"/>
        </w:trPr>
        <w:tc>
          <w:tcPr>
            <w:tcW w:w="9088" w:type="dxa"/>
            <w:vAlign w:val="bottom"/>
            <w:textDirection w:val="lrTb"/>
            <w:noWrap w:val="false"/>
          </w:tcPr>
          <w:p>
            <w:pPr>
              <w:spacing w:line="360" w:lineRule="auto"/>
              <w:tabs>
                <w:tab w:val="left" w:pos="1320" w:leader="none"/>
              </w:tabs>
              <w:rPr>
                <w:rFonts w:ascii="宋体" w:hAnsi="宋体" w:eastAsia="宋体" w:cs="宋体"/>
                <w:sz w:val="24"/>
                <w:szCs w:val="24"/>
                <w:highlight w:val="none"/>
                <w:u w:val="single"/>
              </w:rPr>
            </w:pPr>
            <w:r>
              <w:rPr>
                <w:rFonts w:ascii="宋体" w:hAnsi="宋体" w:eastAsia="宋体" w:cs="宋体"/>
                <w:sz w:val="24"/>
                <w:szCs w:val="24"/>
                <w:highlight w:val="none"/>
                <w:u w:val="single"/>
              </w:rPr>
            </w:r>
            <w:r/>
          </w:p>
        </w:tc>
      </w:tr>
    </w:tbl>
    <w:p>
      <w:pPr>
        <w:pStyle w:val="828"/>
        <w:spacing w:line="360" w:lineRule="auto"/>
        <w:rPr>
          <w:rFonts w:hAnsi="宋体" w:eastAsia="宋体" w:cs="宋体"/>
          <w:sz w:val="24"/>
          <w:szCs w:val="24"/>
          <w:highlight w:val="none"/>
        </w:rPr>
      </w:pPr>
      <w:r>
        <w:rPr>
          <w:rFonts w:hAnsi="宋体" w:eastAsia="宋体" w:cs="宋体"/>
          <w:sz w:val="24"/>
          <w:szCs w:val="24"/>
          <w:highlight w:val="none"/>
        </w:rPr>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投标单位：（盖章）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法定代表人或代理人：（签字或盖章）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日期：    年    月    日</w:t>
      </w:r>
      <w:r/>
    </w:p>
    <w:p>
      <w:pPr>
        <w:pStyle w:val="867"/>
        <w:ind w:firstLine="0"/>
        <w:spacing w:line="360" w:lineRule="auto"/>
        <w:rPr>
          <w:rFonts w:ascii="宋体" w:hAnsi="宋体" w:eastAsia="宋体" w:cs="宋体"/>
          <w:b/>
          <w:sz w:val="24"/>
          <w:szCs w:val="24"/>
          <w:highlight w:val="none"/>
        </w:rPr>
        <w:outlineLvl w:val="1"/>
      </w:pPr>
      <w:r>
        <w:rPr>
          <w:rFonts w:hint="eastAsia" w:ascii="宋体" w:hAnsi="宋体" w:eastAsia="宋体" w:cs="宋体"/>
          <w:b/>
          <w:sz w:val="24"/>
          <w:szCs w:val="24"/>
          <w:highlight w:val="none"/>
        </w:rPr>
        <w:br w:type="page" w:clear="all"/>
      </w:r>
      <w:r>
        <w:rPr>
          <w:rFonts w:hint="eastAsia" w:ascii="宋体" w:hAnsi="宋体" w:eastAsia="宋体" w:cs="宋体"/>
          <w:b/>
          <w:sz w:val="24"/>
          <w:szCs w:val="24"/>
          <w:highlight w:val="none"/>
        </w:rPr>
        <w:t xml:space="preserve">8、项目组人员一览表</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11"/>
        <w:jc w:val="center"/>
        <w:spacing w:line="360" w:lineRule="auto"/>
        <w:rPr>
          <w:rFonts w:hAnsi="宋体" w:eastAsia="宋体" w:cs="宋体"/>
          <w:b/>
          <w:bCs/>
          <w:sz w:val="24"/>
          <w:szCs w:val="24"/>
          <w:highlight w:val="none"/>
          <w:lang w:val="zh-TW" w:eastAsia="zh-TW"/>
        </w:rPr>
      </w:pPr>
      <w:r>
        <w:rPr>
          <w:rFonts w:hint="eastAsia" w:hAnsi="宋体" w:eastAsia="宋体" w:cs="宋体"/>
          <w:b/>
          <w:bCs/>
          <w:sz w:val="24"/>
          <w:szCs w:val="24"/>
          <w:highlight w:val="none"/>
          <w:lang w:val="zh-TW" w:eastAsia="zh-TW"/>
        </w:rPr>
        <w:t xml:space="preserve">项目组人员一览表</w:t>
      </w: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160"/>
        <w:gridCol w:w="1043"/>
        <w:gridCol w:w="745"/>
        <w:gridCol w:w="791"/>
        <w:gridCol w:w="747"/>
        <w:gridCol w:w="1368"/>
        <w:gridCol w:w="1232"/>
        <w:gridCol w:w="1476"/>
      </w:tblGrid>
      <w:tr>
        <w:trPr>
          <w:trHeight w:val="701"/>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项目组所任职务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职称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专业/资格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从事本工作时间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典型业务</w:t>
            </w:r>
            <w:r/>
          </w:p>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与技术专长</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vAlign w:val="center"/>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vAlign w:val="center"/>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600" w:type="dxa"/>
            <w:textDirection w:val="lrTb"/>
            <w:noWrap w:val="false"/>
          </w:tcPr>
          <w:p>
            <w:pPr>
              <w:jc w:val="cente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60"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43"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5"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1"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7"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68"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32" w:type="dxa"/>
            <w:textDirection w:val="lrTb"/>
            <w:noWrap w:val="false"/>
          </w:tcPr>
          <w:p>
            <w:pPr>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76" w:type="dxa"/>
            <w:textDirection w:val="lrTb"/>
            <w:noWrap w:val="false"/>
          </w:tcPr>
          <w:p>
            <w:pPr>
              <w:spacing w:line="57" w:lineRule="atLeast"/>
              <w:rPr>
                <w:rFonts w:ascii="宋体" w:hAnsi="宋体" w:eastAsia="宋体" w:cs="宋体"/>
                <w:sz w:val="24"/>
                <w:szCs w:val="24"/>
                <w:highlight w:val="none"/>
              </w:rPr>
            </w:pPr>
            <w:r>
              <w:rPr>
                <w:rFonts w:ascii="宋体" w:hAnsi="宋体" w:eastAsia="宋体" w:cs="宋体"/>
                <w:sz w:val="24"/>
                <w:szCs w:val="24"/>
                <w:highlight w:val="none"/>
              </w:rPr>
            </w:r>
            <w:r/>
          </w:p>
        </w:tc>
      </w:tr>
    </w:tbl>
    <w:p>
      <w:pPr>
        <w:pStyle w:val="811"/>
        <w:ind w:firstLine="480"/>
        <w:jc w:val="center"/>
        <w:spacing w:line="360" w:lineRule="auto"/>
        <w:rPr>
          <w:rFonts w:hAnsi="宋体" w:eastAsia="宋体" w:cs="宋体"/>
          <w:sz w:val="24"/>
          <w:szCs w:val="24"/>
          <w:highlight w:val="none"/>
        </w:rPr>
      </w:pPr>
      <w:r>
        <w:rPr>
          <w:rFonts w:hAnsi="宋体" w:eastAsia="宋体" w:cs="宋体"/>
          <w:sz w:val="24"/>
          <w:szCs w:val="24"/>
          <w:highlight w:val="none"/>
        </w:rPr>
      </w:r>
      <w:r/>
    </w:p>
    <w:p>
      <w:pPr>
        <w:pStyle w:val="867"/>
        <w:ind w:firstLine="0"/>
        <w:rPr>
          <w:rFonts w:ascii="宋体" w:hAnsi="宋体" w:eastAsia="宋体" w:cs="宋体"/>
          <w:sz w:val="24"/>
          <w:szCs w:val="24"/>
          <w:highlight w:val="none"/>
        </w:rPr>
        <w:outlineLvl w:val="1"/>
      </w:pPr>
      <w:r>
        <w:rPr>
          <w:rFonts w:ascii="宋体" w:hAnsi="宋体" w:eastAsia="宋体" w:cs="宋体"/>
          <w:sz w:val="24"/>
          <w:szCs w:val="24"/>
          <w:highlight w:val="none"/>
        </w:rPr>
      </w:r>
      <w:r/>
    </w:p>
    <w:p>
      <w:pPr>
        <w:pStyle w:val="950"/>
        <w:ind w:firstLine="0"/>
        <w:spacing w:line="360" w:lineRule="auto"/>
        <w:rPr>
          <w:rFonts w:hAnsi="宋体" w:eastAsia="宋体" w:cs="宋体"/>
          <w:b/>
          <w:bCs/>
          <w:color w:val="000000"/>
          <w:sz w:val="24"/>
          <w:szCs w:val="24"/>
          <w:highlight w:val="none"/>
        </w:rPr>
      </w:pPr>
      <w:r>
        <w:rPr>
          <w:rFonts w:hint="eastAsia" w:hAnsi="宋体" w:eastAsia="宋体" w:cs="宋体"/>
          <w:b/>
          <w:bCs/>
          <w:color w:val="000000"/>
          <w:sz w:val="24"/>
          <w:szCs w:val="24"/>
          <w:highlight w:val="none"/>
        </w:rPr>
        <w:t xml:space="preserve">注：投标单位需承诺在中标后签订合同一周内向采购人提供全部保安人员名单及招标文件要求的相关证书。合同签订后，采购人发现到岗人员不符合招标文件要求、与所提供的名单不一致，上岗证数量有大量缺失，有权要求中标方更换或补足人员，如情节严重，采购人有权追究违约责任。投标单位须在投标文件中提供承诺函，未提供承诺函视作非实质性响应招标文件。</w:t>
      </w:r>
      <w:r/>
    </w:p>
    <w:p>
      <w:pPr>
        <w:pStyle w:val="794"/>
        <w:ind w:right="420" w:firstLine="5355"/>
        <w:rPr>
          <w:rFonts w:hAnsi="宋体" w:eastAsia="宋体" w:cs="宋体"/>
          <w:sz w:val="24"/>
          <w:szCs w:val="24"/>
          <w:highlight w:val="none"/>
        </w:rPr>
      </w:pPr>
      <w:r>
        <w:rPr>
          <w:rFonts w:hAnsi="宋体" w:eastAsia="宋体" w:cs="宋体"/>
          <w:sz w:val="24"/>
          <w:szCs w:val="24"/>
          <w:highlight w:val="none"/>
        </w:rPr>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投标单位：（盖章）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法定代表人或代理人：（签字或盖章）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日期：    年    月    日</w:t>
      </w:r>
      <w:r>
        <w:rPr>
          <w:rFonts w:hint="eastAsia" w:hAnsi="宋体" w:eastAsia="宋体" w:cs="宋体"/>
          <w:sz w:val="24"/>
          <w:szCs w:val="24"/>
          <w:highlight w:val="none"/>
        </w:rPr>
        <w:br w:type="page" w:clear="all"/>
      </w:r>
      <w:r>
        <w:rPr>
          <w:rFonts w:hAnsi="宋体" w:eastAsia="宋体" w:cs="宋体"/>
          <w:sz w:val="24"/>
          <w:szCs w:val="24"/>
          <w:highlight w:val="none"/>
        </w:rPr>
      </w:r>
      <w:r/>
    </w:p>
    <w:p>
      <w:pPr>
        <w:jc w:val="left"/>
        <w:spacing w:line="360" w:lineRule="auto"/>
        <w:widowControl/>
        <w:rPr>
          <w:rFonts w:ascii="宋体" w:hAnsi="宋体" w:eastAsia="宋体" w:cs="宋体"/>
          <w:b/>
          <w:sz w:val="24"/>
          <w:szCs w:val="24"/>
          <w:highlight w:val="none"/>
        </w:rPr>
      </w:pPr>
      <w:r>
        <w:rPr>
          <w:rFonts w:hint="eastAsia" w:ascii="宋体" w:hAnsi="宋体" w:eastAsia="宋体" w:cs="宋体"/>
          <w:b/>
          <w:sz w:val="24"/>
          <w:szCs w:val="24"/>
          <w:highlight w:val="none"/>
        </w:rPr>
        <w:t xml:space="preserve">9、资格证明文件</w:t>
      </w:r>
      <w:r/>
    </w:p>
    <w:p>
      <w:pPr>
        <w:pStyle w:val="867"/>
        <w:ind w:firstLine="0"/>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pStyle w:val="867"/>
        <w:ind w:firstLine="0"/>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（1）关于资格文件的声明函</w:t>
      </w:r>
      <w:r/>
    </w:p>
    <w:p>
      <w:pPr>
        <w:pStyle w:val="867"/>
        <w:ind w:firstLine="0"/>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pStyle w:val="867"/>
        <w:ind w:firstLine="0"/>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关于资格文件的声明函</w:t>
      </w:r>
      <w:r/>
    </w:p>
    <w:p>
      <w:pPr>
        <w:pStyle w:val="867"/>
        <w:ind w:firstLine="0"/>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u w:val="single"/>
        </w:rPr>
        <w:t xml:space="preserve">招标代理单位</w:t>
      </w:r>
      <w:r>
        <w:rPr>
          <w:rFonts w:hint="eastAsia" w:ascii="宋体" w:hAnsi="宋体" w:eastAsia="宋体" w:cs="宋体"/>
          <w:sz w:val="24"/>
          <w:szCs w:val="24"/>
          <w:highlight w:val="none"/>
        </w:rPr>
        <w:t xml:space="preserve">：</w:t>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本公司拟对由贵公司组织实施的编号为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67"/>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（投标单位）法定代表人（签字或盖章）：</w:t>
      </w:r>
      <w:r/>
    </w:p>
    <w:p>
      <w:pPr>
        <w:pStyle w:val="867"/>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投标单位：（盖章）：</w:t>
      </w:r>
      <w:r/>
    </w:p>
    <w:p>
      <w:pPr>
        <w:pStyle w:val="867"/>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ascii="宋体" w:hAnsi="宋体" w:cs="宋体"/>
          <w:sz w:val="24"/>
          <w:highlight w:val="none"/>
        </w:rPr>
      </w:r>
      <w:r/>
    </w:p>
    <w:p>
      <w:pPr>
        <w:pStyle w:val="867"/>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（2）投标单位情况表</w:t>
      </w:r>
      <w:r/>
    </w:p>
    <w:p>
      <w:pPr>
        <w:pStyle w:val="867"/>
        <w:ind w:firstLine="0"/>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投标单位情况表</w:t>
      </w:r>
      <w:r/>
    </w:p>
    <w:p>
      <w:pPr>
        <w:pStyle w:val="867"/>
        <w:ind w:firstLine="0"/>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7"/>
        <w:ind w:firstLine="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2"/>
        <w:gridCol w:w="1198"/>
        <w:gridCol w:w="1198"/>
        <w:gridCol w:w="3028"/>
        <w:gridCol w:w="2412"/>
      </w:tblGrid>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成立日期</w:t>
            </w:r>
            <w:r/>
          </w:p>
        </w:tc>
        <w:tc>
          <w:tcPr>
            <w:gridSpan w:val="2"/>
            <w:tcW w:w="5440"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企业地址</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注册资本</w:t>
            </w:r>
            <w:r/>
          </w:p>
        </w:tc>
        <w:tc>
          <w:tcPr>
            <w:gridSpan w:val="2"/>
            <w:tcW w:w="5440" w:type="dxa"/>
            <w:vAlign w:val="center"/>
            <w:textDirection w:val="lrTb"/>
            <w:noWrap w:val="false"/>
          </w:tcPr>
          <w:p>
            <w:pPr>
              <w:pStyle w:val="867"/>
              <w:ind w:firstLine="2160"/>
              <w:rPr>
                <w:rFonts w:ascii="宋体" w:hAnsi="宋体" w:eastAsia="宋体" w:cs="宋体"/>
                <w:sz w:val="24"/>
                <w:szCs w:val="24"/>
                <w:highlight w:val="none"/>
              </w:rPr>
            </w:pPr>
            <w:r>
              <w:rPr>
                <w:rFonts w:hint="eastAsia" w:ascii="宋体" w:hAnsi="宋体" w:eastAsia="宋体" w:cs="宋体"/>
                <w:sz w:val="24"/>
                <w:szCs w:val="24"/>
                <w:highlight w:val="none"/>
              </w:rPr>
              <w:t xml:space="preserve">万元</w:t>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经营范围</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职工人数</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c>
          <w:tcPr>
            <w:gridSpan w:val="2"/>
            <w:tcW w:w="4226"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p>
        </w:tc>
        <w:tc>
          <w:tcPr>
            <w:tcW w:w="2412"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资产总计</w:t>
            </w:r>
            <w:r/>
          </w:p>
        </w:tc>
        <w:tc>
          <w:tcPr>
            <w:tcW w:w="1198" w:type="dxa"/>
            <w:vAlign w:val="center"/>
            <w:textDirection w:val="lrTb"/>
            <w:noWrap w:val="false"/>
          </w:tcPr>
          <w:p>
            <w:pPr>
              <w:pStyle w:val="867"/>
              <w:ind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万元</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净资产</w:t>
            </w:r>
            <w:r/>
          </w:p>
        </w:tc>
        <w:tc>
          <w:tcPr>
            <w:gridSpan w:val="2"/>
            <w:tcW w:w="5440" w:type="dxa"/>
            <w:vAlign w:val="center"/>
            <w:textDirection w:val="lrTb"/>
            <w:noWrap w:val="false"/>
          </w:tcPr>
          <w:p>
            <w:pPr>
              <w:pStyle w:val="867"/>
              <w:ind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万元</w:t>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股东权益</w:t>
            </w:r>
            <w:r/>
          </w:p>
        </w:tc>
        <w:tc>
          <w:tcPr>
            <w:tcW w:w="1198" w:type="dxa"/>
            <w:vAlign w:val="center"/>
            <w:textDirection w:val="lrTb"/>
            <w:noWrap w:val="false"/>
          </w:tcPr>
          <w:p>
            <w:pPr>
              <w:pStyle w:val="867"/>
              <w:ind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万元</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销售收入</w:t>
            </w:r>
            <w:r/>
          </w:p>
        </w:tc>
        <w:tc>
          <w:tcPr>
            <w:gridSpan w:val="2"/>
            <w:tcW w:w="5440" w:type="dxa"/>
            <w:vAlign w:val="center"/>
            <w:textDirection w:val="lrTb"/>
            <w:noWrap w:val="false"/>
          </w:tcPr>
          <w:p>
            <w:pPr>
              <w:pStyle w:val="867"/>
              <w:ind w:firstLine="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2025年           万元</w:t>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实现利润</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2025年     万元</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c>
          <w:tcPr>
            <w:gridSpan w:val="2"/>
            <w:tcW w:w="5440"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营业面积（含厂房面积）</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     平方米</w:t>
            </w:r>
            <w:r/>
          </w:p>
        </w:tc>
        <w:tc>
          <w:tcPr>
            <w:tcW w:w="1198"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其中：</w:t>
            </w:r>
            <w:r/>
          </w:p>
        </w:tc>
        <w:tc>
          <w:tcPr>
            <w:gridSpan w:val="2"/>
            <w:tcW w:w="5440"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自有面积        平方米</w:t>
            </w:r>
            <w:r/>
          </w:p>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承租面积        平方米</w:t>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单位优势及特长</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近三年来完成或正在履行的重大合同情况</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最近3年内在经营过程中受到何种奖励或处分（包括情况和结果）</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最近3年内有无因售假、售劣或是其他原因被消费者投诉或起诉的情况及说明（包括解决方式和结果）</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r>
        <w:trPr>
          <w:cantSplit/>
          <w:jc w:val="center"/>
        </w:trPr>
        <w:tc>
          <w:tcPr>
            <w:tcW w:w="1452" w:type="dxa"/>
            <w:vAlign w:val="center"/>
            <w:textDirection w:val="lrTb"/>
            <w:noWrap w:val="false"/>
          </w:tcPr>
          <w:p>
            <w:pPr>
              <w:pStyle w:val="867"/>
              <w:ind w:firstLine="0"/>
              <w:rPr>
                <w:rFonts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p>
        </w:tc>
        <w:tc>
          <w:tcPr>
            <w:gridSpan w:val="4"/>
            <w:tcW w:w="7836" w:type="dxa"/>
            <w:vAlign w:val="center"/>
            <w:textDirection w:val="lrTb"/>
            <w:noWrap w:val="false"/>
          </w:tcPr>
          <w:p>
            <w:pPr>
              <w:pStyle w:val="867"/>
              <w:ind w:firstLine="0"/>
              <w:rPr>
                <w:rFonts w:ascii="宋体" w:hAnsi="宋体" w:eastAsia="宋体" w:cs="宋体"/>
                <w:sz w:val="24"/>
                <w:szCs w:val="24"/>
                <w:highlight w:val="none"/>
              </w:rPr>
            </w:pPr>
            <w:r>
              <w:rPr>
                <w:rFonts w:ascii="宋体" w:hAnsi="宋体" w:eastAsia="宋体" w:cs="宋体"/>
                <w:sz w:val="24"/>
                <w:szCs w:val="24"/>
                <w:highlight w:val="none"/>
              </w:rPr>
            </w:r>
            <w:r/>
          </w:p>
        </w:tc>
      </w:tr>
    </w:tbl>
    <w:p>
      <w:pPr>
        <w:pStyle w:val="867"/>
        <w:ind w:left="0" w:firstLine="0"/>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867"/>
        <w:ind w:firstLine="0"/>
        <w:spacing w:line="360" w:lineRule="auto"/>
        <w:rPr>
          <w:rFonts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pStyle w:val="867"/>
        <w:ind w:firstLine="0"/>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pStyle w:val="867"/>
        <w:ind w:firstLine="0"/>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r/>
    </w:p>
    <w:p>
      <w:pPr>
        <w:pStyle w:val="867"/>
        <w:ind w:firstLine="0"/>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（3）中小企业声明函</w:t>
      </w:r>
      <w:r/>
    </w:p>
    <w:p>
      <w:pPr>
        <w:jc w:val="center"/>
        <w:spacing w:line="360" w:lineRule="auto"/>
        <w:rPr>
          <w:rFonts w:ascii="宋体" w:hAnsi="宋体" w:eastAsia="宋体" w:cs="宋体"/>
          <w:b/>
          <w:bCs/>
          <w:sz w:val="24"/>
          <w:szCs w:val="24"/>
          <w:highlight w:val="none"/>
          <w:lang w:val="zh-CN"/>
        </w:rPr>
      </w:pPr>
      <w:r>
        <w:rPr>
          <w:rFonts w:ascii="宋体" w:hAnsi="宋体" w:eastAsia="宋体" w:cs="宋体"/>
          <w:b/>
          <w:bCs/>
          <w:sz w:val="24"/>
          <w:szCs w:val="24"/>
          <w:highlight w:val="none"/>
          <w:lang w:val="zh-CN"/>
        </w:rPr>
      </w:r>
      <w:r/>
    </w:p>
    <w:p>
      <w:pPr>
        <w:jc w:val="center"/>
        <w:spacing w:line="360" w:lineRule="auto"/>
        <w:rPr>
          <w:rFonts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中小企业声明函</w:t>
      </w:r>
      <w:r/>
    </w:p>
    <w:p>
      <w:pPr>
        <w:pStyle w:val="893"/>
        <w:spacing w:line="360" w:lineRule="auto"/>
        <w:rPr>
          <w:rFonts w:hAnsi="宋体" w:eastAsia="宋体" w:cs="宋体"/>
          <w:sz w:val="24"/>
          <w:szCs w:val="24"/>
          <w:highlight w:val="none"/>
          <w:lang w:val="zh-CN"/>
        </w:rPr>
      </w:pPr>
      <w:r>
        <w:rPr>
          <w:rFonts w:hAnsi="宋体" w:eastAsia="宋体" w:cs="宋体"/>
          <w:sz w:val="24"/>
          <w:szCs w:val="24"/>
          <w:highlight w:val="none"/>
          <w:lang w:val="zh-CN"/>
        </w:rPr>
      </w:r>
      <w:r/>
    </w:p>
    <w:p>
      <w:pPr>
        <w:ind w:firstLine="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本公司郑重声明，根据《政府采购促进中小企业发展管理办法》（财库﹝2020﹞46 号）的规定，本公司参加</w:t>
      </w:r>
      <w:r>
        <w:rPr>
          <w:rFonts w:hint="eastAsia" w:ascii="宋体" w:hAnsi="宋体" w:eastAsia="宋体" w:cs="宋体"/>
          <w:sz w:val="24"/>
          <w:szCs w:val="24"/>
          <w:highlight w:val="none"/>
          <w:u w:val="single"/>
          <w:lang w:val="zh-CN"/>
        </w:rPr>
        <w:t xml:space="preserve">苏州市石湖景区管理处（华南虎苏州培育基地）</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u w:val="single"/>
          <w:lang w:val="zh-CN"/>
        </w:rPr>
        <w:t xml:space="preserve">2026-2027年动、植物园保安项目</w:t>
      </w:r>
      <w:r>
        <w:rPr>
          <w:rFonts w:hint="eastAsia" w:ascii="宋体" w:hAnsi="宋体" w:eastAsia="宋体" w:cs="宋体"/>
          <w:sz w:val="24"/>
          <w:szCs w:val="24"/>
          <w:highlight w:val="none"/>
          <w:lang w:val="zh-CN"/>
        </w:rPr>
        <w:t xml:space="preserve">采购活动，工程的施工单位全部为符合政策要求的中小企业（或者：服务全部由符合政策要求的中小企业承接）。相关企业的具体情况如下：</w:t>
      </w:r>
      <w:r/>
    </w:p>
    <w:p>
      <w:pPr>
        <w:ind w:firstLine="480"/>
        <w:spacing w:line="360" w:lineRule="auto"/>
        <w:rPr>
          <w:rFonts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1.</w:t>
      </w:r>
      <w:r>
        <w:rPr>
          <w:rFonts w:hint="eastAsia" w:ascii="宋体" w:hAnsi="宋体" w:eastAsia="宋体" w:cs="宋体"/>
          <w:b/>
          <w:sz w:val="24"/>
          <w:szCs w:val="24"/>
          <w:highlight w:val="none"/>
          <w:u w:val="single"/>
          <w:lang w:val="zh-CN"/>
        </w:rPr>
        <w:t xml:space="preserve">2026-2027年动、植物园保安项目</w:t>
      </w:r>
      <w:r>
        <w:rPr>
          <w:rFonts w:hint="eastAsia" w:ascii="宋体" w:hAnsi="宋体" w:eastAsia="宋体" w:cs="宋体"/>
          <w:sz w:val="24"/>
          <w:szCs w:val="24"/>
          <w:highlight w:val="none"/>
          <w:lang w:val="zh-CN"/>
        </w:rPr>
        <w:t xml:space="preserve">，属于</w:t>
      </w:r>
      <w:r>
        <w:rPr>
          <w:rFonts w:hint="eastAsia" w:ascii="宋体" w:hAnsi="宋体" w:eastAsia="宋体" w:cs="宋体"/>
          <w:b/>
          <w:sz w:val="24"/>
          <w:szCs w:val="24"/>
          <w:highlight w:val="none"/>
          <w:u w:val="single"/>
          <w:lang w:val="zh-CN"/>
        </w:rPr>
        <w:t xml:space="preserve">租赁和商务服务业</w:t>
      </w:r>
      <w:r>
        <w:rPr>
          <w:rFonts w:hint="eastAsia" w:ascii="宋体" w:hAnsi="宋体" w:eastAsia="宋体" w:cs="宋体"/>
          <w:sz w:val="24"/>
          <w:szCs w:val="24"/>
          <w:highlight w:val="none"/>
          <w:lang w:val="zh-CN"/>
        </w:rPr>
        <w:t xml:space="preserve">；承建（承接）企业为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，从业人员</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人，营业收入为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万元，资产总额为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万元，属于</w:t>
      </w:r>
      <w:r>
        <w:rPr>
          <w:rFonts w:hint="eastAsia" w:ascii="宋体" w:hAnsi="宋体" w:eastAsia="宋体" w:cs="宋体"/>
          <w:sz w:val="24"/>
          <w:szCs w:val="24"/>
          <w:highlight w:val="none"/>
          <w:u w:val="single"/>
          <w:lang w:val="zh-CN"/>
        </w:rPr>
        <w:t xml:space="preserve">（中型企业、小型企业、微型企业）</w:t>
      </w:r>
      <w:r>
        <w:rPr>
          <w:rFonts w:hint="eastAsia" w:ascii="宋体" w:hAnsi="宋体" w:eastAsia="宋体" w:cs="宋体"/>
          <w:sz w:val="24"/>
          <w:szCs w:val="24"/>
          <w:highlight w:val="none"/>
          <w:lang w:val="zh-CN"/>
        </w:rPr>
        <w:t xml:space="preserve">；</w:t>
      </w:r>
      <w:r>
        <w:rPr>
          <w:rFonts w:hint="eastAsia" w:ascii="宋体" w:hAnsi="宋体" w:eastAsia="宋体" w:cs="宋体"/>
          <w:b/>
          <w:sz w:val="24"/>
          <w:szCs w:val="24"/>
          <w:highlight w:val="none"/>
          <w:lang w:val="zh-CN"/>
        </w:rPr>
        <w:t xml:space="preserve">注：（企业类型选填一项）</w:t>
      </w:r>
      <w:r/>
    </w:p>
    <w:p>
      <w:pPr>
        <w:ind w:firstLine="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u w:val="single"/>
          <w:lang w:val="zh-CN"/>
        </w:rPr>
        <w:t xml:space="preserve">（标的名称） </w:t>
      </w:r>
      <w:r>
        <w:rPr>
          <w:rFonts w:hint="eastAsia" w:ascii="宋体" w:hAnsi="宋体" w:eastAsia="宋体" w:cs="宋体"/>
          <w:sz w:val="24"/>
          <w:szCs w:val="24"/>
          <w:highlight w:val="none"/>
          <w:lang w:val="zh-CN"/>
        </w:rPr>
        <w:t xml:space="preserve">，属于</w:t>
      </w:r>
      <w:r>
        <w:rPr>
          <w:rFonts w:hint="eastAsia" w:ascii="宋体" w:hAnsi="宋体" w:eastAsia="宋体" w:cs="宋体"/>
          <w:b/>
          <w:sz w:val="24"/>
          <w:szCs w:val="24"/>
          <w:highlight w:val="none"/>
          <w:u w:val="single"/>
          <w:lang w:val="zh-CN"/>
        </w:rPr>
        <w:t xml:space="preserve">租赁和商务服务业</w:t>
      </w:r>
      <w:r>
        <w:rPr>
          <w:rFonts w:hint="eastAsia" w:ascii="宋体" w:hAnsi="宋体" w:eastAsia="宋体" w:cs="宋体"/>
          <w:sz w:val="24"/>
          <w:szCs w:val="24"/>
          <w:highlight w:val="none"/>
          <w:lang w:val="zh-CN"/>
        </w:rPr>
        <w:t xml:space="preserve">；承建（承接）企业为</w:t>
      </w:r>
      <w:r>
        <w:rPr>
          <w:rFonts w:hint="eastAsia" w:ascii="宋体" w:hAnsi="宋体" w:eastAsia="宋体" w:cs="宋体"/>
          <w:sz w:val="24"/>
          <w:szCs w:val="24"/>
          <w:highlight w:val="none"/>
          <w:u w:val="single"/>
          <w:lang w:val="zh-CN"/>
        </w:rPr>
        <w:t xml:space="preserve">（企业名称）</w:t>
      </w:r>
      <w:r>
        <w:rPr>
          <w:rFonts w:hint="eastAsia" w:ascii="宋体" w:hAnsi="宋体" w:eastAsia="宋体" w:cs="宋体"/>
          <w:sz w:val="24"/>
          <w:szCs w:val="24"/>
          <w:highlight w:val="none"/>
          <w:lang w:val="zh-CN"/>
        </w:rPr>
        <w:t xml:space="preserve">，从业人员</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人，营业收入为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万元，资产总额为</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万元，属于</w:t>
      </w:r>
      <w:r>
        <w:rPr>
          <w:rFonts w:hint="eastAsia" w:ascii="宋体" w:hAnsi="宋体" w:eastAsia="宋体" w:cs="宋体"/>
          <w:sz w:val="24"/>
          <w:szCs w:val="24"/>
          <w:highlight w:val="none"/>
          <w:u w:val="single"/>
          <w:lang w:val="zh-CN"/>
        </w:rPr>
        <w:t xml:space="preserve">（中型企业、小型企业、微型企业）</w:t>
      </w:r>
      <w:r>
        <w:rPr>
          <w:rFonts w:hint="eastAsia" w:ascii="宋体" w:hAnsi="宋体" w:eastAsia="宋体" w:cs="宋体"/>
          <w:sz w:val="24"/>
          <w:szCs w:val="24"/>
          <w:highlight w:val="none"/>
          <w:lang w:val="zh-CN"/>
        </w:rPr>
        <w:t xml:space="preserve">；</w:t>
      </w:r>
      <w:r/>
    </w:p>
    <w:p>
      <w:pPr>
        <w:ind w:left="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2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企业名称（盖章）：</w:t>
      </w:r>
      <w:r/>
    </w:p>
    <w:p>
      <w:pPr>
        <w:ind w:firstLine="42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w:t>
      </w:r>
      <w:r/>
    </w:p>
    <w:p>
      <w:pPr>
        <w:ind w:firstLine="420"/>
        <w:spacing w:line="360" w:lineRule="auto"/>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ind w:firstLine="42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ascii="宋体" w:hAnsi="宋体" w:cs="宋体"/>
          <w:sz w:val="24"/>
          <w:highlight w:val="none"/>
        </w:rPr>
      </w:r>
      <w:r/>
    </w:p>
    <w:p>
      <w:pPr>
        <w:pStyle w:val="869"/>
        <w:rPr>
          <w:rFonts w:ascii="宋体" w:hAnsi="宋体" w:cs="宋体"/>
          <w:sz w:val="24"/>
          <w:highlight w:val="none"/>
        </w:rPr>
      </w:pPr>
      <w:r>
        <w:rPr>
          <w:rFonts w:hint="eastAsia" w:ascii="宋体" w:hAnsi="宋体" w:cs="宋体"/>
          <w:sz w:val="24"/>
          <w:highlight w:val="none"/>
        </w:rPr>
        <w:t xml:space="preserve">注：从业人员、营业收入、资产总额填报上一年度数据，无上一年度数据的新成立企业可不填报。</w:t>
      </w:r>
      <w:r/>
    </w:p>
    <w:p>
      <w:pPr>
        <w:pStyle w:val="869"/>
        <w:rPr>
          <w:rFonts w:ascii="宋体" w:hAnsi="宋体" w:cs="宋体"/>
          <w:sz w:val="24"/>
          <w:highlight w:val="none"/>
        </w:rPr>
      </w:pPr>
      <w:r>
        <w:rPr>
          <w:rFonts w:ascii="宋体" w:hAnsi="宋体" w:cs="宋体"/>
          <w:sz w:val="24"/>
          <w:highlight w:val="none"/>
        </w:rPr>
      </w:r>
      <w:r/>
    </w:p>
    <w:p>
      <w:pPr>
        <w:spacing w:before="156" w:line="48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附：中小企业划型标准规定（工信部联企业〔2011〕300号）</w:t>
      </w:r>
      <w:r/>
    </w:p>
    <w:p>
      <w:pPr>
        <w:ind w:firstLine="420"/>
        <w:spacing w:line="48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（一）农、林、牧、渔业。</w:t>
      </w:r>
      <w:r>
        <w:rPr>
          <w:rFonts w:hint="eastAsia"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（二）工业。</w:t>
      </w:r>
      <w:r>
        <w:rPr>
          <w:rFonts w:hint="eastAsia"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（三）建筑业。</w:t>
      </w:r>
      <w:r>
        <w:rPr>
          <w:rFonts w:hint="eastAsia"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（四）批发业。</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（五）零售业。</w:t>
      </w:r>
      <w:r>
        <w:rPr>
          <w:rFonts w:hint="eastAsia"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（六）交通运输业。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（七）仓储业。</w:t>
      </w:r>
      <w:r>
        <w:rPr>
          <w:rFonts w:hint="eastAsia"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（八）邮政业。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（九）住宿业。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（十）餐饮业。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（十一）信息传输业。</w:t>
      </w:r>
      <w:r>
        <w:rPr>
          <w:rFonts w:hint="eastAsia"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（十二）软件和信息技术服务业。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（十三）房地产开发经营。</w:t>
      </w:r>
      <w:r>
        <w:rPr>
          <w:rFonts w:hint="eastAsia"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（十四）物业管理。</w:t>
      </w:r>
      <w:r>
        <w:rPr>
          <w:rFonts w:hint="eastAsia" w:ascii="宋体" w:hAnsi="宋体" w:eastAsia="宋体" w:cs="宋体"/>
          <w:sz w:val="24"/>
          <w:szCs w:val="24"/>
          <w:highlight w:val="none"/>
        </w:rPr>
        <w:t xml:space="preserve">从业人员1000人以下或营业收入5000万元以下的为中小微型企业。其中，从业人员</w:t>
      </w:r>
      <w:r/>
    </w:p>
    <w:p>
      <w:pPr>
        <w:spacing w:before="156" w:line="4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（十五）租赁和商务服务业。</w:t>
      </w:r>
      <w:r>
        <w:rPr>
          <w:rFonts w:hint="eastAsia"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480" w:lineRule="exact"/>
        <w:rPr>
          <w:rFonts w:ascii="宋体" w:hAnsi="宋体" w:eastAsia="宋体" w:cs="宋体"/>
          <w:sz w:val="24"/>
          <w:szCs w:val="24"/>
          <w:highlight w:val="none"/>
        </w:rPr>
      </w:pPr>
      <w:r>
        <w:rPr>
          <w:rFonts w:hint="eastAsia" w:ascii="宋体" w:hAnsi="宋体" w:eastAsia="宋体" w:cs="宋体"/>
          <w:b/>
          <w:sz w:val="24"/>
          <w:szCs w:val="24"/>
          <w:highlight w:val="none"/>
        </w:rPr>
        <w:t xml:space="preserve">（十六）其他未列明行业。</w:t>
      </w:r>
      <w:r>
        <w:rPr>
          <w:rFonts w:hint="eastAsia"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p>
    <w:p>
      <w:pPr>
        <w:rPr>
          <w:rFonts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spacing w:line="360" w:lineRule="auto"/>
        <w:rPr>
          <w:rFonts w:ascii="宋体" w:hAnsi="宋体" w:eastAsia="宋体" w:cs="宋体"/>
          <w:b/>
          <w:bCs/>
          <w:sz w:val="24"/>
          <w:szCs w:val="24"/>
          <w:highlight w:val="none"/>
        </w:rPr>
      </w:pPr>
      <w:r>
        <w:rPr>
          <w:rFonts w:hint="eastAsia" w:ascii="宋体" w:hAnsi="宋体" w:eastAsia="宋体" w:cs="宋体"/>
          <w:b/>
          <w:sz w:val="24"/>
          <w:szCs w:val="24"/>
          <w:highlight w:val="none"/>
        </w:rPr>
        <w:t xml:space="preserve">（4）</w:t>
      </w:r>
      <w:r>
        <w:rPr>
          <w:rFonts w:hint="eastAsia" w:ascii="宋体" w:hAnsi="宋体" w:eastAsia="宋体" w:cs="宋体"/>
          <w:b/>
          <w:bCs/>
          <w:sz w:val="24"/>
          <w:szCs w:val="24"/>
          <w:highlight w:val="none"/>
        </w:rPr>
        <w:t xml:space="preserve">残疾人福利性单位声明函</w:t>
      </w:r>
      <w:r/>
    </w:p>
    <w:p>
      <w:pPr>
        <w:spacing w:line="360" w:lineRule="auto"/>
        <w:rPr>
          <w:rFonts w:ascii="宋体" w:hAnsi="宋体" w:eastAsia="宋体" w:cs="宋体"/>
          <w:b/>
          <w:bCs/>
          <w:sz w:val="24"/>
          <w:szCs w:val="24"/>
          <w:highlight w:val="none"/>
        </w:rPr>
      </w:pPr>
      <w:r>
        <w:rPr>
          <w:rFonts w:ascii="宋体" w:hAnsi="宋体" w:eastAsia="宋体" w:cs="宋体"/>
          <w:b/>
          <w:bCs/>
          <w:sz w:val="24"/>
          <w:szCs w:val="24"/>
          <w:highlight w:val="none"/>
        </w:rPr>
      </w:r>
      <w:r/>
    </w:p>
    <w:p>
      <w:pPr>
        <w:pStyle w:val="908"/>
        <w:jc w:val="center"/>
        <w:spacing w:beforeAutospacing="0" w:afterAutospacing="0" w:line="360" w:lineRule="auto"/>
        <w:widowControl/>
        <w:rPr>
          <w:rFonts w:ascii="宋体" w:hAnsi="宋体" w:eastAsia="宋体" w:cs="宋体"/>
          <w:b/>
          <w:bCs/>
          <w:szCs w:val="24"/>
          <w:highlight w:val="none"/>
        </w:rPr>
      </w:pPr>
      <w:r>
        <w:rPr>
          <w:rFonts w:hint="eastAsia" w:ascii="宋体" w:hAnsi="宋体" w:eastAsia="宋体" w:cs="宋体"/>
          <w:b/>
          <w:bCs/>
          <w:szCs w:val="24"/>
          <w:highlight w:val="none"/>
        </w:rPr>
        <w:t xml:space="preserve">残疾人福利性单位声明函</w:t>
      </w:r>
      <w:r/>
    </w:p>
    <w:p>
      <w:pPr>
        <w:pStyle w:val="908"/>
        <w:ind w:firstLine="420"/>
        <w:spacing w:beforeAutospacing="0" w:afterAutospacing="0" w:line="360" w:lineRule="auto"/>
        <w:widowControl/>
        <w:rPr>
          <w:rFonts w:ascii="宋体" w:hAnsi="宋体" w:eastAsia="宋体" w:cs="宋体"/>
          <w:szCs w:val="24"/>
          <w:highlight w:val="none"/>
        </w:rPr>
      </w:pPr>
      <w:r>
        <w:rPr>
          <w:rFonts w:ascii="宋体" w:hAnsi="宋体" w:eastAsia="宋体" w:cs="宋体"/>
          <w:szCs w:val="24"/>
          <w:highlight w:val="none"/>
        </w:rPr>
      </w:r>
      <w:r/>
    </w:p>
    <w:p>
      <w:pPr>
        <w:pStyle w:val="908"/>
        <w:ind w:firstLine="420"/>
        <w:spacing w:beforeAutospacing="0" w:afterAutospacing="0" w:line="360" w:lineRule="auto"/>
        <w:widowControl/>
        <w:rPr>
          <w:rFonts w:ascii="宋体" w:hAnsi="宋体" w:eastAsia="宋体" w:cs="宋体"/>
          <w:szCs w:val="24"/>
          <w:highlight w:val="none"/>
        </w:rPr>
      </w:pPr>
      <w:r>
        <w:rPr>
          <w:rFonts w:hint="eastAsia" w:ascii="宋体" w:hAnsi="宋体" w:eastAsia="宋体" w:cs="宋体"/>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8"/>
        <w:ind w:firstLine="420"/>
        <w:spacing w:beforeAutospacing="0" w:afterAutospacing="0" w:line="360" w:lineRule="auto"/>
        <w:widowControl/>
        <w:rPr>
          <w:rFonts w:ascii="宋体" w:hAnsi="宋体" w:eastAsia="宋体" w:cs="宋体"/>
          <w:szCs w:val="24"/>
          <w:highlight w:val="none"/>
        </w:rPr>
      </w:pPr>
      <w:r>
        <w:rPr>
          <w:rFonts w:hint="eastAsia" w:ascii="宋体" w:hAnsi="宋体" w:eastAsia="宋体" w:cs="宋体"/>
          <w:szCs w:val="24"/>
          <w:highlight w:val="none"/>
        </w:rPr>
        <w:t xml:space="preserve">本单位对上述声明的真实性负责。如有虚假，将依法承担相应责任。</w:t>
      </w:r>
      <w:r/>
    </w:p>
    <w:p>
      <w:pPr>
        <w:pStyle w:val="908"/>
        <w:ind w:firstLine="420"/>
        <w:spacing w:beforeAutospacing="0" w:afterAutospacing="0" w:line="360" w:lineRule="auto"/>
        <w:widowControl/>
        <w:rPr>
          <w:rFonts w:ascii="宋体" w:hAnsi="宋体" w:eastAsia="宋体" w:cs="宋体"/>
          <w:szCs w:val="24"/>
          <w:highlight w:val="none"/>
        </w:rPr>
      </w:pPr>
      <w:r>
        <w:rPr>
          <w:rFonts w:ascii="宋体" w:hAnsi="宋体" w:eastAsia="宋体" w:cs="宋体"/>
          <w:szCs w:val="24"/>
          <w:highlight w:val="none"/>
        </w:rPr>
      </w:r>
      <w:r/>
    </w:p>
    <w:p>
      <w:pPr>
        <w:pStyle w:val="908"/>
        <w:ind w:firstLine="420"/>
        <w:spacing w:beforeAutospacing="0" w:afterAutospacing="0" w:line="360" w:lineRule="auto"/>
        <w:widowControl/>
        <w:rPr>
          <w:rFonts w:ascii="宋体" w:hAnsi="宋体" w:eastAsia="宋体" w:cs="宋体"/>
          <w:szCs w:val="24"/>
          <w:highlight w:val="none"/>
        </w:rPr>
      </w:pPr>
      <w:r>
        <w:rPr>
          <w:rFonts w:ascii="宋体" w:hAnsi="宋体" w:eastAsia="宋体" w:cs="宋体"/>
          <w:szCs w:val="24"/>
          <w:highlight w:val="none"/>
        </w:rPr>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24"/>
          <w:szCs w:val="24"/>
          <w:highlight w:val="none"/>
        </w:rPr>
        <w:t xml:space="preserve">（5）《投标（响应）保证承诺书》</w:t>
      </w:r>
      <w:r/>
    </w:p>
    <w:p>
      <w:pPr>
        <w:pStyle w:val="867"/>
        <w:ind w:firstLine="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908"/>
        <w:jc w:val="center"/>
        <w:spacing w:before="0" w:beforeAutospacing="0" w:after="0" w:afterAutospacing="0"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投标（响应）保证承诺书</w:t>
      </w:r>
      <w:r/>
    </w:p>
    <w:p>
      <w:pPr>
        <w:pStyle w:val="908"/>
        <w:jc w:val="center"/>
        <w:spacing w:before="0" w:beforeAutospacing="0" w:after="0" w:afterAutospacing="0" w:line="360" w:lineRule="auto"/>
        <w:rPr>
          <w:rFonts w:ascii="宋体" w:hAnsi="宋体" w:eastAsia="宋体" w:cs="宋体"/>
          <w:b/>
          <w:bCs/>
          <w:szCs w:val="24"/>
          <w:highlight w:val="none"/>
        </w:rPr>
      </w:pPr>
      <w:r>
        <w:rPr>
          <w:rFonts w:ascii="宋体" w:hAnsi="宋体" w:eastAsia="宋体" w:cs="宋体"/>
          <w:b/>
          <w:bCs/>
          <w:szCs w:val="24"/>
          <w:highlight w:val="none"/>
        </w:rPr>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致：</w:t>
      </w:r>
      <w:r>
        <w:rPr>
          <w:rFonts w:hint="eastAsia" w:ascii="宋体" w:hAnsi="宋体" w:eastAsia="宋体" w:cs="宋体"/>
          <w:szCs w:val="24"/>
          <w:highlight w:val="none"/>
          <w:u w:val="single"/>
        </w:rPr>
        <w:t xml:space="preserve">（采购代理机构名称）</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我（单位/本人，以下统称我单位）自愿参加</w:t>
      </w:r>
      <w:r>
        <w:rPr>
          <w:rFonts w:hint="eastAsia" w:ascii="宋体" w:hAnsi="宋体" w:eastAsia="宋体" w:cs="宋体"/>
          <w:szCs w:val="24"/>
          <w:highlight w:val="none"/>
          <w:u w:val="single"/>
        </w:rPr>
        <w:t xml:space="preserve"> （项目名称和采购编号） </w:t>
      </w:r>
      <w:r>
        <w:rPr>
          <w:rFonts w:hint="eastAsia" w:ascii="宋体" w:hAnsi="宋体" w:eastAsia="宋体" w:cs="宋体"/>
          <w:szCs w:val="24"/>
          <w:highlight w:val="none"/>
        </w:rPr>
        <w:t xml:space="preserve">的投标（响应）,并做出如下承诺：</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一、除不可抗力外，我单位如果发生以下行为，将在行为发生的10个工作日内，向贵方</w:t>
      </w:r>
      <w:r>
        <w:rPr>
          <w:rFonts w:hint="eastAsia" w:ascii="宋体" w:hAnsi="宋体" w:eastAsia="宋体" w:cs="宋体"/>
          <w:szCs w:val="24"/>
          <w:highlight w:val="none"/>
          <w:u w:val="single"/>
        </w:rPr>
        <w:t xml:space="preserve">（或采购人）</w:t>
      </w:r>
      <w:r>
        <w:rPr>
          <w:rFonts w:hint="eastAsia" w:ascii="宋体" w:hAnsi="宋体" w:eastAsia="宋体" w:cs="宋体"/>
          <w:szCs w:val="24"/>
          <w:highlight w:val="none"/>
        </w:rPr>
        <w:t xml:space="preserve">支付本采购文件公布的预算金额（或最高限价）的2%作为违约赔偿金（数量不确定的单价采购须约定具体金额）。</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1.自投标（响应）截止时间至本项目发布中标（成交）公告为止，撤销投标（响应）；</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2. 中标（成交）后不依法与采购人签订合同；</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3. 中标（成交）后不按本采购文件规定向采购人提交履约保证金；</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4. 中标（成交）后不按本采购文件规定向贵方缴纳采购代理费。</w:t>
      </w:r>
      <w:r/>
    </w:p>
    <w:p>
      <w:pPr>
        <w:pStyle w:val="908"/>
        <w:ind w:firstLine="420"/>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二、我单位知晓上述行为的法律后果，承认本承诺书作为贵方</w:t>
      </w:r>
      <w:r>
        <w:rPr>
          <w:rFonts w:hint="eastAsia" w:ascii="宋体" w:hAnsi="宋体" w:eastAsia="宋体" w:cs="宋体"/>
          <w:szCs w:val="24"/>
          <w:highlight w:val="none"/>
          <w:u w:val="single"/>
        </w:rPr>
        <w:t xml:space="preserve">（或采购人）</w:t>
      </w:r>
      <w:r>
        <w:rPr>
          <w:rFonts w:hint="eastAsia" w:ascii="宋体" w:hAnsi="宋体" w:eastAsia="宋体" w:cs="宋体"/>
          <w:szCs w:val="24"/>
          <w:highlight w:val="none"/>
        </w:rPr>
        <w:t xml:space="preserve">要求我单位履行违约赔偿义务的依据作用。</w:t>
      </w:r>
      <w:r/>
    </w:p>
    <w:p>
      <w:pPr>
        <w:pStyle w:val="908"/>
        <w:ind w:firstLine="420"/>
        <w:spacing w:before="0" w:beforeAutospacing="0" w:after="0" w:afterAutospacing="0" w:line="360" w:lineRule="auto"/>
        <w:rPr>
          <w:rFonts w:ascii="宋体" w:hAnsi="宋体" w:eastAsia="宋体" w:cs="宋体"/>
          <w:szCs w:val="24"/>
          <w:highlight w:val="none"/>
        </w:rPr>
      </w:pPr>
      <w:r>
        <w:rPr>
          <w:rFonts w:ascii="宋体" w:hAnsi="宋体" w:eastAsia="宋体" w:cs="宋体"/>
          <w:szCs w:val="24"/>
          <w:highlight w:val="none"/>
        </w:rPr>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投标（响应）人：（盖公章）</w:t>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地址：  </w:t>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电话：             传真：  </w:t>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电子邮件：         邮编：  </w:t>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法定代表人或委托代理人(签字或盖章)：          </w:t>
      </w:r>
      <w:r/>
    </w:p>
    <w:p>
      <w:pPr>
        <w:pStyle w:val="908"/>
        <w:spacing w:before="0" w:beforeAutospacing="0" w:after="0" w:afterAutospacing="0" w:line="360" w:lineRule="auto"/>
        <w:rPr>
          <w:rFonts w:ascii="宋体" w:hAnsi="宋体" w:eastAsia="宋体" w:cs="宋体"/>
          <w:szCs w:val="24"/>
          <w:highlight w:val="none"/>
        </w:rPr>
      </w:pPr>
      <w:r>
        <w:rPr>
          <w:rFonts w:hint="eastAsia" w:ascii="宋体" w:hAnsi="宋体" w:eastAsia="宋体" w:cs="宋体"/>
          <w:szCs w:val="24"/>
          <w:highlight w:val="none"/>
        </w:rPr>
        <w:t xml:space="preserve">日期：</w:t>
      </w:r>
      <w:r/>
    </w:p>
    <w:p>
      <w:pPr>
        <w:pStyle w:val="950"/>
        <w:ind w:firstLine="0"/>
        <w:spacing w:line="360" w:lineRule="auto"/>
        <w:rPr>
          <w:rFonts w:hAnsi="宋体" w:eastAsia="宋体" w:cs="宋体"/>
          <w:b/>
          <w:sz w:val="24"/>
          <w:szCs w:val="24"/>
          <w:highlight w:val="none"/>
        </w:rPr>
      </w:pPr>
      <w:r>
        <w:rPr>
          <w:rFonts w:hint="eastAsia" w:hAnsi="宋体" w:eastAsia="宋体" w:cs="宋体"/>
          <w:sz w:val="24"/>
          <w:szCs w:val="24"/>
          <w:highlight w:val="none"/>
        </w:rPr>
        <w:br w:type="page" w:clear="all"/>
      </w:r>
      <w:r>
        <w:rPr>
          <w:rFonts w:hint="eastAsia" w:hAnsi="宋体" w:eastAsia="宋体" w:cs="宋体"/>
          <w:b/>
          <w:sz w:val="24"/>
          <w:szCs w:val="24"/>
          <w:highlight w:val="none"/>
        </w:rPr>
        <w:t xml:space="preserve">（6）投标单位与其他单位存在直接控股、管理关系情况表</w:t>
      </w:r>
      <w:r/>
    </w:p>
    <w:p>
      <w:pPr>
        <w:jc w:val="cente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jc w:val="center"/>
        <w:spacing w:line="360" w:lineRule="auto"/>
        <w:widowControl/>
        <w:rPr>
          <w:rFonts w:ascii="宋体" w:hAnsi="宋体" w:eastAsia="宋体" w:cs="宋体"/>
          <w:b/>
          <w:sz w:val="24"/>
          <w:szCs w:val="24"/>
          <w:highlight w:val="none"/>
          <w:shd w:val="clear" w:color="auto" w:fill="ffffff"/>
        </w:rPr>
      </w:pPr>
      <w:r>
        <w:rPr>
          <w:rFonts w:hint="eastAsia" w:ascii="宋体" w:hAnsi="宋体" w:eastAsia="宋体" w:cs="宋体"/>
          <w:b/>
          <w:sz w:val="24"/>
          <w:szCs w:val="24"/>
          <w:highlight w:val="none"/>
          <w:shd w:val="clear" w:color="auto" w:fill="ffffff"/>
        </w:rPr>
        <w:t xml:space="preserve">投标单位与其他单位存在直接控股、管理关系情况表</w:t>
      </w:r>
      <w:r/>
    </w:p>
    <w:p>
      <w:pPr>
        <w:pStyle w:val="950"/>
        <w:ind w:firstLine="420"/>
        <w:rPr>
          <w:rFonts w:hAnsi="宋体" w:eastAsia="宋体" w:cs="宋体"/>
          <w:sz w:val="24"/>
          <w:szCs w:val="24"/>
          <w:highlight w:val="none"/>
        </w:rPr>
      </w:pPr>
      <w:r>
        <w:rPr>
          <w:rFonts w:hAnsi="宋体" w:eastAsia="宋体" w:cs="宋体"/>
          <w:sz w:val="24"/>
          <w:szCs w:val="24"/>
          <w:highlight w:val="none"/>
        </w:rPr>
      </w:r>
      <w:r/>
    </w:p>
    <w:p>
      <w:pPr>
        <w:ind w:firstLine="420"/>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单位名称：</w:t>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1704"/>
        <w:gridCol w:w="1506"/>
        <w:gridCol w:w="1580"/>
        <w:gridCol w:w="1440"/>
        <w:gridCol w:w="1711"/>
        <w:gridCol w:w="1268"/>
      </w:tblGrid>
      <w:tr>
        <w:trPr>
          <w:jc w:val="center"/>
          <w:trHeight w:val="766"/>
        </w:trPr>
        <w:tc>
          <w:tcPr>
            <w:gridSpan w:val="4"/>
            <w:tcW w:w="611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与投标单位存在直接股权关系</w:t>
            </w:r>
            <w:r/>
          </w:p>
        </w:tc>
        <w:tc>
          <w:tcPr>
            <w:gridSpan w:val="3"/>
            <w:tcW w:w="4419"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与投标单位存在直接管理关系</w:t>
            </w:r>
            <w:r/>
          </w:p>
        </w:tc>
      </w:tr>
      <w:tr>
        <w:trPr>
          <w:jc w:val="center"/>
          <w:trHeight w:val="768"/>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单位名称</w:t>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是否为大型企业</w:t>
            </w:r>
            <w:r/>
          </w:p>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（填写“是”或 “否”）</w:t>
            </w:r>
            <w:r/>
          </w:p>
        </w:tc>
        <w:tc>
          <w:tcPr>
            <w:tcW w:w="1506" w:type="dxa"/>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是否直接控股</w:t>
            </w:r>
            <w:r/>
          </w:p>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（填写“是”或 “否”）</w:t>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单位名称</w:t>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是否为大型企业</w:t>
            </w:r>
            <w:r/>
          </w:p>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（填写“是”或 “否”）</w:t>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直接管理关系情况说明</w:t>
            </w:r>
            <w:r/>
          </w:p>
        </w:tc>
      </w:tr>
      <w:tr>
        <w:trPr>
          <w:jc w:val="center"/>
          <w:trHeight w:val="850"/>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Height w:val="850"/>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Height w:val="850"/>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Height w:val="850"/>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Height w:val="850"/>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r>
        <w:trPr>
          <w:jc w:val="center"/>
          <w:trHeight w:val="850"/>
        </w:trPr>
        <w:tc>
          <w:tcPr>
            <w:tcW w:w="132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04"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06"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58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440"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711"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c>
          <w:tcPr>
            <w:tcW w:w="1268" w:type="dxa"/>
            <w:vAlign w:val="center"/>
            <w:textDirection w:val="lrTb"/>
            <w:noWrap w:val="false"/>
          </w:tcPr>
          <w:p>
            <w:pPr>
              <w:jc w:val="center"/>
              <w:widowControl/>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r>
            <w:r/>
          </w:p>
        </w:tc>
      </w:tr>
    </w:tbl>
    <w:p>
      <w:pPr>
        <w:ind w:firstLine="493"/>
        <w:spacing w:line="360" w:lineRule="auto"/>
        <w:rPr>
          <w:rFonts w:ascii="宋体" w:hAnsi="宋体" w:eastAsia="宋体" w:cs="宋体"/>
          <w:sz w:val="24"/>
          <w:szCs w:val="24"/>
          <w:highlight w:val="none"/>
          <w:shd w:val="clear" w:color="auto" w:fill="ffffff"/>
        </w:rPr>
        <w:outlineLvl w:val="1"/>
      </w:pPr>
      <w:r>
        <w:rPr>
          <w:rFonts w:hint="eastAsia" w:ascii="宋体" w:hAnsi="宋体" w:eastAsia="宋体" w:cs="宋体"/>
          <w:sz w:val="24"/>
          <w:szCs w:val="24"/>
          <w:highlight w:val="none"/>
          <w:shd w:val="clear" w:color="auto" w:fill="ffffff"/>
        </w:rPr>
        <w:t xml:space="preserve">注：1、本表仅须填写与投标单位存在直接股权、管理关系的企业情况。投标单位应按上表要求据实填写，如填写“无”或不填写，均视为投标单位声明不存在有关情形。</w:t>
      </w:r>
      <w:r/>
    </w:p>
    <w:p>
      <w:pPr>
        <w:pStyle w:val="822"/>
        <w:ind w:firstLine="493"/>
        <w:spacing w:line="360" w:lineRule="auto"/>
        <w:rPr>
          <w:rFonts w:ascii="宋体" w:hAnsi="宋体" w:cs="宋体"/>
          <w:sz w:val="24"/>
          <w:highlight w:val="none"/>
        </w:rPr>
      </w:pPr>
      <w:r>
        <w:rPr>
          <w:rFonts w:hint="eastAsia" w:ascii="宋体" w:hAnsi="宋体" w:cs="宋体"/>
          <w:sz w:val="24"/>
          <w:highlight w:val="none"/>
          <w:shd w:val="clear" w:color="auto" w:fill="ffffff"/>
        </w:rPr>
        <w:t xml:space="preserve">2、其中“直接控股”是指投标单位与大型企业之间存在直接投资并控股（非普通持股）的关系。</w:t>
      </w:r>
      <w:r/>
    </w:p>
    <w:p>
      <w:pPr>
        <w:rPr>
          <w:rFonts w:ascii="宋体" w:hAnsi="宋体" w:eastAsia="宋体" w:cs="宋体"/>
          <w:sz w:val="24"/>
          <w:szCs w:val="24"/>
          <w:highlight w:val="none"/>
        </w:rPr>
      </w:pPr>
      <w:r>
        <w:rPr>
          <w:rFonts w:ascii="宋体" w:hAnsi="宋体" w:eastAsia="宋体" w:cs="宋体"/>
          <w:sz w:val="24"/>
          <w:szCs w:val="24"/>
          <w:highlight w:val="none"/>
        </w:rPr>
      </w:r>
      <w:r/>
    </w:p>
    <w:p>
      <w:pPr>
        <w:pStyle w:val="950"/>
        <w:ind w:firstLine="420"/>
        <w:rPr>
          <w:rFonts w:hAnsi="宋体" w:eastAsia="宋体" w:cs="宋体"/>
          <w:sz w:val="24"/>
          <w:szCs w:val="24"/>
          <w:highlight w:val="none"/>
        </w:rPr>
      </w:pPr>
      <w:r>
        <w:rPr>
          <w:rFonts w:hAnsi="宋体" w:eastAsia="宋体" w:cs="宋体"/>
          <w:sz w:val="24"/>
          <w:szCs w:val="24"/>
          <w:highlight w:val="none"/>
        </w:rPr>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投标单位：（盖章）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法定代表人或代理人：（签字或盖章）</w:t>
      </w:r>
      <w:r/>
    </w:p>
    <w:p>
      <w:pPr>
        <w:pStyle w:val="843"/>
        <w:ind w:firstLine="420"/>
        <w:spacing w:line="360" w:lineRule="auto"/>
        <w:rPr>
          <w:rFonts w:hAnsi="宋体" w:eastAsia="宋体" w:cs="宋体"/>
          <w:sz w:val="24"/>
          <w:szCs w:val="24"/>
          <w:highlight w:val="none"/>
        </w:rPr>
      </w:pPr>
      <w:r>
        <w:rPr>
          <w:rFonts w:hint="eastAsia" w:hAnsi="宋体" w:eastAsia="宋体" w:cs="宋体"/>
          <w:sz w:val="24"/>
          <w:szCs w:val="24"/>
          <w:highlight w:val="none"/>
        </w:rPr>
        <w:t xml:space="preserve">日期：    年    月    日</w:t>
      </w:r>
      <w:bookmarkEnd w:id="9"/>
      <w:r/>
      <w:r/>
    </w:p>
    <w:p>
      <w:pPr>
        <w:pStyle w:val="950"/>
        <w:ind w:firstLine="420"/>
        <w:rPr>
          <w:rFonts w:eastAsia="宋体"/>
          <w:szCs w:val="21"/>
          <w:highlight w:val="none"/>
        </w:rPr>
      </w:pPr>
      <w:r>
        <w:rPr>
          <w:rFonts w:eastAsia="宋体"/>
          <w:szCs w:val="21"/>
          <w:highlight w:val="none"/>
        </w:rPr>
      </w:r>
      <w:r/>
    </w:p>
    <w:p>
      <w:pPr>
        <w:ind w:firstLine="420"/>
        <w:jc w:val="center"/>
        <w:spacing w:line="360" w:lineRule="auto"/>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第四章  招标书</w:t>
      </w:r>
      <w:bookmarkEnd w:id="10"/>
      <w:r/>
      <w:bookmarkEnd w:id="11"/>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招标代理单位受苏州市石湖景区管理处（华南虎苏州培育基地）的委托，就其所需要招标的2026-2027年动、植物园保安项目在国内组织公开招标。欢迎符合招标文件资格条件的供应商前来投标。</w:t>
      </w:r>
      <w:r/>
    </w:p>
    <w:p>
      <w:pPr>
        <w:pStyle w:val="944"/>
        <w:numPr>
          <w:ilvl w:val="0"/>
          <w:numId w:val="2"/>
        </w:numPr>
        <w:spacing w:line="360" w:lineRule="auto"/>
        <w:rPr>
          <w:highlight w:val="none"/>
        </w:rPr>
      </w:pPr>
      <w:r>
        <w:rPr>
          <w:rFonts w:hint="eastAsia" w:ascii="宋体" w:hAnsi="宋体" w:eastAsia="宋体" w:cs="宋体"/>
          <w:b/>
          <w:sz w:val="24"/>
          <w:szCs w:val="24"/>
          <w:highlight w:val="none"/>
        </w:rPr>
        <w:t xml:space="preserve">采购编号：</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二、项目名称：</w:t>
      </w:r>
      <w:r>
        <w:rPr>
          <w:rFonts w:hint="eastAsia" w:ascii="宋体" w:hAnsi="宋体" w:eastAsia="宋体" w:cs="宋体"/>
          <w:sz w:val="24"/>
          <w:szCs w:val="24"/>
          <w:highlight w:val="none"/>
        </w:rPr>
        <w:t xml:space="preserve">2026-2027年动、植物园保安项目</w:t>
      </w:r>
      <w:r/>
    </w:p>
    <w:p>
      <w:pPr>
        <w:pStyle w:val="720"/>
        <w:ind w:firstLine="482"/>
        <w:rPr>
          <w:rFonts w:hint="default" w:cs="宋体"/>
          <w:b/>
          <w:sz w:val="24"/>
          <w:szCs w:val="24"/>
          <w:highlight w:val="none"/>
        </w:rPr>
      </w:pPr>
      <w:r>
        <w:rPr>
          <w:rFonts w:cs="宋体"/>
          <w:b/>
          <w:bCs/>
          <w:color w:val="1c1f23"/>
          <w:sz w:val="24"/>
          <w:szCs w:val="24"/>
          <w:highlight w:val="none"/>
          <w:shd w:val="clear" w:color="auto" w:fill="ffffff"/>
        </w:rPr>
        <w:t xml:space="preserve"> 三、项目预算：</w:t>
      </w:r>
      <w:r>
        <w:rPr>
          <w:rFonts w:cs="宋体"/>
          <w:sz w:val="24"/>
          <w:szCs w:val="24"/>
          <w:highlight w:val="none"/>
        </w:rPr>
        <w:t xml:space="preserve">人民币肆佰肆拾肆万零柒元捌角柒分（￥ 4440007.87元）</w:t>
      </w:r>
      <w:r/>
    </w:p>
    <w:p>
      <w:pPr>
        <w:ind w:firstLine="422"/>
        <w:spacing w:line="360" w:lineRule="auto"/>
        <w:rPr>
          <w:rFonts w:ascii="宋体" w:hAnsi="宋体" w:eastAsia="宋体" w:cs="宋体"/>
          <w:b/>
          <w:bCs/>
          <w:color w:val="1c1f23"/>
          <w:sz w:val="24"/>
          <w:szCs w:val="24"/>
          <w:highlight w:val="none"/>
          <w:shd w:val="clear" w:color="auto" w:fill="ffffff"/>
        </w:rPr>
      </w:pPr>
      <w:r>
        <w:rPr>
          <w:rFonts w:hint="eastAsia" w:ascii="宋体" w:hAnsi="宋体" w:eastAsia="宋体" w:cs="宋体"/>
          <w:b/>
          <w:bCs/>
          <w:color w:val="1c1f23"/>
          <w:sz w:val="24"/>
          <w:szCs w:val="24"/>
          <w:highlight w:val="none"/>
          <w:shd w:val="clear" w:color="auto" w:fill="ffffff"/>
        </w:rPr>
        <w:t xml:space="preserve">四、招标内容及要求：</w:t>
      </w:r>
      <w:r/>
    </w:p>
    <w:p>
      <w:pPr>
        <w:ind w:firstLine="482"/>
        <w:spacing w:line="560" w:lineRule="exact"/>
        <w:widowControl/>
        <w:tabs>
          <w:tab w:val="left" w:pos="540" w:leader="none"/>
          <w:tab w:val="left" w:pos="567" w:leader="none"/>
        </w:tabs>
        <w:rPr>
          <w:rFonts w:ascii="宋体" w:hAnsi="宋体" w:eastAsia="宋体" w:cs="宋体"/>
          <w:sz w:val="24"/>
          <w:szCs w:val="24"/>
          <w:highlight w:val="none"/>
        </w:rPr>
      </w:pPr>
      <w:r>
        <w:rPr>
          <w:rFonts w:hint="eastAsia" w:ascii="宋体" w:hAnsi="宋体" w:eastAsia="宋体" w:cs="宋体"/>
          <w:b/>
          <w:bCs/>
          <w:color w:val="1c1f23"/>
          <w:sz w:val="24"/>
          <w:szCs w:val="24"/>
          <w:highlight w:val="none"/>
          <w:shd w:val="clear" w:color="auto" w:fill="ffffff"/>
        </w:rPr>
        <w:t xml:space="preserve"> （一）</w:t>
      </w:r>
      <w:r>
        <w:rPr>
          <w:rFonts w:hint="eastAsia" w:ascii="宋体" w:hAnsi="宋体" w:eastAsia="宋体" w:cs="宋体"/>
          <w:sz w:val="24"/>
          <w:szCs w:val="24"/>
          <w:highlight w:val="none"/>
        </w:rPr>
        <w:t xml:space="preserve">项目概况</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1、人员配置</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固定岗：本项目设项目经理1岗，负责项目的整体管理及对接，统一管理，开展业务培训，指定工作计划，兼管理处办公区等。设片区主管（安保队长）2岗，动、植物园各1岗。安保工作人员动物园片区固定岗位</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7岗、植物园片区固定岗位19岗，合计69岗。</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2、实施范围</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动物园片区包括办公区域、内外广场、园内游客游览区域、游客服务处、售检票口、换检口、次入口、游乐区、水面、兽医院、停车场、救护中心等区域安保工作。植物园片区包括石湖景区管理处办公区域、监控值班室、森林公园开放区、植物园二期等不同游览区域安保工作。</w:t>
      </w:r>
      <w:r/>
    </w:p>
    <w:p>
      <w:pPr>
        <w:ind w:firstLine="480"/>
        <w:spacing w:line="560" w:lineRule="exact"/>
        <w:widowControl/>
        <w:tabs>
          <w:tab w:val="left" w:pos="540" w:leader="none"/>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（二）采购内容及要求</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1、采购信息</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（1）实施时间：2026年8月1日至2027年7月31日。</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（2）实施范围：苏州市石湖景区管理处，具体清单如下：</w:t>
      </w:r>
      <w:r/>
    </w:p>
    <w:p>
      <w:pPr>
        <w:jc w:val="center"/>
        <w:spacing w:line="56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固定岗人员配置表</w:t>
      </w:r>
      <w:r/>
    </w:p>
    <w:tbl>
      <w:tblPr>
        <w:tblStyle w:val="719"/>
        <w:tblW w:w="9602" w:type="dxa"/>
        <w:jc w:val="center"/>
        <w:tblLayout w:type="autofit"/>
        <w:tblCellMar>
          <w:left w:w="108" w:type="dxa"/>
          <w:top w:w="0" w:type="dxa"/>
          <w:right w:w="108" w:type="dxa"/>
          <w:bottom w:w="0" w:type="dxa"/>
        </w:tblCellMar>
        <w:tblLook w:val="04A0" w:firstRow="1" w:lastRow="0" w:firstColumn="1" w:lastColumn="0" w:noHBand="0" w:noVBand="1"/>
      </w:tblPr>
      <w:tblGrid>
        <w:gridCol w:w="457"/>
        <w:gridCol w:w="2486"/>
        <w:gridCol w:w="456"/>
        <w:gridCol w:w="2678"/>
        <w:gridCol w:w="3525"/>
      </w:tblGrid>
      <w:tr>
        <w:trPr>
          <w:jc w:val="center"/>
          <w:trHeight w:val="496"/>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安保区域</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岗位数</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工作时间</w:t>
            </w:r>
            <w:r/>
          </w:p>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（小时）</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jc w:val="cente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人员要求</w:t>
            </w:r>
            <w:r/>
          </w:p>
        </w:tc>
      </w:tr>
      <w:tr>
        <w:trPr>
          <w:jc w:val="center"/>
          <w:trHeight w:val="931"/>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动物园</w:t>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、植物园片区</w:t>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负责项目的整体管理及对接，统一管理，负责开展业务培训，指定工作计划，兼管理处办公区等</w:t>
            </w:r>
            <w:r/>
          </w:p>
        </w:tc>
      </w:tr>
      <w:tr>
        <w:trPr>
          <w:jc w:val="center"/>
          <w:trHeight w:val="1540"/>
        </w:trPr>
        <w:tc>
          <w:tcPr>
            <w:tcBorders>
              <w:top w:val="none" w:color="000000" w:sz="4" w:space="0"/>
              <w:left w:val="single" w:color="000000" w:sz="4" w:space="0"/>
              <w:right w:val="single" w:color="000000" w:sz="4" w:space="0"/>
            </w:tcBorders>
            <w:tcW w:w="457" w:type="dxa"/>
            <w:vAlign w:val="center"/>
            <w:vMerge w:val="restart"/>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动</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物</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园</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区</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动</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物</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园</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区</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片区主管（安保队长）</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7:45——17:00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片区现场主管负责执行项目经理的工作安排，负责巡视检查安保日常工作情况等</w:t>
            </w:r>
            <w:r/>
          </w:p>
        </w:tc>
      </w:tr>
      <w:tr>
        <w:trPr>
          <w:jc w:val="center"/>
          <w:trHeight w:val="432"/>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办公区门岗</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w:t>
            </w:r>
            <w:bookmarkStart w:id="17" w:name="OLE_LINK1"/>
            <w:r/>
            <w:bookmarkStart w:id="18" w:name="OLE_LINK2"/>
            <w:r>
              <w:rPr>
                <w:rFonts w:hint="eastAsia" w:ascii="宋体" w:hAnsi="宋体" w:eastAsia="宋体" w:cs="宋体"/>
                <w:sz w:val="24"/>
                <w:szCs w:val="24"/>
                <w:highlight w:val="none"/>
              </w:rPr>
              <w:t xml:space="preserve">负责车辆及人员出入登记</w:t>
            </w:r>
            <w:bookmarkEnd w:id="17"/>
            <w:r/>
            <w:bookmarkEnd w:id="18"/>
            <w:r/>
            <w:r/>
          </w:p>
        </w:tc>
      </w:tr>
      <w:tr>
        <w:trPr>
          <w:jc w:val="center"/>
          <w:trHeight w:val="665"/>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办公区门岗</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夜岗（18:00-次日6:00）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男性，负责车辆及人员出入登记</w:t>
            </w:r>
            <w:r/>
          </w:p>
        </w:tc>
      </w:tr>
      <w:tr>
        <w:trPr>
          <w:jc w:val="center"/>
          <w:trHeight w:val="810"/>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入园门卫岗</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none" w:color="000000" w:sz="4" w:space="0"/>
              <w:right w:val="single" w:color="000000" w:sz="4" w:space="0"/>
            </w:tcBorders>
            <w:tcW w:w="2678" w:type="dxa"/>
            <w:vAlign w:val="center"/>
            <w:vMerge w:val="restart"/>
            <w:textDirection w:val="lrTb"/>
            <w:noWrap/>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7:45——17:00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男性，负责车辆及人员出入登记</w:t>
            </w:r>
            <w:r/>
          </w:p>
        </w:tc>
      </w:tr>
      <w:tr>
        <w:trPr>
          <w:jc w:val="center"/>
          <w:trHeight w:val="559"/>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大巴停车场管理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none" w:color="000000" w:sz="4" w:space="0"/>
              <w:left w:val="single" w:color="000000" w:sz="4" w:space="0"/>
              <w:bottom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男性，管理车辆进出</w:t>
            </w:r>
            <w:r/>
          </w:p>
        </w:tc>
      </w:tr>
      <w:tr>
        <w:trPr>
          <w:jc w:val="center"/>
          <w:trHeight w:val="673"/>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监控室（消控室）</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全天候24小时</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实行24小时值班制度，人数安排应符合《消防控制室通用技术要求》GB 25506-2010规定，且不少于2人持有建（构）筑物消防员证书或消防设施操作员证书上岗中级（4级）及以上，其中1岗位要求人员在45周岁以下且普通话吐字清晰（兼广播）</w:t>
            </w:r>
            <w:r/>
          </w:p>
        </w:tc>
      </w:tr>
      <w:tr>
        <w:trPr>
          <w:jc w:val="center"/>
          <w:trHeight w:val="657"/>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夜间巡逻</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闭园--次日8：00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应急处理突发事件、停车场夜间处置，要求男性，其中1个岗位要求45周岁以下。</w:t>
            </w:r>
            <w:r/>
          </w:p>
        </w:tc>
      </w:tr>
      <w:tr>
        <w:trPr>
          <w:jc w:val="center"/>
          <w:trHeight w:val="567"/>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日间巡逻岗</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right w:val="single" w:color="000000" w:sz="4" w:space="0"/>
            </w:tcBorders>
            <w:tcW w:w="2678" w:type="dxa"/>
            <w:vAlign w:val="center"/>
            <w:vMerge w:val="restart"/>
            <w:textDirection w:val="lrTb"/>
            <w:noWrap/>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7:45——17:00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男性、年龄45周岁以下人员，负责园内日常巡逻及检查</w:t>
            </w:r>
            <w:r/>
          </w:p>
        </w:tc>
      </w:tr>
      <w:tr>
        <w:trPr>
          <w:jc w:val="center"/>
          <w:trHeight w:val="1080"/>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出入口</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检票处、入口处、出口秩序。要求男性、45周岁以下。</w:t>
            </w:r>
            <w:r/>
          </w:p>
        </w:tc>
      </w:tr>
      <w:tr>
        <w:trPr>
          <w:jc w:val="center"/>
          <w:trHeight w:val="313"/>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外广场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w:t>
            </w:r>
            <w:r/>
          </w:p>
        </w:tc>
      </w:tr>
      <w:tr>
        <w:trPr>
          <w:jc w:val="center"/>
          <w:trHeight w:val="404"/>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内广场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54"/>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鸟禽一区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17"/>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草食一区（含河马馆）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95"/>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灵长区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87"/>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草食二区（小兽区）、林泉小筑及周边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88"/>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兽医院、临展区及周边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98"/>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游乐场及萌宠园周边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33"/>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猛兽区1</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78"/>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猛兽区2</w:t>
            </w:r>
            <w:r>
              <w:rPr>
                <w:rFonts w:ascii="宋体" w:hAnsi="宋体" w:eastAsia="宋体" w:cs="宋体"/>
                <w:sz w:val="24"/>
                <w:szCs w:val="24"/>
                <w:highlight w:val="none"/>
              </w:rPr>
              <w:t xml:space="preserve"> </w:t>
            </w:r>
            <w:r>
              <w:rPr>
                <w:rFonts w:hint="eastAsia" w:ascii="宋体" w:hAnsi="宋体" w:eastAsia="宋体" w:cs="宋体"/>
                <w:sz w:val="24"/>
                <w:szCs w:val="24"/>
                <w:highlight w:val="none"/>
              </w:rPr>
              <w:t xml:space="preserve">及华南虎基地</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w:t>
            </w:r>
            <w:r/>
          </w:p>
        </w:tc>
      </w:tr>
      <w:tr>
        <w:trPr>
          <w:jc w:val="center"/>
          <w:trHeight w:val="754"/>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猛兽区3</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20"/>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鸟禽二区、换检口及周边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7"/>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草食动物散养区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55"/>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生境馆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811"/>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两爬馆及斑鳖馆周边</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left w:val="single" w:color="000000" w:sz="4" w:space="0"/>
              <w:bottom w:val="single" w:color="000000" w:sz="4" w:space="0"/>
              <w:right w:val="single" w:color="000000" w:sz="4" w:space="0"/>
            </w:tcBorders>
            <w:tcW w:w="2678"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男性</w:t>
            </w:r>
            <w:r/>
          </w:p>
        </w:tc>
      </w:tr>
      <w:tr>
        <w:trPr>
          <w:jc w:val="center"/>
          <w:trHeight w:val="811"/>
        </w:trPr>
        <w:tc>
          <w:tcPr>
            <w:tcBorders>
              <w:left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救护中心</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811"/>
        </w:trPr>
        <w:tc>
          <w:tcPr>
            <w:tcBorders>
              <w:left w:val="single" w:color="000000" w:sz="4" w:space="0"/>
              <w:bottom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救护中心</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夜班（18:00-6:00）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08"/>
        </w:trPr>
        <w:tc>
          <w:tcPr>
            <w:tcBorders>
              <w:top w:val="single" w:color="000000" w:sz="4" w:space="0"/>
              <w:left w:val="single" w:color="000000" w:sz="4" w:space="0"/>
              <w:bottom w:val="none" w:color="000000" w:sz="4" w:space="0"/>
              <w:right w:val="single" w:color="000000" w:sz="4" w:space="0"/>
            </w:tcBorders>
            <w:tcW w:w="457" w:type="dxa"/>
            <w:vAlign w:val="center"/>
            <w:vMerge w:val="restart"/>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植</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物</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园</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区</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植</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物</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园</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w:t>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区</w:t>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片区主管</w:t>
            </w:r>
            <w:r>
              <w:rPr>
                <w:rFonts w:hint="eastAsia" w:ascii="宋体" w:hAnsi="宋体" w:eastAsia="宋体" w:cs="宋体"/>
                <w:sz w:val="24"/>
                <w:szCs w:val="24"/>
                <w:highlight w:val="none"/>
              </w:rPr>
              <w:br/>
            </w:r>
            <w:r>
              <w:rPr>
                <w:rFonts w:hint="eastAsia" w:ascii="宋体" w:hAnsi="宋体" w:eastAsia="宋体" w:cs="宋体"/>
                <w:sz w:val="24"/>
                <w:szCs w:val="24"/>
                <w:highlight w:val="none"/>
              </w:rPr>
              <w:t xml:space="preserve">（安保队长）</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片区现场主管负责执行项目经理的工作安排，负责巡视检查安保日常工作情况等</w:t>
            </w:r>
            <w:r/>
          </w:p>
        </w:tc>
      </w:tr>
      <w:tr>
        <w:trPr>
          <w:jc w:val="center"/>
          <w:trHeight w:val="833"/>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行春酒家移动门入口处</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9"/>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监控值班室</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829"/>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二期南门</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829"/>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广场检票</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5"/>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二期出口处</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5"/>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二期出口处广场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498"/>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湿地展示馆</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77"/>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一二期巡逻岗</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829"/>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猕猴管控（大佛、治平寺、石佛寺）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00"/>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塔院</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68"/>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桃花源区域</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夜岗（16:00-次日8:00）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591"/>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监控值班室</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夜岗（18:00-次日6:00）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29"/>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夜间巡逻岗</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夜岗（18:00-次日6:00）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84"/>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申时行墓</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夜岗（16:00-8:00）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693"/>
        </w:trPr>
        <w:tc>
          <w:tcPr>
            <w:tcBorders>
              <w:top w:val="none" w:color="000000" w:sz="4" w:space="0"/>
              <w:left w:val="single" w:color="000000" w:sz="4" w:space="0"/>
              <w:bottom w:val="non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公墓</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703"/>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管理处办公区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白岗（6:00-次日18:00）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ind w:firstLine="720"/>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项目经理兼管</w:t>
            </w:r>
            <w:r/>
          </w:p>
        </w:tc>
      </w:tr>
      <w:tr>
        <w:trPr>
          <w:jc w:val="center"/>
          <w:trHeight w:val="703"/>
        </w:trPr>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248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管理处办公区</w:t>
            </w:r>
            <w:r/>
          </w:p>
        </w:tc>
        <w:tc>
          <w:tcPr>
            <w:tcBorders>
              <w:top w:val="single" w:color="000000" w:sz="4" w:space="0"/>
              <w:left w:val="single" w:color="000000" w:sz="4" w:space="0"/>
              <w:bottom w:val="single" w:color="000000" w:sz="4" w:space="0"/>
              <w:right w:val="single" w:color="000000" w:sz="4" w:space="0"/>
            </w:tcBorders>
            <w:tcW w:w="456"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夜岗（18:00-次日6:00）</w:t>
            </w:r>
            <w:r/>
          </w:p>
        </w:tc>
        <w:tc>
          <w:tcPr>
            <w:tcBorders>
              <w:top w:val="single" w:color="000000" w:sz="4" w:space="0"/>
              <w:left w:val="single" w:color="000000" w:sz="4" w:space="0"/>
              <w:bottom w:val="single" w:color="000000" w:sz="4" w:space="0"/>
              <w:right w:val="single" w:color="000000" w:sz="4" w:space="0"/>
            </w:tcBorders>
            <w:tcW w:w="3525" w:type="dxa"/>
            <w:vAlign w:val="center"/>
            <w:textDirection w:val="lrTb"/>
            <w:noWrap/>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90"/>
        </w:trPr>
        <w:tc>
          <w:tcPr>
            <w:gridSpan w:val="5"/>
            <w:tcBorders>
              <w:top w:val="single" w:color="000000" w:sz="4" w:space="0"/>
              <w:left w:val="single" w:color="000000" w:sz="4" w:space="0"/>
              <w:bottom w:val="single" w:color="000000" w:sz="4" w:space="0"/>
              <w:right w:val="single" w:color="000000" w:sz="4" w:space="0"/>
            </w:tcBorders>
            <w:tcW w:w="9602" w:type="dxa"/>
            <w:vAlign w:val="center"/>
            <w:textDirection w:val="lrTb"/>
            <w:noWrap/>
          </w:tcPr>
          <w:p>
            <w:pPr>
              <w:spacing w:line="32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注：1、动物园片区周末及节假日下班时间须在此基础上延后半小时。节日期间如有需要，投标单位要根据动物园片区开放时间统筹调整作息时间并安排加班。不另外安排加班费用。</w:t>
            </w:r>
            <w:r/>
          </w:p>
          <w:p>
            <w:pPr>
              <w:pStyle w:val="720"/>
              <w:numPr>
                <w:ilvl w:val="0"/>
                <w:numId w:val="3"/>
              </w:numPr>
              <w:ind w:firstLine="482"/>
              <w:rPr>
                <w:rFonts w:hint="default" w:cs="宋体"/>
                <w:b/>
                <w:bCs/>
                <w:sz w:val="24"/>
                <w:szCs w:val="24"/>
                <w:highlight w:val="none"/>
              </w:rPr>
            </w:pPr>
            <w:r>
              <w:rPr>
                <w:rFonts w:cs="宋体"/>
                <w:b/>
                <w:bCs/>
                <w:sz w:val="24"/>
                <w:szCs w:val="24"/>
                <w:highlight w:val="none"/>
              </w:rPr>
              <w:t xml:space="preserve">上表所示岗位数为年度均值，淡旺季、节假日、或重大活动期间的实际需求岗位数根据甲方要求动态调整（依据甲方往年实际用工需求），最终总岗位数不少于预算总岗位数</w:t>
            </w:r>
            <w:r>
              <w:rPr>
                <w:rFonts w:cs="宋体"/>
                <w:b/>
                <w:bCs/>
                <w:color w:val="1c1f23"/>
                <w:sz w:val="24"/>
                <w:szCs w:val="24"/>
                <w:highlight w:val="none"/>
                <w:shd w:val="clear" w:color="auto" w:fill="ffffff"/>
              </w:rPr>
              <w:t xml:space="preserve">（实际服务总时长不少于预算总时长）</w:t>
            </w:r>
            <w:r>
              <w:rPr>
                <w:rFonts w:cs="宋体"/>
                <w:b/>
                <w:bCs/>
                <w:sz w:val="24"/>
                <w:szCs w:val="24"/>
                <w:highlight w:val="none"/>
              </w:rPr>
              <w:t xml:space="preserve">。</w:t>
            </w:r>
            <w:r/>
          </w:p>
          <w:p>
            <w:pPr>
              <w:pStyle w:val="720"/>
              <w:ind w:firstLine="482"/>
              <w:rPr>
                <w:rFonts w:hint="default" w:cs="宋体"/>
                <w:b/>
                <w:bCs/>
                <w:sz w:val="24"/>
                <w:szCs w:val="24"/>
                <w:highlight w:val="none"/>
              </w:rPr>
            </w:pPr>
            <w:r>
              <w:rPr>
                <w:rFonts w:cs="宋体"/>
                <w:b/>
                <w:bCs/>
                <w:sz w:val="24"/>
                <w:szCs w:val="24"/>
                <w:highlight w:val="none"/>
              </w:rPr>
              <w:t xml:space="preserve">淡季:7月、8月、11月、12月；</w:t>
            </w:r>
            <w:r/>
          </w:p>
          <w:p>
            <w:pPr>
              <w:pStyle w:val="720"/>
              <w:ind w:firstLine="482"/>
              <w:rPr>
                <w:rFonts w:hint="default" w:cs="宋体"/>
                <w:b/>
                <w:bCs/>
                <w:sz w:val="24"/>
                <w:szCs w:val="24"/>
                <w:highlight w:val="none"/>
              </w:rPr>
            </w:pPr>
            <w:r>
              <w:rPr>
                <w:rFonts w:cs="宋体"/>
                <w:b/>
                <w:bCs/>
                <w:sz w:val="24"/>
                <w:szCs w:val="24"/>
                <w:highlight w:val="none"/>
              </w:rPr>
              <w:t xml:space="preserve">旺季:1月、2月（元旦、春节）；3月上旬-5月中旬（苏州花展、清明、五一）；</w:t>
            </w:r>
            <w:r/>
          </w:p>
          <w:p>
            <w:pPr>
              <w:pStyle w:val="720"/>
              <w:rPr>
                <w:rFonts w:hint="default"/>
                <w:highlight w:val="none"/>
              </w:rPr>
            </w:pPr>
            <w:r>
              <w:rPr>
                <w:rFonts w:cs="宋体"/>
                <w:b/>
                <w:bCs/>
                <w:sz w:val="24"/>
                <w:szCs w:val="24"/>
                <w:highlight w:val="none"/>
              </w:rPr>
              <w:t xml:space="preserve">9月上旬-10月下旬（石湖串月、中秋、国庆）。</w:t>
            </w:r>
            <w:r/>
          </w:p>
        </w:tc>
      </w:tr>
    </w:tbl>
    <w:p>
      <w:pPr>
        <w:ind w:firstLine="422"/>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（3）用工条件</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1）整体要求：</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身体健康、吃苦耐劳、形象端正。所有员工须培训上岗，中标单位不得随意更换人员，如确需调整，必须征得石湖景区管理处（动、植物园片区）的同意方可更换。</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2）项目经理、主管（队长）要求：</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①项目经理（负责人）：要求熟悉计算机操作，有一定救护急救知识。熟悉管理工作的程序及标准，并能对员工进行业务技能培训、考核、管理等工作。</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②安保现场主管：反应迅速，处理事情妥当、擅长解释沟通。</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3）保安人员要求：</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除部分岗位外（已在岗位表注明），男性不超过55周岁（特殊情况除外），女性不超过50周岁，女性安保人员占比不超过20%。安保人员均须具有《安保员证》持证上岗复印件。上岗后全员为石湖景区消防志愿者队员突发事件应急人员，应熟悉消防器材的方位和器材使用，会正确使用灭火设备正确扑救火灾。其中动物园片区消控中心两名安保人员（不含项目经理）持有建（构）筑物消防员证书或消防设施操作员证书上岗中级（4级）及以上复印件，负责消控机柜、风机、消防泵房等消防设施的使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2、工作职责及内容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（1）投标单位职责</w:t>
      </w:r>
      <w:r/>
    </w:p>
    <w:p>
      <w:pPr>
        <w:ind w:firstLine="720"/>
        <w:spacing w:line="360" w:lineRule="auto"/>
        <w:rPr>
          <w:rFonts w:ascii="宋体" w:hAnsi="宋体" w:eastAsia="宋体" w:cs="宋体"/>
          <w:sz w:val="24"/>
          <w:szCs w:val="24"/>
          <w:highlight w:val="none"/>
        </w:rPr>
      </w:pPr>
      <w:r/>
      <w:bookmarkStart w:id="19" w:name="_Toc20990"/>
      <w:r/>
      <w:bookmarkStart w:id="20" w:name="_Toc19477"/>
      <w:r>
        <w:rPr>
          <w:rFonts w:hint="eastAsia" w:ascii="宋体" w:hAnsi="宋体" w:eastAsia="宋体" w:cs="宋体"/>
          <w:sz w:val="24"/>
          <w:szCs w:val="24"/>
          <w:highlight w:val="none"/>
        </w:rPr>
        <w:t xml:space="preserve">1）投标单位应做好员工岗前培训工作，提供符合采购人工作要求的项目经理及工作人员。若不能满足采购人工作要求，采购人有权要求更换提供的工作人员。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所有工作人员名册、身份证复印件应报石湖景区管理处（动、植物园片区）备案，人员应相对固定，无特殊情况不得随意更换，如确有必要，则更换人员情况需及时与石湖景区管理处（动、植物园片区）通报备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合同期内如遇不可抗力导致采购人游客限流或游客入园人数降幅超过2019年同期的20%等情况，采购人有权适度调减服务人员，调减岗位比例一般最高不超过50%，人员调减期间的费用根据人员调减比例做相应调减。或其它不可抗力影响消失后，采购人通知中标单位恢复原有岗位人员数量，恢复后的费用按合同约定标准执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合同期内如遇不可抗力导致采购人临时闭园，闭园期间由中标单位每天安排安保人员（以采购人根据实际情况安排为准，安排岗位比例一般最高不超过平日岗位数的50%）开展日常工作。闭园期间采购人依据实际用工数量和闭园时间结算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5）中标单位派驻的项目经理在合同期内不得擅自更换。每天使用考勤机（脸部考勤机，需由中标单位采买，甲方管理使用），进行每日考勤。如漏打卡一律按未出勤登记。</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6）制定工作区域突发事件应急预案，按照应急预案处理突发事件。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7）制定工作流程、工作流程时间表，制定考勤制度。</w:t>
      </w:r>
      <w:bookmarkEnd w:id="19"/>
      <w:r/>
      <w:bookmarkEnd w:id="20"/>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（2）项目经理职责</w:t>
      </w:r>
      <w:r/>
    </w:p>
    <w:p>
      <w:pPr>
        <w:ind w:firstLine="480"/>
        <w:spacing w:line="360" w:lineRule="auto"/>
        <w:rPr>
          <w:rFonts w:ascii="宋体" w:hAnsi="宋体" w:eastAsia="宋体" w:cs="宋体"/>
          <w:sz w:val="24"/>
          <w:szCs w:val="24"/>
          <w:highlight w:val="none"/>
        </w:rPr>
      </w:pPr>
      <w:r/>
      <w:bookmarkStart w:id="21" w:name="_Toc30156"/>
      <w:r/>
      <w:bookmarkStart w:id="22" w:name="_Toc31535"/>
      <w:r>
        <w:rPr>
          <w:rFonts w:hint="eastAsia" w:ascii="宋体" w:hAnsi="宋体" w:eastAsia="宋体" w:cs="宋体"/>
          <w:sz w:val="24"/>
          <w:szCs w:val="24"/>
          <w:highlight w:val="none"/>
        </w:rPr>
        <w:t xml:space="preserve">1）全面负责项目的整体管理及对接，统一管理，按照石湖景区管理处（动、植物园片区）要求落实完成日常工作，管理员工，优质服务。管理园内的安全秩序维护；督导、参与属下员工工作，配合完成日常安全检查工作，提升服务质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2）负责制定落实各项规章制度、应急预案等，预防和控制好突发事件，会必要的急救知识，紧急情况下能协助展开救护工作。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①负责每日日常巡查，检查及保持管辖区域内的清洁卫生及安全状况；负责直接指挥和督导员工对各区域的保洁安保工作；发现问题及时处理及纠正；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②负责检查员工的仪容仪表，劳动纪律，工作效率和质量及个人卫生；保证属下员工能以最好的精神面貌面对业主游客；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负责做好机器及工具的保养管理工作；定期整理清点保养清洁设备、巡逻设备、工具器械及补充消耗物品；监督员工学习强化安全知识，正确使用各类工具器械,登高操作需佩戴安全帽、安全带。懂急救知识，紧急情况下能协助展开救护工作。组织开展日常培训演练，熟悉各类应急预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3）负责制定工作计划月底上报甲方下月工作计划，完成自查考核，并每月月底向甲方上报月度工作小结。</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4）负责监督、检查、考勤、指导本项目部全体员工工作，对员工技能、业绩等进行考核。</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5）保持与采购人、派出所、水电工程等部门的联系，协调处理与之相关的各项事务；负责协助开展园内保洁、安保、消防、绿化、设施设备等方面出现的问题隐患的巡查上报。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配合协商制定发生特殊情况的处理方案，妥善处理在合作过程中的矛盾纠纷。加强中标单位与石湖景区管理处（动、植物园片区）双方信息沟通，及时转达上级意图。当值时发生紧急情况和突发事件时，应立即赶到第一现场处理妥善处理，采取有效应急措施。发生重大问题立即报告上级，一般问题做好书面记录、分析并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做好台账整理并及时归档，台账资料记录详细、资料分类清楚、数据详实，符合动、植物园要求。主要包括：人员花名册（含变动人员表）、人员身份证和体检证明或健康证复印件、政审情况、人员排班表、人员考勤表、服务方案、工作月度计划、月度总结、年度总结等（根据需要留存相关视频和照片）、工作考核表或自查自纠表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8）对因自然灾害所产生额外的工作量及石湖景区管理处（动、植物园片区）临时赋予的其他任务，代表中标单位调配相关工作人员予以积极配合。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9）按要求准时参加采购人安排的月度工作总结会。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10）配合采购人根据上级要求调整工作方案及采购人交给的其他任务。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（3）保安人员职责</w:t>
      </w:r>
      <w:bookmarkEnd w:id="21"/>
      <w:r/>
      <w:bookmarkEnd w:id="22"/>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1）负责相应片区的安全秩序工作，确保片区的安全有序。认真工作、优质服务、爱岗敬业、规范操作；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2）上岗佩戴工作证、着工作服，整洁干净，文明规范。检查和佩带好对讲机、巡更仪、手电等器材，并确保完好有效；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3）注意文明礼仪，坚持首问负责制，对待游客使用礼貌用语，不与游客和工作人员发生冲突、纠纷等；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4）按照景区管理规范，防范区域内各类不安全隐患和事故发生。对发生的突发事件，迅速报告并积极进行疏导、化解，遏制事态发展，避免造成不良影响；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5）履行动态巡视，确保巡视路段岗位全日不断人，游客求助有解难、有帮助、游客提问有回答、有引导；对受伤的游客能进行初步的救护；主入口广场禁止各类摊贩售卖；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6）接到治安报警或发现可疑情况，立即赶赴现场，了解情况，保护现场，及时做好应急处置，并迅速报告领班及有关值班人员，严密监视现场及可疑人员；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7）如遇重大、突发或能力范围之外的状况应立即向负责人及石湖景区管理处（动、植物园片区）相关工作人员反应汇报。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8）物料搬运等其他服务内容。</w:t>
      </w:r>
      <w:r/>
    </w:p>
    <w:p>
      <w:pPr>
        <w:ind w:firstLine="480"/>
        <w:spacing w:line="360" w:lineRule="auto"/>
        <w:rPr>
          <w:rFonts w:ascii="宋体" w:hAnsi="宋体" w:eastAsia="宋体" w:cs="宋体"/>
          <w:sz w:val="24"/>
          <w:szCs w:val="24"/>
          <w:highlight w:val="none"/>
        </w:rPr>
      </w:pPr>
      <w:r/>
      <w:bookmarkStart w:id="23" w:name="_Toc6280"/>
      <w:r/>
      <w:bookmarkStart w:id="24" w:name="_Toc9639"/>
      <w:r>
        <w:rPr>
          <w:rFonts w:hint="eastAsia" w:ascii="宋体" w:hAnsi="宋体" w:eastAsia="宋体" w:cs="宋体"/>
          <w:sz w:val="24"/>
          <w:szCs w:val="24"/>
          <w:highlight w:val="none"/>
        </w:rPr>
        <w:t xml:space="preserve">3、具体点位要求</w:t>
      </w:r>
      <w:bookmarkEnd w:id="23"/>
      <w:r/>
      <w:bookmarkEnd w:id="24"/>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（1）动物园片区：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总体要求：安保人员要尽职尽责，恪守岗位，对待工作要秉持认真负责的态度。巡逻岗人员要尽到安全巡逻的责任，同时查看各点位保安在岗履职情况，如发现异常要及时提醒督促整改；园内各点位保安要熟悉本区域具体情况及全园全貌。能够基本上为游客提供游园导览服务及其他如卫生间具体方位等需求；主入口及广场区域保安要做好反投喂、入园秩序、外广场安全及突发情况处理等工作；安保队长要及时发现队员存在问题帮助整改，聆听队员需求，利用好晨会等强调日常重点工作等，配合科室组织开展各类安全应急演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设备保障方面：根据动物园提出的需求，配置巡逻车辆及必要的通讯设备如对讲机、执法记录仪等，做好日常车辆维修保养工作。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人员保障方面：提高安保人员服务及安全意识，组织岗前培训及安全技能培训等提升实操能力；各岗位人员要相对固定如遇突发情况调整要及时向科室报备，同时将调整后的人员名单上报。必须做好保安人员的岗前培训，如发现不符合工作要求的取消该增加人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监管考核方面：为优化服务提高标准，引入日常安保考核方式，用奖优惩劣的考核方法不断提高服务质量；针对处罚多次拒不改正者给与开除处分并追求物业公司管理责任。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处罚内容主要涉及：未能履行岗位职责的、在岗玩手机吸烟的、脱岗时间较长的、与游客发生争执及服务态度不端正的、不服从安排及管理的等。奖励措施主要涉及：帮助游客解决问题且游客提出表扬的、发生突发情况应急处置得当的等。）</w:t>
      </w:r>
      <w:r/>
    </w:p>
    <w:p>
      <w:pPr>
        <w:ind w:firstLine="482"/>
        <w:spacing w:line="360" w:lineRule="auto"/>
        <w:rPr>
          <w:rFonts w:ascii="宋体" w:hAnsi="宋体" w:eastAsia="宋体" w:cs="宋体"/>
          <w:b/>
          <w:bCs/>
          <w:sz w:val="24"/>
          <w:szCs w:val="24"/>
          <w:highlight w:val="none"/>
        </w:rPr>
      </w:pPr>
      <w:r/>
      <w:bookmarkStart w:id="25" w:name="_Toc2390"/>
      <w:r/>
      <w:bookmarkStart w:id="26" w:name="_Toc27361"/>
      <w:r>
        <w:rPr>
          <w:rFonts w:hint="eastAsia" w:ascii="宋体" w:hAnsi="宋体" w:eastAsia="宋体" w:cs="宋体"/>
          <w:b/>
          <w:bCs/>
          <w:sz w:val="24"/>
          <w:szCs w:val="24"/>
          <w:highlight w:val="none"/>
        </w:rPr>
        <w:t xml:space="preserve">入口（或检票口）安保</w:t>
      </w:r>
      <w:bookmarkEnd w:id="25"/>
      <w:r/>
      <w:bookmarkEnd w:id="26"/>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1）做好检票区域秩序维护和游客分流等工作，保证游客有序排队检票入园；</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2）熟悉了解景区入园相关政策；</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3）及时发现、合规查验、合理处置游客携带可疑物品，或者可疑人员等；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4）及时调解、科学处置游客之间的纠纷等；</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5）坚持首问负责制，积极接受游客的求助或咨询，耐心解答和引导游客有关购票入园、线路引导等提问和要求；</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6）承担采购人临时交办的其它临时性（如园事活动、重要接待安保、文明城市迎检等）工作；</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7）熟悉相关应急预案，并根据相关预案要求及时报告动上述情况的发现、处理或结果等。</w:t>
      </w:r>
      <w:r/>
    </w:p>
    <w:p>
      <w:pPr>
        <w:ind w:firstLine="482"/>
        <w:spacing w:line="360" w:lineRule="auto"/>
        <w:rPr>
          <w:rFonts w:ascii="宋体" w:hAnsi="宋体" w:eastAsia="宋体" w:cs="宋体"/>
          <w:b/>
          <w:bCs/>
          <w:sz w:val="24"/>
          <w:szCs w:val="24"/>
          <w:highlight w:val="none"/>
        </w:rPr>
      </w:pPr>
      <w:r/>
      <w:bookmarkStart w:id="27" w:name="_Toc1150"/>
      <w:r/>
      <w:bookmarkStart w:id="28" w:name="_Toc30333"/>
      <w:r>
        <w:rPr>
          <w:rFonts w:hint="eastAsia" w:ascii="宋体" w:hAnsi="宋体" w:eastAsia="宋体" w:cs="宋体"/>
          <w:b/>
          <w:bCs/>
          <w:sz w:val="24"/>
          <w:szCs w:val="24"/>
          <w:highlight w:val="none"/>
        </w:rPr>
        <w:t xml:space="preserve">出口安保</w:t>
      </w:r>
      <w:bookmarkEnd w:id="27"/>
      <w:r/>
      <w:bookmarkEnd w:id="28"/>
      <w:r/>
      <w:r/>
    </w:p>
    <w:p>
      <w:pPr>
        <w:ind w:left="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1）做好景区出口区域秩序维护工作，制止无关人员随意进出景区出口通道，制止推销人员、小商贩等在景区范围内随意摆摊、兜售等行为；</w:t>
      </w:r>
      <w:r/>
    </w:p>
    <w:p>
      <w:pPr>
        <w:ind w:left="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2）坚持首问负责制，积极接受游客的求助和咨询，为游客提供正当服务；</w:t>
      </w:r>
      <w:r/>
    </w:p>
    <w:p>
      <w:pPr>
        <w:ind w:left="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3）及时制止破坏景区出口各类景观、植物、建筑和公共设施等不文明行为；</w:t>
      </w:r>
      <w:r/>
    </w:p>
    <w:p>
      <w:pPr>
        <w:ind w:left="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4）上岗期间进行区域内相关设施设备安全检查，保持其始终处于良好状态；</w:t>
      </w:r>
      <w:r/>
    </w:p>
    <w:p>
      <w:pPr>
        <w:ind w:left="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5）妥善处置异常情况，排查、处置安全隐患，情况严重的立即报告，并视情报警；</w:t>
      </w:r>
      <w:r/>
    </w:p>
    <w:p>
      <w:pPr>
        <w:ind w:left="42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6）完成采购人临时交办的其它事项。</w:t>
      </w:r>
      <w:r/>
    </w:p>
    <w:p>
      <w:pPr>
        <w:ind w:firstLine="482"/>
        <w:spacing w:line="360" w:lineRule="auto"/>
        <w:rPr>
          <w:rFonts w:ascii="宋体" w:hAnsi="宋体" w:eastAsia="宋体" w:cs="宋体"/>
          <w:b/>
          <w:bCs/>
          <w:sz w:val="24"/>
          <w:szCs w:val="24"/>
          <w:highlight w:val="none"/>
        </w:rPr>
      </w:pPr>
      <w:r/>
      <w:bookmarkStart w:id="29" w:name="_Toc2153"/>
      <w:r/>
      <w:bookmarkStart w:id="30" w:name="_Toc3576"/>
      <w:r>
        <w:rPr>
          <w:rFonts w:hint="eastAsia" w:ascii="宋体" w:hAnsi="宋体" w:eastAsia="宋体" w:cs="宋体"/>
          <w:b/>
          <w:bCs/>
          <w:sz w:val="24"/>
          <w:szCs w:val="24"/>
          <w:highlight w:val="none"/>
        </w:rPr>
        <w:t xml:space="preserve">区域巡逻安保</w:t>
      </w:r>
      <w:bookmarkEnd w:id="29"/>
      <w:r/>
      <w:bookmarkEnd w:id="30"/>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1）维护好景区内部旅游秩序，游客较多时应及时疏散、引导，确保执勤区域游览顺畅；</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2）加强巡查，及时发现并制止游客投喂、翻越、踩踏等不安全、不文明行为；</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3）加强检查，及时发现安全隐患，做好临时处置，并报告；</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4）坚持首问负责制，积极接受游客的求助和咨询，热情为游客提供服务，遇到游客受伤等紧急情况及时救助并上报；</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5）熟悉景区相关应急预案，熟练使用相关应急器材和设备，遇到突发情况按预案处置；</w:t>
      </w:r>
      <w:r/>
    </w:p>
    <w:p>
      <w:pPr>
        <w:ind w:firstLine="480"/>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6）承担采购人临时交办的其它临时性（如园事活动、重要接待安保、文明城市迎检等）工作。</w:t>
      </w:r>
      <w:r/>
    </w:p>
    <w:p>
      <w:pPr>
        <w:ind w:firstLine="482"/>
        <w:spacing w:line="360" w:lineRule="auto"/>
        <w:rPr>
          <w:rFonts w:ascii="宋体" w:hAnsi="宋体" w:eastAsia="宋体" w:cs="宋体"/>
          <w:b/>
          <w:bCs/>
          <w:sz w:val="24"/>
          <w:szCs w:val="24"/>
          <w:highlight w:val="none"/>
        </w:rPr>
      </w:pPr>
      <w:r/>
      <w:bookmarkStart w:id="31" w:name="_Toc28004"/>
      <w:r/>
      <w:bookmarkStart w:id="32" w:name="_Toc23442"/>
      <w:r>
        <w:rPr>
          <w:rFonts w:hint="eastAsia" w:ascii="宋体" w:hAnsi="宋体" w:eastAsia="宋体" w:cs="宋体"/>
          <w:b/>
          <w:bCs/>
          <w:sz w:val="24"/>
          <w:szCs w:val="24"/>
          <w:highlight w:val="none"/>
        </w:rPr>
        <w:t xml:space="preserve">监控值班室安保</w:t>
      </w:r>
      <w:bookmarkEnd w:id="31"/>
      <w:r/>
      <w:bookmarkEnd w:id="32"/>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1）认真监视景区情况，发现问题及时通报相关人员，并跟踪处置情况；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2）熟练操作使用监控设备，负责监控室日常秩序的维护；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3）按照景区规定及时登记、播报游园提示、安全提醒、游客求助等语音信息；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4）严格执行相关操作规程，未经景区允许不得私自拷贝、录像、删除相关信息。</w:t>
      </w:r>
      <w:r/>
    </w:p>
    <w:p>
      <w:pPr>
        <w:ind w:firstLine="482"/>
        <w:spacing w:line="360" w:lineRule="auto"/>
        <w:rPr>
          <w:rFonts w:ascii="宋体" w:hAnsi="宋体" w:eastAsia="宋体" w:cs="宋体"/>
          <w:b/>
          <w:bCs/>
          <w:sz w:val="24"/>
          <w:szCs w:val="24"/>
          <w:highlight w:val="none"/>
        </w:rPr>
      </w:pPr>
      <w:r/>
      <w:bookmarkStart w:id="33" w:name="_Toc4558"/>
      <w:r/>
      <w:bookmarkStart w:id="34" w:name="_Toc21880"/>
      <w:r>
        <w:rPr>
          <w:rFonts w:hint="eastAsia" w:ascii="宋体" w:hAnsi="宋体" w:eastAsia="宋体" w:cs="宋体"/>
          <w:b/>
          <w:bCs/>
          <w:sz w:val="24"/>
          <w:szCs w:val="24"/>
          <w:highlight w:val="none"/>
        </w:rPr>
        <w:t xml:space="preserve">夜间值班安保</w:t>
      </w:r>
      <w:bookmarkEnd w:id="33"/>
      <w:r/>
      <w:bookmarkEnd w:id="34"/>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1）与日间安保一起完成清园、查验和交接等事宜；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2）按照景区有关规定，负责上岗期间的景区安全巡查工作；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3）与采购人值班人员、夜间监控值班人员配合，及时发现并按预案要求及时处置发现的问题。</w:t>
      </w:r>
      <w:r/>
    </w:p>
    <w:p>
      <w:pPr>
        <w:ind w:firstLine="482"/>
        <w:spacing w:line="360" w:lineRule="auto"/>
        <w:rPr>
          <w:rFonts w:ascii="宋体" w:hAnsi="宋体" w:eastAsia="宋体" w:cs="宋体"/>
          <w:b/>
          <w:bCs/>
          <w:sz w:val="24"/>
          <w:szCs w:val="24"/>
          <w:highlight w:val="none"/>
        </w:rPr>
      </w:pPr>
      <w:r/>
      <w:bookmarkStart w:id="35" w:name="_Toc15012"/>
      <w:r/>
      <w:bookmarkStart w:id="36" w:name="_Toc25188"/>
      <w:r>
        <w:rPr>
          <w:rFonts w:hint="eastAsia" w:ascii="宋体" w:hAnsi="宋体" w:eastAsia="宋体" w:cs="宋体"/>
          <w:b/>
          <w:bCs/>
          <w:sz w:val="24"/>
          <w:szCs w:val="24"/>
          <w:highlight w:val="none"/>
        </w:rPr>
        <w:t xml:space="preserve">白天巡逻</w:t>
      </w:r>
      <w:bookmarkEnd w:id="35"/>
      <w:r/>
      <w:bookmarkEnd w:id="36"/>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全园开放区域、有序巡逻，每小时巡视1次，上岗巡视要保持通讯畅通。下班时全面做好清园工作、清园工作需认真细致，对主要动物园围墙、道路、景点、笼舍、假山、边后门等地带进行检查，并对经营部门包括门窗、电器和防火设备等进行检查。确保夜班交接班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 园内景区岗位针对有不文明游园行为进行劝导并加以制止，相对围观拥挤的区域进行提前提示和疏导，针对拥堵道路进行组织分流疏导；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3）管理处办公区、游客服务处、次入口等固定岗位，在上岗时间内坚守岗位，不得无故离岗离位；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4）加强水面安全巡逻，每天水域流动巡视；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5）加强对主入口区域、动物笼舍、主干道、驳岸边等重点部位的察看，加强安全巡视次数和对不文明、不安全游览行为进行劝导，禁止各类摊贩进入主入口区域等动物园管辖区域；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6）办公区域传达室专人值勤，履行出入登记手续、报纸信件物品的收发；办公区域安全执勤每1小时巡视1次；</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7）配合园内工作人员做好清园、闭园工作；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8）认真做好防火防盗及反恐防暴工作，发现不安全因素、隐患应立即查明原因，尽快排除险情并及时向上级汇报；检查、维护好安防及消防器材，确安保防设备及消防器材完好有效；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9）认真做好各类台账记录，严格履行交接班制度。</w:t>
      </w:r>
      <w:r/>
    </w:p>
    <w:p>
      <w:pPr>
        <w:ind w:firstLine="482"/>
        <w:spacing w:line="360" w:lineRule="auto"/>
        <w:rPr>
          <w:rFonts w:ascii="宋体" w:hAnsi="宋体" w:eastAsia="宋体" w:cs="宋体"/>
          <w:b/>
          <w:bCs/>
          <w:sz w:val="24"/>
          <w:szCs w:val="24"/>
          <w:highlight w:val="none"/>
        </w:rPr>
      </w:pPr>
      <w:r/>
      <w:bookmarkStart w:id="37" w:name="_Toc3441"/>
      <w:r/>
      <w:bookmarkStart w:id="38" w:name="_Toc9113"/>
      <w:r>
        <w:rPr>
          <w:rFonts w:hint="eastAsia" w:ascii="宋体" w:hAnsi="宋体" w:eastAsia="宋体" w:cs="宋体"/>
          <w:b/>
          <w:bCs/>
          <w:sz w:val="24"/>
          <w:szCs w:val="24"/>
          <w:highlight w:val="none"/>
        </w:rPr>
        <w:t xml:space="preserve">景区闭园后及夜间的安保要求</w:t>
      </w:r>
      <w:bookmarkEnd w:id="37"/>
      <w:r/>
      <w:bookmarkEnd w:id="38"/>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1）景区的清园检查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①要求：闭园后对全园各个部位、角落进行彻底、仔细地清场检查，清除各类可疑物品、易燃易爆品和无关人员。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②标准：无闲杂人员和可疑人员躲藏园内，检查重点要害部位的安全技防设施，不留安全隐患。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2）夜间安保巡更</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当班人员应严格履行通宵值班巡视制度。昼夜巡逻，每班不少于2人，间隔2小时巡逻1次，认真做好值班和巡更打点记录，每天按时执行开放、闭园制度。夜间值班期间要始终保持高度警惕性，严禁夜间越墙事件发生，严禁饮酒、不得睡觉、严禁随便带人进入园内、不得擅离工作岗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①检查各大门、厅堂、办公区域、原游客中心等场所的电源开关、门窗关闭情况，检查并确保猛兽区（含华南虎基地）区域大门关闭且围栏完整有效。清除各类可疑物品、易燃易爆品，严防偷盗、火灾现象发生；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②巡视园内密林树丛、园内死角、围墙及栅栏周边有无人员留宿过夜，发现可疑人员应及时劝导离园，嫌疑突出者应做好询问记录，及时向处领导报告并与派出所联系；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③夜晚定点值班人员按时到岗做好交接；管理处办公区、原游客中心、次入口处值班时段不得接待外来人员入内；中途不得擅离值班岗位，保持通信畅通。协助夜间值班人员工作；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④认真做好防火防盗工作，发现不安全因素立即查明原因，尽快排除险情并及时向上级汇报；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⑤夜间巡视时，注意各出入口、各道口，注意察看围墙外山体及山林有无森林火警，一旦发现火警，立即拨打火警电话，及时汇报，就地组织扑救。</w:t>
      </w:r>
      <w:r/>
    </w:p>
    <w:p>
      <w:pPr>
        <w:ind w:firstLine="482"/>
        <w:spacing w:line="360" w:lineRule="auto"/>
        <w:rPr>
          <w:rFonts w:ascii="宋体" w:hAnsi="宋体" w:eastAsia="宋体" w:cs="宋体"/>
          <w:b/>
          <w:bCs/>
          <w:sz w:val="24"/>
          <w:szCs w:val="24"/>
          <w:highlight w:val="none"/>
        </w:rPr>
      </w:pPr>
      <w:r/>
      <w:bookmarkStart w:id="39" w:name="_Toc16826"/>
      <w:r/>
      <w:bookmarkStart w:id="40" w:name="_Toc23885"/>
      <w:r>
        <w:rPr>
          <w:rFonts w:hint="eastAsia" w:ascii="宋体" w:hAnsi="宋体" w:eastAsia="宋体" w:cs="宋体"/>
          <w:b/>
          <w:bCs/>
          <w:sz w:val="24"/>
          <w:szCs w:val="24"/>
          <w:highlight w:val="none"/>
        </w:rPr>
        <w:t xml:space="preserve">消防工作安保要求：</w:t>
      </w:r>
      <w:bookmarkEnd w:id="39"/>
      <w:r/>
      <w:bookmarkEnd w:id="40"/>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建立健全消防预案，每月至少检查灭火器材一次，并做好检查记录。熟悉了解景区内所有消防设施器材安放位置，懂得防火、灭火基本知识，能熟练使用灭火器材扑救一般火灾。熟悉排水设施位置并能熟练操作使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2）标准：懂防火、灭火知识，会使用灭火设备扑救一般火灾，熟知应急预案内容，能按照应急预案处理突发事件。</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其他细则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劝阻游客投喂野生动物、接触野生动物、随地大小便、扰乱公共秩序、损坏公物绿化、人为纠纷、酗酒、赌博、偷窃、行乞、看相算命等不文明行为，随意设摊、兜售物品、散发宣传品、赤膊、卧、躺等现象，一经发现及时制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2）每日流动巡逻，做好每天的巡查记录,发现区域内设施损坏或存在安全隐患，应及时报修或报告；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游客入园后开始安全巡视，劝阻游客园内吸烟行为、看护笼舍区域、劝阻游客进入围栏内拍照及投喂、嬉戏、恐吓、接触野生动物。人多拥挤时，维持好游客在观光平台的上下秩序，重点在长颈鹿、大象、斑马、大羚羊、狒狒等区域。东北虎、灵长类、羚牛、狼等笼舍区域防止发生游客坠落隔离壕沟内。提醒游客看管好个人物品，防止偷盗。闭园前巡视区域内动物笼舍门锁上锁情况。闭园后确保园内无滞留游客并全园上锁；</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②动物展示区域，巡视动物饲养区域大门上锁情况。检查笼舍完整性，察看动物是否脱笼。检查各类设施完整性，是否存在安全隐患；</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生境馆区域，每天在展厅内站立或流动巡查，维持展厅安全有序的参观秩序，协助游客正确使用展厅内的各类可触摸展示设备。安保人员发现可疑情况及时处理并上报，保证展厅内设备设施、标本等展示物的安全；</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④巡视水面，劝阻游人在河边嬉戏、抛扔杂物；维持驳岸安全秩序；劝阻游人在水域范围内垂钓、捕捞、游泳等。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3）全体安保人员必须经常接受消防培训以及正确使用消防设备，初步掌握森林防火、灭火技能；</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4）监控（消控）中心：中心工作人员要刻苦学习，不断提高和掌握系统的原理功能、设备的维护保养、日常操作的技术和能力。中心工作人员要坚守工作岗位，监控操作人员不间断从屏幕掌握景区秩序动态</w:t>
      </w:r>
      <w:r>
        <w:rPr>
          <w:rFonts w:hint="eastAsia" w:ascii="宋体" w:hAnsi="宋体" w:eastAsia="宋体" w:cs="宋体"/>
          <w:sz w:val="24"/>
          <w:szCs w:val="24"/>
          <w:highlight w:val="none"/>
        </w:rPr>
        <w:t xml:space="preserve">，实时报告信息。监控操作人员要认真负责，如实反映，对隐瞒偏护内部、外部非法和不正当行为的人员，经查实将作下岗处理。工作人员严禁漏岗、脱岗，确需调班时，必须有同岗位人员顶替方能进行。工作人员要认真做好交班衔接并做好记录，不得产生真空时段。非景区人员不得进入中心大院。中心监控室严禁吸烟，禁止摆放除系统配套用品外的一切杂物，保持中心大院及各用房的卫生整洁；监控中心兼消防控制中心，其中两名工作人员（不含项目经理）应具有建（构）筑物消防员证书或消防设施操作员证书上岗，掌握风机、消防控制柜、消防泵房等消控设施使用方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5）保安人员对水电、消防设施设备、排水设施等进行定期一般检查，发现问题及时上报，并上报维修；同时保安人员需不定期协助进行饲料搬运、野生动物换笼等特殊工作；</w:t>
      </w:r>
      <w:r/>
    </w:p>
    <w:p>
      <w:pPr>
        <w:ind w:firstLine="480"/>
        <w:spacing w:line="360" w:lineRule="auto"/>
        <w:rPr>
          <w:rFonts w:ascii="宋体" w:hAnsi="宋体" w:eastAsia="宋体" w:cs="宋体"/>
          <w:sz w:val="24"/>
          <w:szCs w:val="24"/>
          <w:highlight w:val="none"/>
        </w:rPr>
      </w:pPr>
      <w:r/>
      <w:bookmarkStart w:id="41" w:name="_Toc11552"/>
      <w:r/>
      <w:bookmarkStart w:id="42" w:name="_Toc31483"/>
      <w:r>
        <w:rPr>
          <w:rFonts w:hint="eastAsia" w:ascii="宋体" w:hAnsi="宋体" w:eastAsia="宋体" w:cs="宋体"/>
          <w:sz w:val="24"/>
          <w:szCs w:val="24"/>
          <w:highlight w:val="none"/>
        </w:rPr>
        <w:t xml:space="preserve">6）熟悉动物园片区相关安全应急预案。</w:t>
      </w:r>
      <w:bookmarkEnd w:id="41"/>
      <w:r/>
      <w:bookmarkEnd w:id="42"/>
      <w:r/>
      <w:r/>
    </w:p>
    <w:p>
      <w:pP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（2）植物园片区：</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白天巡逻: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1）森林公园区域巡逻，做到有序不间断巡逻，处理并报告各类突发事件，引导游客、救助伤员，制止香贩将杂物堆放在行春酒家移动门内任何区域等不规范行为；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2）管理处办公区、游客中心,固定岗位上岗时间内坚守岗位，不得无故离岗离位；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3）水面安全巡逻，每天水域流动巡视；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4）办公区域传达室专人值勤，实行通报手续，报纸信件物品的收发；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5）认真做好各类台账记录，严格履行交接班制度；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6）认真做好防火防盗工作，发现不安全因素立即查明原因，尽快排除险情并及时向上级汇报。</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夜间值班、巡逻: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1）当班人员应严格履行通宵值班巡视制度。昼夜巡逻，每班2人，间隔最多2小时巡逻1次，认真做好值班和巡更打点记录；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2）检查各大门、厅堂、及办公区域、游客中心等场所的电源开关、门窗关闭情况，清除各类可疑物品、易燃易爆品，严防偷盗、火灾现象发生；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3）巡视区域内密林树丛、园内死角、围墙及栅栏周边有无人员留宿过夜，发现可疑人员应及时劝导离园，嫌疑突出者应做好询问记录，及时向上级报告并与派出所联系；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4）夜晚定点值班人员按时到岗做好交接；管理处办公区不得接待外来人员入内；中途不得擅离值班岗位，保持通信畅通，协助夜间值班人员工作；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5）认真做好防火防盗工作，发现不安全因素立即查明原因，尽快排除险情并及时向上级汇报。</w:t>
      </w:r>
      <w:r/>
    </w:p>
    <w:p>
      <w:pPr>
        <w:ind w:firstLine="241"/>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 森林防火工作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1）认真学习护林防火业务知识，参照《苏州市森林消防训练与考核大纲》加强扑火技战术训练，熟悉景区护林防火设施设备，能正确操作使用；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2）接到火警电话通知或发现火情、破坏森林资源行为，应快速赶往现场，做到及时发现，积极扑救；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3）上岗巡视要保持通讯畅通，要定期参加景区的消防培训演练，在防火高峰期不得随意调休，通讯保持24小时畅通。</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其他细则：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1）按照景区管理规范，防范区域内各类不安全隐患和事故发生。对发生的突发事件，迅速报告和并积极进行疏导、化解 ，遏制事态发展，避免造成不良影响。服从景区管理和岗位调配；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2）履行动态巡视，确保巡视路段岗位全日不断人，游客求助有解难、有帮助、游客提问有回答、有引导；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3）区域内无随地大小便、扰乱公共秩序、损坏公物、人为纠纷、酗酒、赌博、偷窃、行乞、看相算命，随意设摊、兜售物品、散发宣传品、赤膊、卧、躺等现象，一经发现及时制止；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4）劝阻游客损坏绿化、采摘花、果、践踏草坪等不文明行为；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5）巡视区域内水面，劝阻游人在河边嬉戏、抛扔杂物；劝阻游人在水域范围内垂钓、捕捞、采摘水生植物、游泳等，严禁发生溺亡事件；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6）安保人员应加强对办公区域内、外的巡视检查，防止发生盗窃及制止闲杂人员入内。若发生类似情况，应保护现场，及时上报相关部门；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7）如发生重大失窃或损坏设施、实物，以及发生事故等情况，由安保人员负责作出赔偿并对设施进行修复，承担相应事故的责任；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8）发现区域内设施损坏或存在安全隐患，应及时报修或报告；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9）做好值班室卫生工作，做好每天的巡查记录；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监控室值班人员必须严格按照规定时间、范围，集中精力严密观察，对异常可疑情况做好记录并录像，发现问题及时汇报；监控室禁止无关人员入内，其它部门确因工作需要来监控室的人员也应做好登记；做好监控室的清洁卫生工作，保持整洁，禁止在监控室吸烟；严格遵守监控设备操作程序，禁止调整改动计算机系统。</w:t>
      </w:r>
      <w:r/>
    </w:p>
    <w:p>
      <w:pPr>
        <w:ind w:firstLine="480"/>
        <w:spacing w:line="560" w:lineRule="exact"/>
        <w:rPr>
          <w:rFonts w:ascii="宋体" w:hAnsi="宋体" w:eastAsia="宋体" w:cs="宋体"/>
          <w:sz w:val="24"/>
          <w:szCs w:val="24"/>
          <w:highlight w:val="none"/>
        </w:rPr>
      </w:pPr>
      <w:r/>
      <w:bookmarkStart w:id="43" w:name="_Toc31473"/>
      <w:r/>
      <w:bookmarkStart w:id="44" w:name="_Toc18143"/>
      <w:r>
        <w:rPr>
          <w:rFonts w:hint="eastAsia" w:ascii="宋体" w:hAnsi="宋体" w:eastAsia="宋体" w:cs="宋体"/>
          <w:sz w:val="24"/>
          <w:szCs w:val="24"/>
          <w:highlight w:val="none"/>
        </w:rPr>
        <w:t xml:space="preserve">（四）工具器械</w:t>
      </w:r>
      <w:bookmarkEnd w:id="43"/>
      <w:r/>
      <w:bookmarkEnd w:id="44"/>
      <w: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4"/>
        <w:gridCol w:w="2395"/>
        <w:gridCol w:w="991"/>
        <w:gridCol w:w="2959"/>
        <w:gridCol w:w="1739"/>
      </w:tblGrid>
      <w:tr>
        <w:trPr>
          <w:jc w:val="center"/>
          <w:trHeight w:val="340"/>
        </w:trPr>
        <w:tc>
          <w:tcPr>
            <w:tcW w:w="1209"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规格</w:t>
            </w:r>
            <w:r/>
          </w:p>
        </w:tc>
        <w:tc>
          <w:tcPr>
            <w:tcW w:w="1746"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340"/>
        </w:trPr>
        <w:tc>
          <w:tcPr>
            <w:tcW w:w="1209" w:type="dxa"/>
            <w:vAlign w:val="center"/>
            <w:vMerge w:val="restart"/>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安保</w:t>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四轮电动巡逻车</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4辆</w:t>
            </w:r>
            <w:r/>
          </w:p>
        </w:tc>
        <w:tc>
          <w:tcPr>
            <w:tcW w:w="2976" w:type="dxa"/>
            <w:vAlign w:val="center"/>
            <w:textDirection w:val="lrTb"/>
            <w:noWrap w:val="false"/>
          </w:tcPr>
          <w:p>
            <w:pPr>
              <w:ind w:firstLine="420"/>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尺寸（3300mm*1650mm*1950mm）可适当偏差，电压≥72V，功率≥4KW，最高时速≥35km/h，续航里程≥80km</w:t>
            </w:r>
            <w:r/>
          </w:p>
        </w:tc>
        <w:tc>
          <w:tcPr>
            <w:tcW w:w="1746" w:type="dxa"/>
            <w:vAlign w:val="center"/>
            <w:vMerge w:val="restart"/>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保养和维修由中标单位负责</w:t>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两轮电动巡逻电瓶车</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16辆</w:t>
            </w:r>
            <w:r/>
          </w:p>
        </w:tc>
        <w:tc>
          <w:tcPr>
            <w:tcW w:w="2976"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尺寸（1800mm*1100*700mm）可适当偏差，电压≥48V，最高时速≥40km/h</w:t>
            </w:r>
            <w:r/>
          </w:p>
        </w:tc>
        <w:tc>
          <w:tcPr>
            <w:tcW w:w="1746" w:type="dxa"/>
            <w:vAlign w:val="center"/>
            <w:vMerge w:val="continue"/>
            <w:textDirection w:val="lrTb"/>
            <w:noWrap w:val="false"/>
          </w:tcPr>
          <w:p>
            <w:pPr>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执法记录仪</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8部</w:t>
            </w:r>
            <w:r/>
          </w:p>
        </w:tc>
        <w:tc>
          <w:tcPr>
            <w:tcW w:w="2976"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主摄像头分辨率≥1080p，存储容量≥16GB，电池容量≥3000毫安</w:t>
            </w:r>
            <w:r/>
          </w:p>
        </w:tc>
        <w:tc>
          <w:tcPr>
            <w:tcW w:w="1746" w:type="dxa"/>
            <w:vAlign w:val="center"/>
            <w:vMerge w:val="restart"/>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满足日常使用需求，不使用老、破、旧设备</w:t>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对讲机</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1部/人</w:t>
            </w:r>
            <w:r/>
          </w:p>
        </w:tc>
        <w:tc>
          <w:tcPr>
            <w:tcW w:w="2976"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电池容量≥3000毫安，通话距离：5-10km</w:t>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防暴头盔</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15个</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橡皮棍</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30根</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盾牌</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15块</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防刺衣</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15件</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防割手套</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30件</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抓捕器</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8个</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钢叉</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8个</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灭火毯</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6个</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人脸考勤机</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2部</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每月要附纸质考勤表</w:t>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2409"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喇叭扬声器</w:t>
            </w:r>
            <w:r/>
          </w:p>
        </w:tc>
        <w:tc>
          <w:tcPr>
            <w:tcW w:w="993" w:type="dxa"/>
            <w:vAlign w:val="center"/>
            <w:textDirection w:val="lrTb"/>
            <w:noWrap w:val="false"/>
          </w:tcPr>
          <w:p>
            <w:pPr>
              <w:jc w:val="center"/>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45个</w:t>
            </w:r>
            <w:r/>
          </w:p>
        </w:tc>
        <w:tc>
          <w:tcPr>
            <w:tcW w:w="2976" w:type="dxa"/>
            <w:vAlign w:val="center"/>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vMerge w:val="continue"/>
            <w:textDirection w:val="lrTb"/>
            <w:noWrap w:val="false"/>
          </w:tcPr>
          <w:p>
            <w:pPr>
              <w:jc w:val="center"/>
              <w:spacing w:line="560" w:lineRule="exact"/>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Height w:val="340"/>
        </w:trPr>
        <w:tc>
          <w:tcPr>
            <w:tcW w:w="1209"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服装、</w:t>
            </w:r>
            <w:r/>
          </w:p>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设备要求</w:t>
            </w:r>
            <w:r/>
          </w:p>
        </w:tc>
        <w:tc>
          <w:tcPr>
            <w:tcW w:w="2409"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统一工作服，包括但不限于：制服、制帽、草帽、雨衣、雨鞋、手套、口罩、夜间巡逻手提探灯、必要的通讯、照明和防身设备、遮阳棚、必要的安保用具、必要的工具等</w:t>
            </w:r>
            <w:r/>
          </w:p>
        </w:tc>
        <w:tc>
          <w:tcPr>
            <w:tcW w:w="993"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按需提供，随时补充</w:t>
            </w:r>
            <w:r/>
          </w:p>
        </w:tc>
        <w:tc>
          <w:tcPr>
            <w:tcW w:w="2976" w:type="dxa"/>
            <w:vAlign w:val="center"/>
            <w:textDirection w:val="lrTb"/>
            <w:noWrap w:val="false"/>
          </w:tcPr>
          <w:p>
            <w:pPr>
              <w:ind w:firstLine="420"/>
              <w:spacing w:line="320" w:lineRule="exact"/>
              <w:rPr>
                <w:rFonts w:ascii="宋体" w:hAnsi="宋体" w:eastAsia="宋体" w:cs="宋体"/>
                <w:sz w:val="24"/>
                <w:szCs w:val="24"/>
                <w:highlight w:val="none"/>
              </w:rPr>
            </w:pPr>
            <w:r>
              <w:rPr>
                <w:rFonts w:ascii="宋体" w:hAnsi="宋体" w:eastAsia="宋体" w:cs="宋体"/>
                <w:sz w:val="24"/>
                <w:szCs w:val="24"/>
                <w:highlight w:val="none"/>
              </w:rPr>
            </w:r>
            <w:r/>
          </w:p>
        </w:tc>
        <w:tc>
          <w:tcPr>
            <w:tcW w:w="1746" w:type="dxa"/>
            <w:vAlign w:val="center"/>
            <w:textDirection w:val="lrTb"/>
            <w:noWrap w:val="false"/>
          </w:tcPr>
          <w:p>
            <w:pPr>
              <w:spacing w:line="32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服装根据石湖景区管理处（动、植物园片区）对工作服的定制要求，应按其要求统一制服，相关制作费用由中标单位承担</w:t>
            </w:r>
            <w:r/>
          </w:p>
        </w:tc>
      </w:tr>
    </w:tbl>
    <w:p>
      <w:pPr>
        <w:ind w:firstLine="420"/>
        <w:rPr>
          <w:rFonts w:ascii="宋体" w:hAnsi="宋体" w:eastAsia="宋体" w:cs="宋体"/>
          <w:sz w:val="24"/>
          <w:szCs w:val="24"/>
          <w:highlight w:val="none"/>
        </w:rPr>
      </w:pPr>
      <w:r>
        <w:rPr>
          <w:rFonts w:ascii="宋体" w:hAnsi="宋体" w:eastAsia="宋体" w:cs="宋体"/>
          <w:sz w:val="24"/>
          <w:szCs w:val="24"/>
          <w:highlight w:val="none"/>
        </w:rPr>
      </w:r>
      <w:r/>
    </w:p>
    <w:p>
      <w:pPr>
        <w:ind w:firstLine="420"/>
        <w:rPr>
          <w:rFonts w:ascii="宋体" w:hAnsi="宋体" w:eastAsia="宋体" w:cs="宋体"/>
          <w:sz w:val="24"/>
          <w:szCs w:val="24"/>
          <w:highlight w:val="none"/>
        </w:rPr>
      </w:pPr>
      <w:r>
        <w:rPr>
          <w:rFonts w:hint="eastAsia" w:ascii="宋体" w:hAnsi="宋体" w:eastAsia="宋体" w:cs="宋体"/>
          <w:sz w:val="24"/>
          <w:szCs w:val="24"/>
          <w:highlight w:val="none"/>
        </w:rPr>
        <w:t xml:space="preserve">以上工具器械由中标单位提供，服务期内不得把上述物资设备调离本项目服务范围。</w:t>
      </w:r>
      <w:r/>
    </w:p>
    <w:p>
      <w:pPr>
        <w:pStyle w:val="720"/>
        <w:rPr>
          <w:rFonts w:hint="default"/>
          <w:highlight w:val="none"/>
        </w:rPr>
      </w:pPr>
      <w:r>
        <w:rPr>
          <w:rFonts w:hint="default"/>
          <w:highlight w:val="none"/>
        </w:rPr>
      </w:r>
      <w:r/>
    </w:p>
    <w:p>
      <w:pPr>
        <w:ind w:firstLine="422"/>
        <w:spacing w:line="360" w:lineRule="auto"/>
        <w:rPr>
          <w:rFonts w:ascii="宋体" w:hAnsi="宋体" w:eastAsia="宋体" w:cs="宋体"/>
          <w:b/>
          <w:bCs/>
          <w:color w:val="1c1f23"/>
          <w:sz w:val="24"/>
          <w:szCs w:val="24"/>
          <w:highlight w:val="none"/>
          <w:shd w:val="clear" w:color="auto" w:fill="ffffff"/>
        </w:rPr>
      </w:pPr>
      <w:r>
        <w:rPr>
          <w:rFonts w:hint="eastAsia" w:ascii="宋体" w:hAnsi="宋体" w:eastAsia="宋体" w:cs="宋体"/>
          <w:b/>
          <w:bCs/>
          <w:color w:val="1c1f23"/>
          <w:sz w:val="24"/>
          <w:szCs w:val="24"/>
          <w:highlight w:val="none"/>
          <w:shd w:val="clear" w:color="auto" w:fill="ffffff"/>
        </w:rPr>
        <w:t xml:space="preserve">五、综合说明：</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1、供应商须具备独立完成本项目的能力。因此供应商可在投标前自行进行调研，了解项目情况及详细需求，但供应商不得因此使采购单位承担有关的责任和蒙受损失。供应商应承担前期调研的责任和风险。供应商中标后，不得以不了解项目情况及详细需求为理由而向采购单位提出任何索赔的要求，对此采购单位不再承担任何责任。</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2、本项目不允许转包，发现查实者一律解除合同。</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3、供应商提供的投标文件必须如实对本项目的采购文件进行实质性响应，如有量化指标必须列明具体数值，同时供应商必须根据提供的服务，明确其必须说明的相关情况。供应商提供的投标文件内容必须真实、准确、有效，如提供虚假材料或对采购文件所要求说明的情况故意隐瞒或虚报，视为不实质性响应采购要求，其投标文件将被拒绝。已中标的将取消中标资格，并按《中华人民共和国政府采购法》第七十七条的相关办法处理。</w:t>
      </w:r>
      <w:r/>
    </w:p>
    <w:p>
      <w:pPr>
        <w:ind w:firstLine="422"/>
        <w:spacing w:line="360" w:lineRule="auto"/>
        <w:rPr>
          <w:rFonts w:ascii="宋体" w:hAnsi="宋体" w:eastAsia="宋体" w:cs="宋体"/>
          <w:b/>
          <w:bCs/>
          <w:color w:val="1c1f23"/>
          <w:sz w:val="24"/>
          <w:szCs w:val="24"/>
          <w:highlight w:val="none"/>
          <w:shd w:val="clear" w:color="auto" w:fill="ffffff"/>
        </w:rPr>
      </w:pPr>
      <w:r>
        <w:rPr>
          <w:rFonts w:hint="eastAsia" w:ascii="宋体" w:hAnsi="宋体" w:eastAsia="宋体" w:cs="宋体"/>
          <w:b/>
          <w:bCs/>
          <w:color w:val="1c1f23"/>
          <w:sz w:val="24"/>
          <w:szCs w:val="24"/>
          <w:highlight w:val="none"/>
          <w:shd w:val="clear" w:color="auto" w:fill="ffffff"/>
        </w:rPr>
        <w:t xml:space="preserve">六、其他要求：</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1、投标单位必须按照《劳动合同法》及国家、省市、当地相关规定支付工资、国假加班费和交纳正常的社会保险等所有费用。人员工资不得低于本地最低工资标准。</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2、投标单位在被确定成交后，其在投标文件中所提供的服务人员名单须相对固定，如有人员调整须在合同签订前征得采购人同意，否则采购人有权以投标单位构成严重违约为由解除合同，因此而产生的损失与其他后果由投标单位承担。</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3、投标单位所提供的服务内容应能够达到采购文件中的要求，并提供详细的服务方案和服务质量标准。</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b/>
          <w:bCs/>
          <w:color w:val="1c1f23"/>
          <w:sz w:val="24"/>
          <w:szCs w:val="24"/>
          <w:highlight w:val="none"/>
          <w:shd w:val="clear" w:color="auto" w:fill="ffffff"/>
        </w:rPr>
        <w:t xml:space="preserve">4、供应商须在投标文件中编制全年岗位专项服务方案，未在投标文件中提供的视为未实质性响应招标文件要求。方案需明确淡旺季岗位配置数量、重大节假日及专项活动期间岗位排布标准，全年岗位总规模与招标文件要求保持一致（实际服务总时长不少于预算总时长）。该方案须经甲方审核确认通过后，中标单位方可进场开展服务。服务期间甲方有权依据实际运营需求动态调整各阶段岗位排班、人员配置，乙方须无条件配合并更新服务方案报送甲方审核，不得借岗位调整增加费用、缩减服务；全部岗位排布方案须经甲方审核确认通过后方可实施。</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5、投标单位必须承诺采购文件中提出的全部要求，如果以其中某些条款不响应时，应在投标文件中逐条列出，未列出的视同响应。</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6、本项目报价包括完成本项工作所需的设备、人工（含人员保险费用）、协调费用、利润、税金、管理费、风险费、文件规定政策性费用等所有费用。除上述费用外，甲方不承担其他相关费用</w:t>
      </w:r>
      <w:bookmarkStart w:id="45" w:name="OLE_LINK3"/>
      <w:r>
        <w:rPr>
          <w:rFonts w:hint="eastAsia" w:ascii="宋体" w:hAnsi="宋体" w:eastAsia="宋体" w:cs="宋体"/>
          <w:color w:val="1c1f23"/>
          <w:sz w:val="24"/>
          <w:szCs w:val="24"/>
          <w:highlight w:val="none"/>
          <w:shd w:val="clear" w:color="auto" w:fill="ffffff"/>
        </w:rPr>
        <w:t xml:space="preserve">（包含但不限于因乙方人员辞退、工伤事故等发生的全部经济补偿金和赔偿金）</w:t>
      </w:r>
      <w:bookmarkEnd w:id="45"/>
      <w:r>
        <w:rPr>
          <w:rFonts w:hint="eastAsia" w:ascii="宋体" w:hAnsi="宋体" w:eastAsia="宋体" w:cs="宋体"/>
          <w:color w:val="1c1f23"/>
          <w:sz w:val="24"/>
          <w:szCs w:val="24"/>
          <w:highlight w:val="none"/>
          <w:shd w:val="clear" w:color="auto" w:fill="ffffff"/>
        </w:rPr>
        <w:t xml:space="preserve">。上述价格在合同实施期间不因市场变化因素而变动。除非因特殊原因并经甲乙双方协商同意，乙方不得再要求追加任何费用。</w:t>
      </w:r>
      <w:r/>
    </w:p>
    <w:p>
      <w:pPr>
        <w:ind w:firstLine="422"/>
        <w:spacing w:line="360" w:lineRule="auto"/>
        <w:rPr>
          <w:rFonts w:ascii="宋体" w:hAnsi="宋体" w:eastAsia="宋体" w:cs="宋体"/>
          <w:color w:val="1c1f23"/>
          <w:sz w:val="24"/>
          <w:szCs w:val="24"/>
          <w:highlight w:val="none"/>
          <w:shd w:val="clear" w:color="auto" w:fill="ffffff"/>
        </w:rPr>
      </w:pPr>
      <w:r>
        <w:rPr>
          <w:rFonts w:hint="eastAsia" w:ascii="宋体" w:hAnsi="宋体" w:eastAsia="宋体" w:cs="宋体"/>
          <w:color w:val="1c1f23"/>
          <w:sz w:val="24"/>
          <w:szCs w:val="24"/>
          <w:highlight w:val="none"/>
          <w:shd w:val="clear" w:color="auto" w:fill="ffffff"/>
        </w:rPr>
        <w:t xml:space="preserve">七、凡涉及采购文件的补充说明和修改，均以招标代理单位发布的书面内容为准。</w:t>
      </w:r>
      <w:r/>
    </w:p>
    <w:p>
      <w:pPr>
        <w:jc w:val="center"/>
        <w:rPr>
          <w:rStyle w:val="845"/>
          <w:rFonts w:ascii="宋体" w:hAnsi="宋体" w:eastAsia="宋体" w:cs="宋体"/>
          <w:sz w:val="32"/>
          <w:szCs w:val="32"/>
          <w:highlight w:val="none"/>
        </w:rPr>
      </w:pPr>
      <w:r>
        <w:rPr>
          <w:rStyle w:val="845"/>
          <w:rFonts w:hint="eastAsia" w:ascii="宋体" w:hAnsi="宋体" w:eastAsia="宋体" w:cs="宋体"/>
          <w:sz w:val="28"/>
          <w:szCs w:val="28"/>
          <w:highlight w:val="none"/>
        </w:rPr>
        <w:br w:type="page" w:clear="all"/>
      </w:r>
      <w:r>
        <w:rPr>
          <w:rStyle w:val="845"/>
          <w:rFonts w:hint="eastAsia" w:ascii="宋体" w:hAnsi="宋体" w:eastAsia="宋体" w:cs="宋体"/>
          <w:sz w:val="32"/>
          <w:szCs w:val="32"/>
          <w:highlight w:val="none"/>
        </w:rPr>
        <w:t xml:space="preserve">第五章  合同文本</w:t>
      </w:r>
      <w:bookmarkEnd w:id="12"/>
      <w:r/>
      <w:bookmarkEnd w:id="13"/>
      <w:r/>
      <w:r/>
    </w:p>
    <w:p>
      <w:pPr>
        <w:pStyle w:val="720"/>
        <w:rPr>
          <w:rFonts w:hint="default"/>
          <w:highlight w:val="none"/>
        </w:rPr>
      </w:pPr>
      <w:r>
        <w:rPr>
          <w:rFonts w:hint="default"/>
          <w:highlight w:val="none"/>
        </w:rPr>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甲方（采购单位）：苏州市石湖景区管理处（华南虎苏州培育基地）</w:t>
      </w:r>
      <w:r/>
    </w:p>
    <w:p>
      <w:pPr>
        <w:pStyle w:val="720"/>
        <w:rPr>
          <w:rFonts w:hint="default" w:cs="宋体"/>
          <w:color w:val="000000"/>
          <w:sz w:val="24"/>
          <w:szCs w:val="24"/>
          <w:highlight w:val="none"/>
        </w:rPr>
      </w:pPr>
      <w:r>
        <w:rPr>
          <w:rFonts w:cs="宋体"/>
          <w:color w:val="000000"/>
          <w:sz w:val="24"/>
          <w:szCs w:val="24"/>
          <w:highlight w:val="none"/>
        </w:rPr>
        <w:t xml:space="preserve">   地址：</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乙方（供应商）： </w:t>
      </w:r>
      <w:r/>
    </w:p>
    <w:p>
      <w:pPr>
        <w:pStyle w:val="720"/>
        <w:ind w:firstLine="240"/>
        <w:rPr>
          <w:rFonts w:hint="default"/>
          <w:highlight w:val="none"/>
        </w:rPr>
      </w:pPr>
      <w:r>
        <w:rPr>
          <w:rFonts w:cs="宋体"/>
          <w:color w:val="000000"/>
          <w:sz w:val="24"/>
          <w:szCs w:val="24"/>
          <w:highlight w:val="none"/>
        </w:rPr>
        <w:t xml:space="preserve"> 地址：</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根据《中华人民共和国民法典》《中华人民共和国政府采购法》等相关法律法规的规定，甲乙双方就此次成交的【        】（以下简称“本项目”）的相关事宜，签订本合同书，以兹共同遵守。</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一、合同内容</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1、乙方负责完成甲方的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服务。若乙方不能按要求实施项目，甲方有权终止本合同。在合同有效期内一方不得擅自变更、中止或终止本合同，如未经双方书面同意，擅自变更、中止或终止本合同的一方应承担违约责任。</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2、下列文件为本合同不可分割的部分，与本合同具有同等的法律效力：</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（1）本合同书及本合同书签署后各方以书面形式确认的补充协议、会议纪要等；</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（2）中标通知书（如有）；</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（3）政府采购文件（如有）；</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（4）乙方的投标文件（如有）；</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（5）乙方在招投标过程中所作的其他承诺、声明、书面澄清等（如有）。</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以上文件视为是能互相说明的，如上述文件之间存在冲突或不一致的，以排列序位在前的文件为准，同一序位的文件以形成时间在后的为准。</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二、价格与支付</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1、本合同金额总价（含税）为人民币（大写      ）（¥：      ），其中：</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合同总金额包括完成本项工作所需的设备、人工（含人员保险费用）、备品备件、协调费用、利润、税金、管理费、风险费、文件规定政策性费用等所有费用。除上述费用外，甲方不承担其他相关费用（包含但不限于因乙方人员辞退、工伤事故等发生的全部经济补偿金和赔偿金）。上述价格在合同实施期间不因市场变化因素而变动。除非因特殊原因并经甲乙双方协商同意，乙方不得再要求追加任何费用。</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2、付款方式：</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（1）按月等额支付，每月支付金额 =合同总金额÷12-当月考核扣除的服务费。</w:t>
      </w:r>
      <w:r/>
    </w:p>
    <w:p>
      <w:pPr>
        <w:ind w:firstLine="480"/>
        <w:spacing w:line="440" w:lineRule="exact"/>
        <w:rPr>
          <w:rFonts w:ascii="宋体" w:hAnsi="宋体" w:eastAsia="宋体" w:cs="宋体"/>
          <w:color w:val="000000"/>
          <w:sz w:val="24"/>
          <w:szCs w:val="24"/>
          <w:highlight w:val="none"/>
        </w:rPr>
      </w:pPr>
      <w:r>
        <w:rPr>
          <w:rFonts w:hint="eastAsia" w:hAnsi="宋体" w:cs="宋体"/>
          <w:color w:val="000000" w:themeColor="text1"/>
          <w:sz w:val="24"/>
          <w:szCs w:val="24"/>
          <w:highlight w:val="none"/>
          <w14:textFill>
            <w14:solidFill>
              <w14:schemeClr w14:val="tx1"/>
            </w14:solidFill>
          </w14:textFill>
        </w:rPr>
        <w:t xml:space="preserve">考核扣款条目详见合同附件。</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（2）支付方式：本次货款以数字人民币形式支付。乙方收款账户信息如下：</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数字人民币账号（数币钱包ID）： </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银行转账账户：</w:t>
      </w:r>
      <w:r/>
    </w:p>
    <w:p>
      <w:pPr>
        <w:pStyle w:val="953"/>
        <w:ind w:firstLine="480"/>
        <w:spacing w:line="440" w:lineRule="exact"/>
        <w:rPr>
          <w:rFonts w:hAnsi="宋体"/>
          <w:highlight w:val="none"/>
        </w:rPr>
      </w:pPr>
      <w:r>
        <w:rPr>
          <w:rFonts w:hint="eastAsia" w:hAnsi="宋体"/>
          <w:highlight w:val="none"/>
        </w:rPr>
        <w:t xml:space="preserve">（3）乙方提请甲方款项结算前，需提供以下材料，因乙方未按约定提供以下材料的，甲方有权迟延付款，且不承担迟延付款责任：</w:t>
      </w:r>
      <w:r/>
    </w:p>
    <w:p>
      <w:pPr>
        <w:pStyle w:val="953"/>
        <w:ind w:firstLine="480"/>
        <w:spacing w:line="440" w:lineRule="exact"/>
        <w:rPr>
          <w:rFonts w:hAnsi="宋体"/>
          <w:highlight w:val="none"/>
        </w:rPr>
      </w:pPr>
      <w:r>
        <w:rPr>
          <w:rFonts w:hint="eastAsia" w:hAnsi="宋体"/>
          <w:highlight w:val="none"/>
        </w:rPr>
        <w:t xml:space="preserve">A、合法有效且符合甲方要求的销售发票。</w:t>
      </w:r>
      <w:r/>
    </w:p>
    <w:p>
      <w:pPr>
        <w:pStyle w:val="953"/>
        <w:ind w:firstLine="480"/>
        <w:spacing w:line="440" w:lineRule="exact"/>
        <w:rPr>
          <w:rFonts w:hAnsi="宋体"/>
          <w:highlight w:val="none"/>
        </w:rPr>
      </w:pPr>
      <w:r>
        <w:rPr>
          <w:rFonts w:hint="eastAsia" w:hAnsi="宋体"/>
          <w:highlight w:val="none"/>
        </w:rPr>
        <w:t xml:space="preserve">B、甲方对乙方提供的服务进行考核所形成的考核单证。</w:t>
      </w:r>
      <w:r/>
    </w:p>
    <w:p>
      <w:pPr>
        <w:pStyle w:val="953"/>
        <w:ind w:firstLine="480"/>
        <w:spacing w:line="440" w:lineRule="exact"/>
        <w:rPr>
          <w:rFonts w:hAnsi="宋体"/>
          <w:highlight w:val="none"/>
        </w:rPr>
      </w:pPr>
      <w:r>
        <w:rPr>
          <w:rFonts w:hint="eastAsia" w:hAnsi="宋体"/>
          <w:highlight w:val="none"/>
        </w:rPr>
        <w:t xml:space="preserve">（4）除本合同特别约定外，根据现行税法对甲方征收的与本合同有关的一切税费均由甲方承担；根据现行税法对乙方征收的与本合同有关的一切税费均由乙方承担。</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三、服务要求</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1、服务地点：苏州市石湖景区管理处（动、植物园片区）。</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2、服务期限：</w:t>
      </w:r>
      <w:r>
        <w:rPr>
          <w:rFonts w:hint="eastAsia" w:ascii="宋体" w:hAnsi="宋体" w:eastAsia="宋体" w:cs="宋体"/>
          <w:sz w:val="24"/>
          <w:szCs w:val="24"/>
          <w:highlight w:val="none"/>
        </w:rPr>
        <w:t xml:space="preserve"> 自   年  月  日至  年  月  日。</w:t>
      </w:r>
      <w:r/>
    </w:p>
    <w:p>
      <w:pPr>
        <w:pStyle w:val="953"/>
        <w:ind w:firstLine="480"/>
        <w:spacing w:line="440" w:lineRule="exact"/>
        <w:rPr>
          <w:rFonts w:hAnsi="宋体"/>
          <w:highlight w:val="none"/>
        </w:rPr>
      </w:pPr>
      <w:r>
        <w:rPr>
          <w:rFonts w:hint="eastAsia" w:hAnsi="宋体"/>
          <w:highlight w:val="none"/>
        </w:rPr>
        <w:t xml:space="preserve">3、服务标准：详见采购文件。</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四、违约责任</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1、违约责任</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合同一方不履行合同义务或者履行合同义务不符合约定的，应当承担继续履行、采取补救措施或者赔偿损失等违约责任。</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2、甲方违约责任</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（1）在合同生效后，甲方无故要求停止服务的，应向乙方支付本合同总金额的【10】%作为违约金，违约金不足以弥补乙方损失的，乙方有权要求甲方补足。</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（2）甲方逾期付款的，应按照逾期付款金额的每天万分之四支付逾期付款违约金，但上述违约金总金额不得高于逾期付款金额的5%。</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（3）甲方违反合同约定，无正当理由拒绝接受乙方交付的合格服务的，应当承担由此给乙方造成的损失。</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3、乙方违约责任</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乙方不能提供服务（逾期超过24小时视为不能提供服务），或提供的服务不合格从而影响甲方按期正常使用的，甲方有权解除合同，乙方应向甲方支付本合同总金额的【10】%的违约金，违约金不足以弥补甲方一切直接、间接损失的，甲方有权要求乙方补足。</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（2）乙方逾期提供服务的，应在服务前与甲方协商，甲方仍需要的，乙方应立即提供服务并应按照逾期服务部分价款的每天万分之四支付逾期服务违约金，并赔偿甲方一切直接、间接损失。</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（3）乙方在服务过程中向甲方提交虚假材料，不如实告知维护服务的具体情况，致使甲方产生损失的，甲方有权终止本合同，乙方应返还甲方已支付的服务费用并赔偿甲方一切直接、间接损失。</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（4）乙方有其他违反本合同约定行为的，应向甲方支付本合同总金额【10】%的违约金，违约金不足以弥补甲方一切直接、间接损失的，甲方有权要求乙方补足。</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（5）乙方应赔偿甲方的损失、支付给甲方的违约金以及其他依据本合同应支付给甲方的费用，甲方有权直接从未支付款项中予以扣除，不足部分有权要求乙方予以补足。</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4、不可抗力</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（1）因不可抗力不能履行合同的，根据不可抗力的影响，部分或者全部免除责任。但合同一方迟延履行后发生不可抗力的，不能免除责任。</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（2）合同一方因不可抗力不能履行合同的，应当在不可抗力发生后10日内通知对方，以减轻可能给对方造成的损失，并应当在发出通知后30日内提供书面证明材料。</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（3）不可抗力事由消除后，合同继续履行等事项，由双方协商确认。</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五、合同的解除</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1、除《政府采购法》第49条、第50条第二款规定的情形及本合同约定的情形外，本合同签订后，甲乙双方不得擅自变更、解除或终止本合同。</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2、有下列情形之一的，合同一方可以解除合同：</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（3）合同的部分或全部内容均不得转让，一方如有违反，对方有权解除合同。</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3、有权解除合同的一方，应当在知晓违约事实或不可抗力发生之后三十天内书面通知对方以主张解除合同，合同在书面通知到达对方时解除。</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六、争议解决</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因合同发生争议的，双方应友好协商解决。协商不成的，任何一方均有权向甲方所在地人民法院起诉。因乙方违反本合同约定或乙方追究甲方违约但不成立而产生纠纷的，甲方为处理此纠纷产生的费用由乙方承担，该费用包括但不限于保全费、诉讼费、执行费、鉴定费、律师费、差旅费等。</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七、其他</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本合同经甲乙双方法定（授权）代表人签字（或盖章）并加盖单位公章后生效。</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2、合同份数：本合同一式【陆】份，甲方执【叁】份，乙方执【叁】份，各份具有同等法律效力。</w:t>
      </w:r>
      <w:r/>
    </w:p>
    <w:p>
      <w:pPr>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3、本合同未尽事宜应按《中华人民共和国民法典》《中华人民共和国政府采购法》以及其他相关法律、法规之规定解释，并由双方在不违背本合同和采购文件的原则下协商解决，协商结果以书面形式盖章记录，作为本合同的附件，与本合同具有同等法律效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4、本合同首部载明的地址为甲乙双方认可的相关文件、法律文书送达地址，任何一方如需更换地址的，应在变更后3日内书面通知另一方，未通知的一方自行承担法院送达不能等不利后果。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5、其他约定：无。</w:t>
      </w:r>
      <w:r/>
    </w:p>
    <w:p>
      <w:pPr>
        <w:pStyle w:val="954"/>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附件：考核评分标准、月度考核表</w:t>
      </w:r>
      <w:r/>
    </w:p>
    <w:p>
      <w:pPr>
        <w:ind w:firstLine="480"/>
        <w:spacing w:line="44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甲方（盖章）：                                </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法定（授权）代表人（签章）：                                              </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w:t>
      </w:r>
      <w:r/>
    </w:p>
    <w:p>
      <w:pPr>
        <w:ind w:firstLine="482"/>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乙方（盖章）： </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法定（授权）代表人：（签章）  </w:t>
      </w:r>
      <w:r/>
    </w:p>
    <w:p>
      <w:pPr>
        <w:ind w:firstLine="48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 </w:t>
      </w:r>
      <w:r/>
    </w:p>
    <w:p>
      <w:pPr>
        <w:rPr>
          <w:rFonts w:hAnsi="宋体" w:cs="宋体"/>
          <w:sz w:val="24"/>
          <w:szCs w:val="24"/>
          <w:highlight w:val="none"/>
        </w:rPr>
      </w:pPr>
      <w:r>
        <w:rPr>
          <w:rFonts w:hAnsi="宋体" w:cs="宋体"/>
          <w:sz w:val="24"/>
          <w:szCs w:val="24"/>
          <w:highlight w:val="none"/>
        </w:rPr>
      </w:r>
      <w:r/>
    </w:p>
    <w:p>
      <w:pPr>
        <w:pStyle w:val="846"/>
        <w:jc w:val="center"/>
        <w:rPr>
          <w:rFonts w:ascii="宋体" w:hAnsi="宋体" w:eastAsia="宋体" w:cs="宋体"/>
          <w:sz w:val="24"/>
          <w:szCs w:val="24"/>
          <w:highlight w:val="none"/>
        </w:rPr>
      </w:pPr>
      <w:r>
        <w:rPr>
          <w:rFonts w:ascii="宋体" w:hAnsi="宋体" w:eastAsia="宋体" w:cs="宋体"/>
          <w:sz w:val="24"/>
          <w:szCs w:val="24"/>
          <w:highlight w:val="none"/>
        </w:rPr>
      </w:r>
      <w:r/>
    </w:p>
    <w:p>
      <w:pPr>
        <w:pStyle w:val="846"/>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考核评分标准</w:t>
      </w:r>
      <w:r/>
    </w:p>
    <w:p>
      <w:pPr>
        <w:ind w:firstLine="482"/>
        <w:spacing w:line="360" w:lineRule="auto"/>
        <w:rPr>
          <w:rFonts w:ascii="宋体" w:hAnsi="宋体" w:eastAsia="宋体" w:cs="宋体"/>
          <w:b/>
          <w:bCs/>
          <w:sz w:val="24"/>
          <w:szCs w:val="24"/>
          <w:highlight w:val="none"/>
        </w:rPr>
      </w:pPr>
      <w:r/>
      <w:bookmarkStart w:id="46" w:name="_Toc19876"/>
      <w:r/>
      <w:bookmarkStart w:id="47" w:name="_Toc12742"/>
      <w:r>
        <w:rPr>
          <w:rFonts w:hint="eastAsia" w:ascii="宋体" w:hAnsi="宋体" w:eastAsia="宋体" w:cs="宋体"/>
          <w:b/>
          <w:bCs/>
          <w:sz w:val="24"/>
          <w:szCs w:val="24"/>
          <w:highlight w:val="none"/>
        </w:rPr>
        <w:t xml:space="preserve">（一）考核标准</w:t>
      </w:r>
      <w:bookmarkEnd w:id="46"/>
      <w:r/>
      <w:bookmarkEnd w:id="47"/>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1、根据工作要求进行考核，由石湖景区管理处（动、</w:t>
      </w:r>
      <w:r>
        <w:rPr>
          <w:rFonts w:hint="eastAsia" w:ascii="宋体" w:hAnsi="宋体" w:eastAsia="宋体" w:cs="宋体"/>
          <w:color w:val="000000" w:themeColor="text1"/>
          <w:sz w:val="24"/>
          <w:szCs w:val="24"/>
          <w:highlight w:val="none"/>
          <w14:textFill>
            <w14:solidFill>
              <w14:schemeClr w14:val="tx1"/>
            </w14:solidFill>
          </w14:textFill>
        </w:rPr>
        <w:t xml:space="preserve">植物园片区）</w:t>
      </w:r>
      <w:r>
        <w:rPr>
          <w:rFonts w:hint="eastAsia" w:ascii="宋体" w:hAnsi="宋体" w:eastAsia="宋体" w:cs="宋体"/>
          <w:sz w:val="24"/>
          <w:szCs w:val="24"/>
          <w:highlight w:val="none"/>
        </w:rPr>
        <w:t xml:space="preserve">工作人员负责考核。根据管理要求、检查考核细则及扣罚标准填写考核表。由动物园、植物园分别进行考核，最后按加权平均得分计算出最终考核的得分。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2、考核评定等级分为：优秀、良好、一般、较差、差五档；单次考核低于60分时，采购单位有权终止合同。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（1）优秀  评分标准在（95-100），对发现的问题能限期内整改的，不作处罚。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（2）良好  评分标准在（90-94），每扣1分折合扣除当月费人民币1000元。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（3）一般  评分标准在（85-89），每扣1分折合扣除当月费人民币3000元。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（4）较差  评分标准在（80-84），扣除当月费10%，对发现的问题限期内未及时整改的，扣除当月费用的50%。</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（5）差评分标准在（80分以下），作违约处理，扣除余下的全年管理费。采购单位有权单方面解除合同。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（6）上级单位检查及其他重大检查时，发现工作方面问题，给予同项三倍扣分。</w:t>
      </w:r>
      <w:r/>
    </w:p>
    <w:p>
      <w:pPr>
        <w:ind w:firstLine="480"/>
        <w:spacing w:line="360" w:lineRule="auto"/>
        <w:rPr>
          <w:rFonts w:ascii="宋体" w:hAnsi="宋体" w:eastAsia="宋体" w:cs="宋体"/>
          <w:sz w:val="24"/>
          <w:szCs w:val="24"/>
          <w:highlight w:val="none"/>
        </w:rPr>
      </w:pPr>
      <w:r/>
      <w:bookmarkStart w:id="48" w:name="_Toc32459"/>
      <w:r/>
      <w:bookmarkStart w:id="49" w:name="_Toc32253"/>
      <w:r>
        <w:rPr>
          <w:rFonts w:hint="eastAsia" w:ascii="宋体" w:hAnsi="宋体" w:eastAsia="宋体" w:cs="宋体"/>
          <w:sz w:val="24"/>
          <w:szCs w:val="24"/>
          <w:highlight w:val="none"/>
        </w:rPr>
        <w:t xml:space="preserve">3、其他处罚规定</w:t>
      </w:r>
      <w:bookmarkEnd w:id="48"/>
      <w:r/>
      <w:bookmarkEnd w:id="49"/>
      <w:r>
        <w:rPr>
          <w:rFonts w:hint="eastAsia" w:ascii="宋体" w:hAnsi="宋体" w:eastAsia="宋体" w:cs="宋体"/>
          <w:sz w:val="24"/>
          <w:szCs w:val="24"/>
          <w:highlight w:val="none"/>
        </w:rPr>
        <w:t xml:space="preserve">（动、植物园片区亦可单独处罚）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当发生以下情形，除考核扣分扣款外，将进行额外处罚处理。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（1）人数或岗位数没有达到标书要求的月份，每缺一岗扣除当月管理费3000元。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（2）在岗期间不履行职责，每次发现扣500元。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中标单位在全年重要的检查考核中（上级领导重要检查），检查出不合格和不达标的现象的：省、市级部门检查时，有扣分情况的，扣除当月费用2000-3000元/分；全国检查中，有扣分情况的，扣除当月费用3000-4000元/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公司员工在工作中和游客发生纠纷，被游客投诉的，经甲方核实，确实是员工责任的，甲方有权对公司罚款。a、如游客投诉到甲方的，扣除当月200-500元；b、投诉到市级（市级以上）的，扣除当月500-1000元。c、由于人员过失造成单位荣誉受到影响扣2000元，并追究相关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（5）单位财产园内植物、动物、建筑、设施设备等受到损失或失窃，或游客利益受损等情况，经甲方核实，确实是员工责任的，存在过错扣1000-5000元，并由给予经济赔偿，按照实际损失追究责任。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（6）因中标单位管理不善、违规操作，造成安全事故的，由中标单位承担赔偿责任，并扣除1000-5000元。造成采购单位较大安全事故，除承担一定的赔偿责任外，采购单位有权终止合同。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服务人员无特殊情况不得随意更换，如需更换需提前7天告知甲方，经甲方同意后对新进人员进行岗前培训合格后方能上岗，同时一年内人员流动率控制在20%以内，未达到标准的扣除中标金额10%。若中标单位未经甲方同意，随意更换人员，扣除当月费用5%。</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（8）项目经理、主管的工作时间的考核违反规定的情况（工作时间必须符合甲方的管理制度，上下班时间由甲方和中标单位协商后安排）。</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a、每月迟到和早退超过3次，扣除当月费用500元（如向甲方请假后批准的除外）</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b、迟到早退或中途离岗未向甲方请假，或未得到甲方批准后，擅自离岗的，每次扣除当月费用500元。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以此累计在当月费用中一并扣除。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（9）国家法定节假日上岗率未达到100%扣1000元。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（10）如有人员私自放人入园（或其它未经主管部门同意的）经核实，以门票价格的一罚三倍处理。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（11）中标单位应按照石湖景区管理处（动、植物园片区）要求对表现优异的员工进行奖励。</w:t>
      </w:r>
      <w:r/>
    </w:p>
    <w:p>
      <w:pPr>
        <w:ind w:firstLine="422"/>
        <w:spacing w:line="300" w:lineRule="exact"/>
        <w:rPr>
          <w:rFonts w:ascii="宋体" w:hAnsi="宋体" w:eastAsia="宋体" w:cs="宋体"/>
          <w:b/>
          <w:bCs/>
          <w:sz w:val="24"/>
          <w:szCs w:val="24"/>
          <w:highlight w:val="none"/>
        </w:rPr>
      </w:pPr>
      <w:r>
        <w:rPr>
          <w:rFonts w:ascii="宋体" w:hAnsi="宋体" w:eastAsia="宋体" w:cs="宋体"/>
          <w:b/>
          <w:bCs/>
          <w:sz w:val="24"/>
          <w:szCs w:val="24"/>
          <w:highlight w:val="none"/>
        </w:rPr>
      </w:r>
      <w:r/>
    </w:p>
    <w:p>
      <w:pPr>
        <w:ind w:firstLine="422"/>
        <w:spacing w:line="300" w:lineRule="exact"/>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（二）月度考核表</w:t>
      </w:r>
      <w:r/>
    </w:p>
    <w:p>
      <w:pPr>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石湖景区（     ）管理办公室</w:t>
      </w:r>
      <w:r>
        <w:rPr>
          <w:rFonts w:ascii="宋体" w:hAnsi="宋体" w:eastAsia="宋体" w:cs="宋体"/>
          <w:sz w:val="24"/>
          <w:szCs w:val="24"/>
          <w:highlight w:val="none"/>
        </w:rPr>
        <w:t xml:space="preserve">2026</w:t>
      </w:r>
      <w:r>
        <w:rPr>
          <w:rFonts w:hint="eastAsia" w:ascii="宋体" w:hAnsi="宋体" w:eastAsia="宋体" w:cs="宋体"/>
          <w:sz w:val="24"/>
          <w:szCs w:val="24"/>
          <w:highlight w:val="none"/>
        </w:rPr>
        <w:t xml:space="preserve">年（     ）月保安考核表</w:t>
      </w:r>
      <w:r/>
    </w:p>
    <w:tbl>
      <w:tblPr>
        <w:tblStyle w:val="71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918"/>
        <w:gridCol w:w="3583"/>
        <w:gridCol w:w="1699"/>
        <w:gridCol w:w="857"/>
        <w:gridCol w:w="842"/>
        <w:gridCol w:w="925"/>
      </w:tblGrid>
      <w:tr>
        <w:trPr/>
        <w:tc>
          <w:tcPr>
            <w:tcW w:w="457"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项目</w:t>
            </w:r>
            <w:r/>
          </w:p>
        </w:tc>
        <w:tc>
          <w:tcPr>
            <w:tcW w:w="918"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小项</w:t>
            </w:r>
            <w:r/>
          </w:p>
        </w:tc>
        <w:tc>
          <w:tcPr>
            <w:tcW w:w="3583"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考核内容</w:t>
            </w:r>
            <w:r/>
          </w:p>
        </w:tc>
        <w:tc>
          <w:tcPr>
            <w:tcW w:w="1699"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扣分标准</w:t>
            </w:r>
            <w:r/>
          </w:p>
        </w:tc>
        <w:tc>
          <w:tcPr>
            <w:tcW w:w="857"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分值</w:t>
            </w:r>
            <w:r/>
          </w:p>
        </w:tc>
        <w:tc>
          <w:tcPr>
            <w:tcW w:w="842"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扣分</w:t>
            </w:r>
            <w:r/>
          </w:p>
        </w:tc>
        <w:tc>
          <w:tcPr>
            <w:tcW w:w="925" w:type="dxa"/>
            <w:vAlign w:val="center"/>
            <w:textDirection w:val="lrTb"/>
            <w:noWrap w:val="false"/>
          </w:tcPr>
          <w:p>
            <w:pPr>
              <w:jc w:val="center"/>
              <w:spacing w:line="240" w:lineRule="exact"/>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得分</w:t>
            </w:r>
            <w:r/>
          </w:p>
        </w:tc>
      </w:tr>
      <w:tr>
        <w:trPr>
          <w:trHeight w:val="1001"/>
        </w:trPr>
        <w:tc>
          <w:tcPr>
            <w:tcW w:w="457"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安全秩序80</w:t>
            </w:r>
            <w:r/>
          </w:p>
        </w:tc>
        <w:tc>
          <w:tcPr>
            <w:tcW w:w="918"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安全巡逻</w:t>
            </w:r>
            <w:r/>
          </w:p>
        </w:tc>
        <w:tc>
          <w:tcPr>
            <w:tcW w:w="3583"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全园开放区域、有序巡逻，每小时巡视1次，上岗巡视要保持通讯畅通。</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restart"/>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410"/>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当班人员应严格履行通宵值班巡视制度，每天按时执行开放、闭园制度。夜间值班期间要始终保持高度警惕性，不得饮酒、不得睡觉、不得随便带人进入园内、不得擅离工作岗位。每班2人，间隔2小时巡逻1次，认真做好值班和巡更打点记录。</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420"/>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jc w:val="cente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做好清园工作、清园工作需认真细致，对主要道路、景点、假山、边后门地带、密林树丛、园内死角、围墙及栅栏周边进行检查。</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619"/>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检查各大门、厅堂、及办公区域、原游客中心等场所的电源开关、门窗关闭情况，清除各类可疑物品、易燃易爆品，严防偷盗、火灾现象发生。</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771"/>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定时巡视水面，劝阻游人在河边嬉戏、抛扔杂物；维持驳岸安全秩序；劝阻游人在水域范围内垂钓、捕捞、游泳等，每半小时巡视水面一次。</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393"/>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防火防盗</w:t>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认真做好防火防盗工作，发现不安全因素立即查明原因，尽快排除险情并及时向上级汇报。每天早晚各一次检查。</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每一处不符合要求扣3分</w:t>
            </w:r>
            <w:r/>
          </w:p>
        </w:tc>
        <w:tc>
          <w:tcPr>
            <w:tcW w:w="857" w:type="dxa"/>
            <w:vAlign w:val="center"/>
            <w:vMerge w:val="restart"/>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检查各大门、厅堂、及办公区域、原游客中心等场所的电源开关、门窗关闭情况，清除各类可疑物品、易燃易爆品，严防偷盗、火灾现象发生。</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每一处不符合要求扣3分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772"/>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夜间巡视时，注意个出入口，各道口，注意察看围墙外山体及山林有无森林火情，一旦发现火情，立即拨打火警电话，及时汇报，及时就地组织扑救。</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123"/>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消防安全</w:t>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建立健全消防预案，每月至少检查灭火器材一次，并做好检查记录，保证消防器材100%完好率。</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每一处不符合要求扣3分</w:t>
            </w:r>
            <w:r/>
          </w:p>
        </w:tc>
        <w:tc>
          <w:tcPr>
            <w:tcW w:w="857" w:type="dxa"/>
            <w:vAlign w:val="center"/>
            <w:vMerge w:val="restart"/>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302"/>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熟悉了解景区内所有消防设施器材安放位置，懂得防火、灭火基本知识，能熟练使用灭火器材扑救一般火灾。</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每一处不符合要求扣3分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120"/>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监控管理</w:t>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坚守工作岗位，监控操作人员不间断从屏幕掌握景区治安动态，实时报告信息。</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restart"/>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20</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169"/>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非景区人员不得进入中心大院，非监控中心工作人员无事先联系不得进入中心监控室。</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226"/>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中心监控室严禁吸烟，禁止摆放除系统配套用品外的一切杂物，保持中心大院及各用房的卫生整洁。</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每一次不符合要求扣2分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245"/>
        </w:trPr>
        <w:tc>
          <w:tcPr>
            <w:tcW w:w="457"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人员管理20</w:t>
            </w:r>
            <w:r/>
          </w:p>
        </w:tc>
        <w:tc>
          <w:tcPr>
            <w:tcW w:w="918"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人员</w:t>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设备、人员符合要求，中标单位不得随意更换人员，人员年流动率控制在20%。</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restart"/>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12</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853"/>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严格落实各岗位工作职责，全程在岗履职，杜绝出现岗位空岗、无人值守、岗位职责未按要求执行的情况；建立晨会管理制度。</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855"/>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按要求统一着工作服，戴工作牌，配齐工具，有序摆放。</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126"/>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文明用语、礼貌待人；不与游客发生纠纷冲突；及时劝阻游客不文明不安全的行为。</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1622"/>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在岗人员不得在景区大喧哗、聚堆闲聊和在岗吸烟、吃零食、长时间看手机，不能随便离岗、脱岗或寻捡费弃物等有损景区形象、员工素质的行为。</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871"/>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资料</w:t>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完成每月总结，下月工作计划等各类台账资料。</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restart"/>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restart"/>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856"/>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各项相关管理制度、考核制度办法、工作操作流程落实到位。</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每一处不符合要求扣2分</w:t>
            </w:r>
            <w:r/>
          </w:p>
        </w:tc>
        <w:tc>
          <w:tcPr>
            <w:tcW w:w="857" w:type="dxa"/>
            <w:vAlign w:val="center"/>
            <w:vMerge w:val="continue"/>
            <w:textDirection w:val="lrTb"/>
            <w:noWrap w:val="false"/>
          </w:tcPr>
          <w:p>
            <w:pPr>
              <w:jc w:val="cente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990"/>
        </w:trPr>
        <w:tc>
          <w:tcPr>
            <w:tcW w:w="457" w:type="dxa"/>
            <w:vAlign w:val="center"/>
            <w:vMerge w:val="continue"/>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18" w:type="dxa"/>
            <w:vAlign w:val="center"/>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其它</w:t>
            </w:r>
            <w:r/>
          </w:p>
        </w:tc>
        <w:tc>
          <w:tcPr>
            <w:tcW w:w="3583"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发现问题及时改正情况以及发生的其他不符合服务要求的内容。</w:t>
            </w:r>
            <w:r/>
          </w:p>
        </w:tc>
        <w:tc>
          <w:tcPr>
            <w:tcW w:w="1699" w:type="dxa"/>
            <w:vAlign w:val="center"/>
            <w:textDirection w:val="lrTb"/>
            <w:noWrap w:val="false"/>
          </w:tcPr>
          <w:p>
            <w:pPr>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每一处不符合要求扣4分</w:t>
            </w:r>
            <w:r/>
          </w:p>
        </w:tc>
        <w:tc>
          <w:tcPr>
            <w:tcW w:w="857" w:type="dxa"/>
            <w:vAlign w:val="center"/>
            <w:textDirection w:val="lrTb"/>
            <w:noWrap w:val="false"/>
          </w:tcPr>
          <w:p>
            <w:pPr>
              <w:jc w:val="cente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842"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c>
          <w:tcPr>
            <w:tcW w:w="925"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715"/>
        </w:trPr>
        <w:tc>
          <w:tcPr>
            <w:gridSpan w:val="2"/>
            <w:tcW w:w="1375" w:type="dxa"/>
            <w:vAlign w:val="center"/>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扣分及情况说明</w:t>
            </w:r>
            <w:r/>
          </w:p>
        </w:tc>
        <w:tc>
          <w:tcPr>
            <w:gridSpan w:val="5"/>
            <w:tcW w:w="7906"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r>
        <w:trPr>
          <w:trHeight w:val="598"/>
        </w:trPr>
        <w:tc>
          <w:tcPr>
            <w:gridSpan w:val="2"/>
            <w:tcW w:w="1375" w:type="dxa"/>
            <w:vAlign w:val="center"/>
            <w:textDirection w:val="lrTb"/>
            <w:noWrap w:val="false"/>
          </w:tcPr>
          <w:p>
            <w:pPr>
              <w:spacing w:line="24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合计总分</w:t>
            </w:r>
            <w:r/>
          </w:p>
        </w:tc>
        <w:tc>
          <w:tcPr>
            <w:gridSpan w:val="5"/>
            <w:tcW w:w="7906" w:type="dxa"/>
            <w:vAlign w:val="center"/>
            <w:textDirection w:val="lrTb"/>
            <w:noWrap w:val="false"/>
          </w:tcPr>
          <w:p>
            <w:pPr>
              <w:spacing w:line="240" w:lineRule="exact"/>
              <w:widowControl/>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0"/>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ind w:firstLine="24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考核方：                                被考核方：                </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（分管领导）                           （项目经理）</w:t>
      </w:r>
      <w:r/>
    </w:p>
    <w:p>
      <w:pPr>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left"/>
        <w:spacing w:line="360" w:lineRule="auto"/>
        <w:rPr>
          <w:rFonts w:ascii="宋体" w:hAnsi="宋体" w:eastAsia="宋体" w:cs="宋体"/>
          <w:bCs/>
          <w:sz w:val="24"/>
          <w:szCs w:val="24"/>
          <w:highlight w:val="none"/>
        </w:rPr>
      </w:pPr>
      <w:r>
        <w:rPr>
          <w:rFonts w:hint="eastAsia" w:ascii="宋体" w:hAnsi="宋体" w:eastAsia="宋体" w:cs="宋体"/>
          <w:sz w:val="24"/>
          <w:szCs w:val="24"/>
          <w:highlight w:val="none"/>
        </w:rPr>
        <w:t xml:space="preserve">（经办人）                             （现场主管）</w:t>
      </w:r>
      <w:r/>
    </w:p>
    <w:p>
      <w:pPr>
        <w:spacing w:line="360" w:lineRule="auto"/>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br w:type="page" w:clear="all"/>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b/>
          <w:bCs/>
          <w:color w:val="000000"/>
          <w:spacing w:val="20"/>
          <w:sz w:val="32"/>
          <w:szCs w:val="32"/>
          <w:highlight w:val="none"/>
        </w:rPr>
        <w:t xml:space="preserve">第六章  评标办法及评分标准</w:t>
      </w:r>
      <w:bookmarkEnd w:id="14"/>
      <w:r/>
      <w:bookmarkEnd w:id="15"/>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一、评标办法</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1、本次招标评标采用为综合评分法，即在满足招标文件实质性要求前提下，按照招标文件中规定的评分标准和各项因素进行综合评审后，以评标总得分最高的投标单位作为该项目的中标候选人。</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评标委员会各成员独立对每个进入打分程序的有效投标单位的标书技术部分以打分的形式进行评审和评价（计算结果均四舍五入保留两位小数）。对评委的评分（除价格分外）进行统计汇总，直接算术平均计算得分. </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3、对评委的评分（除价格分外）进行统计汇总，计算出每个投标单位的得分，加上价格得分即为每个投标单位的综合得分。</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4、如出现评标总得分最高的投标单位有两个或两个以上的，以投标报价较低者优先作为该项目中标候选人，如果投标报价也相同的，则由采购方组织以抽签方式确定中标候选人。</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5、针对小微型企业的评审：</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5.1、根据财政部、工业和信息化部关于印发《政府采购促进中小企业发展管理办法》的通知规定：</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
          <w:color w:val="000000"/>
          <w:sz w:val="24"/>
          <w:szCs w:val="24"/>
          <w:highlight w:val="none"/>
        </w:rPr>
        <w:t xml:space="preserve">本项目属于专门面向中小企业采购。</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（3）本项目采购标的对应的中小企业划分标准所属行业为：</w:t>
      </w:r>
      <w:r>
        <w:rPr>
          <w:rFonts w:hint="eastAsia" w:ascii="宋体" w:hAnsi="宋体" w:eastAsia="宋体" w:cs="宋体"/>
          <w:b/>
          <w:color w:val="000000"/>
          <w:sz w:val="24"/>
          <w:szCs w:val="24"/>
          <w:highlight w:val="none"/>
        </w:rPr>
        <w:t xml:space="preserve">租赁和商务服务业</w:t>
      </w:r>
      <w:r>
        <w:rPr>
          <w:rFonts w:hint="eastAsia" w:ascii="宋体" w:hAnsi="宋体" w:eastAsia="宋体" w:cs="宋体"/>
          <w:b/>
          <w:bCs/>
          <w:color w:val="000000"/>
          <w:sz w:val="24"/>
          <w:szCs w:val="24"/>
          <w:highlight w:val="none"/>
        </w:rPr>
        <w:t xml:space="preserve">。</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（6）若供应商提供的《中小企业声明函》为虚假声明则视同提供虚假材料，按政府采购相关规定处理并报请政府监管部门给予行政处罚。</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5.2、残疾人福利性单位</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5.3、监狱企业</w:t>
      </w:r>
      <w:r/>
    </w:p>
    <w:p>
      <w:pPr>
        <w:ind w:firstLine="420"/>
        <w:spacing w:line="360" w:lineRule="auto"/>
        <w:tabs>
          <w:tab w:val="left" w:pos="567"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6、信用查询：凡经评审小组确认不符合政府采购相关法律法规规定的，将拒绝其参与政府采购活动。</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6.1、查询时间：投标文件递交截止时间。 </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6.2、查询渠道：采购代理机构会在接收投标文件截止时间后，登录信用中国网站（www.creditchina.gov.cn）和中国政府采购网（www.ccgp.gov.cn/）查询供应商的信用记录，并将查询结果递交评标委员会。</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6.3、查询证据留存方式：</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6.4、信用记录使用规则：</w:t>
      </w:r>
      <w:r/>
    </w:p>
    <w:p>
      <w:pPr>
        <w:ind w:firstLine="420"/>
        <w:jc w:val="left"/>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评审小组在对供应商进行资格性审查时，根据查询结果对供应商的不良信用记录逐项甄别确认。凡经评审小组确认不符合政府采购相关法律法规规定的，将拒绝其参与政府采购活动。</w:t>
      </w:r>
      <w:r/>
    </w:p>
    <w:p>
      <w:pPr>
        <w:ind w:firstLine="42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二、评分标准：</w:t>
      </w:r>
      <w:r/>
    </w:p>
    <w:p>
      <w:pPr>
        <w:ind w:firstLine="422"/>
        <w:jc w:val="left"/>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（一）价格：（30分）</w:t>
      </w:r>
      <w:r>
        <w:rPr>
          <w:rFonts w:hint="eastAsia" w:ascii="宋体" w:hAnsi="宋体" w:eastAsia="宋体" w:cs="宋体"/>
          <w:b/>
          <w:bCs/>
          <w:color w:val="000000"/>
          <w:sz w:val="24"/>
          <w:szCs w:val="24"/>
          <w:highlight w:val="none"/>
        </w:rPr>
        <w:tab/>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第一步：投标报价低于或等于预算（或最高限价)的，为有效投标报价。超预算（或最高限价)的投标报价为无效投标报价。无效投标报价的投标文件不进行评审，也不得标。</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第二步：在所有有效投标报价中满足采购文件要求，且投标价格最低的投标报价为评标基准价，其他投标单位的价格分按照下列公式计算（计算结果四舍五入保留两位小数）。</w:t>
      </w:r>
      <w:r/>
    </w:p>
    <w:p>
      <w:pPr>
        <w:ind w:firstLine="4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报价得分=（评标基准价/最后报价）×价格权值×100（价格权值为30%）。</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（二）技术部分：48分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1、整体设想与策划及</w:t>
      </w:r>
      <w:r>
        <w:rPr>
          <w:rFonts w:hint="eastAsia" w:ascii="宋体" w:hAnsi="宋体" w:eastAsia="宋体" w:cs="宋体"/>
          <w:b/>
          <w:bCs/>
          <w:color w:val="1c1f23"/>
          <w:sz w:val="24"/>
          <w:szCs w:val="24"/>
          <w:highlight w:val="none"/>
          <w:shd w:val="clear" w:color="auto" w:fill="ffffff"/>
        </w:rPr>
        <w:t xml:space="preserve">全年岗位专项服务方案比较</w:t>
      </w:r>
      <w:r>
        <w:rPr>
          <w:rFonts w:hint="eastAsia" w:ascii="宋体" w:hAnsi="宋体" w:eastAsia="宋体" w:cs="宋体"/>
          <w:sz w:val="24"/>
          <w:szCs w:val="24"/>
          <w:highlight w:val="none"/>
        </w:rPr>
        <w:t xml:space="preserve">：10分</w:t>
      </w:r>
      <w:r>
        <w:rPr>
          <w:rFonts w:hint="eastAsia" w:ascii="宋体" w:hAnsi="宋体" w:eastAsia="宋体" w:cs="宋体"/>
          <w:b/>
          <w:bCs/>
          <w:color w:val="1c1f23"/>
          <w:sz w:val="24"/>
          <w:szCs w:val="24"/>
          <w:highlight w:val="none"/>
          <w:shd w:val="clear" w:color="auto" w:fill="ffffff"/>
        </w:rPr>
        <w:t xml:space="preserve">（注：未提供全年岗位专项服务方案的，视为未实质性响应招标文件。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针对本项目特点和需求进行对项目的定位、服务理念、管理思路及重点难点、</w:t>
      </w:r>
      <w:r>
        <w:rPr>
          <w:rFonts w:hint="eastAsia" w:ascii="宋体" w:hAnsi="宋体" w:eastAsia="宋体" w:cs="宋体"/>
          <w:b/>
          <w:bCs/>
          <w:color w:val="1c1f23"/>
          <w:sz w:val="24"/>
          <w:szCs w:val="24"/>
          <w:highlight w:val="none"/>
          <w:shd w:val="clear" w:color="auto" w:fill="ffffff"/>
        </w:rPr>
        <w:t xml:space="preserve">全年岗位专项服务方案比较</w:t>
      </w:r>
      <w:r>
        <w:rPr>
          <w:rFonts w:hint="eastAsia" w:ascii="宋体" w:hAnsi="宋体" w:eastAsia="宋体" w:cs="宋体"/>
          <w:sz w:val="24"/>
          <w:szCs w:val="24"/>
          <w:highlight w:val="none"/>
        </w:rPr>
        <w:t xml:space="preserve">进行分析比较。</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能够精准匹配项目特点与需求，项目定位清晰、明确，服务理念与项目定位高度契合，可落地性强， 管理思路逻辑清晰，涵盖人员、流程、资源等多维度，各环节衔接顺畅，能准确识别3个及以上项目重点难点，每个难点均有具体、可操作的应对措施，有详实可行的全年岗位专</w:t>
      </w:r>
      <w:r>
        <w:rPr>
          <w:rFonts w:hint="eastAsia" w:ascii="宋体" w:hAnsi="宋体" w:eastAsia="宋体" w:cs="宋体"/>
          <w:sz w:val="24"/>
          <w:szCs w:val="24"/>
          <w:highlight w:val="none"/>
        </w:rPr>
        <w:t xml:space="preserve">项服务方案的得10分；能够比较准确的匹配项目特点与需求，项目定位较清晰、明确，服务理念与项目定位比较契合，可落地性较强， 管理思路较清晰，涵盖人员、流程、资源等多维度，各环节衔接较顺畅，能准确识别2个及以上重点难点，每个难点均有较具体、可操作的应对措施，全年岗位专项服务方案较具体、可行性较强的得6分；项目特点、需求及项目定位较模糊，服务理念与项目定位不太契合，可落地性较差， 管理思路不明确，各环节衔接不顺畅，未能准确识别项目重点难点，且无有效的应对措施，全年岗位专项服务方案简单粗略的得2分；其它情况不得分。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2、服务管理工作具体实施方案:8分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日常服务标准及措施比较:包括日常服务标准及措施比较、消防安全管理及义务消防队组建方案比较、高峰期时段管理等方案比较。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有具体的日常服务标准及措施，具体执行流程与考核机制完善，消防安全管理及义务消防队组建方案包含消防巡检、消防演练、队伍组建等核心内容</w:t>
      </w:r>
      <w:r>
        <w:rPr>
          <w:rFonts w:hint="eastAsia" w:ascii="宋体" w:hAnsi="宋体" w:eastAsia="宋体" w:cs="宋体"/>
          <w:sz w:val="24"/>
          <w:szCs w:val="24"/>
          <w:highlight w:val="none"/>
        </w:rPr>
        <w:t xml:space="preserve">，高峰期时段管理方案包含详细的应急分流机制、高峰时段范围明确清晰，制定3项以上得管理措施的得8分；有较具体的日常服务标准及措施，执行流程与考核机制较完善，消防安全管理及义务消防队组建方案包含消防巡检、消防演练、队伍组建等核心内容，高峰期时段管理方案包含较详细得应急分流机制、高峰时段范围较明确，制定2项以上得管理措施的得5分；日常服务标准及措施简单粗略，执行流程与考核机制不完善，消防安全管理及义务消防队组建方案未包含消防巡检、消防演练、队伍组建等核心内容，高峰期时段管理方案简单有瑕疵的得2分；其他情况不得分。</w:t>
      </w:r>
      <w:r/>
    </w:p>
    <w:p>
      <w:pPr>
        <w:numPr>
          <w:ilvl w:val="0"/>
          <w:numId w:val="4"/>
        </w:numPr>
        <w:ind w:firstLine="480"/>
        <w:spacing w:line="360" w:lineRule="auto"/>
        <w:rPr>
          <w:highlight w:val="none"/>
        </w:rPr>
      </w:pPr>
      <w:r>
        <w:rPr>
          <w:rFonts w:hint="eastAsia" w:ascii="宋体" w:hAnsi="宋体" w:eastAsia="宋体" w:cs="宋体"/>
          <w:sz w:val="24"/>
          <w:szCs w:val="24"/>
          <w:highlight w:val="none"/>
        </w:rPr>
        <w:t xml:space="preserve">项目组织管理方案:8分</w:t>
      </w:r>
      <w:r/>
    </w:p>
    <w:p>
      <w:pPr>
        <w:ind w:firstLine="72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管理组织架构合理，内部管理制度比较：包含管理规章制度、服务人员安全文明规范、服务档案管理制度，服务人员考核制度及标准比较。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管理组织架构层级清晰、权责划分明确，内部管理制度完善，其他制度条款符合行业标准、逻辑严谨、流程清晰的的8分； 管理组织架构层级较清晰、权责划分较明确，内部管理制度较完善，其他制度条款比较符合行业标准、逻辑较严谨、流程较清晰的得5分；管理组织架构层级模糊、权责划分不明确，内部管理制度简单有缺项，其他制度条款不太符合行业标准、逻辑欠严谨的得2分；其他情况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4、队伍培训方案：6分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需具有详细的年度培训计划、支持方案比较：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年度培训计划详细且完整，覆盖所有关键要素，支持方案完善周全，资源、经费等保障到位，方案与项目高度匹配，可行性强的得6分； 年度培训计划相对完善，核心要素有所体现，支持方案有基本配套，细节存在不足，可行性较强的得3分； 年度培训计划内容粗糙，关键要素缺失，支持方案不完善，保障不足，难以落地的得1分；其他情况不得分。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5、应急措施方案比较：6分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至少包括消防（森林防火等）、特殊事故（情况）措施、反恐处治安应急措施、复杂天气的应对预案及其他突发事情应急方案等。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 方案完整，覆盖所有要求的应急模块，无缺项，应急措施贴合项目实际场景，逻辑严谨，流程标准，责任主体明确、资源保障充足，可操作性强的得6分；</w:t>
      </w:r>
      <w:r>
        <w:rPr>
          <w:rFonts w:ascii="宋体" w:hAnsi="宋体" w:eastAsia="宋体" w:cs="宋体"/>
          <w:sz w:val="24"/>
          <w:szCs w:val="24"/>
          <w:highlight w:val="none"/>
        </w:rPr>
        <w:t xml:space="preserve">方案覆盖大部分应急模块，无核心缺项</w:t>
      </w:r>
      <w:r>
        <w:rPr>
          <w:rFonts w:hint="eastAsia" w:ascii="宋体" w:hAnsi="宋体" w:eastAsia="宋体" w:cs="宋体"/>
          <w:sz w:val="24"/>
          <w:szCs w:val="24"/>
          <w:highlight w:val="none"/>
        </w:rPr>
        <w:t xml:space="preserve">，应急措施较贴合项目实际场景，逻辑较严谨，流程较标准，责任主体较明确、资源保障较充足，可操作性较强的得3分； 方案存在明显缺项，未覆盖关键应急模块，可操作性存在明显短板，难以执行的得1分； 其他情况不得分。</w:t>
      </w:r>
      <w:r/>
    </w:p>
    <w:p>
      <w:pPr>
        <w:numPr>
          <w:ilvl w:val="0"/>
          <w:numId w:val="5"/>
        </w:num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供应商针对本项目设备、器材的配备情况比较：5分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有完整的设备器材配备清单， 设备器材的选型与项目需求匹配 ，配备数量充足，设备先进的得5分；有较完整的设备器材配备清单，设备器材的选型与项目需求基本匹配 ，配备数量较充足，设备较先进的得3分；设备器材配备清单简单，设备器材的选型与项目需求不匹配 ，配备数量不充足，设备较落后的得1分；其他情况不得分。</w:t>
      </w:r>
      <w:r/>
    </w:p>
    <w:p>
      <w:pPr>
        <w:rPr>
          <w:highlight w:val="none"/>
        </w:rPr>
      </w:pPr>
      <w:r>
        <w:rPr>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7、进退场交接及业主配合方案比较：5分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方案完整，覆盖进场、退场全流程，包含交接内容、责任划分、业主配合事项等， 有明确执行步骤，流程贴合项目实际，可直接落地执行的得5分；方案较完整，覆盖核心流程，无重大缺项，可操作性较强的得3分；方案存在明显缺项，未覆盖关键流程或配合事项，落地性差，难以执行的得1分；其他情况不得分。</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（三）安保人员配置情况：12分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1、项目经理：6分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①具有本科及以上学历。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②具有二级技师安保员(国家职业资格二级)证书。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③具有消防行业职业技能鉴定指导中心鉴定的“建（构）筑物消防员”或“消防设施操作员”证书。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④具有应急管理部紧急救援促进中心颁发的四级/中级或以上应急救援员证书。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⑤具有政府部门颁发的个人荣誉。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⑥具有项目管理3年及以上工作经验并提供服务单位开具的证明材料。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每满足一项得1分，最高6分。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2、片区主管（安保队长）：最高4分（限评2人）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①具有高级安保员证(国家职业资格三级)及以上证书得0.5分；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②具有建（构）筑物消防员证书或消防设施操作员书得0.5分；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③具有安全管理员证书得0.5分；</w:t>
      </w:r>
      <w:r/>
    </w:p>
    <w:p>
      <w:pPr>
        <w:ind w:firstLine="480"/>
        <w:spacing w:line="360" w:lineRule="auto"/>
        <w:rPr>
          <w:rFonts w:eastAsia="宋体"/>
          <w:highlight w:val="none"/>
        </w:rPr>
      </w:pPr>
      <w:r>
        <w:rPr>
          <w:rFonts w:hint="eastAsia" w:ascii="宋体" w:hAnsi="宋体" w:eastAsia="宋体" w:cs="宋体"/>
          <w:sz w:val="24"/>
          <w:szCs w:val="24"/>
          <w:highlight w:val="none"/>
        </w:rPr>
        <w:t xml:space="preserve">④具有应急救援员证书的得0.5分。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3、其他安保人员：2分（除项目经理、片区主管（安保队长））</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拟派的安保员中具有高级安保员（国家职业资格三级）证书的每配置1人得0.5分，最高2分。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注：以上1-3项须提供相关证书或证明材料及投标单位为拟派人员缴纳的最近一期的社保证明（开标截止时间当月或者上月）。未按照要求提供的不得分。</w:t>
      </w:r>
      <w:r/>
    </w:p>
    <w:p>
      <w:pPr>
        <w:ind w:right="108" w:firstLine="482"/>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（四）投标单位综合履约能力比较（10分）</w:t>
      </w:r>
      <w:r/>
    </w:p>
    <w:p>
      <w:pPr>
        <w:ind w:right="108"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具有有效期内的质量管理体系认证证书、环境管理体系认证证书、职业健康安全管理体系认证证书，安保服务管理体系认证证书，每提供一项得1分，本项最高得4分（投标文件中需提供相关证书扫描件及该证书在中国国家认证认可监督管理委员会网站上查询的网页截图，否则不得分。）</w:t>
      </w:r>
      <w:r/>
    </w:p>
    <w:p>
      <w:pPr>
        <w:ind w:right="108" w:firstLine="72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2、供应商自2022年1月1日以来获得过政府主管部门颁发的安保服务相关荣誉或表彰，省级及以上的每有一项得2分，最高2分；市级的每有一项得1分，最高1分；本项最高得3分。</w:t>
      </w:r>
      <w:r/>
    </w:p>
    <w:p>
      <w:pPr>
        <w:ind w:right="108" w:firstLine="72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（注：投标文件中需提供相关证明材料扫描件或网上发文完整截图并加盖投标单位公章，未按要求提供的不得分。）</w:t>
      </w:r>
      <w:r/>
    </w:p>
    <w:p>
      <w:pPr>
        <w:ind w:right="108"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3、提供自2022年1月至今（以合同签订日期为准）由投标单位独立承担的类似服务业绩，每提供一个得1分，最高3分。</w:t>
      </w:r>
      <w:bookmarkStart w:id="50" w:name="_GoBack"/>
      <w:r/>
      <w:bookmarkEnd w:id="50"/>
      <w:r>
        <w:rPr>
          <w:rFonts w:hint="eastAsia" w:ascii="宋体" w:hAnsi="宋体" w:eastAsia="宋体" w:cs="宋体"/>
          <w:bCs/>
          <w:color w:val="000000"/>
          <w:sz w:val="24"/>
          <w:szCs w:val="24"/>
          <w:highlight w:val="none"/>
        </w:rPr>
        <w:t xml:space="preserve">（投标文件中提供完整合同扫描件，否则不得分）</w:t>
      </w:r>
      <w:r/>
    </w:p>
    <w:p>
      <w:pPr>
        <w:ind w:right="108" w:firstLine="420"/>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注：针对评分标准中评分的每一条，投标单位在投标文件中均应提供清晰明了的相关资料并做出相应说明供评委评判，不提供相关资料的视为不具备该项得分的条件，对应评分项目不得分。</w:t>
      </w:r>
      <w:r/>
    </w:p>
    <w:p>
      <w:pPr>
        <w:ind w:right="105"/>
        <w:jc w:val="righ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（全文完）</w:t>
      </w:r>
      <w:r/>
    </w:p>
    <w:sectPr>
      <w:headerReference w:type="default" r:id="rId9"/>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标准粗黑">
    <w:panose1 w:val="020B0503020202020204"/>
  </w:font>
  <w:font w:name="Symbol">
    <w:panose1 w:val="05050102010706020507"/>
  </w:font>
  <w:font w:name="Wingdings">
    <w:panose1 w:val="05000000000000000000"/>
  </w:font>
  <w:font w:name="楷体_GB2312">
    <w:panose1 w:val="02010609060101010101"/>
  </w:font>
  <w:font w:name="仿宋_GB2312">
    <w:panose1 w:val="02010609060101010101"/>
  </w:font>
  <w:font w:name="Calibri">
    <w:panose1 w:val="020F0502020204030204"/>
  </w:font>
  <w:font w:name="方正小标宋简体">
    <w:panose1 w:val="020B0503020202020204"/>
  </w:font>
  <w:font w:name="Courier New">
    <w:panose1 w:val="02070309020205020404"/>
  </w:font>
  <w:font w:name="等线">
    <w:panose1 w:val="0201060003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58495" cy="147955"/>
              <wp:effectExtent l="4762" t="4762" r="4762" b="4762"/>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658804" cy="148232"/>
                      </a:xfrm>
                      <a:prstGeom prst="rect">
                        <a:avLst/>
                      </a:prstGeom>
                      <a:noFill/>
                      <a:ln w="9525">
                        <a:noFill/>
                      </a:ln>
                    </wps:spPr>
                    <wps:txbx>
                      <w:txbxContent>
                        <w:p>
                          <w:pPr>
                            <w:pStyle w:val="729"/>
                            <w:rPr>
                              <w:rFonts w:ascii="标准粗黑" w:hAnsi="标准粗黑" w:eastAsia="标准粗黑" w:cs="标准粗黑"/>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- 61 -</w:t>
                          </w:r>
                          <w:r>
                            <w:rPr>
                              <w:rFonts w:hint="eastAsia" w:ascii="宋体" w:hAnsi="宋体" w:eastAsia="宋体" w:cs="宋体"/>
                              <w:sz w:val="18"/>
                              <w:szCs w:val="18"/>
                            </w:rP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1.8pt;height:11.6pt;mso-wrap-distance-left:9.0pt;mso-wrap-distance-top:0.0pt;mso-wrap-distance-right:9.0pt;mso-wrap-distance-bottom:0.0pt;v-text-anchor:top;visibility:visible;" filled="f" stroked="f" strokeweight="0.75pt">
              <v:textbox inset="0,0,0,0">
                <w:txbxContent>
                  <w:p>
                    <w:pPr>
                      <w:pStyle w:val="729"/>
                      <w:rPr>
                        <w:rFonts w:ascii="标准粗黑" w:hAnsi="标准粗黑" w:eastAsia="标准粗黑" w:cs="标准粗黑"/>
                        <w:sz w:val="18"/>
                        <w:szCs w:val="18"/>
                      </w:rPr>
                    </w:pP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- 61 -</w:t>
                    </w:r>
                    <w:r>
                      <w:rPr>
                        <w:rFonts w:hint="eastAsia" w:ascii="宋体" w:hAnsi="宋体" w:eastAsia="宋体" w:cs="宋体"/>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992" w:hanging="510"/>
      </w:pPr>
      <w:rPr>
        <w:rFonts w:hint="default"/>
        <w:b/>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next w:val="720"/>
    <w:uiPriority w:val="0"/>
    <w:qFormat/>
    <w:pPr>
      <w:jc w:val="both"/>
      <w:widowControl w:val="off"/>
    </w:pPr>
    <w:rPr>
      <w:rFonts w:ascii="等线" w:hAnsi="等线" w:eastAsia="等线" w:cs="Times New Roman"/>
      <w:sz w:val="21"/>
      <w:szCs w:val="22"/>
      <w:lang w:val="en-US" w:eastAsia="zh-CN" w:bidi="ar-SA"/>
    </w:rPr>
  </w:style>
  <w:style w:type="paragraph" w:styleId="709">
    <w:name w:val="Heading 1"/>
    <w:basedOn w:val="708"/>
    <w:next w:val="708"/>
    <w:link w:val="943"/>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886"/>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88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85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89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85"/>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816"/>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919"/>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865"/>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tblPr>
      <w:tblCellMar>
        <w:left w:w="108" w:type="dxa"/>
        <w:top w:w="0" w:type="dxa"/>
        <w:right w:w="108" w:type="dxa"/>
        <w:bottom w:w="0" w:type="dxa"/>
      </w:tblCellMar>
    </w:tblPr>
  </w:style>
  <w:style w:type="paragraph" w:styleId="720" w:customStyle="1">
    <w:name w:val="正文文本1"/>
    <w:basedOn w:val="708"/>
    <w:next w:val="708"/>
    <w:uiPriority w:val="0"/>
    <w:qFormat/>
    <w:pPr>
      <w:jc w:val="left"/>
      <w:spacing w:after="120"/>
    </w:pPr>
    <w:rPr>
      <w:rFonts w:hint="eastAsia" w:ascii="宋体" w:hAnsi="宋体" w:eastAsia="宋体"/>
      <w:sz w:val="22"/>
    </w:rPr>
  </w:style>
  <w:style w:type="paragraph" w:styleId="721">
    <w:name w:val="toc 7"/>
    <w:basedOn w:val="708"/>
    <w:next w:val="708"/>
    <w:uiPriority w:val="39"/>
    <w:unhideWhenUsed/>
    <w:qFormat/>
    <w:pPr>
      <w:ind w:left="1701"/>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link w:val="956"/>
    <w:uiPriority w:val="99"/>
    <w:semiHidden/>
    <w:unhideWhenUsed/>
    <w:qFormat/>
    <w:pPr>
      <w:jc w:val="left"/>
    </w:pPr>
  </w:style>
  <w:style w:type="paragraph" w:styleId="724">
    <w:name w:val="Body Text"/>
    <w:basedOn w:val="708"/>
    <w:uiPriority w:val="0"/>
    <w:qFormat/>
    <w:pPr>
      <w:jc w:val="left"/>
      <w:spacing w:after="120"/>
    </w:pPr>
    <w:rPr>
      <w:rFonts w:hint="eastAsia" w:ascii="宋体" w:hAnsi="宋体" w:eastAsia="宋体"/>
      <w:sz w:val="22"/>
    </w:rPr>
  </w:style>
  <w:style w:type="paragraph" w:styleId="725">
    <w:name w:val="toc 5"/>
    <w:basedOn w:val="708"/>
    <w:next w:val="708"/>
    <w:uiPriority w:val="39"/>
    <w:unhideWhenUsed/>
    <w:qFormat/>
    <w:pPr>
      <w:ind w:left="1134"/>
      <w:spacing w:after="57"/>
    </w:pPr>
  </w:style>
  <w:style w:type="paragraph" w:styleId="726">
    <w:name w:val="toc 3"/>
    <w:basedOn w:val="708"/>
    <w:next w:val="708"/>
    <w:uiPriority w:val="39"/>
    <w:unhideWhenUsed/>
    <w:qFormat/>
    <w:pPr>
      <w:ind w:left="567"/>
      <w:spacing w:after="57"/>
    </w:pPr>
  </w:style>
  <w:style w:type="paragraph" w:styleId="727">
    <w:name w:val="toc 8"/>
    <w:basedOn w:val="708"/>
    <w:next w:val="708"/>
    <w:uiPriority w:val="39"/>
    <w:unhideWhenUsed/>
    <w:qFormat/>
    <w:pPr>
      <w:ind w:left="1984"/>
      <w:spacing w:after="57"/>
    </w:pPr>
  </w:style>
  <w:style w:type="paragraph" w:styleId="728">
    <w:name w:val="endnote text"/>
    <w:basedOn w:val="708"/>
    <w:link w:val="838"/>
    <w:uiPriority w:val="99"/>
    <w:semiHidden/>
    <w:unhideWhenUsed/>
    <w:qFormat/>
    <w:rPr>
      <w:sz w:val="20"/>
    </w:rPr>
  </w:style>
  <w:style w:type="paragraph" w:styleId="729">
    <w:name w:val="Footer"/>
    <w:basedOn w:val="708"/>
    <w:link w:val="938"/>
    <w:uiPriority w:val="99"/>
    <w:unhideWhenUsed/>
    <w:qFormat/>
    <w:pPr>
      <w:tabs>
        <w:tab w:val="center" w:pos="7143" w:leader="none"/>
        <w:tab w:val="right" w:pos="14287" w:leader="none"/>
      </w:tabs>
    </w:pPr>
  </w:style>
  <w:style w:type="paragraph" w:styleId="730">
    <w:name w:val="Header"/>
    <w:basedOn w:val="708"/>
    <w:link w:val="830"/>
    <w:uiPriority w:val="99"/>
    <w:unhideWhenUsed/>
    <w:qFormat/>
    <w:pPr>
      <w:tabs>
        <w:tab w:val="center" w:pos="7143" w:leader="none"/>
        <w:tab w:val="right" w:pos="14287" w:leader="none"/>
      </w:tabs>
    </w:pPr>
  </w:style>
  <w:style w:type="paragraph" w:styleId="731">
    <w:name w:val="toc 1"/>
    <w:basedOn w:val="708"/>
    <w:next w:val="708"/>
    <w:uiPriority w:val="39"/>
    <w:unhideWhenUsed/>
    <w:qFormat/>
    <w:pPr>
      <w:spacing w:after="57"/>
    </w:pPr>
  </w:style>
  <w:style w:type="paragraph" w:styleId="732">
    <w:name w:val="toc 4"/>
    <w:basedOn w:val="708"/>
    <w:next w:val="708"/>
    <w:uiPriority w:val="39"/>
    <w:unhideWhenUsed/>
    <w:qFormat/>
    <w:pPr>
      <w:ind w:left="850"/>
      <w:spacing w:after="57"/>
    </w:pPr>
  </w:style>
  <w:style w:type="paragraph" w:styleId="733">
    <w:name w:val="Subtitle"/>
    <w:basedOn w:val="708"/>
    <w:next w:val="708"/>
    <w:link w:val="877"/>
    <w:uiPriority w:val="11"/>
    <w:qFormat/>
    <w:pPr>
      <w:spacing w:before="200" w:after="200"/>
    </w:pPr>
    <w:rPr>
      <w:sz w:val="24"/>
      <w:szCs w:val="24"/>
    </w:rPr>
  </w:style>
  <w:style w:type="paragraph" w:styleId="734">
    <w:name w:val="footnote text"/>
    <w:basedOn w:val="708"/>
    <w:link w:val="905"/>
    <w:uiPriority w:val="99"/>
    <w:semiHidden/>
    <w:unhideWhenUsed/>
    <w:qFormat/>
    <w:pPr>
      <w:spacing w:after="40"/>
    </w:pPr>
    <w:rPr>
      <w:sz w:val="18"/>
    </w:rPr>
  </w:style>
  <w:style w:type="paragraph" w:styleId="735">
    <w:name w:val="toc 6"/>
    <w:basedOn w:val="708"/>
    <w:next w:val="708"/>
    <w:uiPriority w:val="39"/>
    <w:unhideWhenUsed/>
    <w:qFormat/>
    <w:pPr>
      <w:ind w:left="1417"/>
      <w:spacing w:after="57"/>
    </w:pPr>
  </w:style>
  <w:style w:type="paragraph" w:styleId="736">
    <w:name w:val="table of figures"/>
    <w:basedOn w:val="708"/>
    <w:next w:val="708"/>
    <w:uiPriority w:val="99"/>
    <w:unhideWhenUsed/>
    <w:qFormat/>
  </w:style>
  <w:style w:type="paragraph" w:styleId="737">
    <w:name w:val="toc 2"/>
    <w:basedOn w:val="708"/>
    <w:next w:val="708"/>
    <w:uiPriority w:val="39"/>
    <w:unhideWhenUsed/>
    <w:qFormat/>
    <w:pPr>
      <w:ind w:left="283"/>
      <w:spacing w:after="57"/>
    </w:pPr>
  </w:style>
  <w:style w:type="paragraph" w:styleId="738">
    <w:name w:val="toc 9"/>
    <w:basedOn w:val="708"/>
    <w:next w:val="708"/>
    <w:uiPriority w:val="39"/>
    <w:unhideWhenUsed/>
    <w:qFormat/>
    <w:pPr>
      <w:ind w:left="2268"/>
      <w:spacing w:after="57"/>
    </w:pPr>
  </w:style>
  <w:style w:type="paragraph" w:styleId="739">
    <w:name w:val="Title"/>
    <w:basedOn w:val="708"/>
    <w:next w:val="708"/>
    <w:link w:val="903"/>
    <w:uiPriority w:val="10"/>
    <w:qFormat/>
    <w:pPr>
      <w:contextualSpacing/>
      <w:spacing w:before="300" w:after="200"/>
    </w:pPr>
    <w:rPr>
      <w:sz w:val="48"/>
      <w:szCs w:val="48"/>
    </w:rPr>
  </w:style>
  <w:style w:type="paragraph" w:styleId="740">
    <w:name w:val="annotation subject"/>
    <w:basedOn w:val="723"/>
    <w:next w:val="723"/>
    <w:link w:val="957"/>
    <w:uiPriority w:val="99"/>
    <w:semiHidden/>
    <w:unhideWhenUsed/>
    <w:qFormat/>
    <w:rPr>
      <w:b/>
      <w:bCs/>
    </w:rPr>
  </w:style>
  <w:style w:type="table" w:styleId="7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annotation reference"/>
    <w:basedOn w:val="718"/>
    <w:uiPriority w:val="99"/>
    <w:semiHidden/>
    <w:unhideWhenUsed/>
    <w:qFormat/>
    <w:rPr>
      <w:sz w:val="21"/>
      <w:szCs w:val="21"/>
    </w:rPr>
  </w:style>
  <w:style w:type="character" w:styleId="745">
    <w:name w:val="footnote reference"/>
    <w:uiPriority w:val="99"/>
    <w:unhideWhenUsed/>
    <w:qFormat/>
    <w:rPr>
      <w:vertAlign w:val="superscript"/>
    </w:rPr>
  </w:style>
  <w:style w:type="character" w:styleId="746" w:customStyle="1">
    <w:name w:val="Heading 1 Char"/>
    <w:basedOn w:val="718"/>
    <w:uiPriority w:val="9"/>
    <w:qFormat/>
    <w:rPr>
      <w:rFonts w:ascii="Arial" w:hAnsi="Arial" w:eastAsia="Arial" w:cs="Arial"/>
      <w:sz w:val="40"/>
      <w:szCs w:val="40"/>
    </w:rPr>
  </w:style>
  <w:style w:type="character" w:styleId="747" w:customStyle="1">
    <w:name w:val="Heading 2 Char"/>
    <w:basedOn w:val="718"/>
    <w:uiPriority w:val="9"/>
    <w:qFormat/>
    <w:rPr>
      <w:rFonts w:ascii="Arial" w:hAnsi="Arial" w:eastAsia="Arial" w:cs="Arial"/>
      <w:sz w:val="34"/>
    </w:rPr>
  </w:style>
  <w:style w:type="character" w:styleId="748" w:customStyle="1">
    <w:name w:val="Heading 3 Char"/>
    <w:basedOn w:val="718"/>
    <w:uiPriority w:val="9"/>
    <w:qFormat/>
    <w:rPr>
      <w:rFonts w:ascii="Arial" w:hAnsi="Arial" w:eastAsia="Arial" w:cs="Arial"/>
      <w:sz w:val="30"/>
      <w:szCs w:val="30"/>
    </w:rPr>
  </w:style>
  <w:style w:type="character" w:styleId="749" w:customStyle="1">
    <w:name w:val="Heading 4 Char"/>
    <w:basedOn w:val="718"/>
    <w:uiPriority w:val="9"/>
    <w:qFormat/>
    <w:rPr>
      <w:rFonts w:ascii="Arial" w:hAnsi="Arial" w:eastAsia="Arial" w:cs="Arial"/>
      <w:b/>
      <w:bCs/>
      <w:sz w:val="26"/>
      <w:szCs w:val="26"/>
    </w:rPr>
  </w:style>
  <w:style w:type="character" w:styleId="750" w:customStyle="1">
    <w:name w:val="Heading 5 Char"/>
    <w:basedOn w:val="718"/>
    <w:uiPriority w:val="9"/>
    <w:qFormat/>
    <w:rPr>
      <w:rFonts w:ascii="Arial" w:hAnsi="Arial" w:eastAsia="Arial" w:cs="Arial"/>
      <w:b/>
      <w:bCs/>
      <w:sz w:val="24"/>
      <w:szCs w:val="24"/>
    </w:rPr>
  </w:style>
  <w:style w:type="character" w:styleId="751" w:customStyle="1">
    <w:name w:val="Heading 6 Char"/>
    <w:basedOn w:val="718"/>
    <w:uiPriority w:val="9"/>
    <w:qFormat/>
    <w:rPr>
      <w:rFonts w:ascii="Arial" w:hAnsi="Arial" w:eastAsia="Arial" w:cs="Arial"/>
      <w:b/>
      <w:bCs/>
      <w:sz w:val="22"/>
      <w:szCs w:val="22"/>
    </w:rPr>
  </w:style>
  <w:style w:type="character" w:styleId="752" w:customStyle="1">
    <w:name w:val="Heading 7 Char"/>
    <w:basedOn w:val="718"/>
    <w:uiPriority w:val="9"/>
    <w:qFormat/>
    <w:rPr>
      <w:rFonts w:ascii="Arial" w:hAnsi="Arial" w:eastAsia="Arial" w:cs="Arial"/>
      <w:b/>
      <w:bCs/>
      <w:i/>
      <w:iCs/>
      <w:sz w:val="22"/>
      <w:szCs w:val="22"/>
    </w:rPr>
  </w:style>
  <w:style w:type="character" w:styleId="753" w:customStyle="1">
    <w:name w:val="Heading 8 Char"/>
    <w:basedOn w:val="718"/>
    <w:uiPriority w:val="9"/>
    <w:qFormat/>
    <w:rPr>
      <w:rFonts w:ascii="Arial" w:hAnsi="Arial" w:eastAsia="Arial" w:cs="Arial"/>
      <w:i/>
      <w:iCs/>
      <w:sz w:val="22"/>
      <w:szCs w:val="22"/>
    </w:rPr>
  </w:style>
  <w:style w:type="character" w:styleId="754" w:customStyle="1">
    <w:name w:val="Heading 9 Char"/>
    <w:basedOn w:val="718"/>
    <w:uiPriority w:val="9"/>
    <w:qFormat/>
    <w:rPr>
      <w:rFonts w:ascii="Arial" w:hAnsi="Arial" w:eastAsia="Arial" w:cs="Arial"/>
      <w:i/>
      <w:iCs/>
      <w:sz w:val="21"/>
      <w:szCs w:val="21"/>
    </w:rPr>
  </w:style>
  <w:style w:type="character" w:styleId="755" w:customStyle="1">
    <w:name w:val="Title Char"/>
    <w:basedOn w:val="718"/>
    <w:uiPriority w:val="10"/>
    <w:qFormat/>
    <w:rPr>
      <w:sz w:val="48"/>
      <w:szCs w:val="48"/>
    </w:rPr>
  </w:style>
  <w:style w:type="character" w:styleId="756" w:customStyle="1">
    <w:name w:val="Subtitle Char"/>
    <w:basedOn w:val="718"/>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character" w:styleId="759" w:customStyle="1">
    <w:name w:val="Header Char"/>
    <w:basedOn w:val="718"/>
    <w:uiPriority w:val="99"/>
    <w:qFormat/>
  </w:style>
  <w:style w:type="character" w:styleId="760" w:customStyle="1">
    <w:name w:val="Caption Char"/>
    <w:uiPriority w:val="99"/>
    <w:qFormat/>
  </w:style>
  <w:style w:type="table" w:styleId="761"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2"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5"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9" w:customStyle="1">
    <w:name w:val="清单表 7 彩色1"/>
    <w:basedOn w:val="7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0" w:customStyle="1">
    <w:name w:val="Footnote Text Char"/>
    <w:uiPriority w:val="99"/>
    <w:qFormat/>
    <w:rPr>
      <w:sz w:val="18"/>
    </w:rPr>
  </w:style>
  <w:style w:type="character" w:styleId="781" w:customStyle="1">
    <w:name w:val="Endnote Text Char"/>
    <w:uiPriority w:val="99"/>
    <w:qFormat/>
    <w:rPr>
      <w:sz w:val="20"/>
    </w:rPr>
  </w:style>
  <w:style w:type="paragraph" w:styleId="782" w:customStyle="1">
    <w:name w:val="TOC 标题1"/>
    <w:uiPriority w:val="39"/>
    <w:unhideWhenUsed/>
    <w:qFormat/>
    <w:rPr>
      <w:rFonts w:ascii="等线" w:hAnsi="等线" w:eastAsia="等线" w:cs="Times New Roman"/>
      <w:lang w:val="en-US" w:eastAsia="zh-CN" w:bidi="ar-SA"/>
    </w:rPr>
  </w:style>
  <w:style w:type="table" w:styleId="78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character" w:styleId="785" w:customStyle="1">
    <w:name w:val="标题 6 字符"/>
    <w:link w:val="714"/>
    <w:uiPriority w:val="9"/>
    <w:qFormat/>
    <w:rPr>
      <w:rFonts w:ascii="Arial" w:hAnsi="Arial" w:eastAsia="Arial" w:cs="Arial"/>
      <w:b/>
      <w:bCs/>
      <w:sz w:val="22"/>
      <w:szCs w:val="22"/>
    </w:rPr>
  </w:style>
  <w:style w:type="table" w:styleId="7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paragraph" w:styleId="794" w:customStyle="1">
    <w:name w:val="纯文本5"/>
    <w:basedOn w:val="708"/>
    <w:uiPriority w:val="0"/>
    <w:qFormat/>
    <w:rPr>
      <w:rFonts w:ascii="宋体" w:hAnsi="Courier New"/>
    </w:rPr>
  </w:style>
  <w:style w:type="paragraph" w:styleId="795" w:customStyle="1">
    <w:name w:val="页脚1"/>
    <w:basedOn w:val="708"/>
    <w:link w:val="945"/>
    <w:uiPriority w:val="99"/>
    <w:qFormat/>
    <w:pPr>
      <w:jc w:val="left"/>
      <w:tabs>
        <w:tab w:val="center" w:pos="4153" w:leader="none"/>
        <w:tab w:val="right" w:pos="8306" w:leader="none"/>
      </w:tabs>
    </w:pPr>
    <w:rPr>
      <w:rFonts w:ascii="Calibri" w:hAnsi="Calibri" w:eastAsia="宋体"/>
      <w:sz w:val="18"/>
      <w:szCs w:val="18"/>
    </w:rPr>
  </w:style>
  <w:style w:type="paragraph" w:styleId="796" w:customStyle="1">
    <w:name w:val="表格字体"/>
    <w:basedOn w:val="708"/>
    <w:uiPriority w:val="0"/>
    <w:qFormat/>
    <w:pPr>
      <w:spacing w:line="400" w:lineRule="exact"/>
      <w:widowControl/>
    </w:pPr>
    <w:rPr>
      <w:rFonts w:hint="eastAsia" w:cs="宋体"/>
      <w:bCs/>
      <w:color w:val="000000"/>
      <w:sz w:val="24"/>
      <w:szCs w:val="18"/>
    </w:rPr>
  </w:style>
  <w:style w:type="table" w:styleId="7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character" w:styleId="804" w:customStyle="1">
    <w:name w:val="页码1"/>
    <w:basedOn w:val="805"/>
    <w:uiPriority w:val="0"/>
    <w:qFormat/>
  </w:style>
  <w:style w:type="character" w:styleId="805" w:customStyle="1">
    <w:name w:val="默认段落字体1"/>
    <w:uiPriority w:val="1"/>
    <w:unhideWhenUsed/>
    <w:qFormat/>
  </w:style>
  <w:style w:type="table" w:styleId="8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809" w:customStyle="1">
    <w:name w:val="引用 字符"/>
    <w:link w:val="810"/>
    <w:uiPriority w:val="29"/>
    <w:qFormat/>
    <w:rPr>
      <w:i/>
    </w:rPr>
  </w:style>
  <w:style w:type="paragraph" w:styleId="810">
    <w:name w:val="Quote"/>
    <w:basedOn w:val="708"/>
    <w:next w:val="708"/>
    <w:link w:val="809"/>
    <w:uiPriority w:val="29"/>
    <w:qFormat/>
    <w:pPr>
      <w:ind w:left="720" w:right="720"/>
    </w:pPr>
    <w:rPr>
      <w:i/>
    </w:rPr>
  </w:style>
  <w:style w:type="paragraph" w:styleId="811" w:customStyle="1">
    <w:name w:val="纯文本11"/>
    <w:basedOn w:val="708"/>
    <w:uiPriority w:val="0"/>
    <w:qFormat/>
    <w:rPr>
      <w:rFonts w:ascii="宋体" w:hAnsi="Courier New"/>
    </w:rPr>
  </w:style>
  <w:style w:type="table" w:styleId="8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814" w:customStyle="1">
    <w:name w:val="页眉1"/>
    <w:basedOn w:val="708"/>
    <w:link w:val="853"/>
    <w:uiPriority w:val="99"/>
    <w:unhideWhenUsed/>
    <w:qFormat/>
    <w:pPr>
      <w:jc w:val="center"/>
      <w:tabs>
        <w:tab w:val="center" w:pos="4153" w:leader="none"/>
        <w:tab w:val="right" w:pos="8306" w:leader="none"/>
      </w:tabs>
    </w:pPr>
    <w:rPr>
      <w:rFonts w:ascii="Calibri" w:hAnsi="Calibri" w:eastAsia="宋体"/>
      <w:sz w:val="18"/>
      <w:szCs w:val="18"/>
    </w:rPr>
  </w:style>
  <w:style w:type="table" w:styleId="81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character" w:styleId="816" w:customStyle="1">
    <w:name w:val="标题 7 字符"/>
    <w:link w:val="715"/>
    <w:uiPriority w:val="9"/>
    <w:qFormat/>
    <w:rPr>
      <w:rFonts w:ascii="Arial" w:hAnsi="Arial" w:eastAsia="Arial" w:cs="Arial"/>
      <w:b/>
      <w:bCs/>
      <w:i/>
      <w:iCs/>
      <w:sz w:val="22"/>
      <w:szCs w:val="22"/>
    </w:rPr>
  </w:style>
  <w:style w:type="table" w:styleId="8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822" w:customStyle="1">
    <w:name w:val="正文文本缩进1"/>
    <w:basedOn w:val="708"/>
    <w:next w:val="823"/>
    <w:link w:val="901"/>
    <w:uiPriority w:val="0"/>
    <w:qFormat/>
    <w:pPr>
      <w:ind w:left="420"/>
      <w:spacing w:after="120"/>
    </w:pPr>
    <w:rPr>
      <w:rFonts w:ascii="Calibri" w:hAnsi="Calibri" w:eastAsia="宋体"/>
      <w:szCs w:val="24"/>
    </w:rPr>
  </w:style>
  <w:style w:type="paragraph" w:styleId="823" w:customStyle="1">
    <w:name w:val="寄信人地址1"/>
    <w:basedOn w:val="708"/>
    <w:uiPriority w:val="0"/>
    <w:qFormat/>
    <w:rPr>
      <w:sz w:val="26"/>
    </w:rPr>
  </w:style>
  <w:style w:type="table" w:styleId="8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paragraph" w:styleId="828" w:customStyle="1">
    <w:name w:val="纯文本4"/>
    <w:basedOn w:val="708"/>
    <w:uiPriority w:val="0"/>
    <w:qFormat/>
    <w:rPr>
      <w:rFonts w:ascii="宋体" w:hAnsi="Courier New"/>
    </w:rPr>
  </w:style>
  <w:style w:type="table" w:styleId="82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830" w:customStyle="1">
    <w:name w:val="页眉 字符"/>
    <w:link w:val="730"/>
    <w:uiPriority w:val="99"/>
    <w:qFormat/>
  </w:style>
  <w:style w:type="character" w:styleId="831" w:customStyle="1">
    <w:name w:val="font141"/>
    <w:basedOn w:val="805"/>
    <w:uiPriority w:val="0"/>
    <w:qFormat/>
    <w:rPr>
      <w:rFonts w:ascii="Times New Roman" w:hAnsi="Times New Roman" w:cs="Times New Roman"/>
      <w:color w:val="000000"/>
      <w:sz w:val="28"/>
      <w:szCs w:val="28"/>
      <w:u w:val="none"/>
    </w:rPr>
  </w:style>
  <w:style w:type="table" w:styleId="83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paragraph" w:styleId="834" w:customStyle="1">
    <w:name w:val="批注框文本1"/>
    <w:basedOn w:val="708"/>
    <w:link w:val="932"/>
    <w:uiPriority w:val="99"/>
    <w:unhideWhenUsed/>
    <w:qFormat/>
    <w:rPr>
      <w:sz w:val="18"/>
      <w:szCs w:val="18"/>
    </w:rPr>
  </w:style>
  <w:style w:type="table" w:styleId="8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838" w:customStyle="1">
    <w:name w:val="尾注文本 字符"/>
    <w:link w:val="728"/>
    <w:uiPriority w:val="99"/>
    <w:qFormat/>
    <w:rPr>
      <w:sz w:val="20"/>
    </w:rPr>
  </w:style>
  <w:style w:type="table" w:styleId="83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paragraph" w:styleId="840" w:customStyle="1">
    <w:name w:val="TOC 标题11"/>
    <w:uiPriority w:val="39"/>
    <w:unhideWhenUsed/>
    <w:qFormat/>
    <w:rPr>
      <w:rFonts w:ascii="等线" w:hAnsi="等线" w:eastAsia="等线" w:cs="Times New Roman"/>
      <w:lang w:val="en-US" w:eastAsia="zh-CN" w:bidi="ar-SA"/>
    </w:rPr>
  </w:style>
  <w:style w:type="character" w:styleId="841" w:customStyle="1">
    <w:name w:val="font71"/>
    <w:basedOn w:val="805"/>
    <w:uiPriority w:val="0"/>
    <w:qFormat/>
    <w:rPr>
      <w:rFonts w:hint="eastAsia" w:ascii="仿宋_GB2312" w:eastAsia="仿宋_GB2312" w:cs="仿宋_GB2312"/>
      <w:color w:val="000000"/>
      <w:sz w:val="28"/>
      <w:szCs w:val="28"/>
      <w:u w:val="none"/>
    </w:rPr>
  </w:style>
  <w:style w:type="table" w:styleId="8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843" w:customStyle="1">
    <w:name w:val="纯文本1"/>
    <w:basedOn w:val="708"/>
    <w:uiPriority w:val="0"/>
    <w:qFormat/>
    <w:rPr>
      <w:rFonts w:ascii="宋体" w:hAnsi="Courier New"/>
    </w:rPr>
  </w:style>
  <w:style w:type="table" w:styleId="8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character" w:styleId="845" w:customStyle="1">
    <w:name w:val="标题 1 Char"/>
    <w:link w:val="846"/>
    <w:uiPriority w:val="0"/>
    <w:qFormat/>
    <w:rPr>
      <w:b/>
      <w:sz w:val="44"/>
    </w:rPr>
  </w:style>
  <w:style w:type="paragraph" w:styleId="846" w:customStyle="1">
    <w:name w:val="标题 11"/>
    <w:basedOn w:val="847"/>
    <w:next w:val="708"/>
    <w:link w:val="845"/>
    <w:uiPriority w:val="9"/>
    <w:qFormat/>
    <w:pPr>
      <w:spacing w:before="340" w:after="330" w:line="576" w:lineRule="auto"/>
      <w:outlineLvl w:val="0"/>
    </w:pPr>
    <w:rPr>
      <w:sz w:val="44"/>
    </w:rPr>
  </w:style>
  <w:style w:type="paragraph" w:styleId="847" w:customStyle="1">
    <w:name w:val="标题 31"/>
    <w:basedOn w:val="708"/>
    <w:next w:val="708"/>
    <w:uiPriority w:val="0"/>
    <w:qFormat/>
    <w:pPr>
      <w:keepLines/>
      <w:keepNext/>
      <w:spacing w:before="260" w:after="260" w:line="416" w:lineRule="auto"/>
      <w:outlineLvl w:val="2"/>
    </w:pPr>
    <w:rPr>
      <w:b/>
      <w:bCs/>
      <w:sz w:val="32"/>
      <w:szCs w:val="32"/>
    </w:rPr>
  </w:style>
  <w:style w:type="table" w:styleId="84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849" w:customStyle="1">
    <w:name w:val="UserStyle_62"/>
    <w:basedOn w:val="708"/>
    <w:uiPriority w:val="0"/>
    <w:qFormat/>
    <w:pPr>
      <w:widowControl/>
    </w:pPr>
    <w:rPr>
      <w:rFonts w:ascii="宋体" w:hAnsi="Courier New"/>
    </w:rPr>
  </w:style>
  <w:style w:type="table" w:styleId="85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paragraph" w:styleId="852" w:customStyle="1">
    <w:name w:val="目录 11"/>
    <w:basedOn w:val="708"/>
    <w:next w:val="708"/>
    <w:uiPriority w:val="0"/>
    <w:unhideWhenUsed/>
    <w:qFormat/>
    <w:pPr>
      <w:jc w:val="left"/>
    </w:pPr>
    <w:rPr>
      <w:rFonts w:ascii="Calibri" w:hAnsi="Calibri" w:eastAsia="楷体_GB2312"/>
      <w:sz w:val="24"/>
      <w:szCs w:val="20"/>
    </w:rPr>
  </w:style>
  <w:style w:type="character" w:styleId="853" w:customStyle="1">
    <w:name w:val="页眉 Char"/>
    <w:link w:val="814"/>
    <w:uiPriority w:val="99"/>
    <w:qFormat/>
    <w:rPr>
      <w:rFonts w:ascii="Calibri" w:hAnsi="Calibri" w:eastAsia="宋体"/>
      <w:sz w:val="18"/>
      <w:szCs w:val="18"/>
    </w:r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character" w:styleId="857" w:customStyle="1">
    <w:name w:val="标题 4 字符"/>
    <w:link w:val="712"/>
    <w:uiPriority w:val="9"/>
    <w:qFormat/>
    <w:rPr>
      <w:rFonts w:ascii="Arial" w:hAnsi="Arial" w:eastAsia="Arial" w:cs="Arial"/>
      <w:b/>
      <w:bCs/>
      <w:sz w:val="26"/>
      <w:szCs w:val="26"/>
    </w:rPr>
  </w:style>
  <w:style w:type="table" w:styleId="85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网格型1"/>
    <w:basedOn w:val="863"/>
    <w:uiPriority w:val="59"/>
    <w:qFormat/>
    <w:rPr>
      <w:rFonts w:ascii="Calibri" w:hAnsi="Calibri" w:eastAsia="宋体"/>
    </w:rPr>
    <w:tblPr/>
  </w:style>
  <w:style w:type="table" w:styleId="863" w:customStyle="1">
    <w:name w:val="普通表格1"/>
    <w:uiPriority w:val="99"/>
    <w:unhideWhenUsed/>
    <w:qFormat/>
    <w:tblPr>
      <w:tblCellMar>
        <w:left w:w="0" w:type="dxa"/>
        <w:top w:w="0" w:type="dxa"/>
        <w:right w:w="0" w:type="dxa"/>
        <w:bottom w:w="0" w:type="dxa"/>
      </w:tblCellMar>
    </w:tblPr>
  </w:style>
  <w:style w:type="table" w:styleId="86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character" w:styleId="865" w:customStyle="1">
    <w:name w:val="标题 9 字符"/>
    <w:link w:val="717"/>
    <w:uiPriority w:val="9"/>
    <w:qFormat/>
    <w:rPr>
      <w:rFonts w:ascii="Arial" w:hAnsi="Arial" w:eastAsia="Arial" w:cs="Arial"/>
      <w:i/>
      <w:iCs/>
      <w:sz w:val="21"/>
      <w:szCs w:val="21"/>
    </w:r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867" w:customStyle="1">
    <w:name w:val="正文缩进1"/>
    <w:basedOn w:val="708"/>
    <w:next w:val="708"/>
    <w:uiPriority w:val="0"/>
    <w:qFormat/>
    <w:pPr>
      <w:ind w:left="420" w:firstLine="4772"/>
    </w:pPr>
  </w:style>
  <w:style w:type="character" w:styleId="868" w:customStyle="1">
    <w:name w:val="font41"/>
    <w:basedOn w:val="805"/>
    <w:uiPriority w:val="0"/>
    <w:qFormat/>
    <w:rPr>
      <w:rFonts w:hint="eastAsia" w:ascii="仿宋_GB2312" w:eastAsia="仿宋_GB2312" w:cs="仿宋_GB2312"/>
      <w:color w:val="000000"/>
      <w:sz w:val="28"/>
      <w:szCs w:val="28"/>
      <w:u w:val="none"/>
    </w:rPr>
  </w:style>
  <w:style w:type="paragraph" w:styleId="869" w:customStyle="1">
    <w:name w:val="正文首行缩进 21"/>
    <w:basedOn w:val="822"/>
    <w:next w:val="708"/>
    <w:uiPriority w:val="99"/>
    <w:unhideWhenUsed/>
    <w:qFormat/>
    <w:pPr>
      <w:ind w:firstLine="420"/>
    </w:pPr>
  </w:style>
  <w:style w:type="table" w:styleId="8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871" w:customStyle="1">
    <w:name w:val="首行缩进"/>
    <w:basedOn w:val="708"/>
    <w:uiPriority w:val="0"/>
    <w:qFormat/>
    <w:pPr>
      <w:ind w:firstLine="480"/>
    </w:pPr>
    <w:rPr>
      <w:rFonts w:ascii="Times New Roman" w:hAnsi="Times New Roman"/>
      <w:lang w:val="zh-CN"/>
    </w:rPr>
  </w:style>
  <w:style w:type="table" w:styleId="8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paragraph" w:styleId="875" w:customStyle="1">
    <w:name w:val="正文首行缩进1"/>
    <w:basedOn w:val="720"/>
    <w:uiPriority w:val="0"/>
    <w:qFormat/>
    <w:pPr>
      <w:ind w:firstLine="420"/>
    </w:pPr>
    <w:rPr>
      <w:rFonts w:ascii="Times New Roman" w:hAnsi="Times New Roman"/>
    </w:rPr>
  </w:style>
  <w:style w:type="table" w:styleId="87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character" w:styleId="877" w:customStyle="1">
    <w:name w:val="副标题 字符"/>
    <w:link w:val="733"/>
    <w:uiPriority w:val="11"/>
    <w:qFormat/>
    <w:rPr>
      <w:sz w:val="24"/>
      <w:szCs w:val="24"/>
    </w:rPr>
  </w:style>
  <w:style w:type="table" w:styleId="8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table" w:styleId="87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882" w:customStyle="1">
    <w:name w:val="font61"/>
    <w:basedOn w:val="718"/>
    <w:uiPriority w:val="0"/>
    <w:qFormat/>
    <w:rPr>
      <w:rFonts w:hint="eastAsia" w:ascii="方正小标宋简体" w:hAnsi="方正小标宋简体" w:eastAsia="方正小标宋简体" w:cs="方正小标宋简体"/>
      <w:color w:val="000000"/>
      <w:sz w:val="40"/>
      <w:szCs w:val="40"/>
      <w:u w:val="none"/>
    </w:r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884">
    <w:name w:val="Intense Quote"/>
    <w:basedOn w:val="708"/>
    <w:next w:val="708"/>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标题 3 字符"/>
    <w:link w:val="711"/>
    <w:uiPriority w:val="9"/>
    <w:qFormat/>
    <w:rPr>
      <w:rFonts w:ascii="Arial" w:hAnsi="Arial" w:eastAsia="Arial" w:cs="Arial"/>
      <w:sz w:val="30"/>
      <w:szCs w:val="30"/>
    </w:rPr>
  </w:style>
  <w:style w:type="character" w:styleId="886" w:customStyle="1">
    <w:name w:val="标题 2 字符"/>
    <w:link w:val="710"/>
    <w:uiPriority w:val="9"/>
    <w:qFormat/>
    <w:rPr>
      <w:rFonts w:ascii="Arial" w:hAnsi="Arial" w:eastAsia="Arial" w:cs="Arial"/>
      <w:sz w:val="34"/>
    </w:rPr>
  </w:style>
  <w:style w:type="table" w:styleId="88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paragraph" w:styleId="892" w:customStyle="1">
    <w:name w:val="修订1"/>
    <w:uiPriority w:val="99"/>
    <w:semiHidden/>
    <w:qFormat/>
    <w:rPr>
      <w:rFonts w:ascii="等线" w:hAnsi="等线" w:eastAsia="等线" w:cs="Times New Roman"/>
      <w:sz w:val="21"/>
      <w:szCs w:val="22"/>
      <w:lang w:val="en-US" w:eastAsia="zh-CN" w:bidi="ar-SA"/>
    </w:rPr>
  </w:style>
  <w:style w:type="paragraph" w:styleId="893" w:customStyle="1">
    <w:name w:val="纯文本2"/>
    <w:basedOn w:val="708"/>
    <w:uiPriority w:val="0"/>
    <w:qFormat/>
    <w:rPr>
      <w:rFonts w:ascii="宋体" w:hAnsi="Courier New"/>
    </w:rPr>
  </w:style>
  <w:style w:type="table" w:styleId="89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character" w:styleId="895" w:customStyle="1">
    <w:name w:val="标题 5 字符"/>
    <w:link w:val="713"/>
    <w:uiPriority w:val="9"/>
    <w:qFormat/>
    <w:rPr>
      <w:rFonts w:ascii="Arial" w:hAnsi="Arial" w:eastAsia="Arial" w:cs="Arial"/>
      <w:b/>
      <w:bCs/>
      <w:sz w:val="24"/>
      <w:szCs w:val="24"/>
    </w:rPr>
  </w:style>
  <w:style w:type="table" w:styleId="89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901" w:customStyle="1">
    <w:name w:val="正文文本缩进 Char"/>
    <w:link w:val="822"/>
    <w:uiPriority w:val="0"/>
    <w:qFormat/>
    <w:rPr>
      <w:rFonts w:ascii="Calibri" w:hAnsi="Calibri" w:eastAsia="宋体"/>
      <w:sz w:val="21"/>
      <w:szCs w:val="24"/>
    </w:rPr>
  </w:style>
  <w:style w:type="table" w:styleId="9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character" w:styleId="903" w:customStyle="1">
    <w:name w:val="标题 字符"/>
    <w:link w:val="739"/>
    <w:uiPriority w:val="10"/>
    <w:qFormat/>
    <w:rPr>
      <w:sz w:val="48"/>
      <w:szCs w:val="48"/>
    </w:rPr>
  </w:style>
  <w:style w:type="table" w:styleId="90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905" w:customStyle="1">
    <w:name w:val="脚注文本 字符"/>
    <w:link w:val="734"/>
    <w:uiPriority w:val="99"/>
    <w:qFormat/>
    <w:rPr>
      <w:sz w:val="18"/>
    </w:rPr>
  </w:style>
  <w:style w:type="table" w:styleId="9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908" w:customStyle="1">
    <w:name w:val="普通(网站)1"/>
    <w:basedOn w:val="708"/>
    <w:uiPriority w:val="99"/>
    <w:qFormat/>
    <w:pPr>
      <w:jc w:val="left"/>
      <w:spacing w:before="100" w:beforeAutospacing="1" w:after="100" w:afterAutospacing="1"/>
    </w:pPr>
    <w:rPr>
      <w:rFonts w:ascii="Calibri" w:hAnsi="Calibri"/>
      <w:sz w:val="24"/>
    </w:rPr>
  </w:style>
  <w:style w:type="paragraph" w:styleId="909">
    <w:name w:val="No Spacing"/>
    <w:uiPriority w:val="1"/>
    <w:qFormat/>
    <w:rPr>
      <w:rFonts w:ascii="等线" w:hAnsi="等线" w:eastAsia="等线" w:cs="Times New Roman"/>
      <w:lang w:val="en-US" w:eastAsia="zh-CN" w:bidi="ar-SA"/>
    </w:r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paragraph" w:styleId="915" w:customStyle="1">
    <w:name w:val="批注文字1"/>
    <w:basedOn w:val="708"/>
    <w:link w:val="931"/>
    <w:uiPriority w:val="99"/>
    <w:unhideWhenUsed/>
    <w:qFormat/>
    <w:pPr>
      <w:jc w:val="left"/>
    </w:pPr>
  </w:style>
  <w:style w:type="character" w:styleId="916" w:customStyle="1">
    <w:name w:val="明显引用 字符"/>
    <w:link w:val="884"/>
    <w:uiPriority w:val="30"/>
    <w:qFormat/>
    <w:rPr>
      <w:i/>
    </w:r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919" w:customStyle="1">
    <w:name w:val="标题 8 字符"/>
    <w:link w:val="716"/>
    <w:uiPriority w:val="9"/>
    <w:qFormat/>
    <w:rPr>
      <w:rFonts w:ascii="Arial" w:hAnsi="Arial" w:eastAsia="Arial" w:cs="Arial"/>
      <w:i/>
      <w:iCs/>
      <w:sz w:val="22"/>
      <w:szCs w:val="22"/>
    </w:r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paragraph" w:styleId="930" w:customStyle="1">
    <w:name w:val="纯文本6"/>
    <w:basedOn w:val="708"/>
    <w:uiPriority w:val="0"/>
    <w:qFormat/>
    <w:rPr>
      <w:rFonts w:ascii="宋体" w:hAnsi="Courier New"/>
    </w:rPr>
  </w:style>
  <w:style w:type="character" w:styleId="931" w:customStyle="1">
    <w:name w:val="批注文字 Char"/>
    <w:link w:val="915"/>
    <w:uiPriority w:val="99"/>
    <w:semiHidden/>
    <w:qFormat/>
    <w:rPr>
      <w:sz w:val="21"/>
      <w:szCs w:val="22"/>
    </w:rPr>
  </w:style>
  <w:style w:type="character" w:styleId="932" w:customStyle="1">
    <w:name w:val="批注框文本 Char"/>
    <w:link w:val="834"/>
    <w:uiPriority w:val="99"/>
    <w:semiHidden/>
    <w:qFormat/>
    <w:rPr>
      <w:sz w:val="18"/>
      <w:szCs w:val="18"/>
    </w:rPr>
  </w:style>
  <w:style w:type="table" w:styleId="9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934" w:customStyle="1">
    <w:name w:val="font51"/>
    <w:basedOn w:val="805"/>
    <w:uiPriority w:val="0"/>
    <w:qFormat/>
    <w:rPr>
      <w:rFonts w:ascii="Times New Roman" w:hAnsi="Times New Roman" w:cs="Times New Roman"/>
      <w:color w:val="000000"/>
      <w:sz w:val="28"/>
      <w:szCs w:val="28"/>
      <w:u w:val="none"/>
    </w:rPr>
  </w:style>
  <w:style w:type="character" w:styleId="935" w:customStyle="1">
    <w:name w:val="Footer Char"/>
    <w:uiPriority w:val="99"/>
    <w:qFormat/>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character" w:styleId="938" w:customStyle="1">
    <w:name w:val="页脚 字符"/>
    <w:link w:val="729"/>
    <w:uiPriority w:val="99"/>
    <w:qFormat/>
  </w:style>
  <w:style w:type="table" w:styleId="93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character" w:styleId="943" w:customStyle="1">
    <w:name w:val="标题 1 字符"/>
    <w:link w:val="709"/>
    <w:uiPriority w:val="9"/>
    <w:qFormat/>
    <w:rPr>
      <w:rFonts w:ascii="Arial" w:hAnsi="Arial" w:eastAsia="Arial" w:cs="Arial"/>
      <w:sz w:val="40"/>
      <w:szCs w:val="40"/>
    </w:rPr>
  </w:style>
  <w:style w:type="paragraph" w:styleId="944">
    <w:name w:val="List Paragraph"/>
    <w:basedOn w:val="708"/>
    <w:uiPriority w:val="34"/>
    <w:qFormat/>
    <w:pPr>
      <w:contextualSpacing/>
      <w:ind w:left="720"/>
    </w:pPr>
  </w:style>
  <w:style w:type="character" w:styleId="945" w:customStyle="1">
    <w:name w:val="页脚 Char"/>
    <w:link w:val="795"/>
    <w:uiPriority w:val="99"/>
    <w:qFormat/>
    <w:rPr>
      <w:rFonts w:ascii="Calibri" w:hAnsi="Calibri" w:eastAsia="宋体"/>
      <w:sz w:val="18"/>
      <w:szCs w:val="18"/>
    </w:rPr>
  </w:style>
  <w:style w:type="table" w:styleId="9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character" w:styleId="947" w:customStyle="1">
    <w:name w:val="NormalCharacter1"/>
    <w:uiPriority w:val="0"/>
    <w:semiHidden/>
    <w:qFormat/>
  </w:style>
  <w:style w:type="paragraph" w:styleId="948" w:customStyle="1">
    <w:name w:val="列出段落1"/>
    <w:basedOn w:val="708"/>
    <w:uiPriority w:val="99"/>
    <w:qFormat/>
    <w:pPr>
      <w:ind w:firstLine="420"/>
    </w:pPr>
    <w:rPr>
      <w:rFonts w:ascii="Calibri" w:hAnsi="Calibri" w:eastAsia="宋体"/>
      <w:szCs w:val="24"/>
    </w:rPr>
  </w:style>
  <w:style w:type="table" w:styleId="9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paragraph" w:styleId="950" w:customStyle="1">
    <w:name w:val="段"/>
    <w:next w:val="708"/>
    <w:uiPriority w:val="0"/>
    <w:qFormat/>
    <w:pPr>
      <w:ind w:firstLine="200"/>
      <w:jc w:val="both"/>
    </w:pPr>
    <w:rPr>
      <w:rFonts w:ascii="宋体" w:hAnsi="Times New Roman" w:eastAsia="Times New Roman" w:cs="Times New Roman"/>
      <w:sz w:val="21"/>
      <w:lang w:val="en-US" w:eastAsia="zh-CN" w:bidi="ar-SA"/>
    </w:rPr>
  </w:style>
  <w:style w:type="table" w:styleId="9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953"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54" w:customStyle="1">
    <w:name w:val="列出段落"/>
    <w:basedOn w:val="708"/>
    <w:uiPriority w:val="99"/>
    <w:qFormat/>
    <w:pPr>
      <w:ind w:firstLine="420"/>
    </w:pPr>
    <w:rPr>
      <w:rFonts w:ascii="Calibri"/>
    </w:rPr>
  </w:style>
  <w:style w:type="paragraph" w:styleId="955" w:customStyle="1">
    <w:name w:val="修订2"/>
    <w:hidden/>
    <w:uiPriority w:val="99"/>
    <w:semiHidden/>
    <w:qFormat/>
    <w:rPr>
      <w:rFonts w:ascii="等线" w:hAnsi="等线" w:eastAsia="等线" w:cs="Times New Roman"/>
      <w:sz w:val="21"/>
      <w:szCs w:val="22"/>
      <w:lang w:val="en-US" w:eastAsia="zh-CN" w:bidi="ar-SA"/>
    </w:rPr>
  </w:style>
  <w:style w:type="character" w:styleId="956" w:customStyle="1">
    <w:name w:val="批注文字 字符"/>
    <w:basedOn w:val="718"/>
    <w:link w:val="723"/>
    <w:uiPriority w:val="99"/>
    <w:semiHidden/>
    <w:qFormat/>
    <w:rPr>
      <w:sz w:val="21"/>
      <w:szCs w:val="22"/>
    </w:rPr>
  </w:style>
  <w:style w:type="character" w:styleId="957" w:customStyle="1">
    <w:name w:val="批注主题 字符"/>
    <w:basedOn w:val="956"/>
    <w:link w:val="740"/>
    <w:uiPriority w:val="99"/>
    <w:semiHidden/>
    <w:qFormat/>
    <w:rPr>
      <w:b/>
      <w:bCs/>
      <w:sz w:val="21"/>
      <w:szCs w:val="22"/>
    </w:rPr>
  </w:style>
  <w:style w:type="numbering" w:styleId="9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陈超叶</cp:lastModifiedBy>
  <cp:revision>10</cp:revision>
  <dcterms:created xsi:type="dcterms:W3CDTF">2026-07-02T05:20:00Z</dcterms:created>
  <dcterms:modified xsi:type="dcterms:W3CDTF">2026-07-08T07:50:13Z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eyJoZGlkIjoiYzkwMjQ3N2U4ZmY2Njk1ZDdhMGQ5NGJkNWI5NzFhYTQiLCJ1c2VySWQiOiI2NTkzODcwMTgifQ==</vt:lpwstr>
  </property>
  <property fmtid="{D5CDD505-2E9C-101B-9397-08002B2CF9AE}" pid="3" name="KSOProductBuildVer">
    <vt:lpwstr>2052-12.1.0.26895</vt:lpwstr>
  </property>
  <property fmtid="{D5CDD505-2E9C-101B-9397-08002B2CF9AE}" pid="4" name="ICV">
    <vt:lpwstr>655DB8C9CA4B4F3C94750732670221AF_13</vt:lpwstr>
  </property>
</Properties>
</file>