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9"/>
        <w:ind w:firstLine="0"/>
        <w:rPr>
          <w:rFonts w:hint="eastAsia" w:ascii="宋体" w:hAnsi="宋体" w:cs="宋体"/>
          <w:b w:val="0"/>
          <w:bCs/>
          <w:color w:val="000000"/>
          <w:sz w:val="72"/>
          <w:szCs w:val="72"/>
          <w:highlight w:val="none"/>
        </w:rPr>
      </w:pPr>
      <w:r>
        <w:rPr>
          <w:rFonts w:hint="eastAsia" w:ascii="宋体" w:hAnsi="宋体" w:cs="宋体"/>
          <w:b w:val="0"/>
          <w:bCs/>
          <w:color w:val="000000"/>
          <w:sz w:val="72"/>
          <w:szCs w:val="72"/>
          <w:highlight w:val="none"/>
        </w:rPr>
      </w:r>
      <w:r/>
    </w:p>
    <w:p>
      <w:pPr>
        <w:jc w:val="center"/>
        <w:spacing w:after="156" w:line="48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t xml:space="preserve">南京鼓楼医院 </w:t>
      </w:r>
      <w:r/>
    </w:p>
    <w:p>
      <w:pPr>
        <w:jc w:val="center"/>
        <w:spacing w:after="156" w:line="480" w:lineRule="auto"/>
        <w:rPr>
          <w:rFonts w:hint="eastAsia" w:ascii="宋体" w:hAnsi="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2026年鼓楼医院职工夏季</w:t>
      </w:r>
      <w:r/>
    </w:p>
    <w:p>
      <w:pPr>
        <w:jc w:val="center"/>
        <w:spacing w:after="156" w:line="480" w:lineRule="auto"/>
        <w:rPr>
          <w:rFonts w:hint="default" w:ascii="宋体" w:hAnsi="宋体" w:cs="宋体"/>
          <w:b/>
          <w:bCs/>
          <w:color w:val="000000"/>
          <w:sz w:val="72"/>
          <w:szCs w:val="72"/>
          <w:highlight w:val="none"/>
          <w:lang w:val="en-US"/>
        </w:rPr>
      </w:pPr>
      <w:r>
        <w:rPr>
          <w:rFonts w:hint="eastAsia" w:ascii="宋体" w:hAnsi="宋体" w:cs="宋体"/>
          <w:b/>
          <w:bCs/>
          <w:color w:val="000000"/>
          <w:sz w:val="72"/>
          <w:szCs w:val="72"/>
          <w:highlight w:val="none"/>
          <w:lang w:eastAsia="zh-CN"/>
        </w:rPr>
        <w:t xml:space="preserve">清凉用品</w:t>
      </w:r>
      <w:r/>
    </w:p>
    <w:p>
      <w:pPr>
        <w:jc w:val="center"/>
        <w:spacing w:line="360" w:lineRule="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p>
    <w:p>
      <w:pPr>
        <w:jc w:val="center"/>
        <w:spacing w:line="360" w:lineRule="auto"/>
        <w:rPr>
          <w:rFonts w:hint="eastAsia" w:ascii="宋体" w:hAnsi="宋体" w:eastAsia="宋体" w:cs="宋体"/>
          <w:b/>
          <w:bCs/>
          <w:color w:val="000000"/>
          <w:sz w:val="36"/>
          <w:szCs w:val="22"/>
          <w:highlight w:val="none"/>
          <w:lang w:eastAsia="zh-CN"/>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JSZC-320100-SMDG-G2026-0050</w:t>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0.0pt;height:22.8pt;mso-wrap-distance-left:0.0pt;mso-wrap-distance-top:0.0pt;mso-wrap-distance-right:0.0pt;mso-wrap-distance-bottom:0.0pt;" filled="f" stroked="f">
            <v:path textboxrect="0,0,0,0"/>
            <v:imagedata r:id="rId22" o:title=""/>
          </v:shape>
          <o:OLEObject DrawAspect="Content" r:id="rId23" ObjectID="_1525045" ProgID="PBrush" ShapeID="_x0000_i5" Type="Embed"/>
        </w:object>
      </w:r>
      <w:r/>
    </w:p>
    <w:p>
      <w:pPr>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p>
    <w:p>
      <w:pPr>
        <w:jc w:val="center"/>
        <w:spacing w:line="360" w:lineRule="auto"/>
        <w:rPr>
          <w:rFonts w:ascii="Arial" w:hAnsi="Arial" w:eastAsia="黑体" w:cs="Arial"/>
          <w:b/>
          <w:color w:val="000000"/>
          <w:sz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lang w:val="en-US" w:eastAsia="zh-CN"/>
        </w:rPr>
        <w:t xml:space="preserve">2026</w:t>
      </w:r>
      <w:r>
        <w:rPr>
          <w:rFonts w:hint="eastAsia" w:ascii="宋体" w:hAnsi="宋体" w:cs="宋体"/>
          <w:b/>
          <w:color w:val="000000"/>
          <w:sz w:val="32"/>
          <w:szCs w:val="22"/>
          <w:highlight w:val="none"/>
        </w:rPr>
        <w:t xml:space="preserve">年</w:t>
      </w:r>
      <w:r>
        <w:rPr>
          <w:rFonts w:hint="eastAsia" w:ascii="宋体" w:hAnsi="宋体" w:cs="宋体"/>
          <w:b/>
          <w:color w:val="000000"/>
          <w:sz w:val="32"/>
          <w:szCs w:val="22"/>
          <w:highlight w:val="none"/>
          <w:lang w:val="en-US" w:eastAsia="zh-CN"/>
        </w:rPr>
        <w:t xml:space="preserve">6</w:t>
      </w:r>
      <w:r>
        <w:rPr>
          <w:rFonts w:hint="eastAsia" w:ascii="宋体" w:hAnsi="宋体" w:cs="宋体"/>
          <w:b/>
          <w:color w:val="000000"/>
          <w:sz w:val="32"/>
          <w:szCs w:val="22"/>
          <w:highlight w:val="none"/>
        </w:rPr>
        <w:t xml:space="preserve">月</w:t>
      </w:r>
      <w:r/>
    </w:p>
    <w:p>
      <w:pPr>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p>
    <w:p>
      <w:pPr>
        <w:spacing w:line="440" w:lineRule="exact"/>
        <w:rPr>
          <w:rFonts w:ascii="Arial" w:hAnsi="Arial" w:cs="Arial"/>
          <w:color w:val="000000"/>
          <w:szCs w:val="21"/>
          <w:highlight w:val="none"/>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cs="Arial"/>
          <w:color w:val="000000"/>
          <w:szCs w:val="21"/>
          <w:highlight w:val="none"/>
        </w:rPr>
        <w:t xml:space="preserve">第一章  </w:t>
      </w:r>
      <w:r>
        <w:rPr>
          <w:rFonts w:ascii="Arial" w:hAnsi="Arial" w:cs="Arial"/>
          <w:color w:val="000000"/>
          <w:szCs w:val="21"/>
          <w:highlight w:val="none"/>
        </w:rPr>
        <w:t xml:space="preserve">招标</w:t>
      </w:r>
      <w:r>
        <w:rPr>
          <w:rFonts w:hint="eastAsia" w:ascii="Arial" w:hAnsi="Arial" w:cs="Arial"/>
          <w:color w:val="000000"/>
          <w:szCs w:val="21"/>
          <w:highlight w:val="none"/>
        </w:rPr>
        <w:t xml:space="preserve">邀请</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第二章  </w:t>
      </w:r>
      <w:r>
        <w:rPr>
          <w:rFonts w:ascii="Arial" w:hAnsi="Arial" w:cs="Arial"/>
          <w:color w:val="000000"/>
          <w:szCs w:val="21"/>
          <w:highlight w:val="none"/>
        </w:rPr>
        <w:t xml:space="preserve">投标人须知</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p>
    <w:p>
      <w:pPr>
        <w:spacing w:line="440" w:lineRule="exact"/>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第四章  </w:t>
      </w:r>
      <w:r>
        <w:rPr>
          <w:rFonts w:hint="eastAsia" w:ascii="Arial" w:hAnsi="Arial" w:cs="Arial"/>
          <w:color w:val="000000"/>
          <w:szCs w:val="21"/>
          <w:highlight w:val="none"/>
          <w:lang w:eastAsia="zh-CN"/>
        </w:rPr>
        <w:t xml:space="preserve">采购需求</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第五章  合同条款</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第六章  </w:t>
      </w:r>
      <w:r>
        <w:rPr>
          <w:rFonts w:ascii="Arial" w:hAnsi="Arial" w:cs="Arial"/>
          <w:color w:val="000000"/>
          <w:szCs w:val="21"/>
          <w:highlight w:val="none"/>
        </w:rPr>
        <w:t xml:space="preserve">投标文件格式及附件</w:t>
      </w:r>
      <w:r/>
    </w:p>
    <w:p>
      <w:pPr>
        <w:pStyle w:val="1147"/>
        <w:spacing w:line="480" w:lineRule="auto"/>
        <w:tabs>
          <w:tab w:val="right" w:pos="9638" w:leader="dot"/>
        </w:tabs>
        <w:rPr>
          <w:color w:val="000000"/>
          <w:highlight w:val="none"/>
        </w:rPr>
      </w:pPr>
      <w:r>
        <w:rPr>
          <w:color w:val="000000"/>
          <w:highlight w:val="none"/>
        </w:rPr>
      </w:r>
      <w:r/>
    </w:p>
    <w:p>
      <w:pPr>
        <w:pStyle w:val="1134"/>
        <w:tabs>
          <w:tab w:val="right" w:pos="9638" w:leader="dot"/>
        </w:tabs>
        <w:rPr>
          <w:highlight w:val="none"/>
        </w:rPr>
      </w:pPr>
      <w:r>
        <w:rPr>
          <w:highlight w:val="none"/>
        </w:rPr>
      </w:r>
      <w:r/>
    </w:p>
    <w:p>
      <w:pPr>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p>
    <w:p>
      <w:pPr>
        <w:pStyle w:val="1147"/>
        <w:spacing w:line="480" w:lineRule="auto"/>
        <w:tabs>
          <w:tab w:val="right" w:pos="9638" w:leader="dot"/>
        </w:tabs>
        <w:rPr>
          <w:color w:val="000000"/>
          <w:highlight w:val="none"/>
        </w:rPr>
      </w:pPr>
      <w:r>
        <w:rPr>
          <w:color w:val="000000"/>
          <w:highlight w:val="none"/>
        </w:rPr>
      </w:r>
      <w:r/>
    </w:p>
    <w:p>
      <w:pPr>
        <w:pStyle w:val="1134"/>
        <w:jc w:val="left"/>
        <w:tabs>
          <w:tab w:val="right" w:pos="9638" w:leader="dot"/>
        </w:tabs>
        <w:rPr>
          <w:highlight w:val="none"/>
        </w:rPr>
      </w:pPr>
      <w:r>
        <w:rPr>
          <w:highlight w:val="none"/>
        </w:rPr>
      </w:r>
      <w:r/>
    </w:p>
    <w:p>
      <w:pPr>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jc w:val="cente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150"/>
        <w:ind w:right="420" w:firstLine="321"/>
        <w:jc w:val="center"/>
        <w:spacing w:line="360" w:lineRule="auto"/>
        <w:rPr>
          <w:szCs w:val="24"/>
          <w:highlight w:val="none"/>
        </w:rPr>
      </w:pPr>
      <w:r>
        <w:rPr>
          <w:rFonts w:hint="eastAsia" w:ascii="黑体" w:hAnsi="宋体" w:eastAsia="黑体"/>
          <w:sz w:val="32"/>
          <w:szCs w:val="32"/>
          <w:highlight w:val="none"/>
        </w:rPr>
        <w:t xml:space="preserve">第一章   投标邀请</w:t>
      </w:r>
      <w:r/>
    </w:p>
    <w:p>
      <w:pPr>
        <w:ind w:right="-159" w:firstLine="420"/>
        <w:spacing w:line="400" w:lineRule="exact"/>
        <w:rPr>
          <w:highlight w:val="none"/>
        </w:rPr>
      </w:pPr>
      <w:r>
        <w:rPr>
          <w:highlight w:val="none"/>
        </w:rPr>
      </w:r>
      <w:r/>
    </w:p>
    <w:p>
      <w:pPr>
        <w:pStyle w:val="1155"/>
        <w:ind w:firstLine="420"/>
        <w:keepLines w:val="0"/>
        <w:keepNext w:val="0"/>
        <w:pageBreakBefore w:val="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苏美达国际技术贸易有限公司</w:t>
      </w:r>
      <w:r>
        <w:rPr>
          <w:rFonts w:ascii="Arial" w:hAnsi="Arial" w:eastAsia="宋体" w:cs="Arial"/>
          <w:sz w:val="21"/>
          <w:szCs w:val="21"/>
          <w:highlight w:val="none"/>
        </w:rPr>
        <w:t xml:space="preserve">受</w:t>
      </w:r>
      <w:r>
        <w:rPr>
          <w:rFonts w:hint="eastAsia" w:ascii="Arial" w:hAnsi="Arial" w:eastAsia="宋体" w:cs="Arial"/>
          <w:sz w:val="21"/>
          <w:szCs w:val="21"/>
          <w:highlight w:val="none"/>
        </w:rPr>
        <w:t xml:space="preserve">南京鼓楼医院</w:t>
      </w:r>
      <w:r>
        <w:rPr>
          <w:rFonts w:ascii="Arial" w:hAnsi="Arial" w:eastAsia="宋体" w:cs="Arial"/>
          <w:sz w:val="21"/>
          <w:szCs w:val="21"/>
          <w:highlight w:val="none"/>
        </w:rPr>
        <w:t xml:space="preserve">委托，就</w:t>
      </w:r>
      <w:r>
        <w:rPr>
          <w:rFonts w:hint="eastAsia" w:ascii="Arial" w:hAnsi="Arial" w:eastAsia="宋体" w:cs="Arial"/>
          <w:sz w:val="21"/>
          <w:szCs w:val="21"/>
          <w:highlight w:val="none"/>
          <w:lang w:eastAsia="zh-CN"/>
        </w:rPr>
        <w:t xml:space="preserve">2026年鼓楼医院职工夏季清凉用品</w:t>
      </w:r>
      <w:r>
        <w:rPr>
          <w:rFonts w:ascii="Arial" w:hAnsi="Arial" w:eastAsia="宋体" w:cs="Arial"/>
          <w:sz w:val="21"/>
          <w:szCs w:val="21"/>
          <w:highlight w:val="none"/>
        </w:rPr>
        <w:t xml:space="preserve">进行公开招标，现欢迎符合相关条件的</w:t>
      </w:r>
      <w:r>
        <w:rPr>
          <w:rFonts w:hint="eastAsia" w:ascii="Arial" w:hAnsi="Arial" w:eastAsia="宋体" w:cs="Arial"/>
          <w:sz w:val="21"/>
          <w:szCs w:val="21"/>
          <w:highlight w:val="none"/>
        </w:rPr>
        <w:t xml:space="preserve">供应商</w:t>
      </w:r>
      <w:r>
        <w:rPr>
          <w:rFonts w:ascii="Arial" w:hAnsi="Arial" w:eastAsia="宋体" w:cs="Arial"/>
          <w:sz w:val="21"/>
          <w:szCs w:val="21"/>
          <w:highlight w:val="none"/>
        </w:rPr>
        <w:t xml:space="preserve">参加投标。</w:t>
      </w:r>
      <w:r/>
    </w:p>
    <w:p>
      <w:pPr>
        <w:keepLines w:val="0"/>
        <w:keepNext w:val="0"/>
        <w:pageBreakBefore w:val="0"/>
        <w:spacing w:line="360" w:lineRule="auto"/>
        <w:rPr>
          <w:b/>
          <w:bCs/>
          <w:highlight w:val="none"/>
        </w:rPr>
      </w:pPr>
      <w:r/>
      <w:bookmarkStart w:id="0" w:name="_Toc28359002"/>
      <w:r/>
      <w:bookmarkStart w:id="1" w:name="_Toc35393790"/>
      <w:r/>
      <w:bookmarkStart w:id="2" w:name="_Toc28359079"/>
      <w:r/>
      <w:bookmarkStart w:id="3" w:name="_Toc35393621"/>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p>
    <w:p>
      <w:pPr>
        <w:keepLines w:val="0"/>
        <w:keepNext w:val="0"/>
        <w:pageBreakBefore w:val="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lang w:val="en-US" w:eastAsia="zh-CN"/>
        </w:rPr>
        <w:t xml:space="preserve">1、</w:t>
      </w:r>
      <w:r>
        <w:rPr>
          <w:rFonts w:hint="eastAsia"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JSZC-320100-SMDG-G2026-0050</w:t>
      </w:r>
      <w:r/>
    </w:p>
    <w:p>
      <w:pPr>
        <w:keepLines w:val="0"/>
        <w:keepNext w:val="0"/>
        <w:pageBreakBefore w:val="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lang w:val="en-US" w:eastAsia="zh-CN"/>
        </w:rPr>
        <w:t xml:space="preserve">2、</w:t>
      </w: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2026年鼓楼医院职工夏季清凉用品 </w:t>
      </w:r>
      <w:r/>
    </w:p>
    <w:p>
      <w:pPr>
        <w:keepLines w:val="0"/>
        <w:keepNext w:val="0"/>
        <w:pageBreakBefore w:val="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3、采购预算：RMB138万元（人民币壹佰叁拾捌万元整）</w:t>
      </w:r>
      <w:r/>
    </w:p>
    <w:p>
      <w:pPr>
        <w:keepLines w:val="0"/>
        <w:keepNext w:val="0"/>
        <w:pageBreakBefore w:val="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4、最高限价：RMB138万元（人民币壹佰叁拾捌万元整）</w:t>
      </w:r>
      <w:r/>
    </w:p>
    <w:p>
      <w:pPr>
        <w:keepLines w:val="0"/>
        <w:keepNext w:val="0"/>
        <w:pageBreakBefore w:val="0"/>
        <w:spacing w:line="360" w:lineRule="auto"/>
        <w:rPr>
          <w:rFonts w:hint="default"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5、产品清单</w:t>
      </w:r>
      <w:r/>
    </w:p>
    <w:tbl>
      <w:tblPr>
        <w:tblStyle w:val="897"/>
        <w:tblW w:w="41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721"/>
        <w:gridCol w:w="2086"/>
        <w:gridCol w:w="2880"/>
      </w:tblGrid>
      <w:tr>
        <w:trPr>
          <w:trHeight w:val="412"/>
        </w:trPr>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1379" w:type="pct"/>
            <w:vAlign w:val="center"/>
            <w:textDirection w:val="lrTb"/>
            <w:noWrap w:val="false"/>
          </w:tcPr>
          <w:p>
            <w:pPr>
              <w:jc w:val="center"/>
              <w:widowControl/>
              <w:rPr>
                <w:rFonts w:hint="default" w:hAnsi="宋体" w:eastAsia="宋体" w:cs="宋体"/>
                <w:b/>
                <w:bCs/>
                <w:color w:val="000000" w:themeColor="text1"/>
                <w:position w:val="0"/>
                <w:sz w:val="21"/>
                <w:szCs w:val="21"/>
                <w:highlight w:val="none"/>
                <w:lang w:val="en-US" w:eastAsia="zh-CN"/>
                <w14:textFill>
                  <w14:solidFill>
                    <w14:schemeClr w14:val="tx1"/>
                  </w14:solidFill>
                </w14:textFill>
              </w:rPr>
            </w:pPr>
            <w:r>
              <w:rPr>
                <w:rFonts w:hint="eastAsia"/>
                <w:b/>
                <w:bCs/>
                <w:color w:val="000000"/>
                <w:szCs w:val="21"/>
                <w:highlight w:val="none"/>
                <w:lang w:val="en-US" w:eastAsia="zh-CN"/>
              </w:rPr>
              <w:t xml:space="preserve">预算</w:t>
            </w:r>
            <w:r>
              <w:rPr>
                <w:rFonts w:hint="eastAsia"/>
                <w:b/>
                <w:bCs/>
                <w:color w:val="000000"/>
                <w:szCs w:val="21"/>
                <w:highlight w:val="none"/>
              </w:rPr>
              <w:t xml:space="preserve">单价</w:t>
            </w:r>
            <w:r>
              <w:rPr>
                <w:rFonts w:hint="eastAsia"/>
                <w:b/>
                <w:bCs/>
                <w:color w:val="000000"/>
                <w:szCs w:val="21"/>
                <w:highlight w:val="none"/>
                <w:lang w:val="en-US" w:eastAsia="zh-CN"/>
              </w:rPr>
              <w:t xml:space="preserve">/最高限价</w:t>
            </w:r>
            <w:r/>
          </w:p>
        </w:tc>
        <w:tc>
          <w:tcPr>
            <w:tcBorders>
              <w:top w:val="single" w:color="auto" w:sz="4" w:space="0"/>
              <w:left w:val="single" w:color="auto" w:sz="4" w:space="0"/>
              <w:bottom w:val="single" w:color="auto" w:sz="4" w:space="0"/>
              <w:right w:val="single" w:color="auto" w:sz="4" w:space="0"/>
            </w:tcBorders>
            <w:tcW w:w="1904"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b/>
                <w:bCs/>
                <w:color w:val="000000"/>
                <w:szCs w:val="21"/>
                <w:highlight w:val="none"/>
              </w:rPr>
              <w:t xml:space="preserve">预计数量（份）</w:t>
            </w:r>
            <w:r/>
          </w:p>
        </w:tc>
      </w:tr>
      <w:tr>
        <w:trPr>
          <w:trHeight w:val="554"/>
        </w:trPr>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rPr>
                <w:rFonts w:hAnsi="宋体" w:cs="宋体"/>
                <w:b w:val="0"/>
                <w:color w:val="000000" w:themeColor="text1"/>
                <w:position w:val="0"/>
                <w:sz w:val="21"/>
                <w:szCs w:val="21"/>
                <w:highlight w:val="none"/>
                <w14:textFill>
                  <w14:solidFill>
                    <w14:schemeClr w14:val="tx1"/>
                  </w14:solidFill>
                </w14:textFill>
              </w:rPr>
            </w:pPr>
            <w:r>
              <w:rPr>
                <w:rFonts w:hint="eastAsia" w:hAnsi="宋体" w:cs="宋体"/>
                <w:b w:val="0"/>
                <w:color w:val="000000" w:themeColor="text1"/>
                <w:position w:val="0"/>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ascii="Arial" w:hAnsi="Arial" w:cs="Arial"/>
                <w:color w:val="000000"/>
                <w:szCs w:val="21"/>
                <w:highlight w:val="none"/>
                <w:lang w:eastAsia="zh-CN"/>
              </w:rPr>
              <w:t xml:space="preserve">2026年鼓楼医院职工夏季清凉用品</w:t>
            </w:r>
            <w:r/>
          </w:p>
        </w:tc>
        <w:tc>
          <w:tcPr>
            <w:tcBorders>
              <w:top w:val="single" w:color="auto" w:sz="4" w:space="0"/>
              <w:left w:val="single" w:color="auto" w:sz="4" w:space="0"/>
              <w:bottom w:val="single" w:color="auto" w:sz="4" w:space="0"/>
              <w:right w:val="single" w:color="auto" w:sz="4" w:space="0"/>
            </w:tcBorders>
            <w:tcW w:w="1379" w:type="pct"/>
            <w:vAlign w:val="center"/>
            <w:textDirection w:val="lrTb"/>
            <w:noWrap w:val="false"/>
          </w:tcPr>
          <w:p>
            <w:pPr>
              <w:jc w:val="center"/>
              <w:rPr>
                <w:rFonts w:ascii="Times New Roman"/>
                <w:b w:val="0"/>
                <w:color w:val="000000" w:themeColor="text1"/>
                <w:position w:val="0"/>
                <w:sz w:val="21"/>
                <w:szCs w:val="24"/>
                <w:highlight w:val="none"/>
                <w14:textFill>
                  <w14:solidFill>
                    <w14:schemeClr w14:val="tx1"/>
                  </w14:solidFill>
                </w14:textFill>
              </w:rPr>
            </w:pPr>
            <w:r>
              <w:rPr>
                <w:rFonts w:hint="eastAsia" w:ascii="Times New Roman"/>
                <w:b w:val="0"/>
                <w:color w:val="000000" w:themeColor="text1"/>
                <w:position w:val="0"/>
                <w:sz w:val="21"/>
                <w:szCs w:val="24"/>
                <w:highlight w:val="none"/>
                <w:lang w:val="en-US" w:eastAsia="zh-CN"/>
                <w14:textFill>
                  <w14:solidFill>
                    <w14:schemeClr w14:val="tx1"/>
                  </w14:solidFill>
                </w14:textFill>
              </w:rPr>
              <w:t xml:space="preserve">200元/人</w:t>
            </w:r>
            <w:r/>
          </w:p>
        </w:tc>
        <w:tc>
          <w:tcPr>
            <w:tcBorders>
              <w:top w:val="single" w:color="auto" w:sz="4" w:space="0"/>
              <w:left w:val="single" w:color="auto" w:sz="4" w:space="0"/>
              <w:right w:val="single" w:color="auto" w:sz="4" w:space="0"/>
            </w:tcBorders>
            <w:tcW w:w="1904" w:type="pct"/>
            <w:vAlign w:val="center"/>
            <w:textDirection w:val="lrTb"/>
            <w:noWrap w:val="false"/>
          </w:tcPr>
          <w:p>
            <w:pPr>
              <w:jc w:val="center"/>
              <w:rPr>
                <w:rFonts w:hint="eastAsia" w:hAnsi="宋体" w:cs="宋体"/>
                <w:b w:val="0"/>
                <w:bCs/>
                <w:color w:val="000000" w:themeColor="text1"/>
                <w:position w:val="0"/>
                <w:sz w:val="21"/>
                <w:szCs w:val="21"/>
                <w:highlight w:val="none"/>
                <w:lang w:val="en-US" w:eastAsia="zh-CN"/>
                <w14:textFill>
                  <w14:solidFill>
                    <w14:schemeClr w14:val="tx1"/>
                  </w14:solidFill>
                </w14:textFill>
              </w:rPr>
            </w:pPr>
            <w:r>
              <w:rPr>
                <w:rFonts w:hint="eastAsia" w:hAnsi="宋体" w:cs="宋体"/>
                <w:b w:val="0"/>
                <w:bCs/>
                <w:color w:val="000000" w:themeColor="text1"/>
                <w:position w:val="0"/>
                <w:sz w:val="21"/>
                <w:szCs w:val="21"/>
                <w:highlight w:val="none"/>
                <w:lang w:val="en-US" w:eastAsia="zh-CN"/>
                <w14:textFill>
                  <w14:solidFill>
                    <w14:schemeClr w14:val="tx1"/>
                  </w14:solidFill>
                </w14:textFill>
              </w:rPr>
              <w:t xml:space="preserve">6600</w:t>
            </w:r>
            <w:r/>
          </w:p>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eastAsia="宋体"/>
                <w:color w:val="000000"/>
                <w:szCs w:val="21"/>
                <w:highlight w:val="none"/>
                <w:lang w:eastAsia="zh-CN"/>
              </w:rPr>
              <w:t xml:space="preserve">（具体数量以实际结算为准）</w:t>
            </w:r>
            <w:r/>
          </w:p>
        </w:tc>
      </w:tr>
    </w:tbl>
    <w:p>
      <w:pPr>
        <w:keepLines w:val="0"/>
        <w:keepNext w:val="0"/>
        <w:pageBreakBefore w:val="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6</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eastAsia="zh-CN"/>
        </w:rPr>
        <w:t xml:space="preserve">合同履行期限：产品兑换期限为3个月</w:t>
      </w:r>
      <w:r>
        <w:rPr>
          <w:rFonts w:hint="eastAsia" w:ascii="Arial" w:hAnsi="Arial" w:cs="Arial"/>
          <w:color w:val="000000"/>
          <w:szCs w:val="21"/>
          <w:highlight w:val="none"/>
          <w:lang w:eastAsia="zh-CN"/>
        </w:rPr>
        <w:t xml:space="preserve">（</w:t>
      </w:r>
      <w:r>
        <w:rPr>
          <w:rFonts w:hint="eastAsia" w:ascii="Arial" w:hAnsi="Arial" w:cs="Arial"/>
          <w:color w:val="000000"/>
          <w:szCs w:val="21"/>
          <w:highlight w:val="none"/>
          <w:lang w:val="en-US" w:eastAsia="zh-CN"/>
        </w:rPr>
        <w:t xml:space="preserve">套餐A和套餐B均可兑换，供职工自行选择</w:t>
      </w:r>
      <w:r>
        <w:rPr>
          <w:rFonts w:hint="eastAsia" w:ascii="Arial" w:hAnsi="Arial" w:cs="Arial"/>
          <w:color w:val="000000"/>
          <w:szCs w:val="21"/>
          <w:highlight w:val="none"/>
          <w:lang w:eastAsia="zh-CN"/>
        </w:rPr>
        <w:t xml:space="preserve">）</w:t>
      </w:r>
      <w:r/>
    </w:p>
    <w:p>
      <w:pPr>
        <w:keepLines w:val="0"/>
        <w:keepNext w:val="0"/>
        <w:pageBreakBefore w:val="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hint="eastAsia" w:ascii="Arial" w:hAnsi="Arial" w:eastAsia="宋体" w:cs="Arial"/>
          <w:color w:val="000000"/>
          <w:szCs w:val="21"/>
          <w:highlight w:val="none"/>
          <w:lang w:val="en-US" w:eastAsia="zh-CN"/>
        </w:rPr>
        <w:t xml:space="preserve">、本项目是否接受进口产品投标：不接受</w:t>
      </w:r>
      <w:r/>
    </w:p>
    <w:p>
      <w:pPr>
        <w:keepLines w:val="0"/>
        <w:keepNext w:val="0"/>
        <w:pageBreakBefore w:val="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8</w:t>
      </w:r>
      <w:r>
        <w:rPr>
          <w:rFonts w:hint="eastAsia" w:ascii="Arial" w:hAnsi="Arial" w:eastAsia="宋体" w:cs="Arial"/>
          <w:color w:val="000000"/>
          <w:szCs w:val="21"/>
          <w:highlight w:val="none"/>
          <w:lang w:val="en-US" w:eastAsia="zh-CN"/>
        </w:rPr>
        <w:t xml:space="preserve">、本项目所属行业：工业</w:t>
      </w:r>
      <w:r/>
    </w:p>
    <w:p>
      <w:pPr>
        <w:keepLines w:val="0"/>
        <w:keepNext w:val="0"/>
        <w:pageBreakBefore w:val="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9</w:t>
      </w:r>
      <w:r>
        <w:rPr>
          <w:rFonts w:hint="eastAsia" w:ascii="Arial" w:hAnsi="Arial" w:eastAsia="宋体" w:cs="Arial"/>
          <w:color w:val="000000"/>
          <w:szCs w:val="21"/>
          <w:highlight w:val="none"/>
          <w:lang w:val="en-US" w:eastAsia="zh-CN"/>
        </w:rPr>
        <w:t xml:space="preserve">、本项目是否接受联合体投标：不接受</w:t>
      </w:r>
      <w:r/>
    </w:p>
    <w:p>
      <w:pPr>
        <w:keepLines w:val="0"/>
        <w:keepNext w:val="0"/>
        <w:pageBreakBefore w:val="0"/>
        <w:spacing w:line="360" w:lineRule="auto"/>
        <w:rPr>
          <w:b/>
          <w:bCs/>
          <w:highlight w:val="none"/>
        </w:rPr>
      </w:pPr>
      <w:r>
        <w:rPr>
          <w:rFonts w:hint="eastAsia"/>
          <w:b/>
          <w:bCs/>
          <w:highlight w:val="none"/>
        </w:rPr>
        <w:t xml:space="preserve">二、申请人的资格要求：</w:t>
      </w:r>
      <w:r/>
    </w:p>
    <w:p>
      <w:pPr>
        <w:keepLines w:val="0"/>
        <w:keepNext w:val="0"/>
        <w:pageBreakBefore w:val="0"/>
        <w:spacing w:line="360" w:lineRule="auto"/>
        <w:rPr>
          <w:rFonts w:hint="eastAsia" w:ascii="宋体" w:hAnsi="宋体"/>
          <w:highlight w:val="none"/>
        </w:rPr>
      </w:pPr>
      <w:r>
        <w:rPr>
          <w:rFonts w:hint="eastAsia" w:ascii="宋体" w:hAnsi="宋体"/>
          <w:highlight w:val="none"/>
        </w:rPr>
        <w:t xml:space="preserve">1、根据《中华人民共和国政府采购法》第二十二条规定，供应商应当具备下列一般资格条件：</w:t>
      </w:r>
      <w:r/>
    </w:p>
    <w:p>
      <w:pPr>
        <w:keepLines w:val="0"/>
        <w:keepNext w:val="0"/>
        <w:pageBreakBefore w:val="0"/>
        <w:spacing w:line="360" w:lineRule="auto"/>
        <w:rPr>
          <w:highlight w:val="none"/>
        </w:rPr>
      </w:pPr>
      <w:r>
        <w:rPr>
          <w:rFonts w:hint="eastAsia"/>
          <w:highlight w:val="none"/>
        </w:rPr>
        <w:t xml:space="preserve">（1）法人或者其他组织的营业执照等证明文件，自然人的身份证明；</w:t>
      </w:r>
      <w:r/>
    </w:p>
    <w:p>
      <w:pPr>
        <w:keepLines w:val="0"/>
        <w:keepNext w:val="0"/>
        <w:pageBreakBefore w:val="0"/>
        <w:spacing w:line="360" w:lineRule="auto"/>
        <w:rPr>
          <w:highlight w:val="none"/>
        </w:rPr>
      </w:pPr>
      <w:r>
        <w:rPr>
          <w:rFonts w:hint="eastAsia"/>
          <w:highlight w:val="none"/>
        </w:rPr>
        <w:t xml:space="preserve">（2）具有良好的商业信誉和健全的财务会计制度，提供上年度财务报表扫描件</w:t>
      </w:r>
      <w:r>
        <w:rPr>
          <w:rFonts w:hint="eastAsia" w:ascii="宋体" w:hAnsi="宋体" w:eastAsia="宋体" w:cs="宋体"/>
          <w:bCs/>
          <w:szCs w:val="21"/>
          <w:highlight w:val="none"/>
        </w:rPr>
        <w:t xml:space="preserve">（即</w:t>
      </w:r>
      <w:r>
        <w:rPr>
          <w:rFonts w:hint="eastAsia" w:ascii="宋体" w:hAnsi="宋体" w:eastAsia="宋体" w:cs="宋体"/>
          <w:bCs/>
          <w:szCs w:val="21"/>
          <w:highlight w:val="none"/>
          <w:lang w:val="en-US" w:eastAsia="zh-CN"/>
        </w:rPr>
        <w:t xml:space="preserve">2024年度或2025年度</w:t>
      </w:r>
      <w:r>
        <w:rPr>
          <w:rFonts w:hint="eastAsia" w:ascii="宋体" w:hAnsi="宋体" w:eastAsia="宋体" w:cs="宋体"/>
          <w:bCs/>
          <w:szCs w:val="21"/>
          <w:highlight w:val="none"/>
        </w:rPr>
        <w:t xml:space="preserve">财务报表，如为新成立的公司，应提供公司成立之后的财务报表）或投标截止时间前3个月内，由其基本开户银行出具的资信证明</w:t>
      </w:r>
      <w:r>
        <w:rPr>
          <w:rFonts w:hint="eastAsia"/>
          <w:highlight w:val="none"/>
        </w:rPr>
        <w:t xml:space="preserve">；</w:t>
      </w:r>
      <w:r/>
    </w:p>
    <w:p>
      <w:pPr>
        <w:keepLines w:val="0"/>
        <w:keepNext w:val="0"/>
        <w:pageBreakBefore w:val="0"/>
        <w:spacing w:line="360" w:lineRule="auto"/>
        <w:rPr>
          <w:highlight w:val="none"/>
        </w:rPr>
      </w:pPr>
      <w:r>
        <w:rPr>
          <w:rFonts w:hint="eastAsia"/>
          <w:highlight w:val="none"/>
        </w:rPr>
        <w:t xml:space="preserve">（3）具有履行合同所必需的设备和专业技术能力，提供具备履行合同所必需的设备和专业技术能力的证明材料或承诺函（由供应商根据项目需求提供说明材料）； </w:t>
      </w:r>
      <w:r/>
    </w:p>
    <w:p>
      <w:pPr>
        <w:keepLines w:val="0"/>
        <w:keepNext w:val="0"/>
        <w:pageBreakBefore w:val="0"/>
        <w:spacing w:line="360" w:lineRule="auto"/>
        <w:rPr>
          <w:highlight w:val="none"/>
        </w:rPr>
      </w:pPr>
      <w:r>
        <w:rPr>
          <w:rFonts w:hint="eastAsia"/>
          <w:highlight w:val="none"/>
        </w:rPr>
        <w:t xml:space="preserve">（4）有依法缴纳税收和社会保障资金的良好记录，提供本次采购活动前6个月内（即2025年</w:t>
      </w:r>
      <w:r>
        <w:rPr>
          <w:rFonts w:hint="eastAsia"/>
          <w:highlight w:val="none"/>
          <w:lang w:val="en-US" w:eastAsia="zh-CN"/>
        </w:rPr>
        <w:t xml:space="preserve">12</w:t>
      </w:r>
      <w:r>
        <w:rPr>
          <w:rFonts w:hint="eastAsia"/>
          <w:highlight w:val="none"/>
        </w:rPr>
        <w:t xml:space="preserve">月（含）以来），至少1个月缴纳税收和社会保险的凭证扫描件，依法享受免缴、缓缴的，提供证明材料扫描件；</w:t>
      </w:r>
      <w:r/>
    </w:p>
    <w:p>
      <w:pPr>
        <w:keepLines w:val="0"/>
        <w:keepNext w:val="0"/>
        <w:pageBreakBefore w:val="0"/>
        <w:spacing w:line="360" w:lineRule="auto"/>
        <w:rPr>
          <w:rFonts w:hint="eastAsia" w:eastAsia="宋体"/>
          <w:highlight w:val="none"/>
          <w:lang w:eastAsia="zh-CN"/>
        </w:rPr>
      </w:pPr>
      <w:r>
        <w:rPr>
          <w:rFonts w:hint="eastAsia"/>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rFonts w:hint="eastAsia"/>
          <w:highlight w:val="none"/>
          <w:lang w:eastAsia="zh-CN"/>
        </w:rPr>
        <w:t xml:space="preserve">；</w:t>
      </w:r>
      <w:r/>
    </w:p>
    <w:p>
      <w:pPr>
        <w:keepLines w:val="0"/>
        <w:keepNext w:val="0"/>
        <w:pageBreakBefore w:val="0"/>
        <w:spacing w:line="360" w:lineRule="auto"/>
        <w:rPr>
          <w:highlight w:val="none"/>
        </w:rPr>
      </w:pPr>
      <w:r>
        <w:rPr>
          <w:rFonts w:hint="eastAsia"/>
          <w:highlight w:val="none"/>
        </w:rPr>
        <w:t xml:space="preserve">（6）法律、行政法规规定的其他条件。</w:t>
      </w:r>
      <w:r/>
    </w:p>
    <w:p>
      <w:pPr>
        <w:keepLines w:val="0"/>
        <w:keepNext w:val="0"/>
        <w:pageBreakBefore w:val="0"/>
        <w:spacing w:line="360" w:lineRule="auto"/>
        <w:rPr>
          <w:highlight w:val="none"/>
        </w:rPr>
      </w:pPr>
      <w:r>
        <w:rPr>
          <w:rFonts w:hint="eastAsia"/>
          <w:b/>
          <w:bCs/>
          <w:highlight w:val="none"/>
        </w:rPr>
        <w:t xml:space="preserve">说明：</w:t>
      </w:r>
      <w:r>
        <w:rPr>
          <w:rFonts w:hint="eastAsia"/>
          <w:highlight w:val="none"/>
        </w:rPr>
        <w:t xml:space="preserve">根据《关于在政府采购活动中推行信用承诺制的通知》（宁财购通〔2021〕5 号）的规定，适用信用承诺的供应商，对于（2）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 </w:t>
      </w:r>
      <w:r/>
    </w:p>
    <w:p>
      <w:pPr>
        <w:keepLines w:val="0"/>
        <w:keepNext w:val="0"/>
        <w:pageBreakBefore w:val="0"/>
        <w:spacing w:line="360" w:lineRule="auto"/>
        <w:rPr>
          <w:rFonts w:hint="eastAsia" w:ascii="宋体" w:hAnsi="宋体"/>
          <w:highlight w:val="none"/>
        </w:rPr>
      </w:pPr>
      <w:r>
        <w:rPr>
          <w:rFonts w:hint="eastAsia" w:ascii="宋体" w:hAnsi="宋体"/>
          <w:b/>
          <w:bCs/>
          <w:highlight w:val="none"/>
        </w:rPr>
        <w:t xml:space="preserve">2、落实政府采购政策需满足的资格要求：</w:t>
      </w:r>
      <w:r>
        <w:rPr>
          <w:rFonts w:hint="eastAsia" w:ascii="宋体" w:hAnsi="宋体"/>
          <w:highlight w:val="none"/>
        </w:rPr>
        <w:t xml:space="preserve">本项目不专门面向中小微企业或监狱企业或残疾人福利性单位采购。 </w:t>
      </w:r>
      <w:r/>
    </w:p>
    <w:p>
      <w:pPr>
        <w:keepLines w:val="0"/>
        <w:keepNext w:val="0"/>
        <w:pageBreakBefore w:val="0"/>
        <w:spacing w:line="360" w:lineRule="auto"/>
        <w:rPr>
          <w:rFonts w:hint="eastAsia" w:ascii="宋体" w:hAnsi="宋体" w:eastAsia="宋体"/>
          <w:b/>
          <w:bCs/>
          <w:highlight w:val="none"/>
          <w:lang w:val="en-US" w:eastAsia="zh-CN"/>
        </w:rPr>
      </w:pPr>
      <w:r>
        <w:rPr>
          <w:rFonts w:hint="eastAsia" w:ascii="宋体" w:hAnsi="宋体"/>
          <w:b/>
          <w:bCs/>
          <w:highlight w:val="none"/>
        </w:rPr>
        <w:t xml:space="preserve">3、本项目的特定资格要求：</w:t>
      </w:r>
      <w:r>
        <w:rPr>
          <w:rFonts w:hint="eastAsia" w:ascii="宋体" w:hAnsi="宋体"/>
          <w:b/>
          <w:bCs/>
          <w:highlight w:val="none"/>
          <w:lang w:val="en-US" w:eastAsia="zh-CN"/>
        </w:rPr>
        <w:t xml:space="preserve">无</w:t>
      </w:r>
      <w:r/>
    </w:p>
    <w:p>
      <w:pPr>
        <w:keepLines w:val="0"/>
        <w:keepNext w:val="0"/>
        <w:pageBreakBefore w:val="0"/>
        <w:spacing w:line="360" w:lineRule="auto"/>
        <w:rPr>
          <w:rFonts w:hint="eastAsia" w:ascii="宋体" w:hAnsi="宋体"/>
          <w:b/>
          <w:bCs/>
          <w:highlight w:val="none"/>
        </w:rPr>
      </w:pPr>
      <w:r/>
      <w:bookmarkStart w:id="4" w:name="_Toc35393792"/>
      <w:r/>
      <w:bookmarkStart w:id="5" w:name="_Toc35393623"/>
      <w:r>
        <w:rPr>
          <w:rFonts w:hint="eastAsia" w:ascii="宋体" w:hAnsi="宋体"/>
          <w:b/>
          <w:bCs/>
          <w:highlight w:val="none"/>
        </w:rPr>
        <w:t xml:space="preserve">4、拒绝下述供应商参加本次采购活动的情形：</w:t>
      </w:r>
      <w:r/>
    </w:p>
    <w:p>
      <w:pPr>
        <w:keepLines w:val="0"/>
        <w:keepNext w:val="0"/>
        <w:pageBreakBefore w:val="0"/>
        <w:spacing w:line="360" w:lineRule="auto"/>
        <w:rPr>
          <w:rFonts w:hint="eastAsia" w:ascii="宋体" w:hAnsi="宋体"/>
          <w:highlight w:val="none"/>
        </w:rPr>
      </w:pPr>
      <w:r>
        <w:rPr>
          <w:rFonts w:hint="eastAsia" w:ascii="宋体" w:hAnsi="宋体"/>
          <w:highlight w:val="none"/>
        </w:rPr>
        <w:t xml:space="preserve">（1）供应商单位负责人为同一人或者存在直接控股、管理关系的不同供应商，不得参加同一合同项下的政府采购活动；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highlight w:val="none"/>
        </w:rPr>
      </w:pPr>
      <w:r>
        <w:rPr>
          <w:rFonts w:hint="eastAsia" w:ascii="宋体" w:hAnsi="宋体"/>
          <w:highlight w:val="none"/>
        </w:rPr>
        <w:t xml:space="preserve">（2）凡为采购项目提供整体设计、规范编制或者项目管理、监理、检测等服务的供应商，不得再参加本项目的采购活动；</w:t>
      </w:r>
      <w:r/>
    </w:p>
    <w:p>
      <w:pPr>
        <w:keepLines w:val="0"/>
        <w:keepNext w:val="0"/>
        <w:pageBreakBefore w:val="0"/>
        <w:spacing w:line="360" w:lineRule="auto"/>
        <w:rPr>
          <w:highlight w:val="none"/>
        </w:rPr>
      </w:pPr>
      <w:r>
        <w:rPr>
          <w:rFonts w:hint="eastAsia"/>
          <w:highlight w:val="none"/>
        </w:rPr>
        <w:t xml:space="preserve">（3）被“信用中国”（</w:t>
      </w:r>
      <w:r>
        <w:rPr>
          <w:rFonts w:hint="eastAsia"/>
          <w:highlight w:val="none"/>
        </w:rPr>
        <w:fldChar w:fldCharType="begin"/>
      </w:r>
      <w:r>
        <w:rPr>
          <w:rFonts w:hint="eastAsia"/>
          <w:highlight w:val="none"/>
        </w:rPr>
        <w:instrText xml:space="preserve"> HYPERLINK "http://www.creditchina.gov.cn/" </w:instrText>
      </w:r>
      <w:r>
        <w:rPr>
          <w:rFonts w:hint="eastAsia"/>
          <w:highlight w:val="none"/>
        </w:rPr>
        <w:fldChar w:fldCharType="separate"/>
      </w:r>
      <w:r>
        <w:rPr>
          <w:rFonts w:hint="eastAsia"/>
          <w:highlight w:val="none"/>
        </w:rPr>
        <w:t xml:space="preserve">www.creditchina.gov.cn</w:t>
      </w:r>
      <w:r>
        <w:rPr>
          <w:rFonts w:hint="eastAsia"/>
          <w:highlight w:val="none"/>
        </w:rPr>
        <w:fldChar w:fldCharType="end"/>
      </w:r>
      <w:r>
        <w:rPr>
          <w:rFonts w:hint="eastAsia"/>
          <w:highlight w:val="none"/>
        </w:rPr>
        <w:t xml:space="preserve">）、中国政府采购网（</w:t>
      </w:r>
      <w:r>
        <w:rPr>
          <w:rFonts w:hint="eastAsia"/>
          <w:highlight w:val="none"/>
        </w:rPr>
        <w:fldChar w:fldCharType="begin"/>
      </w:r>
      <w:r>
        <w:rPr>
          <w:rFonts w:hint="eastAsia"/>
          <w:highlight w:val="none"/>
        </w:rPr>
        <w:instrText xml:space="preserve"> HYPERLINK "http://www.ccgp.gov.cn/" </w:instrText>
      </w:r>
      <w:r>
        <w:rPr>
          <w:rFonts w:hint="eastAsia"/>
          <w:highlight w:val="none"/>
        </w:rPr>
        <w:fldChar w:fldCharType="separate"/>
      </w:r>
      <w:r>
        <w:rPr>
          <w:rFonts w:hint="eastAsia"/>
          <w:highlight w:val="none"/>
        </w:rPr>
        <w:t xml:space="preserve">www.ccgp.gov.cn</w:t>
      </w:r>
      <w:r>
        <w:rPr>
          <w:rFonts w:hint="eastAsia"/>
          <w:highlight w:val="none"/>
        </w:rPr>
        <w:fldChar w:fldCharType="end"/>
      </w:r>
      <w:r>
        <w:rPr>
          <w:rFonts w:hint="eastAsia"/>
          <w:highlight w:val="none"/>
        </w:rPr>
        <w:t xml:space="preserve">）列入失信被执行人、重大税收违法案件当事人名单、政府采购严重违法失信行为记录名单.</w:t>
      </w:r>
      <w:bookmarkEnd w:id="4"/>
      <w:r/>
      <w:bookmarkEnd w:id="5"/>
      <w:r/>
      <w:r/>
    </w:p>
    <w:p>
      <w:pPr>
        <w:pStyle w:val="1119"/>
        <w:ind w:firstLine="0"/>
        <w:keepLines w:val="0"/>
        <w:keepNext w:val="0"/>
        <w:pageBreakBefore w:val="0"/>
        <w:spacing w:line="360" w:lineRule="auto"/>
        <w:rPr>
          <w:bCs/>
          <w:sz w:val="21"/>
          <w:highlight w:val="none"/>
        </w:rPr>
      </w:pPr>
      <w:r/>
      <w:bookmarkStart w:id="6" w:name="_Toc35393625"/>
      <w:r/>
      <w:bookmarkStart w:id="7" w:name="_Toc28359007"/>
      <w:r/>
      <w:bookmarkStart w:id="8" w:name="_Toc28359084"/>
      <w:r/>
      <w:bookmarkStart w:id="9" w:name="_Toc35393794"/>
      <w:r>
        <w:rPr>
          <w:rFonts w:hint="eastAsia"/>
          <w:bCs/>
          <w:sz w:val="21"/>
          <w:highlight w:val="none"/>
        </w:rPr>
        <w:t xml:space="preserve">三、获取招标文件</w:t>
      </w:r>
      <w:r/>
    </w:p>
    <w:p>
      <w:pPr>
        <w:pStyle w:val="1160"/>
        <w:ind w:firstLine="0"/>
        <w:keepLines w:val="0"/>
        <w:keepNext w:val="0"/>
        <w:pageBreakBefore w:val="0"/>
        <w:spacing w:line="360" w:lineRule="auto"/>
        <w:rPr>
          <w:rFonts w:hint="eastAsia" w:ascii="宋体" w:hAnsi="宋体"/>
          <w:sz w:val="21"/>
          <w:szCs w:val="20"/>
          <w:highlight w:val="none"/>
        </w:rPr>
      </w:pPr>
      <w:r/>
      <w:bookmarkStart w:id="10" w:name="_Toc28359082"/>
      <w:r/>
      <w:bookmarkStart w:id="11" w:name="_Toc28359005"/>
      <w:r/>
      <w:bookmarkStart w:id="12" w:name="_Toc35393624"/>
      <w:r/>
      <w:bookmarkStart w:id="13" w:name="_Toc35393793"/>
      <w:r>
        <w:rPr>
          <w:rFonts w:hint="eastAsia" w:ascii="宋体" w:hAnsi="宋体"/>
          <w:sz w:val="21"/>
          <w:szCs w:val="20"/>
          <w:highlight w:val="none"/>
        </w:rPr>
        <w:t xml:space="preserve">1、获取时间：自招标文件公告发布之日起5个工作日</w:t>
      </w:r>
      <w:r/>
    </w:p>
    <w:p>
      <w:pPr>
        <w:pStyle w:val="1160"/>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2、地点：网上注册登记成功后系统内免费下载</w:t>
      </w:r>
      <w:r/>
    </w:p>
    <w:p>
      <w:pPr>
        <w:pStyle w:val="1160"/>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3、获取方式：本项目采用网上注册登记方式。</w:t>
      </w:r>
      <w:r/>
    </w:p>
    <w:p>
      <w:pPr>
        <w:pStyle w:val="1160"/>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3.1潜在供应商访问电子招标响应交易平台的网络地址和方法：</w:t>
      </w:r>
      <w:r/>
    </w:p>
    <w:p>
      <w:pPr>
        <w:pStyle w:val="1160"/>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60"/>
        <w:ind w:firstLine="0"/>
        <w:jc w:val="left"/>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3.2潜在供应商访问“苏采云”系统的网络地址和方法：“苏采云”系统的网址：http://jszfcg.jsczt.cn/。</w:t>
      </w:r>
      <w:r/>
    </w:p>
    <w:p>
      <w:pPr>
        <w:pStyle w:val="1160"/>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3.3“CA数字证书”的获取：</w:t>
      </w:r>
      <w:r/>
    </w:p>
    <w:p>
      <w:pPr>
        <w:pStyle w:val="1160"/>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60"/>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3.4采购文件（后缀名为“.kedt”）、供应商操作手册及政府采购客户端工具可通过“苏采云”系统--已报名项目--报名详情页面内相应链接进行下载。</w:t>
      </w:r>
      <w:r/>
    </w:p>
    <w:p>
      <w:pPr>
        <w:pStyle w:val="1160"/>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3.5招标代理机构（采购代理机构）将数据电文形式的采购文件加载至“苏采云”系统，供潜在供应商下载或者查阅。</w:t>
      </w:r>
      <w:r/>
    </w:p>
    <w:p>
      <w:pPr>
        <w:pStyle w:val="1160"/>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3.6请潜在投标单位提前安装相应的控件（详见《江苏省政府采购管理交易系统（苏采云）供应商操作手册》）并使用谷歌浏览器登录“苏采云”系统参与不见面开评标。</w:t>
      </w:r>
      <w:r/>
    </w:p>
    <w:p>
      <w:pPr>
        <w:keepLines w:val="0"/>
        <w:keepNext w:val="0"/>
        <w:pageBreakBefore w:val="0"/>
        <w:spacing w:line="360" w:lineRule="auto"/>
        <w:rPr>
          <w:b/>
          <w:bCs/>
          <w:highlight w:val="none"/>
        </w:rPr>
      </w:pPr>
      <w:r>
        <w:rPr>
          <w:rFonts w:hint="eastAsia"/>
          <w:b/>
          <w:bCs/>
          <w:highlight w:val="none"/>
        </w:rPr>
        <w:t xml:space="preserve">四、投标</w:t>
      </w:r>
      <w:bookmarkEnd w:id="10"/>
      <w:r/>
      <w:bookmarkEnd w:id="11"/>
      <w:r>
        <w:rPr>
          <w:rFonts w:hint="eastAsia"/>
          <w:b/>
          <w:bCs/>
          <w:highlight w:val="none"/>
        </w:rPr>
        <w:t xml:space="preserve">截止时间、开标时间和地点</w:t>
      </w:r>
      <w:bookmarkEnd w:id="12"/>
      <w:r/>
      <w:bookmarkEnd w:id="13"/>
      <w:r/>
      <w:r/>
    </w:p>
    <w:p>
      <w:pPr>
        <w:pStyle w:val="1160"/>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1、投标截止时间：202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7</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29</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r/>
    </w:p>
    <w:p>
      <w:pPr>
        <w:pStyle w:val="1160"/>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2、开标时间：202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7</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29</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r/>
    </w:p>
    <w:p>
      <w:pPr>
        <w:pStyle w:val="1160"/>
        <w:ind w:firstLine="0"/>
        <w:keepLines w:val="0"/>
        <w:keepNext w:val="0"/>
        <w:pageBreakBefore w:val="0"/>
        <w:spacing w:line="360" w:lineRule="auto"/>
        <w:rPr>
          <w:rFonts w:hint="eastAsia" w:ascii="宋体" w:hAnsi="宋体" w:eastAsia="宋体"/>
          <w:sz w:val="21"/>
          <w:szCs w:val="20"/>
          <w:highlight w:val="none"/>
          <w:lang w:eastAsia="zh-CN"/>
        </w:rPr>
      </w:pPr>
      <w:r>
        <w:rPr>
          <w:rFonts w:hint="eastAsia" w:ascii="宋体" w:hAnsi="宋体"/>
          <w:sz w:val="21"/>
          <w:szCs w:val="20"/>
          <w:highlight w:val="none"/>
        </w:rPr>
        <w:t xml:space="preserve">3、开标地点：“苏采云”系统（网址： http://jszfcg.jsczt.cn/）“开标大厅”，点击“苏采云”进入系统“开标大厅”。</w:t>
      </w:r>
      <w:r/>
    </w:p>
    <w:p>
      <w:pPr>
        <w:keepLines w:val="0"/>
        <w:keepNext w:val="0"/>
        <w:pageBreakBefore w:val="0"/>
        <w:spacing w:line="360" w:lineRule="auto"/>
        <w:rPr>
          <w:highlight w:val="none"/>
        </w:rPr>
      </w:pPr>
      <w:r>
        <w:rPr>
          <w:rFonts w:hint="eastAsia"/>
          <w:highlight w:val="none"/>
        </w:rPr>
        <w:t xml:space="preserve">注：各供应商请关注开标大厅交流区，在开标结束后，请勿离开开标大厅。</w:t>
      </w:r>
      <w:r/>
    </w:p>
    <w:p>
      <w:pPr>
        <w:keepLines w:val="0"/>
        <w:keepNext w:val="0"/>
        <w:pageBreakBefore w:val="0"/>
        <w:spacing w:line="360" w:lineRule="auto"/>
        <w:rPr>
          <w:highlight w:val="none"/>
        </w:rPr>
      </w:pPr>
      <w:r>
        <w:rPr>
          <w:rFonts w:hint="eastAsia"/>
          <w:highlight w:val="none"/>
        </w:rPr>
        <w:t xml:space="preserve">4、投标文件的解密：开标当天各供应商及时登录不见面开标大厅，响应文件递交截止时间后，采购人将在系统内公布投标</w:t>
      </w:r>
      <w:r>
        <w:rPr>
          <w:rFonts w:hint="eastAsia"/>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keepLines w:val="0"/>
        <w:keepNext w:val="0"/>
        <w:pageBreakBefore w:val="0"/>
        <w:spacing w:line="360" w:lineRule="auto"/>
        <w:rPr>
          <w:b/>
          <w:bCs/>
          <w:highlight w:val="none"/>
        </w:rPr>
      </w:pPr>
      <w:r>
        <w:rPr>
          <w:rFonts w:hint="eastAsia"/>
          <w:b/>
          <w:bCs/>
          <w:highlight w:val="none"/>
        </w:rPr>
        <w:t xml:space="preserve">五、公告期限</w:t>
      </w:r>
      <w:bookmarkEnd w:id="6"/>
      <w:r/>
      <w:bookmarkEnd w:id="7"/>
      <w:r/>
      <w:bookmarkEnd w:id="8"/>
      <w:r/>
      <w:bookmarkEnd w:id="9"/>
      <w:r/>
      <w:r/>
    </w:p>
    <w:p>
      <w:pPr>
        <w:keepLines w:val="0"/>
        <w:keepNext w:val="0"/>
        <w:pageBreakBefore w:val="0"/>
        <w:spacing w:line="360" w:lineRule="auto"/>
        <w:rPr>
          <w:highlight w:val="none"/>
        </w:rPr>
      </w:pPr>
      <w:r>
        <w:rPr>
          <w:rFonts w:hint="eastAsia"/>
          <w:highlight w:val="none"/>
        </w:rPr>
        <w:t xml:space="preserve">自本公告发布之日起5个工作日。</w:t>
      </w:r>
      <w:r/>
    </w:p>
    <w:p>
      <w:pPr>
        <w:numPr>
          <w:ilvl w:val="0"/>
          <w:numId w:val="2"/>
        </w:numPr>
        <w:keepLines w:val="0"/>
        <w:keepNext w:val="0"/>
        <w:pageBreakBefore w:val="0"/>
        <w:spacing w:line="360" w:lineRule="auto"/>
        <w:rPr>
          <w:b/>
          <w:bCs/>
          <w:highlight w:val="none"/>
        </w:rPr>
      </w:pPr>
      <w:r/>
      <w:bookmarkStart w:id="14" w:name="_Toc35393795"/>
      <w:r/>
      <w:bookmarkStart w:id="15" w:name="_Toc35393626"/>
      <w:r>
        <w:rPr>
          <w:rFonts w:hint="eastAsia"/>
          <w:b/>
          <w:bCs/>
          <w:highlight w:val="none"/>
        </w:rPr>
        <w:t xml:space="preserve">其他补充事宜</w:t>
      </w:r>
      <w:bookmarkEnd w:id="14"/>
      <w:r/>
      <w:bookmarkEnd w:id="15"/>
      <w:r/>
      <w:r/>
    </w:p>
    <w:p>
      <w:pPr>
        <w:pStyle w:val="1119"/>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1、本项目公告媒体：</w:t>
      </w:r>
      <w:r>
        <w:rPr>
          <w:rFonts w:hint="eastAsia" w:ascii="宋体" w:hAnsi="宋体" w:cs="宋体"/>
          <w:b w:val="0"/>
          <w:sz w:val="21"/>
          <w:highlight w:val="none"/>
          <w:lang w:eastAsia="zh-CN"/>
        </w:rPr>
        <w:t xml:space="preserve">江苏政府采购网</w:t>
      </w:r>
      <w:r>
        <w:rPr>
          <w:rFonts w:hint="eastAsia" w:ascii="宋体" w:hAnsi="宋体" w:cs="宋体"/>
          <w:b w:val="0"/>
          <w:sz w:val="21"/>
          <w:highlight w:val="none"/>
        </w:rPr>
        <w:t xml:space="preserve">（http://www.ccgp-jiangsu.gov.cn/）、南京公共采购信息网（https://njgc.jfh.com/）</w:t>
      </w:r>
      <w:r/>
    </w:p>
    <w:p>
      <w:pPr>
        <w:keepLines w:val="0"/>
        <w:keepNext w:val="0"/>
        <w:pageBreakBefore w:val="0"/>
        <w:spacing w:line="360" w:lineRule="auto"/>
        <w:rPr>
          <w:bCs/>
          <w:highlight w:val="none"/>
        </w:rPr>
      </w:pPr>
      <w:r>
        <w:rPr>
          <w:rFonts w:hint="eastAsia"/>
          <w:bCs/>
          <w:highlight w:val="none"/>
          <w:lang w:val="en-US" w:eastAsia="zh-CN"/>
        </w:rPr>
        <w:t xml:space="preserve">2</w:t>
      </w:r>
      <w:r>
        <w:rPr>
          <w:rFonts w:hint="eastAsia"/>
          <w:bCs/>
          <w:highlight w:val="none"/>
        </w:rPr>
        <w:t xml:space="preserve">、供应商诚信档案管理</w:t>
      </w:r>
      <w:r/>
    </w:p>
    <w:p>
      <w:pPr>
        <w:keepLines w:val="0"/>
        <w:keepNext w:val="0"/>
        <w:pageBreakBefore w:val="0"/>
        <w:spacing w:line="360" w:lineRule="auto"/>
        <w:rPr>
          <w:highlight w:val="none"/>
        </w:rPr>
      </w:pPr>
      <w:r>
        <w:rPr>
          <w:rFonts w:hint="eastAsia"/>
          <w:highlight w:val="none"/>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p>
    <w:p>
      <w:pPr>
        <w:keepLines w:val="0"/>
        <w:keepNext w:val="0"/>
        <w:pageBreakBefore w:val="0"/>
        <w:spacing w:line="360" w:lineRule="auto"/>
        <w:rPr>
          <w:highlight w:val="none"/>
        </w:rPr>
      </w:pPr>
      <w:r>
        <w:rPr>
          <w:rFonts w:hint="eastAsia"/>
          <w:highlight w:val="none"/>
        </w:rPr>
        <w:t xml:space="preserve">供应商申请网上注册的，应当按以下程序进行：</w:t>
      </w:r>
      <w:r/>
    </w:p>
    <w:p>
      <w:pPr>
        <w:keepLines w:val="0"/>
        <w:keepNext w:val="0"/>
        <w:pageBreakBefore w:val="0"/>
        <w:spacing w:line="360" w:lineRule="auto"/>
        <w:rPr>
          <w:highlight w:val="none"/>
        </w:rPr>
      </w:pPr>
      <w:r>
        <w:rPr>
          <w:rFonts w:hint="eastAsia"/>
          <w:highlight w:val="none"/>
        </w:rPr>
        <w:t xml:space="preserve">（1）登陆“南京公共采购信息网”（https://njgc.jfh.com）网站，点击“政府采购供应商诚信档案”图标，在弹出的用户登录界面，点击“新用户注册”；</w:t>
      </w:r>
      <w:r/>
    </w:p>
    <w:p>
      <w:pPr>
        <w:keepLines w:val="0"/>
        <w:keepNext w:val="0"/>
        <w:pageBreakBefore w:val="0"/>
        <w:spacing w:line="360" w:lineRule="auto"/>
        <w:rPr>
          <w:highlight w:val="none"/>
        </w:rPr>
      </w:pPr>
      <w:r>
        <w:rPr>
          <w:rFonts w:hint="eastAsia"/>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keepLines w:val="0"/>
        <w:keepNext w:val="0"/>
        <w:pageBreakBefore w:val="0"/>
        <w:spacing w:line="360" w:lineRule="auto"/>
        <w:rPr>
          <w:highlight w:val="none"/>
        </w:rPr>
      </w:pPr>
      <w:r>
        <w:rPr>
          <w:rFonts w:hint="eastAsia"/>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szCs w:val="21"/>
          <w:highlight w:val="none"/>
        </w:rPr>
        <w:t xml:space="preserve">，如未提供，投标被否决。</w:t>
      </w:r>
      <w:r/>
    </w:p>
    <w:p>
      <w:pPr>
        <w:numPr>
          <w:ilvl w:val="0"/>
          <w:numId w:val="0"/>
        </w:numPr>
        <w:keepLines w:val="0"/>
        <w:keepNext w:val="0"/>
        <w:pageBreakBefore w:val="0"/>
        <w:spacing w:line="360" w:lineRule="auto"/>
        <w:rPr>
          <w:highlight w:val="none"/>
        </w:rPr>
      </w:pPr>
      <w:r>
        <w:rPr>
          <w:rFonts w:hint="eastAsia" w:cs="Times New Roman"/>
          <w:sz w:val="21"/>
          <w:highlight w:val="none"/>
          <w:lang w:val="en-US" w:eastAsia="zh-CN" w:bidi="ar-SA"/>
        </w:rPr>
        <w:t xml:space="preserve">3</w:t>
      </w:r>
      <w:r>
        <w:rPr>
          <w:rFonts w:ascii="Times New Roman" w:hAnsi="Times New Roman" w:eastAsia="宋体" w:cs="Times New Roman"/>
          <w:sz w:val="21"/>
          <w:highlight w:val="none"/>
          <w:lang w:val="en-US" w:eastAsia="zh-CN" w:bidi="ar-SA"/>
        </w:rPr>
        <w:t xml:space="preserve">、</w:t>
      </w:r>
      <w:r>
        <w:rPr>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numPr>
          <w:ilvl w:val="0"/>
          <w:numId w:val="0"/>
        </w:numPr>
        <w:keepLines w:val="0"/>
        <w:keepNext w:val="0"/>
        <w:pageBreakBefore w:val="0"/>
        <w:spacing w:line="360" w:lineRule="auto"/>
        <w:rPr>
          <w:highlight w:val="none"/>
        </w:rPr>
      </w:pPr>
      <w:r>
        <w:rPr>
          <w:rFonts w:hint="eastAsia" w:cs="Times New Roman"/>
          <w:sz w:val="21"/>
          <w:highlight w:val="none"/>
          <w:lang w:val="en-US" w:eastAsia="zh-CN" w:bidi="ar-SA"/>
        </w:rPr>
        <w:t xml:space="preserve">4</w:t>
      </w:r>
      <w:r>
        <w:rPr>
          <w:rFonts w:ascii="Times New Roman" w:hAnsi="Times New Roman" w:eastAsia="宋体" w:cs="Times New Roman"/>
          <w:sz w:val="21"/>
          <w:highlight w:val="none"/>
          <w:lang w:val="en-US" w:eastAsia="zh-CN" w:bidi="ar-SA"/>
        </w:rPr>
        <w:t xml:space="preserve">、</w:t>
      </w:r>
      <w:r>
        <w:rPr>
          <w:rFonts w:hint="eastAsia"/>
          <w:highlight w:val="none"/>
        </w:rPr>
        <w:t xml:space="preserve">有关本次招标的事项若存在变动或修改，敬请及时关注在“江苏政府采购网”、“南京公共采购信息网”发布的更正公告。</w:t>
      </w:r>
      <w:r/>
    </w:p>
    <w:p>
      <w:pPr>
        <w:keepLines w:val="0"/>
        <w:keepNext w:val="0"/>
        <w:pageBreakBefore w:val="0"/>
        <w:spacing w:line="360" w:lineRule="auto"/>
        <w:rPr>
          <w:b/>
          <w:bCs/>
          <w:highlight w:val="none"/>
        </w:rPr>
      </w:pPr>
      <w:r/>
      <w:bookmarkStart w:id="16" w:name="_Toc35393796"/>
      <w:r/>
      <w:bookmarkStart w:id="17" w:name="_Toc28359085"/>
      <w:r/>
      <w:bookmarkStart w:id="18" w:name="_Toc28359008"/>
      <w:r/>
      <w:bookmarkStart w:id="19" w:name="_Toc35393627"/>
      <w:r>
        <w:rPr>
          <w:rFonts w:hint="eastAsia"/>
          <w:b/>
          <w:bCs/>
          <w:highlight w:val="none"/>
        </w:rPr>
        <w:t xml:space="preserve">七、对本次招标提出询问，请按以下方式联系</w:t>
      </w:r>
      <w:bookmarkEnd w:id="16"/>
      <w:r/>
      <w:bookmarkEnd w:id="17"/>
      <w:r/>
      <w:bookmarkEnd w:id="18"/>
      <w:r/>
      <w:bookmarkEnd w:id="19"/>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名 称：南京鼓楼医院　　　　　　　　　　　</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地址：南京市鼓楼区中山路321号　</w:t>
      </w:r>
      <w:r/>
    </w:p>
    <w:p>
      <w:pPr>
        <w:keepLines w:val="0"/>
        <w:keepNext w:val="0"/>
        <w:pageBreakBefore w:val="0"/>
        <w:spacing w:line="360" w:lineRule="auto"/>
        <w:rPr>
          <w:rFonts w:hint="eastAsia" w:ascii="宋体" w:hAnsi="宋体" w:cs="宋体"/>
          <w:szCs w:val="21"/>
          <w:highlight w:val="none"/>
        </w:rPr>
      </w:pPr>
      <w:r/>
      <w:bookmarkStart w:id="20" w:name="_Toc28359009"/>
      <w:r/>
      <w:bookmarkStart w:id="21" w:name="_Toc28359086"/>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朱老师</w:t>
      </w:r>
      <w:r>
        <w:rPr>
          <w:rFonts w:hint="eastAsia" w:ascii="宋体" w:hAnsi="宋体" w:cs="宋体"/>
          <w:szCs w:val="21"/>
          <w:highlight w:val="none"/>
        </w:rPr>
        <w:t xml:space="preserve"> </w:t>
      </w:r>
      <w:r/>
    </w:p>
    <w:p>
      <w:pPr>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lang w:eastAsia="zh-CN"/>
        </w:rPr>
        <w:t xml:space="preserve">025-83105798</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bookmarkEnd w:id="20"/>
      <w:r/>
      <w:bookmarkEnd w:id="21"/>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名 称：苏美达国际技术贸易有限公司</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　址：南京市长江路198号苏美达大厦</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F</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w:t>
      </w:r>
      <w:bookmarkStart w:id="22" w:name="_Toc28359087"/>
      <w:r/>
      <w:bookmarkStart w:id="23" w:name="_Toc28359010"/>
      <w:r>
        <w:rPr>
          <w:rFonts w:hint="eastAsia" w:ascii="宋体" w:hAnsi="宋体" w:cs="宋体"/>
          <w:szCs w:val="21"/>
          <w:highlight w:val="none"/>
        </w:rPr>
        <w:t xml:space="preserve">人：朱志云</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联系电话：025-84531057</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bookmarkEnd w:id="22"/>
      <w:r/>
      <w:bookmarkEnd w:id="23"/>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项目联系人：朱志云</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　话：025-84531057</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邮箱：</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"mailto:zhuzhiyun@sumec.com.cn" </w:instrText>
      </w:r>
      <w:r>
        <w:rPr>
          <w:rFonts w:hint="eastAsia" w:ascii="宋体" w:hAnsi="宋体" w:cs="宋体"/>
          <w:szCs w:val="21"/>
          <w:highlight w:val="none"/>
        </w:rPr>
        <w:fldChar w:fldCharType="separate"/>
      </w:r>
      <w:r>
        <w:rPr>
          <w:rFonts w:hint="eastAsia" w:ascii="宋体" w:hAnsi="宋体" w:cs="宋体"/>
          <w:szCs w:val="21"/>
          <w:highlight w:val="none"/>
        </w:rPr>
        <w:t xml:space="preserve">zhuzhiyun@sumec.com.cn</w:t>
      </w:r>
      <w:r>
        <w:rPr>
          <w:rFonts w:hint="eastAsia" w:ascii="宋体" w:hAnsi="宋体" w:cs="宋体"/>
          <w:szCs w:val="21"/>
          <w:highlight w:val="none"/>
        </w:rPr>
        <w:fldChar w:fldCharType="end"/>
      </w:r>
      <w:r/>
    </w:p>
    <w:p>
      <w:pPr>
        <w:keepLines w:val="0"/>
        <w:keepNext w:val="0"/>
        <w:pageBreakBefore w:val="0"/>
        <w:spacing w:line="360" w:lineRule="auto"/>
        <w:rPr>
          <w:rFonts w:eastAsia="仿宋_GB2312"/>
          <w:highlight w:val="none"/>
        </w:rPr>
      </w:pPr>
      <w:r>
        <w:rPr>
          <w:rFonts w:eastAsia="仿宋_GB2312"/>
          <w:highlight w:val="none"/>
        </w:rPr>
      </w:r>
      <w:r/>
    </w:p>
    <w:p>
      <w:pPr>
        <w:jc w:val="right"/>
        <w:rPr>
          <w:rFonts w:eastAsia="仿宋_GB2312"/>
          <w:highlight w:val="none"/>
        </w:rPr>
      </w:pPr>
      <w:r>
        <w:rPr>
          <w:rFonts w:eastAsia="仿宋_GB2312"/>
          <w:highlight w:val="none"/>
        </w:rPr>
      </w:r>
      <w:r/>
    </w:p>
    <w:p>
      <w:pPr>
        <w:jc w:val="center"/>
        <w:spacing w:line="440" w:lineRule="exact"/>
        <w:rPr>
          <w:rFonts w:ascii="Arial" w:hAnsi="Arial" w:eastAsia="黑体" w:cs="Arial"/>
          <w:b/>
          <w:color w:val="000000"/>
          <w:sz w:val="28"/>
          <w:szCs w:val="28"/>
          <w:highlight w:val="none"/>
        </w:rPr>
        <w:outlineLvl w:val="0"/>
      </w:pPr>
      <w:r/>
      <w:bookmarkStart w:id="24" w:name="_Toc28996"/>
      <w:r/>
      <w:bookmarkStart w:id="25" w:name="_Toc16975"/>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rPr>
          <w:highlight w:val="none"/>
        </w:rPr>
      </w:pPr>
      <w:r>
        <w:rPr>
          <w:highlight w:val="none"/>
        </w:rPr>
      </w:r>
      <w:r/>
    </w:p>
    <w:p>
      <w:pPr>
        <w:numPr>
          <w:ilvl w:val="0"/>
          <w:numId w:val="3"/>
        </w:num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t xml:space="preserve">投标人须知</w:t>
      </w:r>
      <w:bookmarkEnd w:id="24"/>
      <w:r/>
      <w:bookmarkEnd w:id="25"/>
      <w:r/>
      <w:r/>
    </w:p>
    <w:p>
      <w:pPr>
        <w:spacing w:line="440" w:lineRule="exact"/>
        <w:shd w:val="clear" w:color="auto" w:fill="ffffff"/>
        <w:widowControl/>
        <w:rPr>
          <w:rFonts w:ascii="Arial" w:hAnsi="Arial" w:eastAsia="黑体" w:cs="Arial"/>
          <w:b/>
          <w:color w:val="000000"/>
          <w:sz w:val="28"/>
          <w:szCs w:val="28"/>
          <w:highlight w:val="none"/>
        </w:rPr>
      </w:pPr>
      <w:r>
        <w:rPr>
          <w:rFonts w:ascii="Arial" w:hAnsi="Arial" w:eastAsia="宋体" w:cs="Arial"/>
          <w:b/>
          <w:bCs/>
          <w:color w:val="000000"/>
          <w:sz w:val="24"/>
          <w:highlight w:val="none"/>
        </w:rPr>
        <w:t xml:space="preserve">投标人须知前附表</w:t>
      </w:r>
      <w:r/>
    </w:p>
    <w:tbl>
      <w:tblPr>
        <w:tblStyle w:val="89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1</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采购人：南京鼓楼医院 </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联系人：朱老师</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电话： 025-83105798</w:t>
            </w:r>
            <w:r/>
          </w:p>
          <w:p>
            <w:pPr>
              <w:spacing w:line="440" w:lineRule="exact"/>
              <w:shd w:val="clear" w:color="auto" w:fill="ffffff"/>
              <w:widowControl/>
              <w:rPr>
                <w:rFonts w:ascii="Arial" w:hAnsi="Arial" w:cs="Arial"/>
                <w:b/>
                <w:color w:val="000000"/>
                <w:sz w:val="24"/>
                <w:highlight w:val="none"/>
              </w:rPr>
            </w:pPr>
            <w:r>
              <w:rPr>
                <w:rFonts w:hint="eastAsia" w:ascii="宋体" w:hAnsi="宋体" w:cs="宋体"/>
                <w:szCs w:val="21"/>
                <w:highlight w:val="none"/>
                <w:lang w:val="en-US" w:eastAsia="zh-CN"/>
              </w:rPr>
              <w:t xml:space="preserve">地址：南京市鼓楼区中山路321号</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采购代理机构：苏美达国际技术贸易有限公司</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联系人：朱志云</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联系电话：025-84531057</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邮箱：</w:t>
            </w:r>
            <w:r>
              <w:rPr>
                <w:rFonts w:hint="eastAsia" w:ascii="宋体" w:hAnsi="宋体" w:cs="宋体"/>
                <w:szCs w:val="21"/>
                <w:highlight w:val="none"/>
                <w:lang w:val="en-US" w:eastAsia="zh-CN"/>
              </w:rPr>
              <w:fldChar w:fldCharType="begin"/>
            </w:r>
            <w:r>
              <w:rPr>
                <w:rFonts w:hint="eastAsia" w:ascii="宋体" w:hAnsi="宋体" w:cs="宋体"/>
                <w:szCs w:val="21"/>
                <w:highlight w:val="none"/>
                <w:lang w:val="en-US" w:eastAsia="zh-CN"/>
              </w:rPr>
              <w:instrText xml:space="preserve"> HYPERLINK "mailto:zhuzhiyun@sumec.com.cn" </w:instrText>
            </w:r>
            <w:r>
              <w:rPr>
                <w:rFonts w:hint="eastAsia" w:ascii="宋体" w:hAnsi="宋体" w:cs="宋体"/>
                <w:szCs w:val="21"/>
                <w:highlight w:val="none"/>
                <w:lang w:val="en-US" w:eastAsia="zh-CN"/>
              </w:rPr>
              <w:fldChar w:fldCharType="separate"/>
            </w:r>
            <w:r>
              <w:rPr>
                <w:rFonts w:hint="eastAsia" w:ascii="宋体" w:hAnsi="宋体" w:cs="宋体"/>
                <w:szCs w:val="21"/>
                <w:highlight w:val="none"/>
                <w:lang w:val="en-US" w:eastAsia="zh-CN"/>
              </w:rPr>
              <w:t xml:space="preserve">zhuzhiyun@sumec.com.cn</w:t>
            </w:r>
            <w:r>
              <w:rPr>
                <w:rFonts w:hint="eastAsia" w:ascii="宋体" w:hAnsi="宋体" w:cs="宋体"/>
                <w:szCs w:val="21"/>
                <w:highlight w:val="none"/>
                <w:lang w:val="en-US" w:eastAsia="zh-CN"/>
              </w:rPr>
              <w:fldChar w:fldCharType="end"/>
            </w:r>
            <w:r/>
          </w:p>
          <w:p>
            <w:pPr>
              <w:spacing w:line="440" w:lineRule="exact"/>
              <w:shd w:val="clear" w:color="auto" w:fill="ffffff"/>
              <w:widowControl/>
              <w:rPr>
                <w:rFonts w:ascii="Arial" w:hAnsi="Arial" w:eastAsia="宋体" w:cs="Arial"/>
                <w:szCs w:val="21"/>
                <w:highlight w:val="none"/>
              </w:rPr>
            </w:pPr>
            <w:r>
              <w:rPr>
                <w:rFonts w:hint="eastAsia" w:ascii="宋体" w:hAnsi="宋体" w:cs="宋体"/>
                <w:szCs w:val="21"/>
                <w:highlight w:val="none"/>
                <w:lang w:val="en-US" w:eastAsia="zh-CN"/>
              </w:rPr>
              <w:t xml:space="preserve">联系地址：南京市长江路198号9F</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2026年鼓楼医院职工夏季清凉用品 </w:t>
            </w:r>
            <w:r>
              <w:rPr>
                <w:rFonts w:hint="eastAsia" w:ascii="Arial" w:hAnsi="Arial" w:cs="Arial"/>
                <w:color w:val="000000"/>
                <w:szCs w:val="21"/>
                <w:highlight w:val="none"/>
              </w:rPr>
              <w:t xml:space="preserve"> </w:t>
            </w:r>
            <w:r>
              <w:rPr>
                <w:rFonts w:ascii="Arial" w:hAnsi="Arial" w:cs="Arial"/>
                <w:color w:val="000000"/>
                <w:szCs w:val="21"/>
                <w:highlight w:val="none"/>
              </w:rPr>
              <w:t xml:space="preserve"> </w:t>
            </w:r>
            <w:r/>
          </w:p>
          <w:p>
            <w:pPr>
              <w:spacing w:line="440" w:lineRule="exact"/>
              <w:shd w:val="clear" w:color="auto" w:fill="ffffff"/>
              <w:widowControl/>
              <w:rPr>
                <w:rFonts w:hint="eastAsia" w:ascii="Arial" w:hAnsi="Arial" w:eastAsia="宋体" w:cs="Arial"/>
                <w:b/>
                <w:color w:val="000000"/>
                <w:szCs w:val="21"/>
                <w:highlight w:val="none"/>
                <w:lang w:eastAsia="zh-CN"/>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JSZC-320100-SMDG-G2026-0050</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投标有效期</w:t>
            </w:r>
            <w:r>
              <w:rPr>
                <w:rFonts w:ascii="Arial" w:hAnsi="Arial" w:cs="Arial"/>
                <w:color w:val="000000"/>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投标保证金</w:t>
            </w:r>
            <w:r>
              <w:rPr>
                <w:rFonts w:hint="eastAsia" w:ascii="Arial" w:hAnsi="Arial" w:cs="Arial"/>
                <w:b/>
                <w:bCs/>
                <w:color w:val="000000"/>
                <w:szCs w:val="21"/>
                <w:highlight w:val="none"/>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投标文件接收截止时间：</w:t>
            </w:r>
            <w:r>
              <w:rPr>
                <w:rFonts w:hint="eastAsia" w:ascii="宋体" w:hAnsi="宋体"/>
                <w:sz w:val="21"/>
                <w:szCs w:val="20"/>
                <w:highlight w:val="none"/>
              </w:rPr>
              <w:t xml:space="preserve">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7</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29</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r>
              <w:rPr>
                <w:rFonts w:hint="eastAsia" w:ascii="Arial" w:hAnsi="Arial" w:cs="Arial"/>
                <w:color w:val="000000"/>
                <w:szCs w:val="21"/>
                <w:highlight w:val="none"/>
              </w:rPr>
              <w:t xml:space="preserve"> </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开标时间：</w:t>
            </w:r>
            <w:r>
              <w:rPr>
                <w:rFonts w:hint="eastAsia" w:ascii="宋体" w:hAnsi="宋体"/>
                <w:sz w:val="21"/>
                <w:szCs w:val="20"/>
                <w:highlight w:val="none"/>
              </w:rPr>
              <w:t xml:space="preserve">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7</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29</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r>
              <w:rPr>
                <w:rFonts w:hint="eastAsia" w:ascii="Arial" w:hAnsi="Arial" w:cs="Arial"/>
                <w:color w:val="000000"/>
                <w:szCs w:val="21"/>
                <w:highlight w:val="none"/>
              </w:rPr>
              <w:t xml:space="preserve"> </w:t>
            </w:r>
            <w:r>
              <w:rPr>
                <w:rFonts w:hint="eastAsia" w:ascii="Arial" w:hAnsi="Arial" w:cs="Arial"/>
                <w:color w:val="000000"/>
                <w:szCs w:val="21"/>
                <w:highlight w:val="none"/>
              </w:rPr>
              <w:t xml:space="preserve">   </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p>
        </w:tc>
      </w:tr>
      <w:tr>
        <w:trPr>
          <w:trHeight w:val="959"/>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8</w:t>
            </w:r>
            <w:r/>
          </w:p>
        </w:tc>
        <w:tc>
          <w:tcPr>
            <w:tcW w:w="8928" w:type="dxa"/>
            <w:vAlign w:val="center"/>
            <w:textDirection w:val="lrTb"/>
            <w:noWrap w:val="false"/>
          </w:tcPr>
          <w:p>
            <w:pPr>
              <w:spacing w:line="360" w:lineRule="auto"/>
              <w:rPr>
                <w:rFonts w:hint="eastAsia" w:eastAsia="宋体"/>
                <w:highlight w:val="none"/>
                <w:lang w:eastAsia="zh-CN"/>
              </w:rPr>
            </w:pPr>
            <w:r>
              <w:rPr>
                <w:rFonts w:ascii="Arial" w:hAnsi="Arial" w:eastAsia="宋体" w:cs="Arial"/>
                <w:b/>
                <w:bCs/>
                <w:color w:val="auto"/>
                <w:szCs w:val="21"/>
                <w:highlight w:val="none"/>
              </w:rPr>
              <w:t xml:space="preserve">投标报价：</w:t>
            </w:r>
            <w:r>
              <w:rPr>
                <w:rFonts w:ascii="Times New Roman" w:hAnsi="Times New Roman" w:eastAsia="宋体" w:cs="Times New Roman"/>
              </w:rPr>
              <w:t xml:space="preserve">供应商的</w:t>
            </w:r>
            <w:r>
              <w:rPr>
                <w:rFonts w:hint="eastAsia" w:ascii="Times New Roman" w:hAnsi="Times New Roman" w:eastAsia="宋体" w:cs="Times New Roman"/>
                <w:lang w:val="en-US" w:eastAsia="zh-CN"/>
              </w:rPr>
              <w:t xml:space="preserve">投标</w:t>
            </w:r>
            <w:r>
              <w:rPr>
                <w:rFonts w:ascii="Times New Roman" w:hAnsi="Times New Roman" w:eastAsia="宋体" w:cs="Times New Roman"/>
              </w:rPr>
              <w:t xml:space="preserve">报价应遵守</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中华人民共和国价格法</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。该报价为到采购人指定地点的全部费用，含相关税费，运输费，保险费，配套辅材及相关服务费等一切可能发生的费用</w:t>
            </w:r>
            <w:r>
              <w:rPr>
                <w:rFonts w:ascii="Times New Roman" w:hAnsi="Times New Roman" w:eastAsia="宋体" w:cs="Times New Roman"/>
                <w:szCs w:val="22"/>
              </w:rPr>
              <w:t xml:space="preserve">。</w:t>
            </w:r>
            <w:r/>
          </w:p>
        </w:tc>
      </w:tr>
      <w:tr>
        <w:trPr>
          <w:trHeight w:val="5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宋体" w:hAnsi="宋体" w:eastAsia="宋体" w:cs="宋体"/>
                <w:b/>
                <w:color w:val="000000"/>
                <w:szCs w:val="21"/>
                <w:highlight w:val="none"/>
              </w:rPr>
              <w:t xml:space="preserve">9</w:t>
            </w:r>
            <w:r/>
          </w:p>
        </w:tc>
        <w:tc>
          <w:tcPr>
            <w:tcW w:w="8928" w:type="dxa"/>
            <w:vAlign w:val="center"/>
            <w:textDirection w:val="lrTb"/>
            <w:noWrap w:val="false"/>
          </w:tcPr>
          <w:p>
            <w:pPr>
              <w:ind w:firstLine="15"/>
              <w:spacing w:line="440" w:lineRule="exact"/>
              <w:rPr>
                <w:rFonts w:ascii="Arial" w:hAnsi="Arial" w:cs="Arial"/>
                <w:bCs/>
                <w:color w:val="000000"/>
                <w:highlight w:val="none"/>
              </w:rPr>
            </w:pPr>
            <w:r>
              <w:rPr>
                <w:rFonts w:hint="eastAsia" w:ascii="宋体" w:hAnsi="宋体" w:eastAsia="宋体" w:cs="宋体"/>
                <w:b/>
                <w:color w:val="000000"/>
                <w:highlight w:val="none"/>
              </w:rPr>
              <w:t xml:space="preserve">现场勘查要求：本项目不组织</w:t>
            </w:r>
            <w:r>
              <w:rPr>
                <w:rFonts w:hint="eastAsia" w:ascii="宋体" w:hAnsi="宋体" w:eastAsia="宋体" w:cs="宋体"/>
                <w:highlight w:val="none"/>
              </w:rPr>
              <w:t xml:space="preserve">。</w:t>
            </w:r>
            <w:r>
              <w:rPr>
                <w:rFonts w:hint="eastAsia" w:ascii="宋体" w:hAnsi="宋体" w:eastAsia="宋体" w:cs="宋体"/>
                <w:b w:val="0"/>
                <w:bCs/>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宋体" w:hAnsi="宋体" w:eastAsia="宋体" w:cs="宋体"/>
                <w:b/>
                <w:color w:val="000000"/>
                <w:highlight w:val="none"/>
              </w:rPr>
              <w:t xml:space="preserve"> </w:t>
            </w:r>
            <w:r/>
          </w:p>
        </w:tc>
      </w:tr>
      <w:tr>
        <w:trPr>
          <w:trHeight w:val="540"/>
        </w:trPr>
        <w:tc>
          <w:tcPr>
            <w:tcW w:w="819" w:type="dxa"/>
            <w:vAlign w:val="center"/>
            <w:textDirection w:val="lrTb"/>
            <w:noWrap w:val="false"/>
          </w:tcPr>
          <w:p>
            <w:pPr>
              <w:jc w:val="center"/>
              <w:spacing w:line="440" w:lineRule="exact"/>
              <w:rPr>
                <w:rFonts w:hint="default" w:ascii="宋体" w:hAnsi="宋体" w:eastAsia="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10</w:t>
            </w:r>
            <w:r/>
          </w:p>
        </w:tc>
        <w:tc>
          <w:tcPr>
            <w:tcW w:w="8928" w:type="dxa"/>
            <w:vAlign w:val="center"/>
            <w:textDirection w:val="lrTb"/>
            <w:noWrap w:val="false"/>
          </w:tcPr>
          <w:p>
            <w:pPr>
              <w:ind w:firstLine="15"/>
              <w:spacing w:line="440" w:lineRule="exact"/>
              <w:rPr>
                <w:rFonts w:hint="eastAsia" w:ascii="宋体" w:hAnsi="宋体" w:eastAsia="宋体" w:cs="宋体"/>
                <w:b/>
                <w:color w:val="000000"/>
                <w:highlight w:val="none"/>
              </w:rPr>
            </w:pPr>
            <w:r>
              <w:rPr>
                <w:rFonts w:ascii="Arial" w:hAnsi="Arial" w:cs="Arial"/>
                <w:b/>
                <w:bCs/>
                <w:color w:val="000000"/>
                <w:szCs w:val="21"/>
                <w:highlight w:val="none"/>
              </w:rPr>
              <w:t xml:space="preserve">投标价不得超过招标公告、招标文件规定的预算</w:t>
            </w:r>
            <w:r>
              <w:rPr>
                <w:rFonts w:hint="eastAsia" w:ascii="Arial" w:hAnsi="Arial" w:cs="Arial"/>
                <w:b/>
                <w:bCs/>
                <w:color w:val="000000"/>
                <w:szCs w:val="21"/>
                <w:highlight w:val="none"/>
                <w:lang w:val="en-US" w:eastAsia="zh-CN"/>
              </w:rPr>
              <w:t xml:space="preserve">单价/最高限价</w:t>
            </w:r>
            <w:r>
              <w:rPr>
                <w:rFonts w:ascii="Arial" w:hAnsi="Arial" w:cs="Arial"/>
                <w:b/>
                <w:bCs/>
                <w:color w:val="000000"/>
                <w:szCs w:val="21"/>
                <w:highlight w:val="none"/>
              </w:rPr>
              <w:t xml:space="preserve">，超过规定的预算</w:t>
            </w:r>
            <w:r>
              <w:rPr>
                <w:rFonts w:hint="eastAsia" w:ascii="Arial" w:hAnsi="Arial" w:cs="Arial"/>
                <w:b/>
                <w:bCs/>
                <w:color w:val="000000"/>
                <w:szCs w:val="21"/>
                <w:highlight w:val="none"/>
                <w:lang w:val="en-US" w:eastAsia="zh-CN"/>
              </w:rPr>
              <w:t xml:space="preserve">单价/最高限价</w:t>
            </w:r>
            <w:r>
              <w:rPr>
                <w:rFonts w:ascii="Arial" w:hAnsi="Arial" w:cs="Arial"/>
                <w:b/>
                <w:bCs/>
                <w:color w:val="000000"/>
                <w:szCs w:val="21"/>
                <w:highlight w:val="none"/>
              </w:rPr>
              <w:t xml:space="preserve">的投标文件，按无效投标处理。 </w:t>
            </w:r>
            <w:r/>
          </w:p>
        </w:tc>
      </w:tr>
    </w:tbl>
    <w:p>
      <w:pPr>
        <w:ind w:firstLine="420"/>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t xml:space="preserve"> </w:t>
      </w:r>
      <w:r/>
    </w:p>
    <w:p>
      <w:pPr>
        <w:ind w:firstLine="420"/>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r>
      <w:r/>
    </w:p>
    <w:p>
      <w:pPr>
        <w:ind w:firstLine="482"/>
        <w:spacing w:line="440" w:lineRule="exact"/>
        <w:shd w:val="clear" w:color="auto" w:fill="ffffff"/>
        <w:widowControl/>
        <w:rPr>
          <w:rFonts w:ascii="Arial" w:hAnsi="Arial" w:cs="Arial"/>
          <w:color w:val="000000"/>
          <w:sz w:val="24"/>
          <w:highlight w:val="none"/>
        </w:rPr>
        <w:outlineLvl w:val="1"/>
      </w:pPr>
      <w:r/>
      <w:bookmarkStart w:id="26" w:name="_Toc19726"/>
      <w:r/>
      <w:bookmarkStart w:id="27" w:name="_Toc8539"/>
      <w:r>
        <w:rPr>
          <w:rFonts w:ascii="Arial" w:hAnsi="Arial" w:cs="Arial"/>
          <w:b/>
          <w:bCs/>
          <w:color w:val="000000"/>
          <w:sz w:val="24"/>
          <w:highlight w:val="none"/>
        </w:rPr>
        <w:t xml:space="preserve">一、总 则</w:t>
      </w:r>
      <w:bookmarkEnd w:id="26"/>
      <w:r/>
      <w:bookmarkEnd w:id="27"/>
      <w:r/>
      <w:r/>
    </w:p>
    <w:p>
      <w:pPr>
        <w:ind w:firstLine="420"/>
        <w:keepLines w:val="0"/>
        <w:pageBreakBefore w:val="0"/>
        <w:spacing w:line="360" w:lineRule="auto"/>
        <w:rPr>
          <w:rFonts w:hint="eastAsia" w:ascii="宋体" w:hAnsi="宋体" w:cs="宋体"/>
          <w:b/>
          <w:szCs w:val="21"/>
          <w:highlight w:val="none"/>
          <w:lang w:val="zh-CN"/>
        </w:rPr>
        <w:outlineLvl w:val="2"/>
      </w:pPr>
      <w:r/>
      <w:bookmarkStart w:id="28" w:name="_Toc30044"/>
      <w:r/>
      <w:bookmarkStart w:id="29" w:name="_Toc3951"/>
      <w:r/>
      <w:bookmarkStart w:id="30" w:name="_Toc20823276"/>
      <w:r/>
      <w:bookmarkStart w:id="31" w:name="_Toc16938520"/>
      <w:r/>
      <w:bookmarkStart w:id="32" w:name="_Toc24947"/>
      <w:r/>
      <w:bookmarkStart w:id="33" w:name="_Toc513029204"/>
      <w:r/>
      <w:bookmarkStart w:id="34" w:name="_Toc458694821"/>
      <w:r>
        <w:rPr>
          <w:rFonts w:hint="eastAsia" w:ascii="Arial" w:hAnsi="Arial" w:cs="Arial"/>
          <w:b/>
          <w:bCs/>
          <w:color w:val="000000"/>
          <w:szCs w:val="21"/>
          <w:highlight w:val="none"/>
          <w:lang w:val="zh-CN"/>
        </w:rPr>
        <w:t xml:space="preserve">1.</w:t>
      </w:r>
      <w:r>
        <w:rPr>
          <w:rFonts w:hint="eastAsia" w:ascii="宋体" w:hAnsi="宋体" w:cs="宋体"/>
          <w:b/>
          <w:szCs w:val="21"/>
          <w:highlight w:val="none"/>
          <w:lang w:val="zh-CN"/>
        </w:rPr>
        <w:t xml:space="preserve">适用法律</w:t>
      </w:r>
      <w:bookmarkEnd w:id="28"/>
      <w:r/>
      <w:bookmarkEnd w:id="29"/>
      <w:r/>
      <w:r/>
    </w:p>
    <w:p>
      <w:pPr>
        <w:ind w:firstLine="420"/>
        <w:keepLines w:val="0"/>
        <w:pageBreakBefore w:val="0"/>
        <w:spacing w:line="360" w:lineRule="auto"/>
        <w:rPr>
          <w:rFonts w:hint="eastAsia" w:ascii="宋体" w:hAnsi="宋体" w:cs="宋体"/>
          <w:szCs w:val="21"/>
          <w:highlight w:val="none"/>
          <w:lang w:val="zh-CN"/>
        </w:rPr>
      </w:pPr>
      <w:r>
        <w:rPr>
          <w:rFonts w:hint="eastAsia" w:ascii="Arial" w:hAnsi="Arial" w:cs="Arial"/>
          <w:color w:val="000000"/>
          <w:szCs w:val="21"/>
          <w:highlight w:val="none"/>
          <w:lang w:val="zh-CN"/>
        </w:rPr>
        <w:t xml:space="preserve">1.1 </w:t>
      </w:r>
      <w:r>
        <w:rPr>
          <w:rFonts w:ascii="Arial" w:hAnsi="Arial" w:cs="Arial"/>
          <w:color w:val="000000"/>
          <w:szCs w:val="21"/>
          <w:highlight w:val="none"/>
        </w:rPr>
        <w:t xml:space="preserve">《中华人民共和国招标投标法》</w:t>
      </w:r>
      <w:r>
        <w:rPr>
          <w:rFonts w:hint="eastAsia" w:ascii="Arial" w:hAnsi="Arial" w:cs="Arial"/>
          <w:color w:val="000000"/>
          <w:szCs w:val="21"/>
          <w:highlight w:val="none"/>
        </w:rPr>
        <w:t xml:space="preserve">、</w:t>
      </w:r>
      <w:r>
        <w:rPr>
          <w:rFonts w:hint="eastAsia" w:ascii="宋体" w:hAnsi="宋体" w:cs="宋体"/>
          <w:color w:val="000000"/>
          <w:szCs w:val="21"/>
          <w:highlight w:val="none"/>
          <w:lang w:val="zh-CN"/>
        </w:rPr>
        <w:t xml:space="preserve">《中华人民共和国政府采购法》、《中华人民共和国政府采购法实施条</w:t>
      </w:r>
      <w:r>
        <w:rPr>
          <w:rFonts w:hint="eastAsia" w:ascii="宋体" w:hAnsi="宋体" w:cs="宋体"/>
          <w:szCs w:val="21"/>
          <w:highlight w:val="none"/>
          <w:lang w:val="zh-CN"/>
        </w:rPr>
        <w:t xml:space="preserve">例》、</w:t>
      </w:r>
      <w:r>
        <w:rPr>
          <w:rFonts w:hint="eastAsia" w:ascii="宋体"/>
          <w:szCs w:val="21"/>
          <w:highlight w:val="none"/>
          <w:lang w:val="zh-CN"/>
        </w:rPr>
        <w:t xml:space="preserve">《政府采购货物和服务招标投标管理办法》</w:t>
      </w:r>
      <w:r>
        <w:rPr>
          <w:rFonts w:hint="eastAsia" w:ascii="宋体" w:hAnsi="宋体" w:cs="宋体"/>
          <w:szCs w:val="21"/>
          <w:highlight w:val="none"/>
          <w:lang w:val="zh-CN"/>
        </w:rPr>
        <w:t xml:space="preserve">等有关法律、规章和规定等。</w:t>
      </w:r>
      <w:bookmarkStart w:id="35" w:name="_Toc10994"/>
      <w:r/>
      <w:bookmarkStart w:id="36" w:name="_Toc17176"/>
      <w:r/>
      <w:r/>
    </w:p>
    <w:p>
      <w:pPr>
        <w:ind w:firstLine="420"/>
        <w:keepLines w:val="0"/>
        <w:pageBreakBefore w:val="0"/>
        <w:spacing w:line="360" w:lineRule="auto"/>
        <w:rPr>
          <w:rFonts w:hint="eastAsia" w:ascii="宋体" w:hAnsi="宋体" w:cs="宋体"/>
          <w:b/>
          <w:szCs w:val="21"/>
          <w:highlight w:val="none"/>
          <w:lang w:val="zh-CN"/>
        </w:rPr>
        <w:outlineLvl w:val="2"/>
      </w:pPr>
      <w:r>
        <w:rPr>
          <w:rFonts w:hint="eastAsia" w:ascii="Arial" w:hAnsi="Arial" w:cs="Arial"/>
          <w:b/>
          <w:bCs/>
          <w:color w:val="000000"/>
          <w:szCs w:val="21"/>
          <w:highlight w:val="none"/>
          <w:lang w:val="zh-CN"/>
        </w:rPr>
        <w:t xml:space="preserve">2.</w:t>
      </w:r>
      <w:r>
        <w:rPr>
          <w:rFonts w:hint="eastAsia" w:ascii="宋体" w:hAnsi="宋体" w:cs="宋体"/>
          <w:b/>
          <w:szCs w:val="21"/>
          <w:highlight w:val="none"/>
          <w:lang w:val="zh-CN"/>
        </w:rPr>
        <w:t xml:space="preserve">定义</w:t>
      </w:r>
      <w:bookmarkEnd w:id="30"/>
      <w:r/>
      <w:bookmarkEnd w:id="31"/>
      <w:r/>
      <w:bookmarkEnd w:id="32"/>
      <w:r/>
      <w:bookmarkEnd w:id="33"/>
      <w:r/>
      <w:bookmarkEnd w:id="34"/>
      <w:r/>
      <w:bookmarkEnd w:id="35"/>
      <w:r/>
      <w:bookmarkEnd w:id="36"/>
      <w:r/>
      <w:r/>
    </w:p>
    <w:p>
      <w:pPr>
        <w:ind w:firstLine="420"/>
        <w:keepLines w:val="0"/>
        <w:pageBreakBefore w:val="0"/>
        <w:spacing w:line="360" w:lineRule="auto"/>
        <w:rPr>
          <w:rFonts w:ascii="Arial" w:hAnsi="Arial" w:cs="Arial"/>
          <w:bCs/>
          <w:color w:val="000000"/>
          <w:highlight w:val="none"/>
        </w:rPr>
      </w:pPr>
      <w:r>
        <w:rPr>
          <w:rFonts w:ascii="Arial" w:hAnsi="Arial" w:cs="Arial"/>
          <w:color w:val="000000"/>
          <w:szCs w:val="21"/>
          <w:highlight w:val="none"/>
        </w:rPr>
        <w:t xml:space="preserve">2.1本文件</w:t>
      </w:r>
      <w:r>
        <w:rPr>
          <w:rFonts w:ascii="Arial" w:hAnsi="Arial" w:cs="Arial"/>
          <w:bCs/>
          <w:color w:val="000000"/>
          <w:highlight w:val="none"/>
        </w:rPr>
        <w:t xml:space="preserve">中</w:t>
      </w:r>
      <w:r>
        <w:rPr>
          <w:rFonts w:hint="eastAsia" w:ascii="Arial" w:hAnsi="Arial" w:cs="Arial"/>
          <w:bCs/>
          <w:color w:val="000000"/>
          <w:highlight w:val="none"/>
        </w:rPr>
        <w:t xml:space="preserve">采购代理机构</w:t>
      </w:r>
      <w:r>
        <w:rPr>
          <w:rFonts w:ascii="Arial" w:hAnsi="Arial" w:cs="Arial"/>
          <w:bCs/>
          <w:color w:val="000000"/>
          <w:highlight w:val="none"/>
        </w:rPr>
        <w:t xml:space="preserve">为 </w:t>
      </w:r>
      <w:r>
        <w:rPr>
          <w:rFonts w:hint="eastAsia" w:ascii="Arial" w:hAnsi="Arial" w:cs="Arial"/>
          <w:b/>
          <w:color w:val="000000"/>
          <w:highlight w:val="none"/>
          <w:u w:val="single"/>
        </w:rPr>
        <w:t xml:space="preserve">苏美达国际技术贸易有限公司</w:t>
      </w:r>
      <w:r>
        <w:rPr>
          <w:rFonts w:ascii="Arial" w:hAnsi="Arial" w:cs="Arial"/>
          <w:bCs/>
          <w:color w:val="000000"/>
          <w:highlight w:val="none"/>
        </w:rPr>
        <w:t xml:space="preserve">；</w:t>
      </w:r>
      <w:r>
        <w:rPr>
          <w:rFonts w:hint="eastAsia" w:ascii="Arial" w:hAnsi="Arial" w:cs="Arial"/>
          <w:bCs/>
          <w:color w:val="000000"/>
          <w:highlight w:val="none"/>
        </w:rPr>
        <w:t xml:space="preserve">采购人</w:t>
      </w:r>
      <w:r>
        <w:rPr>
          <w:rFonts w:ascii="Arial" w:hAnsi="Arial" w:cs="Arial"/>
          <w:bCs/>
          <w:color w:val="000000"/>
          <w:highlight w:val="none"/>
        </w:rPr>
        <w:t xml:space="preserve">为</w:t>
      </w:r>
      <w:r>
        <w:rPr>
          <w:rFonts w:hint="eastAsia" w:ascii="Arial" w:hAnsi="Arial" w:cs="Arial"/>
          <w:b/>
          <w:color w:val="000000"/>
          <w:highlight w:val="none"/>
          <w:u w:val="single"/>
        </w:rPr>
        <w:t xml:space="preserve">南京鼓楼医院 </w:t>
      </w:r>
      <w:r>
        <w:rPr>
          <w:rFonts w:ascii="Arial" w:hAnsi="Arial" w:cs="Arial"/>
          <w:bCs/>
          <w:color w:val="000000"/>
          <w:highlight w:val="none"/>
        </w:rPr>
        <w:t xml:space="preserve">；投标人（亦称供应商）系指参加投标竞争并满足招标文件资格要求规定的法人、其他组织或者自然人。</w:t>
      </w:r>
      <w:r/>
    </w:p>
    <w:p>
      <w:pPr>
        <w:ind w:firstLine="420"/>
        <w:keepLines w:val="0"/>
        <w:pageBreakBefore w:val="0"/>
        <w:spacing w:line="360" w:lineRule="auto"/>
        <w:rPr>
          <w:rFonts w:ascii="Arial" w:hAnsi="Arial" w:cs="Arial"/>
          <w:bCs/>
          <w:highlight w:val="none"/>
        </w:rPr>
      </w:pPr>
      <w:r>
        <w:rPr>
          <w:rFonts w:hint="eastAsia" w:ascii="Arial" w:hAnsi="Arial" w:cs="Arial"/>
          <w:bCs/>
          <w:highlight w:val="none"/>
        </w:rPr>
        <w:t xml:space="preserve">2.2“货物和服务”指本文件中所述产品及相关货物和服务。</w:t>
      </w:r>
      <w:r/>
    </w:p>
    <w:p>
      <w:pPr>
        <w:ind w:firstLine="420"/>
        <w:keepLines w:val="0"/>
        <w:pageBreakBefore w:val="0"/>
        <w:spacing w:line="360" w:lineRule="auto"/>
        <w:rPr>
          <w:rFonts w:ascii="Arial" w:hAnsi="Arial" w:cs="Arial"/>
          <w:bCs/>
          <w:highlight w:val="none"/>
        </w:rPr>
      </w:pPr>
      <w:r>
        <w:rPr>
          <w:rFonts w:hint="eastAsia" w:ascii="Arial" w:hAnsi="Arial" w:cs="Arial"/>
          <w:bCs/>
          <w:highlight w:val="none"/>
        </w:rPr>
        <w:t xml:space="preserve">2.3“用户或使用单位”指使用</w:t>
      </w:r>
      <w:r>
        <w:rPr>
          <w:rFonts w:hint="eastAsia" w:ascii="宋体"/>
          <w:szCs w:val="21"/>
          <w:highlight w:val="none"/>
          <w:lang w:val="zh-CN"/>
        </w:rPr>
        <w:t xml:space="preserve">货物、服务的</w:t>
      </w:r>
      <w:r>
        <w:rPr>
          <w:rFonts w:hint="eastAsia" w:ascii="Arial" w:hAnsi="Arial" w:cs="Arial"/>
          <w:bCs/>
          <w:highlight w:val="none"/>
        </w:rPr>
        <w:t xml:space="preserve">单位。</w:t>
      </w:r>
      <w:r/>
    </w:p>
    <w:p>
      <w:pPr>
        <w:ind w:firstLine="422"/>
        <w:keepLines w:val="0"/>
        <w:pageBreakBefore w:val="0"/>
        <w:spacing w:line="360" w:lineRule="auto"/>
        <w:rPr>
          <w:rFonts w:hint="eastAsia" w:ascii="宋体" w:hAnsi="宋体" w:cs="宋体"/>
          <w:b/>
          <w:szCs w:val="21"/>
          <w:highlight w:val="none"/>
          <w:lang w:val="zh-CN"/>
        </w:rPr>
        <w:outlineLvl w:val="2"/>
      </w:pPr>
      <w:r/>
      <w:bookmarkStart w:id="37" w:name="_Toc18001"/>
      <w:r/>
      <w:bookmarkStart w:id="38" w:name="_Toc25880"/>
      <w:r/>
      <w:bookmarkStart w:id="39" w:name="_Toc20823279"/>
      <w:r/>
      <w:bookmarkStart w:id="40" w:name="_Toc17711"/>
      <w:r/>
      <w:bookmarkStart w:id="41" w:name="_Toc16938523"/>
      <w:r/>
      <w:bookmarkStart w:id="42" w:name="_Toc25651"/>
      <w:r/>
      <w:bookmarkStart w:id="43" w:name="_Toc462564067"/>
      <w:r/>
      <w:bookmarkStart w:id="44" w:name="_Toc513029207"/>
      <w:r/>
      <w:bookmarkStart w:id="45" w:name="_Toc4759"/>
      <w:r>
        <w:rPr>
          <w:rFonts w:hint="eastAsia" w:ascii="宋体" w:hAnsi="宋体" w:cs="宋体"/>
          <w:b/>
          <w:szCs w:val="21"/>
          <w:highlight w:val="none"/>
        </w:rPr>
        <w:t xml:space="preserve">3.</w:t>
      </w:r>
      <w:r>
        <w:rPr>
          <w:rFonts w:hint="eastAsia" w:ascii="宋体" w:hAnsi="宋体" w:cs="宋体"/>
          <w:b/>
          <w:szCs w:val="21"/>
          <w:highlight w:val="none"/>
          <w:lang w:val="zh-CN"/>
        </w:rPr>
        <w:t xml:space="preserve">政策功能</w:t>
      </w:r>
      <w:bookmarkEnd w:id="37"/>
      <w:r/>
      <w:bookmarkEnd w:id="38"/>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3.1线上融资</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3.2中小企业、监狱和戒毒企业及残疾人福利性单位</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3.2.1 政府采购促进中小企业发展，在政府采购活动中，供应商提供的货物、工程或者服务符合下列情形的，享受中小企业扶持政策：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以联合体形式参加政府采购活动，联合体各方均为中小企业的，联合体视同中小企业。其中，联合体各方均为小微企业的，联合体视同小微企业。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中小企业供应商参加政府采购活动，应当出具《中小企业声明函》（格式见后附件），否则不得享受相关中小企业扶持政策。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中小企业，是指在中华人民共和国境内依法设立，依据国务院批准的中小企业划分标准（详见《关于印发中小企业划型标准规定的通知》</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3.3节能产品、信息安全产品、环境标志产品</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3.4进口产品政策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3.4.2允许进口产品参加的，满足需求的国内产品可以参加。</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3.4.3允许进口产品参加的，优先采购向我国企业转让技术、与我国企业签订消化吸收再创新方案的供应商的进口产品。</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3.5绿色采购</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3.5.2涉及</w:t>
      </w:r>
      <w:r>
        <w:rPr>
          <w:rFonts w:hint="eastAsia" w:ascii="宋体" w:hAnsi="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3.6创新产品采购</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优先采购各级政府部门公开发布的有效期内的创新产品、首台套等《目录》内的创新产品。创新产品自进入《目录》起2年内视同具备相应销售业绩。</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3.7网络产品、市场准入类产品采购</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3.7.1 本</w:t>
      </w:r>
      <w:r>
        <w:rPr>
          <w:rFonts w:hint="eastAsia" w:ascii="宋体" w:hAnsi="宋体" w:cs="宋体"/>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keepLines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3.9根据《</w:t>
      </w:r>
      <w:r>
        <w:rPr>
          <w:rFonts w:hint="eastAsia" w:ascii="宋体" w:hAnsi="宋体" w:eastAsia="宋体" w:cs="宋体"/>
          <w:b/>
          <w:bCs/>
          <w:i w:val="0"/>
          <w:iCs w:val="0"/>
          <w:caps w:val="0"/>
          <w:color w:val="383940"/>
          <w:spacing w:val="0"/>
          <w:sz w:val="21"/>
          <w:szCs w:val="21"/>
          <w:highlight w:val="none"/>
          <w:shd w:val="clear" w:color="auto" w:fill="ffffff"/>
          <w:vertAlign w:val="baseline"/>
        </w:rPr>
        <w:t xml:space="preserve">国务院办公厅关于在政府采购中实施本国产品标准及相关政策的通知</w:t>
      </w:r>
      <w:r>
        <w:rPr>
          <w:rFonts w:hint="eastAsia" w:ascii="宋体" w:hAnsi="宋体" w:eastAsia="宋体" w:cs="宋体"/>
          <w:sz w:val="21"/>
          <w:szCs w:val="21"/>
          <w:highlight w:val="none"/>
          <w:lang w:val="en-US" w:eastAsia="zh-CN"/>
        </w:rPr>
        <w:t xml:space="preserve">》，</w:t>
      </w:r>
      <w:r>
        <w:rPr>
          <w:rFonts w:hint="eastAsia" w:ascii="宋体" w:hAnsi="宋体" w:eastAsia="宋体" w:cs="宋体"/>
          <w:i w:val="0"/>
          <w:iCs w:val="0"/>
          <w:caps w:val="0"/>
          <w:color w:val="000000"/>
          <w:spacing w:val="0"/>
          <w:sz w:val="21"/>
          <w:szCs w:val="21"/>
          <w:highlight w:val="none"/>
          <w:shd w:val="clear" w:color="auto" w:fill="ffffff"/>
          <w:vertAlign w:val="baseline"/>
        </w:rPr>
        <w:t xml:space="preserve">政府采购活动中既有本国产品又有非本国产品参与竞争的，依法对本国产品给予价格评审优惠。</w:t>
      </w:r>
      <w:r>
        <w:rPr>
          <w:rFonts w:hint="eastAsia" w:ascii="宋体" w:hAnsi="宋体" w:eastAsia="宋体" w:cs="宋体"/>
          <w:i w:val="0"/>
          <w:iCs w:val="0"/>
          <w:caps w:val="0"/>
          <w:color w:val="000000"/>
          <w:spacing w:val="0"/>
          <w:sz w:val="21"/>
          <w:szCs w:val="21"/>
          <w:highlight w:val="none"/>
          <w:shd w:val="clear" w:color="auto" w:fill="ffffff"/>
        </w:rPr>
        <w:t xml:space="preserve">供应商</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需</w:t>
      </w:r>
      <w:r>
        <w:rPr>
          <w:rFonts w:hint="eastAsia" w:ascii="宋体" w:hAnsi="宋体" w:eastAsia="宋体" w:cs="宋体"/>
          <w:i w:val="0"/>
          <w:iCs w:val="0"/>
          <w:caps w:val="0"/>
          <w:color w:val="000000"/>
          <w:spacing w:val="0"/>
          <w:sz w:val="21"/>
          <w:szCs w:val="21"/>
          <w:highlight w:val="none"/>
          <w:shd w:val="clear" w:color="auto" w:fill="ffffff"/>
        </w:rPr>
        <w:t xml:space="preserve">对其提供的产品出具《关于符合本国产品标准的声明函》</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落实政府采购领域数字人民币政策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p>
    <w:p>
      <w:pPr>
        <w:ind w:firstLine="482"/>
        <w:keepLines w:val="0"/>
        <w:pageBreakBefore w:val="0"/>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注：未按要求提供相关材料的，不享受相关政策。</w:t>
      </w:r>
      <w:r/>
    </w:p>
    <w:p>
      <w:pPr>
        <w:ind w:firstLine="480"/>
        <w:keepLines w:val="0"/>
        <w:pageBreakBefore w:val="0"/>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4.投标费用</w:t>
      </w:r>
      <w:bookmarkEnd w:id="39"/>
      <w:r/>
      <w:bookmarkEnd w:id="40"/>
      <w:r/>
      <w:bookmarkEnd w:id="41"/>
      <w:r/>
      <w:bookmarkEnd w:id="42"/>
      <w:r/>
      <w:bookmarkEnd w:id="43"/>
      <w:r/>
      <w:bookmarkEnd w:id="44"/>
      <w:r/>
      <w:bookmarkEnd w:id="45"/>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 供应商应自行承担所有与参加投标有关的费用，无论采购结果如何，代理机构和采购人在任何情况下均无义务和责任承担这些费用。</w:t>
      </w:r>
      <w:r/>
    </w:p>
    <w:p>
      <w:pPr>
        <w:ind w:firstLine="480"/>
        <w:keepLines w:val="0"/>
        <w:pageBreakBefore w:val="0"/>
        <w:spacing w:line="360" w:lineRule="auto"/>
        <w:rPr>
          <w:rFonts w:hint="eastAsia" w:ascii="宋体" w:hAnsi="宋体" w:cs="宋体"/>
          <w:b/>
          <w:bCs/>
          <w:szCs w:val="21"/>
          <w:highlight w:val="none"/>
          <w:lang w:val="zh-CN"/>
        </w:rPr>
      </w:pPr>
      <w:r/>
      <w:bookmarkStart w:id="46" w:name="_Toc25474"/>
      <w:r/>
      <w:bookmarkStart w:id="47" w:name="_Toc344"/>
      <w:r>
        <w:rPr>
          <w:rFonts w:hint="eastAsia" w:ascii="宋体" w:hAnsi="宋体" w:cs="宋体"/>
          <w:b/>
          <w:bCs/>
          <w:szCs w:val="21"/>
          <w:highlight w:val="none"/>
          <w:lang w:val="zh-CN"/>
        </w:rPr>
        <w:t xml:space="preserve">5.招标文件的约束力</w:t>
      </w:r>
      <w:bookmarkEnd w:id="46"/>
      <w:r/>
      <w:bookmarkEnd w:id="47"/>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 供应商一旦参加本项目采购活动，即被认为接受了本招标文件的规定和约束。</w:t>
      </w:r>
      <w:r/>
    </w:p>
    <w:p>
      <w:pPr>
        <w:ind w:firstLine="482"/>
        <w:keepLines w:val="0"/>
        <w:pageBreakBefore w:val="0"/>
        <w:spacing w:line="360" w:lineRule="auto"/>
        <w:rPr>
          <w:rFonts w:hint="eastAsia" w:ascii="宋体" w:hAnsi="宋体" w:cs="宋体"/>
          <w:b/>
          <w:bCs/>
          <w:szCs w:val="21"/>
          <w:highlight w:val="none"/>
        </w:rPr>
      </w:pPr>
      <w:r/>
      <w:bookmarkStart w:id="48" w:name="_Toc120614215"/>
      <w:r/>
      <w:bookmarkStart w:id="49" w:name="_Toc15035"/>
      <w:r/>
      <w:bookmarkStart w:id="50" w:name="_Toc20823281"/>
      <w:r/>
      <w:bookmarkStart w:id="51" w:name="_Toc16938525"/>
      <w:r/>
      <w:bookmarkStart w:id="52" w:name="_Toc513029209"/>
      <w:r/>
      <w:bookmarkStart w:id="53" w:name="_Toc11232"/>
      <w:r>
        <w:rPr>
          <w:rFonts w:hint="eastAsia" w:ascii="宋体" w:hAnsi="宋体" w:cs="宋体"/>
          <w:b/>
          <w:bCs/>
          <w:szCs w:val="21"/>
          <w:highlight w:val="none"/>
        </w:rPr>
        <w:t xml:space="preserve">二、招标文件</w:t>
      </w:r>
      <w:bookmarkEnd w:id="48"/>
      <w:r/>
      <w:bookmarkEnd w:id="49"/>
      <w:r/>
      <w:bookmarkEnd w:id="50"/>
      <w:r/>
      <w:bookmarkEnd w:id="51"/>
      <w:r/>
      <w:bookmarkEnd w:id="52"/>
      <w:r/>
      <w:bookmarkEnd w:id="53"/>
      <w:r/>
      <w:r/>
    </w:p>
    <w:p>
      <w:pPr>
        <w:ind w:firstLine="482"/>
        <w:keepLines w:val="0"/>
        <w:pageBreakBefore w:val="0"/>
        <w:spacing w:line="360" w:lineRule="auto"/>
        <w:rPr>
          <w:rFonts w:hint="eastAsia" w:ascii="宋体" w:hAnsi="宋体" w:cs="宋体"/>
          <w:b/>
          <w:bCs/>
          <w:szCs w:val="21"/>
          <w:highlight w:val="none"/>
          <w:lang w:val="zh-CN"/>
        </w:rPr>
      </w:pPr>
      <w:r/>
      <w:bookmarkStart w:id="54" w:name="_Toc20823282"/>
      <w:r/>
      <w:bookmarkStart w:id="55" w:name="_Toc2899"/>
      <w:r/>
      <w:bookmarkStart w:id="56" w:name="_Toc513029210"/>
      <w:r/>
      <w:bookmarkStart w:id="57" w:name="_Toc16938526"/>
      <w:r/>
      <w:bookmarkStart w:id="58" w:name="_Toc31631"/>
      <w:r>
        <w:rPr>
          <w:rFonts w:hint="eastAsia" w:ascii="宋体" w:hAnsi="宋体" w:cs="宋体"/>
          <w:b/>
          <w:bCs/>
          <w:szCs w:val="21"/>
          <w:highlight w:val="none"/>
          <w:lang w:val="zh-CN"/>
        </w:rPr>
        <w:t xml:space="preserve">6.招标文件构成</w:t>
      </w:r>
      <w:bookmarkEnd w:id="54"/>
      <w:r/>
      <w:bookmarkEnd w:id="55"/>
      <w:r/>
      <w:bookmarkEnd w:id="56"/>
      <w:r/>
      <w:bookmarkEnd w:id="57"/>
      <w:r/>
      <w:bookmarkEnd w:id="58"/>
      <w:r/>
      <w:r/>
    </w:p>
    <w:p>
      <w:pPr>
        <w:ind w:firstLine="480"/>
        <w:keepLines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6.1 招标文件由以下部分组成：</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第一章  招标邀请</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第二章  投标人须知</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第三章  评标方法、评分标准</w:t>
      </w:r>
      <w:r/>
    </w:p>
    <w:p>
      <w:pPr>
        <w:ind w:firstLine="480"/>
        <w:keepLines w:val="0"/>
        <w:keepNext w:val="0"/>
        <w:pageBreakBefore w:val="0"/>
        <w:spacing w:line="360" w:lineRule="auto"/>
        <w:widowControl w:val="off"/>
        <w:rPr>
          <w:rFonts w:hint="eastAsia" w:ascii="宋体" w:hAnsi="宋体" w:cs="宋体"/>
          <w:szCs w:val="21"/>
          <w:highlight w:val="none"/>
          <w:lang w:eastAsia="zh-CN"/>
        </w:rPr>
      </w:pPr>
      <w:r>
        <w:rPr>
          <w:rFonts w:hint="eastAsia" w:ascii="宋体" w:hAnsi="宋体" w:cs="宋体"/>
          <w:szCs w:val="21"/>
          <w:highlight w:val="none"/>
        </w:rPr>
        <w:t xml:space="preserve">第四章  </w:t>
      </w:r>
      <w:r>
        <w:rPr>
          <w:rFonts w:hint="eastAsia" w:ascii="宋体" w:hAnsi="宋体" w:cs="宋体"/>
          <w:szCs w:val="21"/>
          <w:highlight w:val="none"/>
          <w:lang w:eastAsia="zh-CN"/>
        </w:rPr>
        <w:t xml:space="preserve">采购需求</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第五章  合同条款</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第六章  投标文件格式及附件</w:t>
      </w:r>
      <w:r/>
    </w:p>
    <w:p>
      <w:pPr>
        <w:ind w:firstLine="420"/>
        <w:keepLines w:val="0"/>
        <w:keepNext w:val="0"/>
        <w:pageBreakBefore w:val="0"/>
        <w:spacing w:line="360" w:lineRule="auto"/>
        <w:widowControl w:val="off"/>
        <w:rPr>
          <w:rFonts w:ascii="Arial" w:hAnsi="Arial" w:cs="Arial"/>
          <w:color w:val="000000"/>
          <w:szCs w:val="21"/>
          <w:highlight w:val="none"/>
        </w:rPr>
      </w:pPr>
      <w:r>
        <w:rPr>
          <w:rFonts w:hint="eastAsia" w:ascii="Arial" w:hAnsi="Arial" w:cs="Arial"/>
          <w:color w:val="000000"/>
          <w:szCs w:val="21"/>
          <w:highlight w:val="none"/>
        </w:rPr>
        <w:t xml:space="preserve">6.2</w:t>
      </w:r>
      <w:r>
        <w:rPr>
          <w:rFonts w:hint="eastAsia" w:ascii="Arial" w:hAnsi="Arial" w:cs="Arial"/>
          <w:b/>
          <w:bCs/>
          <w:color w:val="000000"/>
          <w:szCs w:val="21"/>
          <w:highlight w:val="none"/>
        </w:rPr>
        <w:t xml:space="preserve">招标的最小单位是包。</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中未分包的，供应商对要求提供的服务不得部分投标；</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中已经分包的，以包为单位投标</w:t>
      </w:r>
      <w:r>
        <w:rPr>
          <w:rFonts w:hint="eastAsia" w:ascii="Arial" w:hAnsi="Arial" w:cs="Arial"/>
          <w:color w:val="000000"/>
          <w:szCs w:val="21"/>
          <w:highlight w:val="none"/>
        </w:rPr>
        <w:t xml:space="preserve">。</w:t>
      </w:r>
      <w:r/>
    </w:p>
    <w:p>
      <w:pPr>
        <w:ind w:firstLine="420"/>
        <w:keepLines w:val="0"/>
        <w:pageBreakBefore w:val="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6.4供应商被视为充分熟悉本招标项目的各种情况以及与履行合同有关的一切其他情况。</w:t>
      </w:r>
      <w:r/>
    </w:p>
    <w:p>
      <w:pPr>
        <w:pStyle w:val="1118"/>
        <w:ind w:left="0" w:firstLine="422"/>
        <w:jc w:val="both"/>
        <w:keepLines w:val="0"/>
        <w:pageBreakBefore w:val="0"/>
        <w:spacing w:line="360" w:lineRule="auto"/>
        <w:rPr>
          <w:rFonts w:ascii="Arial" w:hAnsi="Arial" w:eastAsia="宋体" w:cs="Arial"/>
          <w:b/>
          <w:bCs/>
          <w:color w:val="000000"/>
          <w:sz w:val="21"/>
          <w:szCs w:val="21"/>
          <w:highlight w:val="none"/>
        </w:rPr>
      </w:pPr>
      <w:r/>
      <w:bookmarkStart w:id="59" w:name="_Toc24838"/>
      <w:r/>
      <w:bookmarkStart w:id="60" w:name="_Toc14415"/>
      <w:r>
        <w:rPr>
          <w:rFonts w:ascii="Arial" w:hAnsi="Arial" w:eastAsia="宋体" w:cs="Arial"/>
          <w:b/>
          <w:bCs/>
          <w:color w:val="000000"/>
          <w:sz w:val="21"/>
          <w:szCs w:val="21"/>
          <w:highlight w:val="none"/>
        </w:rPr>
        <w:t xml:space="preserve">7.招标文件的澄清、补充或修改</w:t>
      </w:r>
      <w:bookmarkEnd w:id="59"/>
      <w:r/>
      <w:bookmarkEnd w:id="60"/>
      <w:r/>
      <w:r/>
    </w:p>
    <w:p>
      <w:pPr>
        <w:ind w:firstLine="441"/>
        <w:keepLines w:val="0"/>
        <w:pageBreakBefore w:val="0"/>
        <w:spacing w:line="360" w:lineRule="auto"/>
        <w:rPr>
          <w:highlight w:val="none"/>
        </w:rPr>
      </w:pPr>
      <w:r/>
      <w:bookmarkStart w:id="61" w:name="_Toc29128"/>
      <w:r>
        <w:rPr>
          <w:rFonts w:ascii="Arial" w:hAnsi="Arial" w:cs="Arial"/>
          <w:color w:val="000000"/>
          <w:szCs w:val="21"/>
          <w:highlight w:val="none"/>
        </w:rPr>
        <w:t xml:space="preserve">7.1</w:t>
      </w:r>
      <w:r>
        <w:rPr>
          <w:rFonts w:hint="eastAsia"/>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keepLines w:val="0"/>
        <w:pageBreakBefore w:val="0"/>
        <w:spacing w:line="360" w:lineRule="auto"/>
        <w:rPr>
          <w:highlight w:val="none"/>
        </w:rPr>
      </w:pPr>
      <w:r>
        <w:rPr>
          <w:rFonts w:hint="eastAsia" w:ascii="Arial" w:hAnsi="Arial" w:cs="Arial"/>
          <w:color w:val="000000"/>
          <w:szCs w:val="21"/>
          <w:highlight w:val="none"/>
        </w:rPr>
        <w:t xml:space="preserve">7.2 </w:t>
      </w:r>
      <w:r>
        <w:rPr>
          <w:rFonts w:hint="eastAsia"/>
          <w:highlight w:val="none"/>
        </w:rPr>
        <w:t xml:space="preserve">采购代理机构对已发出的招标文件进行必要的澄清或者修改，将在投标截止时间15日前，在原招标公告媒体公布。</w:t>
      </w:r>
      <w:r>
        <w:rPr>
          <w:rFonts w:hint="eastAsia" w:ascii="宋体" w:hAnsi="宋体"/>
          <w:szCs w:val="21"/>
          <w:highlight w:val="none"/>
        </w:rPr>
        <w:t xml:space="preserve">不足15日的，采购人或者采购代理机构应当顺延提交投标文件的截止时间。</w:t>
      </w:r>
      <w:r/>
    </w:p>
    <w:p>
      <w:pPr>
        <w:ind w:firstLine="441"/>
        <w:keepLines w:val="0"/>
        <w:pageBreakBefore w:val="0"/>
        <w:spacing w:line="360" w:lineRule="auto"/>
        <w:rPr>
          <w:highlight w:val="none"/>
        </w:rPr>
      </w:pPr>
      <w:r>
        <w:rPr>
          <w:rFonts w:hint="eastAsia" w:ascii="Arial" w:hAnsi="Arial" w:cs="Arial"/>
          <w:color w:val="000000"/>
          <w:szCs w:val="21"/>
          <w:highlight w:val="none"/>
        </w:rPr>
        <w:t xml:space="preserve">7.3 </w:t>
      </w:r>
      <w:r>
        <w:rPr>
          <w:rFonts w:hint="eastAsia"/>
          <w:highlight w:val="none"/>
        </w:rPr>
        <w:t xml:space="preserve">采购代理机构在招标文件要求提交投标文件截止时间3日前，有权决定延长投标截止时间和开标时间，并在原招标公告媒体上发布变更公告。</w:t>
      </w:r>
      <w:r/>
    </w:p>
    <w:p>
      <w:pPr>
        <w:ind w:firstLine="441"/>
        <w:keepLines w:val="0"/>
        <w:pageBreakBefore w:val="0"/>
        <w:spacing w:line="360" w:lineRule="auto"/>
        <w:rPr>
          <w:highlight w:val="none"/>
        </w:rPr>
      </w:pPr>
      <w:r>
        <w:rPr>
          <w:rFonts w:hint="eastAsia" w:ascii="Arial" w:hAnsi="Arial" w:cs="Arial"/>
          <w:color w:val="000000"/>
          <w:szCs w:val="21"/>
          <w:highlight w:val="none"/>
        </w:rPr>
        <w:t xml:space="preserve">7.4</w:t>
      </w:r>
      <w:r>
        <w:rPr>
          <w:rFonts w:hint="eastAsia"/>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keepLines w:val="0"/>
        <w:pageBreakBefore w:val="0"/>
        <w:spacing w:line="360" w:lineRule="auto"/>
        <w:rPr>
          <w:rFonts w:ascii="Arial" w:hAnsi="Arial" w:cs="Arial"/>
          <w:bCs/>
          <w:highlight w:val="none"/>
        </w:rPr>
      </w:pPr>
      <w:r>
        <w:rPr>
          <w:rFonts w:hint="eastAsia" w:ascii="Arial" w:hAnsi="Arial" w:cs="Arial"/>
          <w:color w:val="000000"/>
          <w:szCs w:val="21"/>
          <w:highlight w:val="none"/>
        </w:rPr>
        <w:t xml:space="preserve">7.5 </w:t>
      </w:r>
      <w:r>
        <w:rPr>
          <w:rFonts w:hint="eastAsia"/>
          <w:highlight w:val="none"/>
        </w:rPr>
        <w:t xml:space="preserve">采购代理机构发出的所有补充、修改和变更文件均作为招标文件的组成部分，与招标文件具有同等法律效力，并对投标人具有约束力。 </w:t>
      </w:r>
      <w:r/>
    </w:p>
    <w:p>
      <w:pPr>
        <w:ind w:firstLine="420"/>
        <w:keepLines w:val="0"/>
        <w:pageBreakBefore w:val="0"/>
        <w:spacing w:line="360" w:lineRule="auto"/>
        <w:shd w:val="clear" w:color="auto" w:fill="ffffff"/>
        <w:widowControl/>
        <w:rPr>
          <w:rFonts w:ascii="Arial" w:hAnsi="Arial" w:cs="Arial"/>
          <w:b/>
          <w:bCs/>
          <w:sz w:val="24"/>
          <w:highlight w:val="none"/>
        </w:rPr>
        <w:outlineLvl w:val="1"/>
      </w:pPr>
      <w:r/>
      <w:bookmarkStart w:id="62" w:name="_Toc27318"/>
      <w:r>
        <w:rPr>
          <w:rFonts w:ascii="Arial" w:hAnsi="Arial" w:cs="Arial"/>
          <w:b/>
          <w:bCs/>
          <w:sz w:val="24"/>
          <w:highlight w:val="none"/>
        </w:rPr>
        <w:t xml:space="preserve">三、投标文件的编制</w:t>
      </w:r>
      <w:bookmarkEnd w:id="61"/>
      <w:r/>
      <w:bookmarkEnd w:id="62"/>
      <w:r/>
      <w:r/>
    </w:p>
    <w:p>
      <w:pPr>
        <w:pStyle w:val="1118"/>
        <w:ind w:left="0" w:firstLine="422"/>
        <w:jc w:val="both"/>
        <w:keepLines w:val="0"/>
        <w:pageBreakBefore w:val="0"/>
        <w:spacing w:line="360" w:lineRule="auto"/>
        <w:rPr>
          <w:rFonts w:ascii="Arial" w:hAnsi="Arial" w:eastAsia="宋体" w:cs="Arial"/>
          <w:b/>
          <w:bCs/>
          <w:sz w:val="21"/>
          <w:szCs w:val="21"/>
          <w:highlight w:val="none"/>
        </w:rPr>
      </w:pPr>
      <w:r/>
      <w:bookmarkStart w:id="63" w:name="_Toc28127"/>
      <w:r/>
      <w:bookmarkStart w:id="64" w:name="_Toc14460"/>
      <w:r>
        <w:rPr>
          <w:rFonts w:ascii="Arial" w:hAnsi="Arial" w:eastAsia="宋体" w:cs="Arial"/>
          <w:b/>
          <w:bCs/>
          <w:sz w:val="21"/>
          <w:szCs w:val="21"/>
          <w:highlight w:val="none"/>
        </w:rPr>
        <w:t xml:space="preserve">8.</w:t>
      </w:r>
      <w:bookmarkEnd w:id="63"/>
      <w:r>
        <w:rPr>
          <w:rFonts w:ascii="Arial" w:hAnsi="Arial" w:eastAsia="宋体" w:cs="Arial"/>
          <w:b/>
          <w:bCs/>
          <w:sz w:val="21"/>
          <w:szCs w:val="21"/>
          <w:highlight w:val="none"/>
        </w:rPr>
        <w:t xml:space="preserve">投标文件的语言</w:t>
      </w:r>
      <w:r>
        <w:rPr>
          <w:rFonts w:hint="eastAsia" w:ascii="Arial" w:hAnsi="Arial" w:eastAsia="宋体" w:cs="Arial"/>
          <w:b/>
          <w:bCs/>
          <w:sz w:val="21"/>
          <w:szCs w:val="21"/>
          <w:highlight w:val="none"/>
        </w:rPr>
        <w:t xml:space="preserve">、计量单位、货币</w:t>
      </w:r>
      <w:bookmarkEnd w:id="64"/>
      <w:r/>
      <w:r/>
    </w:p>
    <w:p>
      <w:pPr>
        <w:ind w:firstLine="420"/>
        <w:keepLines w:val="0"/>
        <w:pageBreakBefore w:val="0"/>
        <w:spacing w:line="360" w:lineRule="auto"/>
        <w:shd w:val="clear" w:color="auto" w:fill="ffffff"/>
        <w:widowControl/>
        <w:rPr>
          <w:rFonts w:ascii="Arial" w:hAnsi="Arial" w:cs="Arial"/>
          <w:color w:val="000000"/>
          <w:szCs w:val="21"/>
          <w:highlight w:val="none"/>
        </w:rPr>
      </w:pPr>
      <w:r>
        <w:rPr>
          <w:rFonts w:ascii="Arial" w:hAnsi="Arial" w:cs="Arial"/>
          <w:szCs w:val="21"/>
          <w:highlight w:val="none"/>
        </w:rPr>
        <w:t xml:space="preserve">8.1 </w:t>
      </w:r>
      <w:r>
        <w:rPr>
          <w:rFonts w:hint="eastAsia" w:ascii="Arial" w:hAnsi="Arial" w:cs="Arial"/>
          <w:szCs w:val="21"/>
          <w:highlight w:val="none"/>
        </w:rPr>
        <w:t xml:space="preserve">供应商提交的</w:t>
      </w:r>
      <w:r>
        <w:rPr>
          <w:rFonts w:ascii="Arial" w:hAnsi="Arial" w:cs="Arial"/>
          <w:szCs w:val="21"/>
          <w:highlight w:val="none"/>
        </w:rPr>
        <w:t xml:space="preserve">投标文件</w:t>
      </w:r>
      <w:r>
        <w:rPr>
          <w:rFonts w:hint="eastAsia" w:ascii="Arial" w:hAnsi="Arial" w:cs="Arial"/>
          <w:szCs w:val="21"/>
          <w:highlight w:val="none"/>
        </w:rPr>
        <w:t xml:space="preserve">（包括技术文件和资料、图纸中的说明）</w:t>
      </w:r>
      <w:r>
        <w:rPr>
          <w:rFonts w:ascii="Arial" w:hAnsi="Arial" w:cs="Arial"/>
          <w:szCs w:val="21"/>
          <w:highlight w:val="none"/>
        </w:rPr>
        <w:t xml:space="preserve">以及</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与</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之间</w:t>
      </w:r>
      <w:r>
        <w:rPr>
          <w:rFonts w:hint="eastAsia" w:ascii="Arial" w:hAnsi="Arial" w:cs="Arial"/>
          <w:szCs w:val="21"/>
          <w:highlight w:val="none"/>
        </w:rPr>
        <w:t xml:space="preserve">就有关投标的所有来往函电均应</w:t>
      </w:r>
      <w:r>
        <w:rPr>
          <w:rFonts w:ascii="Arial" w:hAnsi="Arial" w:cs="Arial"/>
          <w:color w:val="000000"/>
          <w:szCs w:val="21"/>
          <w:highlight w:val="none"/>
        </w:rPr>
        <w:t xml:space="preserve">以</w:t>
      </w:r>
      <w:r>
        <w:rPr>
          <w:rFonts w:hint="eastAsia" w:ascii="Arial" w:hAnsi="Arial" w:cs="Arial"/>
          <w:color w:val="000000"/>
          <w:szCs w:val="21"/>
          <w:highlight w:val="none"/>
        </w:rPr>
        <w:t xml:space="preserve">简体</w:t>
      </w:r>
      <w:r>
        <w:rPr>
          <w:rFonts w:ascii="Arial" w:hAnsi="Arial" w:cs="Arial"/>
          <w:color w:val="000000"/>
          <w:szCs w:val="21"/>
          <w:highlight w:val="none"/>
        </w:rPr>
        <w:t xml:space="preserve">中文书写。</w:t>
      </w:r>
      <w:r/>
    </w:p>
    <w:p>
      <w:pPr>
        <w:ind w:firstLine="420"/>
        <w:keepLines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8.2</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已印刷好的</w:t>
      </w:r>
      <w:r>
        <w:rPr>
          <w:rFonts w:hint="eastAsia" w:ascii="Arial" w:hAnsi="Arial" w:cs="Arial"/>
          <w:color w:val="000000"/>
          <w:szCs w:val="21"/>
          <w:highlight w:val="none"/>
        </w:rPr>
        <w:t xml:space="preserve">资料如产品样本、说明书等</w:t>
      </w:r>
      <w:r>
        <w:rPr>
          <w:rFonts w:ascii="Arial" w:hAnsi="Arial" w:cs="Arial"/>
          <w:color w:val="000000"/>
          <w:szCs w:val="21"/>
          <w:highlight w:val="none"/>
        </w:rPr>
        <w:t xml:space="preserve">可以用其他语言，但其中要点应附有中文译文。</w:t>
      </w:r>
      <w:r>
        <w:rPr>
          <w:rFonts w:hint="eastAsia" w:ascii="Arial" w:hAnsi="Arial" w:cs="Arial"/>
          <w:color w:val="000000"/>
          <w:szCs w:val="21"/>
          <w:highlight w:val="none"/>
        </w:rPr>
        <w:t xml:space="preserve">对不同文本投标文件的解释发生异议的，以中文翻译文本为准。</w:t>
      </w:r>
      <w:r/>
    </w:p>
    <w:p>
      <w:pPr>
        <w:ind w:firstLine="420"/>
        <w:keepLines w:val="0"/>
        <w:pageBreakBefore w:val="0"/>
        <w:spacing w:line="360" w:lineRule="auto"/>
        <w:shd w:val="clear" w:color="auto" w:fill="ffffff"/>
        <w:widowControl/>
        <w:rPr>
          <w:rFonts w:ascii="Arial" w:hAnsi="Arial" w:cs="Arial"/>
          <w:szCs w:val="21"/>
          <w:highlight w:val="none"/>
        </w:rPr>
      </w:pPr>
      <w:r/>
      <w:bookmarkStart w:id="65" w:name="_Toc19298"/>
      <w:r>
        <w:rPr>
          <w:rFonts w:ascii="Arial" w:hAnsi="Arial" w:cs="Arial"/>
          <w:szCs w:val="21"/>
          <w:highlight w:val="none"/>
        </w:rPr>
        <w:t xml:space="preserve">8.3 </w:t>
      </w:r>
      <w:r>
        <w:rPr>
          <w:rFonts w:hint="eastAsia" w:ascii="Arial" w:hAnsi="Arial" w:cs="Arial"/>
          <w:szCs w:val="21"/>
          <w:highlight w:val="none"/>
        </w:rPr>
        <w:t xml:space="preserve">除招标文件中有特殊要求外，招标文件中所使用的计量单位应为国家法定计量单位</w:t>
      </w:r>
      <w:r>
        <w:rPr>
          <w:rFonts w:ascii="Arial" w:hAnsi="Arial" w:cs="Arial"/>
          <w:szCs w:val="21"/>
          <w:highlight w:val="none"/>
        </w:rPr>
        <w:t xml:space="preserve">。</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8.4 本招标文件所表述的时间均为北京时间。</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8.5 所有投标响应报价具体详见投标人须知前附表。</w:t>
      </w:r>
      <w:r/>
    </w:p>
    <w:p>
      <w:pPr>
        <w:ind w:firstLine="420"/>
        <w:keepLines w:val="0"/>
        <w:pageBreakBefore w:val="0"/>
        <w:spacing w:line="360" w:lineRule="auto"/>
        <w:rPr>
          <w:rFonts w:hint="eastAsia" w:ascii="宋体" w:hAnsi="宋体" w:cs="宋体"/>
          <w:b/>
          <w:szCs w:val="21"/>
          <w:highlight w:val="none"/>
          <w:lang w:val="zh-CN"/>
        </w:rPr>
        <w:outlineLvl w:val="2"/>
      </w:pPr>
      <w:r/>
      <w:bookmarkStart w:id="66" w:name="_Toc30894"/>
      <w:r/>
      <w:bookmarkStart w:id="67" w:name="_Toc11547"/>
      <w:r>
        <w:rPr>
          <w:rFonts w:hint="eastAsia" w:ascii="Arial" w:hAnsi="Arial" w:cs="Arial"/>
          <w:b/>
          <w:bCs/>
          <w:color w:val="000000"/>
          <w:szCs w:val="21"/>
          <w:highlight w:val="none"/>
        </w:rPr>
        <w:t xml:space="preserve">9.</w:t>
      </w:r>
      <w:r>
        <w:rPr>
          <w:rFonts w:hint="eastAsia" w:ascii="宋体" w:hAnsi="宋体" w:cs="宋体"/>
          <w:b/>
          <w:szCs w:val="21"/>
          <w:highlight w:val="none"/>
          <w:lang w:val="zh-CN"/>
        </w:rPr>
        <w:t xml:space="preserve">联合体（根据采购项目是否接受联合体投标而定）</w:t>
      </w:r>
      <w:bookmarkEnd w:id="66"/>
      <w:r/>
      <w:bookmarkEnd w:id="67"/>
      <w:r/>
      <w:r/>
    </w:p>
    <w:p>
      <w:pPr>
        <w:ind w:firstLine="420"/>
        <w:keepLines w:val="0"/>
        <w:pageBreakBefore w:val="0"/>
        <w:spacing w:line="360" w:lineRule="auto"/>
        <w:rPr>
          <w:rFonts w:hint="eastAsia" w:ascii="宋体" w:hAnsi="宋体" w:cs="宋体"/>
          <w:color w:val="000000"/>
          <w:szCs w:val="21"/>
          <w:highlight w:val="none"/>
        </w:rPr>
      </w:pPr>
      <w:r>
        <w:rPr>
          <w:rFonts w:hint="eastAsia" w:ascii="Arial" w:hAnsi="Arial" w:cs="Arial"/>
          <w:szCs w:val="21"/>
          <w:highlight w:val="none"/>
        </w:rPr>
        <w:t xml:space="preserve">9.1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p>
    <w:p>
      <w:pPr>
        <w:ind w:firstLine="420"/>
        <w:keepLines w:val="0"/>
        <w:pageBreakBefore w:val="0"/>
        <w:spacing w:line="360" w:lineRule="auto"/>
        <w:rPr>
          <w:rFonts w:hint="eastAsia" w:ascii="宋体" w:hAnsi="宋体" w:cs="宋体"/>
          <w:color w:val="000000"/>
          <w:szCs w:val="21"/>
          <w:highlight w:val="none"/>
        </w:rPr>
      </w:pPr>
      <w:r>
        <w:rPr>
          <w:rFonts w:hint="eastAsia" w:ascii="Arial" w:hAnsi="Arial" w:cs="Arial"/>
          <w:szCs w:val="21"/>
          <w:highlight w:val="none"/>
        </w:rPr>
        <w:t xml:space="preserve">9.2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p>
    <w:p>
      <w:pPr>
        <w:ind w:firstLine="420"/>
        <w:keepLines w:val="0"/>
        <w:pageBreakBefore w:val="0"/>
        <w:spacing w:line="360" w:lineRule="auto"/>
        <w:rPr>
          <w:rFonts w:hint="eastAsia" w:ascii="宋体" w:hAnsi="宋体" w:cs="宋体"/>
          <w:highlight w:val="none"/>
        </w:rPr>
      </w:pPr>
      <w:r>
        <w:rPr>
          <w:rFonts w:hint="eastAsia" w:ascii="Arial" w:hAnsi="Arial" w:cs="Arial"/>
          <w:szCs w:val="21"/>
          <w:highlight w:val="none"/>
        </w:rPr>
        <w:t xml:space="preserve">9.3</w:t>
      </w:r>
      <w:r>
        <w:rPr>
          <w:rFonts w:hint="eastAsia" w:ascii="宋体" w:hAnsi="宋体" w:cs="宋体"/>
          <w:szCs w:val="21"/>
          <w:highlight w:val="none"/>
        </w:rPr>
        <w:t xml:space="preserve">以联合体形式参加采购的，</w:t>
      </w:r>
      <w:r>
        <w:rPr>
          <w:rFonts w:hint="eastAsia" w:ascii="宋体" w:hAnsi="宋体" w:cs="宋体"/>
          <w:b/>
          <w:szCs w:val="21"/>
          <w:highlight w:val="none"/>
        </w:rPr>
        <w:t xml:space="preserve">联合体各方均应当符合政府采购法第二十二条第一款规定的</w:t>
      </w:r>
      <w:r>
        <w:rPr>
          <w:rFonts w:hint="eastAsia" w:ascii="宋体" w:hAnsi="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cs="宋体"/>
          <w:highlight w:val="none"/>
        </w:rPr>
        <w:t xml:space="preserve">。由同一专业的供应商组成的联合体，</w:t>
      </w:r>
      <w:r>
        <w:rPr>
          <w:rFonts w:hint="eastAsia" w:ascii="宋体" w:hAnsi="宋体" w:cs="宋体"/>
          <w:color w:val="000000"/>
          <w:highlight w:val="none"/>
        </w:rPr>
        <w:t xml:space="preserve">联合体中有同类资质的供应商按照联合体分工承担相同工作的，按照资质等级较低的供应商确定资质等级，并</w:t>
      </w:r>
      <w:r>
        <w:rPr>
          <w:rFonts w:hint="eastAsia" w:ascii="宋体" w:hAnsi="宋体" w:cs="宋体"/>
          <w:highlight w:val="none"/>
        </w:rPr>
        <w:t xml:space="preserve">以响应全权代表方的应答材料作为商务评审的依据</w:t>
      </w:r>
      <w:r>
        <w:rPr>
          <w:rFonts w:hint="eastAsia" w:ascii="宋体" w:hAnsi="宋体" w:cs="宋体"/>
          <w:color w:val="000000"/>
          <w:highlight w:val="none"/>
        </w:rPr>
        <w:t xml:space="preserve">。</w:t>
      </w:r>
      <w:r>
        <w:rPr>
          <w:rFonts w:hint="eastAsia" w:ascii="宋体" w:hAnsi="宋体" w:cs="宋体"/>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360" w:lineRule="auto"/>
        <w:rPr>
          <w:rFonts w:hint="eastAsia" w:ascii="宋体" w:hAnsi="宋体" w:cs="宋体"/>
          <w:highlight w:val="none"/>
        </w:rPr>
      </w:pPr>
      <w:r>
        <w:rPr>
          <w:rFonts w:hint="eastAsia" w:ascii="Arial" w:hAnsi="Arial" w:cs="Arial"/>
          <w:szCs w:val="21"/>
          <w:highlight w:val="none"/>
        </w:rPr>
        <w:t xml:space="preserve">9.4 </w:t>
      </w:r>
      <w:r>
        <w:rPr>
          <w:rFonts w:hint="eastAsia" w:ascii="宋体" w:hAnsi="宋体" w:cs="宋体"/>
          <w:highlight w:val="none"/>
        </w:rPr>
        <w:t xml:space="preserve">联合体各方之间应当签订联合体协议，明确约定联合体各方承担的工作和相应的责任，并将联合体协议连同响应文件一并提交。</w:t>
      </w:r>
      <w:r/>
    </w:p>
    <w:p>
      <w:pPr>
        <w:ind w:firstLine="420"/>
        <w:keepLines w:val="0"/>
        <w:pageBreakBefore w:val="0"/>
        <w:spacing w:line="360" w:lineRule="auto"/>
        <w:shd w:val="clear" w:color="auto" w:fill="ffffff"/>
        <w:widowControl/>
        <w:rPr>
          <w:rFonts w:hint="eastAsia" w:ascii="宋体" w:hAnsi="宋体" w:cs="宋体"/>
          <w:highlight w:val="none"/>
        </w:rPr>
      </w:pPr>
      <w:r>
        <w:rPr>
          <w:rFonts w:hint="eastAsia" w:ascii="Arial" w:hAnsi="Arial" w:cs="Arial"/>
          <w:szCs w:val="21"/>
          <w:highlight w:val="none"/>
        </w:rPr>
        <w:t xml:space="preserve">9.5 </w:t>
      </w:r>
      <w:r>
        <w:rPr>
          <w:rFonts w:hint="eastAsia" w:ascii="宋体" w:hAnsi="宋体" w:cs="宋体"/>
          <w:highlight w:val="none"/>
        </w:rPr>
        <w:t xml:space="preserve">以联合体形式参加政府采购活动的，联合体各方不得再单独参加或者与其他供应商另外组成联合体参加同一合同项下的政府采购活动。</w:t>
      </w:r>
      <w:bookmarkEnd w:id="65"/>
      <w:r/>
      <w:r/>
    </w:p>
    <w:p>
      <w:pPr>
        <w:pStyle w:val="1118"/>
        <w:ind w:left="0" w:firstLine="422"/>
        <w:jc w:val="both"/>
        <w:keepLines w:val="0"/>
        <w:pageBreakBefore w:val="0"/>
        <w:spacing w:line="360" w:lineRule="auto"/>
        <w:rPr>
          <w:rFonts w:hint="eastAsia" w:ascii="宋体" w:hAnsi="宋体" w:eastAsia="宋体" w:cs="宋体"/>
          <w:b/>
          <w:sz w:val="24"/>
          <w:szCs w:val="24"/>
          <w:highlight w:val="none"/>
        </w:rPr>
      </w:pPr>
      <w:r/>
      <w:bookmarkStart w:id="68" w:name="_Toc22790"/>
      <w:r/>
      <w:bookmarkStart w:id="69" w:name="_Toc6681"/>
      <w:r>
        <w:rPr>
          <w:rFonts w:hint="eastAsia" w:ascii="Arial" w:hAnsi="Arial" w:eastAsia="宋体" w:cs="Arial"/>
          <w:b/>
          <w:bCs/>
          <w:color w:val="000000"/>
          <w:sz w:val="21"/>
          <w:szCs w:val="21"/>
          <w:highlight w:val="none"/>
        </w:rPr>
        <w:t xml:space="preserve">10</w:t>
      </w:r>
      <w:r>
        <w:rPr>
          <w:rFonts w:ascii="Arial" w:hAnsi="Arial" w:eastAsia="宋体" w:cs="Arial"/>
          <w:b/>
          <w:bCs/>
          <w:color w:val="000000"/>
          <w:sz w:val="21"/>
          <w:szCs w:val="21"/>
          <w:highlight w:val="none"/>
        </w:rPr>
        <w:t xml:space="preserve">.投标文件</w:t>
      </w:r>
      <w:r>
        <w:rPr>
          <w:rFonts w:hint="eastAsia" w:ascii="宋体" w:hAnsi="宋体" w:eastAsia="宋体" w:cs="宋体"/>
          <w:b/>
          <w:sz w:val="21"/>
          <w:highlight w:val="none"/>
        </w:rPr>
        <w:t xml:space="preserve">的</w:t>
      </w:r>
      <w:bookmarkEnd w:id="68"/>
      <w:r>
        <w:rPr>
          <w:rFonts w:hint="eastAsia" w:ascii="宋体" w:hAnsi="宋体" w:eastAsia="宋体" w:cs="宋体"/>
          <w:b/>
          <w:sz w:val="21"/>
          <w:highlight w:val="none"/>
        </w:rPr>
        <w:t xml:space="preserve">组成</w:t>
      </w:r>
      <w:bookmarkEnd w:id="69"/>
      <w:r>
        <w:rPr>
          <w:rFonts w:hint="eastAsia" w:ascii="宋体" w:hAnsi="宋体" w:eastAsia="宋体" w:cs="宋体"/>
          <w:b/>
          <w:sz w:val="21"/>
          <w:highlight w:val="none"/>
        </w:rPr>
        <w:t xml:space="preserve">（相应内容上传至投标客户端）：</w:t>
      </w:r>
      <w:r/>
    </w:p>
    <w:p>
      <w:pPr>
        <w:ind w:firstLine="420"/>
        <w:keepLines w:val="0"/>
        <w:pageBreakBefore w:val="0"/>
        <w:spacing w:line="360" w:lineRule="auto"/>
        <w:rPr>
          <w:rFonts w:hint="eastAsia" w:ascii="宋体" w:hAnsi="宋体" w:cs="宋体"/>
          <w:highlight w:val="none"/>
        </w:rPr>
      </w:pPr>
      <w:r/>
      <w:bookmarkStart w:id="70" w:name="_Hlk6917373"/>
      <w:r/>
      <w:bookmarkStart w:id="71" w:name="_Hlk529436144"/>
      <w:r/>
      <w:bookmarkStart w:id="72" w:name="_Hlk525992732"/>
      <w:r>
        <w:rPr>
          <w:rFonts w:hint="eastAsia" w:ascii="宋体" w:hAnsi="宋体" w:cs="宋体"/>
          <w:highlight w:val="none"/>
        </w:rPr>
        <w:t xml:space="preserve">1.投标函（格式见附件）；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2.资格证明文件：</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（1）法人或者其他组织的营业执照等证明文件，自然人的身份证明；</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w:t>
      </w:r>
      <w:r>
        <w:rPr>
          <w:rFonts w:hint="eastAsia"/>
          <w:highlight w:val="none"/>
        </w:rPr>
        <w:t xml:space="preserve">具有良好的商业信誉和健全的财务会计制度，提供上年度财务报表扫描件</w:t>
      </w:r>
      <w:r>
        <w:rPr>
          <w:rFonts w:hint="eastAsia" w:ascii="宋体" w:hAnsi="宋体" w:eastAsia="宋体" w:cs="宋体"/>
          <w:bCs/>
          <w:szCs w:val="21"/>
          <w:highlight w:val="none"/>
        </w:rPr>
        <w:t xml:space="preserve">（即</w:t>
      </w:r>
      <w:r>
        <w:rPr>
          <w:rFonts w:hint="eastAsia" w:ascii="宋体" w:hAnsi="宋体" w:eastAsia="宋体" w:cs="宋体"/>
          <w:bCs/>
          <w:szCs w:val="21"/>
          <w:highlight w:val="none"/>
          <w:lang w:val="en-US" w:eastAsia="zh-CN"/>
        </w:rPr>
        <w:t xml:space="preserve">2024年度或2025年度</w:t>
      </w:r>
      <w:r>
        <w:rPr>
          <w:rFonts w:hint="eastAsia" w:ascii="宋体" w:hAnsi="宋体" w:eastAsia="宋体" w:cs="宋体"/>
          <w:bCs/>
          <w:szCs w:val="21"/>
          <w:highlight w:val="none"/>
        </w:rPr>
        <w:t xml:space="preserve">财务报表，如为新成立的公司，应提供公司成立之后的财务报表）或投标截止时间前3个月内，由其基本开户银行出具的资信证明</w:t>
      </w:r>
      <w:r>
        <w:rPr>
          <w:rFonts w:hint="eastAsia" w:ascii="Arial" w:hAnsi="Arial" w:cs="Arial"/>
          <w:szCs w:val="21"/>
          <w:highlight w:val="none"/>
        </w:rPr>
        <w:t xml:space="preserve">；</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（3）具有履行合同所必需的设备和专业技术能力，提供具备履行合同所必需的设备和专业技术能力的证明材料或承诺函（由供应商根据项目需求提供说明材料）； </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（4）有依法缴纳税收和社会保障资金的良好记录，提供本次采购活动前6个月内（即2025年</w:t>
      </w:r>
      <w:r>
        <w:rPr>
          <w:rFonts w:hint="eastAsia" w:ascii="Arial" w:hAnsi="Arial" w:cs="Arial"/>
          <w:szCs w:val="21"/>
          <w:highlight w:val="none"/>
          <w:lang w:val="en-US" w:eastAsia="zh-CN"/>
        </w:rPr>
        <w:t xml:space="preserve">12</w:t>
      </w:r>
      <w:r>
        <w:rPr>
          <w:rFonts w:hint="eastAsia" w:ascii="Arial" w:hAnsi="Arial" w:cs="Arial"/>
          <w:szCs w:val="21"/>
          <w:highlight w:val="none"/>
        </w:rPr>
        <w:t xml:space="preserve">月（含）以来），至少1个月缴纳税收和社会保险的凭证扫描件，依法享受免缴、缓缴的，提供证明材料扫描件；</w:t>
      </w:r>
      <w:r/>
    </w:p>
    <w:p>
      <w:pPr>
        <w:ind w:firstLine="420"/>
        <w:keepLines w:val="0"/>
        <w:pageBreakBefore w:val="0"/>
        <w:spacing w:line="360" w:lineRule="auto"/>
        <w:shd w:val="clear" w:color="auto" w:fill="ffffff"/>
        <w:widowControl/>
        <w:rPr>
          <w:rFonts w:hint="eastAsia" w:ascii="Arial" w:hAnsi="Arial" w:eastAsia="宋体" w:cs="Arial"/>
          <w:szCs w:val="21"/>
          <w:highlight w:val="none"/>
          <w:lang w:eastAsia="zh-CN"/>
        </w:rPr>
      </w:pPr>
      <w:r>
        <w:rPr>
          <w:rFonts w:hint="eastAsia" w:ascii="Arial" w:hAnsi="Arial" w:cs="Arial"/>
          <w:szCs w:val="21"/>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rFonts w:hint="eastAsia" w:ascii="Arial" w:hAnsi="Arial" w:cs="Arial"/>
          <w:szCs w:val="21"/>
          <w:highlight w:val="none"/>
          <w:lang w:eastAsia="zh-CN"/>
        </w:rPr>
        <w:t xml:space="preserve">；</w:t>
      </w:r>
      <w:r/>
    </w:p>
    <w:p>
      <w:pPr>
        <w:ind w:firstLine="420"/>
        <w:keepLines w:val="0"/>
        <w:pageBreakBefore w:val="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以上（2）-（5）款证明材料可使用《南京市政府采购供应商信用记录表暨信用承诺书》替代。</w:t>
      </w:r>
      <w:r/>
    </w:p>
    <w:p>
      <w:pPr>
        <w:ind w:firstLine="420"/>
        <w:keepLines w:val="0"/>
        <w:pageBreakBefore w:val="0"/>
        <w:spacing w:line="360" w:lineRule="auto"/>
        <w:shd w:val="clear" w:color="auto" w:fill="ffffff"/>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3.</w:t>
      </w:r>
      <w:bookmarkStart w:id="73" w:name="_Hlk39128912"/>
      <w:r>
        <w:rPr>
          <w:rFonts w:hint="eastAsia" w:ascii="Arial" w:hAnsi="Arial" w:cs="Arial"/>
          <w:szCs w:val="21"/>
          <w:highlight w:val="none"/>
        </w:rPr>
        <w:t xml:space="preserve">法人代表授权书（法人直接参与投标的可不提供）、法人身份证扫描件、投标人代表身份证扫描件（法人直接参与投标的可不提供）</w:t>
      </w:r>
      <w:r>
        <w:rPr>
          <w:rFonts w:hint="eastAsia" w:ascii="宋体" w:hAnsi="宋体"/>
          <w:highlight w:val="none"/>
        </w:rPr>
        <w:t xml:space="preserve">；</w:t>
      </w:r>
      <w:bookmarkEnd w:id="73"/>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4</w:t>
      </w:r>
      <w:r>
        <w:rPr>
          <w:rFonts w:hint="eastAsia" w:ascii="宋体" w:hAnsi="宋体" w:cs="宋体"/>
          <w:highlight w:val="none"/>
        </w:rPr>
        <w:t xml:space="preserve">.开标一览表（格式见附件）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5</w:t>
      </w:r>
      <w:r>
        <w:rPr>
          <w:rFonts w:hint="eastAsia" w:ascii="宋体" w:hAnsi="宋体" w:cs="宋体"/>
          <w:highlight w:val="none"/>
        </w:rPr>
        <w:t xml:space="preserve">.细目报价表（格式见附件）</w:t>
      </w:r>
      <w:bookmarkEnd w:id="70"/>
      <w:r/>
      <w:bookmarkEnd w:id="71"/>
      <w:r/>
      <w:bookmarkEnd w:id="72"/>
      <w:r/>
      <w:r/>
    </w:p>
    <w:p>
      <w:pPr>
        <w:ind w:firstLine="420"/>
        <w:keepLines w:val="0"/>
        <w:pageBreakBefore w:val="0"/>
        <w:spacing w:line="360" w:lineRule="auto"/>
        <w:rPr>
          <w:rFonts w:hint="eastAsia" w:ascii="宋体" w:hAnsi="宋体" w:cs="宋体"/>
          <w:highlight w:val="none"/>
        </w:rPr>
      </w:pPr>
      <w:r/>
      <w:bookmarkStart w:id="74" w:name="_Toc31206"/>
      <w:r/>
      <w:bookmarkStart w:id="75" w:name="_Toc15215"/>
      <w:r>
        <w:rPr>
          <w:rFonts w:hint="eastAsia" w:ascii="宋体" w:hAnsi="宋体" w:cs="宋体"/>
          <w:highlight w:val="none"/>
          <w:lang w:val="en-US" w:eastAsia="zh-CN"/>
        </w:rPr>
        <w:t xml:space="preserve">6</w:t>
      </w:r>
      <w:r>
        <w:rPr>
          <w:rFonts w:hint="eastAsia" w:ascii="宋体" w:hAnsi="宋体" w:cs="宋体"/>
          <w:highlight w:val="none"/>
        </w:rPr>
        <w:t xml:space="preserve">.</w:t>
      </w:r>
      <w:r>
        <w:rPr>
          <w:rFonts w:hint="eastAsia" w:ascii="宋体" w:hAnsi="宋体" w:cs="宋体"/>
          <w:highlight w:val="none"/>
          <w:lang w:eastAsia="zh-CN"/>
        </w:rPr>
        <w:t xml:space="preserve">采购需求偏离响应表</w:t>
      </w:r>
      <w:r>
        <w:rPr>
          <w:rFonts w:hint="eastAsia" w:ascii="宋体" w:hAnsi="宋体" w:cs="宋体"/>
          <w:highlight w:val="none"/>
        </w:rPr>
        <w:t xml:space="preserve">（格式见附件）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7</w:t>
      </w:r>
      <w:r>
        <w:rPr>
          <w:rFonts w:hint="eastAsia" w:ascii="宋体" w:hAnsi="宋体" w:cs="宋体"/>
          <w:highlight w:val="none"/>
        </w:rPr>
        <w:t xml:space="preserve">.</w:t>
      </w:r>
      <w:r>
        <w:rPr>
          <w:rFonts w:hint="eastAsia" w:ascii="宋体" w:hAnsi="宋体" w:cs="宋体"/>
          <w:highlight w:val="none"/>
          <w:lang w:val="zh-CN"/>
        </w:rPr>
        <w:t xml:space="preserve">供应商认为需要提供的其他技术资料</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.售后服务实施方案等</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.评分标准中对应的所需证明材料（如有自行添加）</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10</w:t>
      </w:r>
      <w:r>
        <w:rPr>
          <w:rFonts w:hint="eastAsia" w:ascii="宋体" w:hAnsi="宋体" w:cs="宋体"/>
          <w:highlight w:val="none"/>
        </w:rPr>
        <w:t xml:space="preserve">.要求采购人提供的配合（如有自拟并自行添加）</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lang w:val="en-US" w:eastAsia="zh-CN"/>
        </w:rPr>
        <w:t xml:space="preserve">1</w:t>
      </w:r>
      <w:r>
        <w:rPr>
          <w:rFonts w:hint="eastAsia" w:ascii="宋体" w:hAnsi="宋体" w:cs="宋体"/>
          <w:highlight w:val="none"/>
        </w:rPr>
        <w:t xml:space="preserve">.其它（投标人认为有必要提供的声明和文件，如有自拟并自行添加）</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（1）投标供应商简介和经营情况说明；（格式见附件）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（2）如是小微企业的，提供《中小企业声明函》；（格式见附件）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（3）残疾人福利性单位声明函；（供应商为残疾人福利性单位的提供，格式见附件）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（4）由省级以上监狱管理局、戒毒管理局出具的属于监狱企业的证明文件；（如适用）</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keepLines w:val="0"/>
        <w:pageBreakBefore w:val="0"/>
        <w:spacing w:line="360" w:lineRule="auto"/>
        <w:rPr>
          <w:rFonts w:hint="eastAsia" w:eastAsia="宋体"/>
          <w:highlight w:val="none"/>
          <w:lang w:eastAsia="zh-CN"/>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6</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如</w:t>
      </w:r>
      <w:r>
        <w:rPr>
          <w:rFonts w:hint="eastAsia" w:ascii="宋体" w:hAnsi="宋体" w:eastAsia="宋体" w:cs="宋体"/>
          <w:i w:val="0"/>
          <w:iCs w:val="0"/>
          <w:caps w:val="0"/>
          <w:color w:val="000000"/>
          <w:spacing w:val="0"/>
          <w:sz w:val="21"/>
          <w:szCs w:val="21"/>
          <w:highlight w:val="none"/>
          <w:shd w:val="clear" w:color="auto" w:fill="ffffff"/>
          <w:vertAlign w:val="baseline"/>
        </w:rPr>
        <w:t xml:space="preserve">本国产品参与竞争的，</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提供</w:t>
      </w:r>
      <w:r>
        <w:rPr>
          <w:rFonts w:hint="eastAsia" w:ascii="宋体" w:hAnsi="宋体" w:eastAsia="宋体" w:cs="宋体"/>
          <w:i w:val="0"/>
          <w:iCs w:val="0"/>
          <w:caps w:val="0"/>
          <w:color w:val="000000"/>
          <w:spacing w:val="0"/>
          <w:sz w:val="21"/>
          <w:szCs w:val="21"/>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cs="宋体"/>
          <w:highlight w:val="none"/>
        </w:rPr>
        <w:t xml:space="preserve">（格式见附件）</w:t>
      </w:r>
      <w:r/>
    </w:p>
    <w:p>
      <w:pPr>
        <w:ind w:firstLine="420"/>
        <w:keepLines w:val="0"/>
        <w:pageBreakBefore w:val="0"/>
        <w:spacing w:line="360" w:lineRule="auto"/>
        <w:rPr>
          <w:rFonts w:ascii="Arial" w:hAnsi="Arial" w:cs="Arial"/>
          <w:color w:val="000000"/>
          <w:szCs w:val="21"/>
          <w:highlight w:val="none"/>
        </w:rPr>
      </w:pPr>
      <w:r>
        <w:rPr>
          <w:rFonts w:hint="eastAsia" w:ascii="宋体" w:hAnsi="宋体" w:cs="宋体"/>
          <w:highlight w:val="none"/>
        </w:rPr>
        <w:t xml:space="preserve">上述1-</w:t>
      </w:r>
      <w:r>
        <w:rPr>
          <w:rFonts w:hint="eastAsia" w:ascii="宋体" w:hAnsi="宋体" w:cs="宋体"/>
          <w:highlight w:val="none"/>
          <w:lang w:val="en-US" w:eastAsia="zh-CN"/>
        </w:rPr>
        <w:t xml:space="preserve">6</w:t>
      </w:r>
      <w:r>
        <w:rPr>
          <w:rFonts w:hint="eastAsia" w:ascii="宋体" w:hAnsi="宋体" w:cs="宋体"/>
          <w:highlight w:val="none"/>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keepLines w:val="0"/>
        <w:pageBreakBefore w:val="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其他部分由供应商根据编制投标文件需要提供的其他相关文件。</w:t>
      </w:r>
      <w:r/>
    </w:p>
    <w:p>
      <w:pPr>
        <w:pStyle w:val="1118"/>
        <w:ind w:left="0" w:firstLine="422"/>
        <w:jc w:val="both"/>
        <w:keepLines w:val="0"/>
        <w:pageBreakBefore w:val="0"/>
        <w:spacing w:line="360" w:lineRule="auto"/>
        <w:rPr>
          <w:rFonts w:hint="eastAsia" w:ascii="宋体" w:hAnsi="宋体" w:eastAsia="宋体" w:cs="Arial"/>
          <w:b/>
          <w:bCs/>
          <w:color w:val="000000"/>
          <w:sz w:val="21"/>
          <w:szCs w:val="21"/>
          <w:highlight w:val="none"/>
        </w:rPr>
      </w:pPr>
      <w:r>
        <w:rPr>
          <w:rFonts w:hint="eastAsia" w:ascii="宋体" w:hAnsi="宋体" w:eastAsia="宋体" w:cs="Arial"/>
          <w:b/>
          <w:bCs/>
          <w:color w:val="000000"/>
          <w:sz w:val="21"/>
          <w:szCs w:val="21"/>
          <w:highlight w:val="none"/>
        </w:rPr>
        <w:t xml:space="preserve">11</w:t>
      </w:r>
      <w:r>
        <w:rPr>
          <w:rFonts w:ascii="宋体" w:hAnsi="宋体" w:eastAsia="宋体" w:cs="Arial"/>
          <w:b/>
          <w:bCs/>
          <w:color w:val="000000"/>
          <w:sz w:val="21"/>
          <w:szCs w:val="21"/>
          <w:highlight w:val="none"/>
        </w:rPr>
        <w:t xml:space="preserve">.投标文件的有效期</w:t>
      </w:r>
      <w:bookmarkEnd w:id="74"/>
      <w:r/>
      <w:bookmarkEnd w:id="75"/>
      <w:r/>
      <w:r/>
    </w:p>
    <w:p>
      <w:pPr>
        <w:ind w:firstLine="420"/>
        <w:jc w:val="left"/>
        <w:keepLines w:val="0"/>
        <w:pageBreakBefore w:val="0"/>
        <w:spacing w:line="360" w:lineRule="auto"/>
        <w:rPr>
          <w:rFonts w:hint="eastAsia" w:ascii="宋体" w:hAnsi="宋体" w:cs="Arial"/>
          <w:bCs/>
          <w:szCs w:val="21"/>
          <w:highlight w:val="none"/>
        </w:rPr>
      </w:pPr>
      <w:r/>
      <w:bookmarkStart w:id="76" w:name="_Toc6811"/>
      <w:r>
        <w:rPr>
          <w:rFonts w:hint="eastAsia" w:ascii="宋体" w:hAnsi="宋体" w:cs="Arial"/>
          <w:bCs/>
          <w:szCs w:val="21"/>
          <w:highlight w:val="none"/>
        </w:rPr>
        <w:t xml:space="preserve">11</w:t>
      </w:r>
      <w:r>
        <w:rPr>
          <w:rFonts w:ascii="宋体" w:hAnsi="宋体" w:cs="Arial"/>
          <w:bCs/>
          <w:szCs w:val="21"/>
          <w:highlight w:val="none"/>
        </w:rPr>
        <w:t xml:space="preserve">.1自开标之日起90天内，投标文件应保持有效，有效期短于此规定的投标文件将视为无效。</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11</w:t>
      </w:r>
      <w:r>
        <w:rPr>
          <w:rFonts w:ascii="宋体" w:hAnsi="宋体" w:cs="Arial"/>
          <w:bCs/>
          <w:szCs w:val="21"/>
          <w:highlight w:val="none"/>
        </w:rPr>
        <w:t xml:space="preserve">.2在特殊情况下，</w:t>
      </w:r>
      <w:r>
        <w:rPr>
          <w:rFonts w:hint="eastAsia" w:ascii="宋体" w:hAnsi="宋体" w:cs="Arial"/>
          <w:bCs/>
          <w:szCs w:val="21"/>
          <w:highlight w:val="none"/>
        </w:rPr>
        <w:t xml:space="preserve">采购代理机构可根据实际情况，在原投标文件有效期截止时间前，</w:t>
      </w:r>
      <w:r>
        <w:rPr>
          <w:rFonts w:ascii="宋体" w:hAnsi="宋体" w:cs="Arial"/>
          <w:bCs/>
          <w:szCs w:val="21"/>
          <w:highlight w:val="none"/>
        </w:rPr>
        <w:t xml:space="preserve">与</w:t>
      </w:r>
      <w:r>
        <w:rPr>
          <w:rFonts w:hint="eastAsia" w:ascii="宋体" w:hAnsi="宋体" w:cs="Arial"/>
          <w:bCs/>
          <w:szCs w:val="21"/>
          <w:highlight w:val="none"/>
        </w:rPr>
        <w:t xml:space="preserve">供应商</w:t>
      </w:r>
      <w:r>
        <w:rPr>
          <w:rFonts w:ascii="宋体" w:hAnsi="宋体" w:cs="Arial"/>
          <w:bCs/>
          <w:szCs w:val="21"/>
          <w:highlight w:val="none"/>
        </w:rPr>
        <w:t xml:space="preserve">协商延长有效期，此类要求和答复都应以</w:t>
      </w:r>
      <w:r>
        <w:rPr>
          <w:rFonts w:hint="eastAsia" w:ascii="宋体" w:hAnsi="宋体" w:cs="Arial"/>
          <w:bCs/>
          <w:szCs w:val="21"/>
          <w:highlight w:val="none"/>
        </w:rPr>
        <w:t xml:space="preserve">书面</w:t>
      </w:r>
      <w:r>
        <w:rPr>
          <w:rFonts w:ascii="宋体" w:hAnsi="宋体" w:cs="Arial"/>
          <w:bCs/>
          <w:szCs w:val="21"/>
          <w:highlight w:val="none"/>
        </w:rPr>
        <w:t xml:space="preserve">形式进行。</w:t>
      </w:r>
      <w:r>
        <w:rPr>
          <w:rFonts w:hint="eastAsia" w:ascii="宋体" w:hAnsi="宋体" w:cs="Arial"/>
          <w:bCs/>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118"/>
        <w:ind w:left="0" w:firstLine="422"/>
        <w:jc w:val="both"/>
        <w:keepLines w:val="0"/>
        <w:pageBreakBefore w:val="0"/>
        <w:spacing w:line="360" w:lineRule="auto"/>
        <w:rPr>
          <w:rFonts w:hint="eastAsia" w:ascii="宋体" w:hAnsi="宋体" w:eastAsia="宋体" w:cs="Arial"/>
          <w:b/>
          <w:bCs/>
          <w:color w:val="000000"/>
          <w:sz w:val="21"/>
          <w:szCs w:val="21"/>
          <w:highlight w:val="none"/>
        </w:rPr>
      </w:pPr>
      <w:r/>
      <w:bookmarkStart w:id="77" w:name="_Toc21944"/>
      <w:r>
        <w:rPr>
          <w:rFonts w:hint="eastAsia" w:ascii="宋体" w:hAnsi="宋体" w:eastAsia="宋体" w:cs="Arial"/>
          <w:b/>
          <w:bCs/>
          <w:color w:val="000000"/>
          <w:sz w:val="21"/>
          <w:szCs w:val="21"/>
          <w:highlight w:val="none"/>
        </w:rPr>
        <w:t xml:space="preserve">12.</w:t>
      </w:r>
      <w:bookmarkEnd w:id="76"/>
      <w:r/>
      <w:bookmarkEnd w:id="77"/>
      <w:r>
        <w:rPr>
          <w:rFonts w:hint="eastAsia" w:ascii="宋体" w:hAnsi="宋体" w:eastAsia="宋体" w:cs="Arial"/>
          <w:b/>
          <w:bCs/>
          <w:color w:val="000000"/>
          <w:sz w:val="21"/>
          <w:szCs w:val="21"/>
          <w:highlight w:val="none"/>
        </w:rPr>
        <w:t xml:space="preserve">投标文件的编制要求和签署要求</w:t>
      </w:r>
      <w:r/>
    </w:p>
    <w:p>
      <w:pPr>
        <w:ind w:firstLine="420"/>
        <w:keepLines w:val="0"/>
        <w:pageBreakBefore w:val="0"/>
        <w:spacing w:line="360" w:lineRule="auto"/>
        <w:rPr>
          <w:rFonts w:hint="eastAsia" w:ascii="宋体" w:hAnsi="宋体" w:cs="Arial"/>
          <w:bCs/>
          <w:szCs w:val="21"/>
          <w:highlight w:val="none"/>
        </w:rPr>
      </w:pPr>
      <w:r/>
      <w:bookmarkStart w:id="78" w:name="_Toc27455"/>
      <w:r>
        <w:rPr>
          <w:rFonts w:hint="eastAsia" w:ascii="宋体" w:hAnsi="宋体" w:cs="Arial"/>
          <w:bCs/>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12.2投标人应对 CA 证书妥善保管，如被他人盗用投标，因此带来的结果均由投标人自行承担。</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12.3投标人应当对招标文件提出的要求和条件作出实质性响应，并在电子投标系统逐条应答。</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12.4投标人应对要求提供的资格证明文件（如资质证书、资格证书）、技术资料（如白皮书、彩页、手册、检测报告等）扫描上传至投标系统。</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79" w:name="_Toc9506"/>
      <w:r>
        <w:rPr>
          <w:rFonts w:ascii="宋体" w:hAnsi="宋体" w:cs="Arial"/>
          <w:b/>
          <w:bCs/>
          <w:color w:val="000000"/>
          <w:szCs w:val="21"/>
          <w:highlight w:val="none"/>
        </w:rPr>
        <w:t xml:space="preserve">四、投标文件的递交</w:t>
      </w:r>
      <w:bookmarkEnd w:id="78"/>
      <w:r/>
      <w:bookmarkEnd w:id="79"/>
      <w:r>
        <w:rPr>
          <w:rFonts w:hint="eastAsia" w:ascii="宋体" w:hAnsi="宋体" w:cs="Arial"/>
          <w:b/>
          <w:bCs/>
          <w:color w:val="000000"/>
          <w:szCs w:val="21"/>
          <w:highlight w:val="none"/>
        </w:rPr>
        <w:t xml:space="preserve"> </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80" w:name="_Toc462564084"/>
      <w:r/>
      <w:bookmarkStart w:id="81" w:name="_Toc513029225"/>
      <w:r/>
      <w:bookmarkStart w:id="82" w:name="_Toc16938541"/>
      <w:r/>
      <w:bookmarkStart w:id="83" w:name="_Toc20823297"/>
      <w:r/>
      <w:bookmarkStart w:id="84" w:name="_Toc15509"/>
      <w:r/>
      <w:bookmarkStart w:id="85" w:name="_Toc415"/>
      <w:r>
        <w:rPr>
          <w:rFonts w:hint="eastAsia" w:ascii="宋体" w:hAnsi="宋体" w:cs="Arial"/>
          <w:b/>
          <w:bCs/>
          <w:color w:val="000000"/>
          <w:szCs w:val="21"/>
          <w:highlight w:val="none"/>
        </w:rPr>
        <w:t xml:space="preserve">13.电子投标文件</w:t>
      </w:r>
      <w:bookmarkEnd w:id="80"/>
      <w:r/>
      <w:bookmarkEnd w:id="81"/>
      <w:r/>
      <w:bookmarkEnd w:id="82"/>
      <w:r/>
      <w:bookmarkEnd w:id="83"/>
      <w:r>
        <w:rPr>
          <w:rFonts w:hint="eastAsia" w:ascii="宋体" w:hAnsi="宋体" w:cs="Arial"/>
          <w:b/>
          <w:bCs/>
          <w:color w:val="000000"/>
          <w:szCs w:val="21"/>
          <w:highlight w:val="none"/>
        </w:rPr>
        <w:t xml:space="preserve">的递交</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13.1投标人应当按照规定，在投标截止时间前制作并上传电子投标文件。</w:t>
      </w:r>
      <w:bookmarkStart w:id="86" w:name="_Toc20823298"/>
      <w:r/>
      <w:bookmarkEnd w:id="86"/>
      <w:r/>
      <w:bookmarkStart w:id="87" w:name="_Toc16938542"/>
      <w:r/>
      <w:bookmarkEnd w:id="87"/>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rPr>
          <w:rFonts w:hint="eastAsia" w:ascii="宋体" w:hAnsi="宋体" w:cs="Arial"/>
          <w:b/>
          <w:bCs/>
          <w:color w:val="000000"/>
          <w:szCs w:val="21"/>
          <w:highlight w:val="none"/>
        </w:rPr>
        <w:t xml:space="preserve">14.投标截止日期</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14.1 投标人上传电子投标文件的时间不得迟于招标公告中规定的投标截止时间。</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投标人应充分考虑到网络环境、网络带宽等风险因素，如因投标人自身原因造成的电子投标文件上传不成功的做无效投标处理。</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88" w:name="_Toc16938543"/>
      <w:r/>
      <w:bookmarkStart w:id="89" w:name="_Toc20823299"/>
      <w:r/>
      <w:bookmarkStart w:id="90" w:name="_Toc513029227"/>
      <w:r>
        <w:rPr>
          <w:rFonts w:hint="eastAsia" w:ascii="宋体" w:hAnsi="宋体" w:cs="Arial"/>
          <w:b/>
          <w:bCs/>
          <w:color w:val="000000"/>
          <w:szCs w:val="21"/>
          <w:highlight w:val="none"/>
        </w:rPr>
        <w:t xml:space="preserve">15.投标文件</w:t>
      </w:r>
      <w:bookmarkEnd w:id="88"/>
      <w:r/>
      <w:bookmarkEnd w:id="89"/>
      <w:r/>
      <w:bookmarkEnd w:id="90"/>
      <w:r>
        <w:rPr>
          <w:rFonts w:hint="eastAsia" w:ascii="宋体" w:hAnsi="宋体" w:cs="Arial"/>
          <w:b/>
          <w:bCs/>
          <w:color w:val="000000"/>
          <w:szCs w:val="21"/>
          <w:highlight w:val="none"/>
        </w:rPr>
        <w:t xml:space="preserve">的拒收</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15.1 采购人及采购代理机构拒绝接收在其规定的投标截止时间后上传的任何投标文件。</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91" w:name="_Toc513029228"/>
      <w:r/>
      <w:bookmarkStart w:id="92" w:name="_Toc16938544"/>
      <w:r/>
      <w:bookmarkStart w:id="93" w:name="_Toc20823300"/>
      <w:r>
        <w:rPr>
          <w:rFonts w:hint="eastAsia" w:ascii="宋体" w:hAnsi="宋体" w:cs="Arial"/>
          <w:b/>
          <w:bCs/>
          <w:color w:val="000000"/>
          <w:szCs w:val="21"/>
          <w:highlight w:val="none"/>
        </w:rPr>
        <w:t xml:space="preserve">16.投标文件的撤回和修改</w:t>
      </w:r>
      <w:bookmarkEnd w:id="91"/>
      <w:r/>
      <w:bookmarkEnd w:id="92"/>
      <w:r/>
      <w:bookmarkEnd w:id="93"/>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 投标文件的撤回</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16.1.1 电子投标文件的撤回</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投标人可在投标截止时间前，撤回其电子投标文件。</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16.1.2 投标人撤回电子投标文件，则认为其不再参与本项目投标活动。</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 投标文件的修改</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16.2.1投标人可在投标截止时间前，对其电子投标文件进行修改。</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16.2.2 在投标截止时间之后，投标人不得对其电子投标文件作任何修改。</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16.3 在投标截止时间至招标文件中规定的投标有效期满之间的这段时间内，投标人不得撤回其投标。</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rPr>
          <w:rFonts w:ascii="宋体" w:hAnsi="宋体" w:cs="Arial"/>
          <w:b/>
          <w:bCs/>
          <w:color w:val="000000"/>
          <w:szCs w:val="21"/>
          <w:highlight w:val="none"/>
        </w:rPr>
        <w:t xml:space="preserve">五、开标与评标</w:t>
      </w:r>
      <w:r/>
    </w:p>
    <w:p>
      <w:pPr>
        <w:pStyle w:val="1118"/>
        <w:ind w:left="0" w:firstLine="422"/>
        <w:jc w:val="both"/>
        <w:keepLines w:val="0"/>
        <w:pageBreakBefore w:val="0"/>
        <w:spacing w:line="360" w:lineRule="auto"/>
        <w:rPr>
          <w:rFonts w:hint="eastAsia" w:ascii="宋体" w:hAnsi="宋体" w:eastAsia="宋体" w:cs="Arial"/>
          <w:b/>
          <w:bCs/>
          <w:color w:val="000000"/>
          <w:sz w:val="21"/>
          <w:szCs w:val="21"/>
          <w:highlight w:val="none"/>
        </w:rPr>
      </w:pPr>
      <w:r/>
      <w:bookmarkStart w:id="94" w:name="_Toc3679"/>
      <w:r/>
      <w:bookmarkStart w:id="95" w:name="OLE_LINK7"/>
      <w:r/>
      <w:bookmarkStart w:id="96" w:name="_Toc15345"/>
      <w:r/>
      <w:bookmarkStart w:id="97" w:name="_Toc20683"/>
      <w:r/>
      <w:bookmarkStart w:id="98" w:name="_Toc13829"/>
      <w:r/>
      <w:bookmarkStart w:id="99" w:name="OLE_LINK3"/>
      <w:r/>
      <w:bookmarkStart w:id="100" w:name="_Toc6944"/>
      <w:r>
        <w:rPr>
          <w:rFonts w:hint="eastAsia" w:ascii="宋体" w:hAnsi="宋体" w:eastAsia="宋体" w:cs="Arial"/>
          <w:b/>
          <w:bCs/>
          <w:color w:val="000000"/>
          <w:sz w:val="21"/>
          <w:szCs w:val="21"/>
          <w:highlight w:val="none"/>
        </w:rPr>
        <w:t xml:space="preserve">17.开标</w:t>
      </w:r>
      <w:bookmarkEnd w:id="94"/>
      <w:r/>
      <w:bookmarkEnd w:id="95"/>
      <w:r/>
      <w:bookmarkEnd w:id="96"/>
      <w:r/>
      <w:bookmarkEnd w:id="97"/>
      <w:r/>
      <w:bookmarkEnd w:id="98"/>
      <w:r/>
      <w:bookmarkEnd w:id="99"/>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17.1开标时间及地点。开标应当在招标文件确定的提交投标文件截止时间的同一时间公开进行；开标地点应当为招标文件中预先确定的地点。</w:t>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17.2由电子招标投标交易平台主持，邀请投标人参加。</w:t>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17.3所有投标单位使用 CA 证书在开标时间时，解密各自投标文件，由工作人员操作系统进行开标，投标人不足3家的，不得开标。</w:t>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keepLines w:val="0"/>
        <w:pageBreakBefore w:val="0"/>
        <w:spacing w:line="360" w:lineRule="auto"/>
        <w:rPr>
          <w:highlight w:val="none"/>
        </w:rPr>
      </w:pPr>
      <w:r>
        <w:rPr>
          <w:rFonts w:hint="eastAsia" w:ascii="宋体" w:hAnsi="宋体" w:cs="Arial"/>
          <w:b/>
          <w:bCs/>
          <w:szCs w:val="21"/>
          <w:highlight w:val="none"/>
        </w:rPr>
        <w:t xml:space="preserve">18.资格性审查：</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18.2信用信息查询</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18.3</w:t>
      </w:r>
      <w:bookmarkEnd w:id="100"/>
      <w:r/>
      <w:bookmarkStart w:id="101" w:name="_Toc30296"/>
      <w:r/>
      <w:bookmarkStart w:id="102" w:name="_Toc513029231"/>
      <w:r/>
      <w:bookmarkStart w:id="103" w:name="_Toc20823303"/>
      <w:r/>
      <w:bookmarkStart w:id="104" w:name="_Toc16938547"/>
      <w:r/>
      <w:bookmarkStart w:id="105" w:name="_Toc29284"/>
      <w:r>
        <w:rPr>
          <w:rFonts w:hint="eastAsia" w:ascii="宋体" w:hAnsi="宋体" w:cs="Arial"/>
          <w:bCs/>
          <w:szCs w:val="21"/>
          <w:highlight w:val="none"/>
        </w:rPr>
        <w:t xml:space="preserve">通过资格性审查合格的投标人不足3家的，不得评标。</w:t>
      </w:r>
      <w:r/>
    </w:p>
    <w:p>
      <w:pPr>
        <w:ind w:firstLine="422"/>
        <w:keepLines w:val="0"/>
        <w:pageBreakBefore w:val="0"/>
        <w:spacing w:line="360" w:lineRule="auto"/>
        <w:rPr>
          <w:rFonts w:hint="eastAsia" w:ascii="宋体" w:hAnsi="宋体" w:cs="Arial"/>
          <w:b/>
          <w:szCs w:val="21"/>
          <w:highlight w:val="none"/>
        </w:rPr>
      </w:pPr>
      <w:r>
        <w:rPr>
          <w:rFonts w:hint="eastAsia" w:ascii="宋体" w:hAnsi="宋体" w:cs="Arial"/>
          <w:b/>
          <w:szCs w:val="21"/>
          <w:highlight w:val="none"/>
        </w:rPr>
        <w:t xml:space="preserve">19.评标 </w:t>
      </w:r>
      <w:r/>
    </w:p>
    <w:p>
      <w:pPr>
        <w:ind w:firstLine="422"/>
        <w:keepLines w:val="0"/>
        <w:pageBreakBefore w:val="0"/>
        <w:spacing w:line="360" w:lineRule="auto"/>
        <w:rPr>
          <w:rFonts w:hint="eastAsia" w:ascii="宋体" w:hAnsi="宋体" w:cs="Arial"/>
          <w:b/>
          <w:szCs w:val="21"/>
          <w:highlight w:val="none"/>
        </w:rPr>
      </w:pPr>
      <w:r>
        <w:rPr>
          <w:rFonts w:hint="eastAsia" w:ascii="宋体" w:hAnsi="宋体" w:cs="Arial"/>
          <w:b/>
          <w:szCs w:val="21"/>
          <w:highlight w:val="none"/>
        </w:rPr>
        <w:t xml:space="preserve">19.1评标组织</w:t>
      </w:r>
      <w:r/>
    </w:p>
    <w:p>
      <w:pPr>
        <w:ind w:firstLine="420"/>
        <w:keepLines w:val="0"/>
        <w:pageBreakBefore w:val="0"/>
        <w:spacing w:line="360" w:lineRule="auto"/>
        <w:rPr>
          <w:rFonts w:ascii="Arial" w:hAnsi="Arial" w:cs="Arial"/>
          <w:bCs/>
          <w:highlight w:val="none"/>
        </w:rPr>
      </w:pPr>
      <w:r>
        <w:rPr>
          <w:rFonts w:hint="eastAsia" w:ascii="宋体" w:hAnsi="宋体" w:cs="Arial"/>
          <w:bCs/>
          <w:szCs w:val="21"/>
          <w:highlight w:val="none"/>
        </w:rPr>
        <w:t xml:space="preserve">19.1评</w:t>
      </w:r>
      <w:r>
        <w:rPr>
          <w:rFonts w:hint="eastAsia" w:ascii="Arial" w:hAnsi="Arial" w:cs="Arial"/>
          <w:bCs/>
          <w:highlight w:val="none"/>
        </w:rPr>
        <w:t xml:space="preserve">标工作由采购代理机构负责组织，具体评标事务由依法组建的评标委员会负责，并独立履行下列职责：</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1</w:t>
      </w:r>
      <w:r>
        <w:rPr>
          <w:rFonts w:hAnsi="宋体"/>
          <w:bCs/>
          <w:szCs w:val="21"/>
          <w:highlight w:val="none"/>
        </w:rPr>
        <w:t xml:space="preserve">）审查、评价投标文件是否符合招标文件的商务、技术等实质性要求；</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2</w:t>
      </w:r>
      <w:r>
        <w:rPr>
          <w:rFonts w:hAnsi="宋体"/>
          <w:bCs/>
          <w:szCs w:val="21"/>
          <w:highlight w:val="none"/>
        </w:rPr>
        <w:t xml:space="preserve">）要求投标人对投标文件有关事项作出澄清或者说明；</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3</w:t>
      </w:r>
      <w:r>
        <w:rPr>
          <w:rFonts w:hAnsi="宋体"/>
          <w:bCs/>
          <w:szCs w:val="21"/>
          <w:highlight w:val="none"/>
        </w:rPr>
        <w:t xml:space="preserve">）对投标文件进行比较和评价；</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4</w:t>
      </w:r>
      <w:r>
        <w:rPr>
          <w:rFonts w:hAnsi="宋体"/>
          <w:bCs/>
          <w:szCs w:val="21"/>
          <w:highlight w:val="none"/>
        </w:rPr>
        <w:t xml:space="preserve">）确定中标候选人名单，以及根据采购人委托直接确定中标人；</w:t>
      </w:r>
      <w:r/>
    </w:p>
    <w:p>
      <w:pPr>
        <w:ind w:firstLine="420"/>
        <w:keepLines w:val="0"/>
        <w:pageBreakBefore w:val="0"/>
        <w:spacing w:line="360" w:lineRule="auto"/>
        <w:shd w:val="clear" w:color="auto" w:fill="ffffff"/>
        <w:widowControl/>
        <w:rPr>
          <w:szCs w:val="21"/>
          <w:highlight w:val="none"/>
        </w:rPr>
      </w:pPr>
      <w:r>
        <w:rPr>
          <w:rFonts w:hAnsi="宋体"/>
          <w:bCs/>
          <w:szCs w:val="21"/>
          <w:highlight w:val="none"/>
        </w:rPr>
        <w:t xml:space="preserve">（</w:t>
      </w:r>
      <w:r>
        <w:rPr>
          <w:rFonts w:hint="eastAsia" w:hAnsi="宋体"/>
          <w:bCs/>
          <w:szCs w:val="21"/>
          <w:highlight w:val="none"/>
        </w:rPr>
        <w:t xml:space="preserve">5</w:t>
      </w:r>
      <w:r>
        <w:rPr>
          <w:rFonts w:hAnsi="宋体"/>
          <w:bCs/>
          <w:szCs w:val="21"/>
          <w:highlight w:val="none"/>
        </w:rPr>
        <w:t xml:space="preserve">）向采购人、采购代理机构或者有关部门报告评标中发现的违法行为。</w:t>
      </w:r>
      <w:r/>
    </w:p>
    <w:p>
      <w:pPr>
        <w:ind w:firstLine="420"/>
        <w:keepLines w:val="0"/>
        <w:pageBreakBefore w:val="0"/>
        <w:spacing w:line="360" w:lineRule="auto"/>
        <w:rPr>
          <w:szCs w:val="21"/>
          <w:highlight w:val="none"/>
        </w:rPr>
      </w:pPr>
      <w:r>
        <w:rPr>
          <w:rFonts w:hint="eastAsia" w:ascii="宋体" w:hAnsi="宋体" w:cs="Arial"/>
          <w:bCs/>
          <w:szCs w:val="21"/>
          <w:highlight w:val="none"/>
        </w:rPr>
        <w:t xml:space="preserve">19.2</w:t>
      </w:r>
      <w:r>
        <w:rPr>
          <w:rFonts w:hint="eastAsia" w:ascii="Arial" w:hAnsi="Arial" w:cs="Arial"/>
          <w:bCs/>
          <w:highlight w:val="none"/>
        </w:rPr>
        <w:t xml:space="preserve">评标委员会由采购人代表和有关技术、经济等方面的专家组成，独立开展评审工作且评标委员会人员构成符合有关规定。</w:t>
      </w:r>
      <w:r/>
    </w:p>
    <w:p>
      <w:pPr>
        <w:ind w:firstLine="422"/>
        <w:keepLines w:val="0"/>
        <w:pageBreakBefore w:val="0"/>
        <w:spacing w:line="360" w:lineRule="auto"/>
        <w:rPr>
          <w:rFonts w:hint="eastAsia" w:ascii="宋体" w:hAnsi="宋体" w:cs="Arial"/>
          <w:b/>
          <w:szCs w:val="21"/>
          <w:highlight w:val="none"/>
        </w:rPr>
      </w:pPr>
      <w:r/>
      <w:bookmarkStart w:id="106" w:name="_Toc16288"/>
      <w:r>
        <w:rPr>
          <w:rFonts w:hint="eastAsia" w:ascii="宋体" w:hAnsi="宋体" w:cs="Arial"/>
          <w:b/>
          <w:szCs w:val="21"/>
          <w:highlight w:val="none"/>
        </w:rPr>
        <w:t xml:space="preserve">19.3 对投标文件的符合性审查</w:t>
      </w:r>
      <w:bookmarkEnd w:id="106"/>
      <w:r/>
      <w:r/>
    </w:p>
    <w:p>
      <w:pPr>
        <w:ind w:firstLine="420"/>
        <w:keepLines w:val="0"/>
        <w:pageBreakBefore w:val="0"/>
        <w:spacing w:line="360" w:lineRule="auto"/>
        <w:shd w:val="clear" w:color="auto" w:fill="ffffff"/>
        <w:widowControl/>
        <w:rPr>
          <w:rFonts w:hint="default" w:hAnsi="宋体" w:eastAsia="宋体"/>
          <w:bCs/>
          <w:szCs w:val="21"/>
          <w:highlight w:val="none"/>
          <w:lang w:val="en-US" w:eastAsia="zh-CN"/>
        </w:rPr>
      </w:pPr>
      <w:r>
        <w:rPr>
          <w:rFonts w:hint="eastAsia" w:ascii="宋体" w:hAnsi="宋体" w:cs="Arial"/>
          <w:bCs/>
          <w:szCs w:val="21"/>
          <w:highlight w:val="none"/>
        </w:rPr>
        <w:t xml:space="preserve">19.3.1</w:t>
      </w:r>
      <w:r>
        <w:rPr>
          <w:rFonts w:hint="eastAsia" w:hAnsi="宋体"/>
          <w:bCs/>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szCs w:val="21"/>
          <w:highlight w:val="none"/>
        </w:rPr>
        <w:t xml:space="preserve">实质性要求是指本招标文件中用带星号（“★”）说明的商务和技术要求</w:t>
      </w:r>
      <w:r>
        <w:rPr>
          <w:rFonts w:hint="eastAsia" w:hAnsi="宋体"/>
          <w:bCs/>
          <w:szCs w:val="21"/>
          <w:highlight w:val="none"/>
          <w:lang w:eastAsia="zh-CN"/>
        </w:rPr>
        <w:t xml:space="preserve">，</w:t>
      </w:r>
      <w:r>
        <w:rPr>
          <w:rFonts w:hint="eastAsia" w:hAnsi="宋体"/>
          <w:bCs/>
          <w:szCs w:val="21"/>
          <w:highlight w:val="none"/>
          <w:lang w:val="en-US" w:eastAsia="zh-CN"/>
        </w:rPr>
        <w:t xml:space="preserve">偏离将导致其投标被否决。</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19.3.2</w:t>
      </w:r>
      <w:r>
        <w:rPr>
          <w:rFonts w:hint="eastAsia" w:hAnsi="宋体"/>
          <w:bCs/>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19.3.3</w:t>
      </w:r>
      <w:r>
        <w:rPr>
          <w:rFonts w:hint="eastAsia" w:hAnsi="宋体"/>
          <w:bCs/>
          <w:szCs w:val="21"/>
          <w:highlight w:val="none"/>
        </w:rPr>
        <w:t xml:space="preserve">评审时，投标文件出现不一致情形的，按下列规定执行：</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19.3.3.1投标文件正本与副本不符的，以正本为准。</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19.3.3.2投标文件报价出现前后不一致的，按照下列规定修正：</w:t>
      </w:r>
      <w:r/>
    </w:p>
    <w:p>
      <w:pPr>
        <w:ind w:firstLine="420"/>
        <w:keepLines w:val="0"/>
        <w:pageBreakBefore w:val="0"/>
        <w:spacing w:line="360" w:lineRule="auto"/>
        <w:rPr>
          <w:rFonts w:hint="eastAsia" w:ascii="宋体" w:hAnsi="宋体" w:cs="Arial"/>
          <w:bCs/>
          <w:szCs w:val="21"/>
          <w:highlight w:val="none"/>
        </w:rPr>
      </w:pPr>
      <w:r>
        <w:rPr>
          <w:rFonts w:hint="eastAsia" w:hAnsi="宋体"/>
          <w:bCs/>
          <w:szCs w:val="21"/>
          <w:highlight w:val="none"/>
        </w:rPr>
        <w:t xml:space="preserve">（1）投</w:t>
      </w:r>
      <w:r>
        <w:rPr>
          <w:rFonts w:hint="eastAsia" w:ascii="宋体" w:hAnsi="宋体" w:cs="Arial"/>
          <w:bCs/>
          <w:szCs w:val="21"/>
          <w:highlight w:val="none"/>
        </w:rPr>
        <w:t xml:space="preserve">标文件中开标一览表（报价表）内容与投标文件中相应内容不一致的，以开标一览表（报价表）为准；</w:t>
      </w:r>
      <w:r/>
    </w:p>
    <w:p>
      <w:pPr>
        <w:ind w:firstLine="426"/>
        <w:keepLines w:val="0"/>
        <w:pageBreakBefore w:val="0"/>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（2）大写金额和小写金额不一致的，以大写金额为准；</w:t>
      </w:r>
      <w:r/>
    </w:p>
    <w:p>
      <w:pPr>
        <w:ind w:firstLine="426"/>
        <w:keepLines w:val="0"/>
        <w:pageBreakBefore w:val="0"/>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（3）单价金额小数点或者百分比有明显错位的，以开标一览表的总价为准，并修改单价；</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hAnsi="宋体"/>
          <w:bCs/>
          <w:szCs w:val="21"/>
          <w:highlight w:val="none"/>
        </w:rPr>
        <w:t xml:space="preserve">（4）总价金额与按单价汇总金额不一致的，以单价金额计算结果为准。</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hAnsi="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19.3.4</w:t>
      </w:r>
      <w:r>
        <w:rPr>
          <w:rFonts w:hint="eastAsia" w:hAnsi="宋体"/>
          <w:bCs/>
          <w:szCs w:val="21"/>
          <w:highlight w:val="none"/>
        </w:rPr>
        <w:t xml:space="preserve">评标委员会认为投标人的</w:t>
      </w:r>
      <w:r>
        <w:rPr>
          <w:rFonts w:hint="eastAsia" w:hAnsi="宋体"/>
          <w:bCs/>
          <w:szCs w:val="21"/>
          <w:highlight w:val="none"/>
          <w:lang w:val="en-US" w:eastAsia="zh-CN"/>
        </w:rPr>
        <w:t xml:space="preserve">报价</w:t>
      </w:r>
      <w:r>
        <w:rPr>
          <w:rFonts w:hint="eastAsia" w:hAnsi="宋体"/>
          <w:bCs/>
          <w:szCs w:val="21"/>
          <w:highlight w:val="none"/>
        </w:rPr>
        <w:t xml:space="preserve">明显</w:t>
      </w:r>
      <w:r>
        <w:rPr>
          <w:rFonts w:hint="eastAsia" w:hAnsi="宋体"/>
          <w:bCs/>
          <w:szCs w:val="21"/>
          <w:highlight w:val="none"/>
          <w:lang w:val="en-US" w:eastAsia="zh-CN"/>
        </w:rPr>
        <w:t xml:space="preserve">低于</w:t>
      </w:r>
      <w:r>
        <w:rPr>
          <w:rFonts w:hint="eastAsia" w:hAnsi="宋体"/>
          <w:bCs/>
          <w:szCs w:val="21"/>
          <w:highlight w:val="none"/>
        </w:rPr>
        <w:t xml:space="preserve">其他通过符合性审查投标人</w:t>
      </w:r>
      <w:r>
        <w:rPr>
          <w:rFonts w:hint="eastAsia" w:hAnsi="宋体"/>
          <w:bCs/>
          <w:szCs w:val="21"/>
          <w:highlight w:val="none"/>
          <w:lang w:val="en-US" w:eastAsia="zh-CN"/>
        </w:rPr>
        <w:t xml:space="preserve">报价</w:t>
      </w:r>
      <w:r>
        <w:rPr>
          <w:rFonts w:hint="eastAsia" w:hAnsi="宋体"/>
          <w:bCs/>
          <w:szCs w:val="21"/>
          <w:highlight w:val="none"/>
        </w:rPr>
        <w:t xml:space="preserve">，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19.3.6评审过程中出现下列情形之一的，评审委员会应当启动异常低价投标（响应）审查程序： </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w:t>
      </w:r>
      <w:r>
        <w:rPr>
          <w:rFonts w:hint="eastAsia" w:ascii="宋体" w:hAnsi="宋体" w:eastAsia="宋体" w:cs="Arial"/>
          <w:b w:val="0"/>
          <w:bCs/>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19.3.6.2</w:t>
      </w:r>
      <w:r>
        <w:rPr>
          <w:rFonts w:hint="eastAsia" w:ascii="宋体" w:hAnsi="宋体" w:eastAsia="宋体" w:cs="Arial"/>
          <w:b w:val="0"/>
          <w:bCs/>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19.3.6.3</w:t>
      </w:r>
      <w:r>
        <w:rPr>
          <w:rFonts w:hint="eastAsia" w:ascii="宋体" w:hAnsi="宋体" w:eastAsia="宋体" w:cs="Arial"/>
          <w:b w:val="0"/>
          <w:bCs/>
          <w:szCs w:val="21"/>
          <w:highlight w:val="none"/>
          <w:lang w:val="en-US" w:eastAsia="zh-CN"/>
        </w:rPr>
        <w:t xml:space="preserve">.投标（响应）报价低于采购项目最高限价45%的，即投标（响应）报价&lt;采购项目最高限价×45%；</w:t>
      </w:r>
      <w:r/>
    </w:p>
    <w:p>
      <w:pPr>
        <w:ind w:firstLine="420"/>
        <w:keepLines w:val="0"/>
        <w:pageBreakBefore w:val="0"/>
        <w:spacing w:line="360" w:lineRule="auto"/>
        <w:rPr>
          <w:highlight w:val="none"/>
        </w:rPr>
      </w:pPr>
      <w:r>
        <w:rPr>
          <w:rFonts w:hint="eastAsia" w:ascii="宋体" w:hAnsi="宋体" w:eastAsia="宋体" w:cs="Arial"/>
          <w:b w:val="0"/>
          <w:bCs/>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101"/>
      <w:r/>
      <w:r/>
    </w:p>
    <w:p>
      <w:pPr>
        <w:pStyle w:val="1118"/>
        <w:ind w:left="0" w:firstLine="422"/>
        <w:jc w:val="both"/>
        <w:keepLines w:val="0"/>
        <w:pageBreakBefore w:val="0"/>
        <w:spacing w:line="360" w:lineRule="auto"/>
        <w:rPr>
          <w:rFonts w:hint="eastAsia" w:ascii="宋体" w:hAnsi="宋体" w:eastAsia="宋体" w:cs="Arial"/>
          <w:b/>
          <w:bCs/>
          <w:sz w:val="21"/>
          <w:szCs w:val="21"/>
          <w:highlight w:val="none"/>
        </w:rPr>
      </w:pPr>
      <w:r/>
      <w:bookmarkStart w:id="107" w:name="_Toc26857"/>
      <w:r/>
      <w:bookmarkStart w:id="108" w:name="_Toc13685"/>
      <w:r>
        <w:rPr>
          <w:rFonts w:hint="eastAsia" w:ascii="宋体" w:hAnsi="宋体" w:eastAsia="宋体" w:cs="Arial"/>
          <w:b/>
          <w:bCs/>
          <w:sz w:val="21"/>
          <w:szCs w:val="21"/>
          <w:highlight w:val="none"/>
        </w:rPr>
        <w:t xml:space="preserve">19.4投标文件的澄清</w:t>
      </w:r>
      <w:bookmarkEnd w:id="107"/>
      <w:r>
        <w:rPr>
          <w:rFonts w:hint="eastAsia" w:ascii="宋体" w:hAnsi="宋体" w:eastAsia="宋体" w:cs="Arial"/>
          <w:b/>
          <w:bCs/>
          <w:sz w:val="21"/>
          <w:szCs w:val="21"/>
          <w:highlight w:val="none"/>
        </w:rPr>
        <w:t xml:space="preserve">  </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8"/>
      <w:r/>
      <w:r/>
    </w:p>
    <w:p>
      <w:pPr>
        <w:ind w:firstLine="424"/>
        <w:keepLines w:val="0"/>
        <w:pageBreakBefore w:val="0"/>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19.5比较与评价</w:t>
      </w:r>
      <w:r/>
    </w:p>
    <w:p>
      <w:pPr>
        <w:ind w:firstLine="420"/>
        <w:keepLines w:val="0"/>
        <w:pageBreakBefore w:val="0"/>
        <w:spacing w:line="360" w:lineRule="auto"/>
        <w:tabs>
          <w:tab w:val="left" w:pos="1365" w:leader="none"/>
        </w:tabs>
        <w:rPr>
          <w:rFonts w:hint="eastAsia" w:ascii="宋体" w:hAnsi="宋体" w:cs="Arial"/>
          <w:bCs/>
          <w:szCs w:val="21"/>
          <w:highlight w:val="none"/>
        </w:rPr>
      </w:pPr>
      <w:r>
        <w:rPr>
          <w:rFonts w:hint="eastAsia" w:ascii="宋体" w:hAnsi="宋体" w:cs="Arial"/>
          <w:bCs/>
          <w:szCs w:val="21"/>
          <w:highlight w:val="none"/>
        </w:rPr>
        <w:t xml:space="preserve">19.5.1投标文件资格性检查和符合性检查结束后，凡属于“无效投标文件确认”的投标文件不进入比较与评价程序。</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19.5.2评标委员会应当按照招标文件中规定的评标方法和标准，对符合性审查合格的投标文件进行商务和技术评估，综合比较与评价。</w:t>
      </w:r>
      <w:r/>
    </w:p>
    <w:p>
      <w:pPr>
        <w:ind w:firstLine="420"/>
        <w:jc w:val="left"/>
        <w:keepLines w:val="0"/>
        <w:pageBreakBefore w:val="0"/>
        <w:spacing w:line="360" w:lineRule="auto"/>
        <w:shd w:val="clear" w:color="auto" w:fill="ffffff"/>
        <w:widowControl/>
        <w:rPr>
          <w:rFonts w:hint="eastAsia" w:ascii="宋体" w:hAnsi="宋体" w:cs="宋体"/>
          <w:bCs/>
          <w:szCs w:val="21"/>
          <w:highlight w:val="none"/>
        </w:rPr>
      </w:pPr>
      <w:r>
        <w:rPr>
          <w:rFonts w:hint="eastAsia" w:ascii="宋体" w:hAnsi="宋体" w:cs="Arial"/>
          <w:bCs/>
          <w:szCs w:val="21"/>
          <w:highlight w:val="none"/>
        </w:rPr>
        <w:t xml:space="preserve">19.5.3除评标方法和评标标准另有规定外，评标</w:t>
      </w:r>
      <w:r>
        <w:rPr>
          <w:rFonts w:hint="eastAsia" w:ascii="宋体" w:hAnsi="宋体" w:cs="宋体"/>
          <w:bCs/>
          <w:szCs w:val="21"/>
          <w:highlight w:val="none"/>
        </w:rPr>
        <w:t xml:space="preserve">采用综合评分法。即投标文件满足招标文件全部实质性要求，且按照评审因素的量化指标评审得分最高的供应商为中标候选供应商的评标方法。</w:t>
      </w:r>
      <w:r>
        <w:rPr>
          <w:rFonts w:hAnsi="宋体"/>
          <w:szCs w:val="21"/>
          <w:highlight w:val="none"/>
        </w:rPr>
        <w:t xml:space="preserve">评标时，评标委员会各成员应当独立对每个投标人的投标文件进行评价，并汇总每个投标人的得分。</w:t>
      </w:r>
      <w:r/>
    </w:p>
    <w:p>
      <w:pPr>
        <w:ind w:firstLine="420"/>
        <w:keepLines w:val="0"/>
        <w:pageBreakBefore w:val="0"/>
        <w:spacing w:line="360" w:lineRule="auto"/>
        <w:rPr>
          <w:rFonts w:hint="eastAsia" w:ascii="宋体" w:hAnsi="宋体" w:cs="宋体"/>
          <w:bCs/>
          <w:szCs w:val="21"/>
          <w:highlight w:val="none"/>
        </w:rPr>
      </w:pPr>
      <w:r>
        <w:rPr>
          <w:rFonts w:hint="eastAsia" w:ascii="宋体" w:hAnsi="宋体" w:cs="Arial"/>
          <w:bCs/>
          <w:szCs w:val="21"/>
          <w:highlight w:val="none"/>
        </w:rPr>
        <w:t xml:space="preserve">19.5.4</w:t>
      </w:r>
      <w:r>
        <w:rPr>
          <w:rFonts w:hint="eastAsia" w:ascii="宋体" w:hAnsi="宋体" w:cs="宋体"/>
          <w:bCs/>
          <w:szCs w:val="21"/>
          <w:highlight w:val="none"/>
        </w:rPr>
        <w:t xml:space="preserve">评审因素包括投标报价、技术或者服务水平、履约能力、售后服务等。</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19.5.5评标方法和评标标准详见文件第三章。</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highlight w:val="none"/>
        </w:rPr>
        <w:t xml:space="preserve">取技术分最高者；均相同时，由</w:t>
      </w:r>
      <w:r>
        <w:rPr>
          <w:rFonts w:hint="eastAsia" w:ascii="宋体" w:hAnsi="宋体" w:cs="Arial"/>
          <w:bCs/>
          <w:szCs w:val="21"/>
          <w:highlight w:val="none"/>
        </w:rPr>
        <w:t xml:space="preserve">评标委员会</w:t>
      </w:r>
      <w:r>
        <w:rPr>
          <w:rFonts w:ascii="宋体" w:hAnsi="宋体" w:cs="Arial"/>
          <w:bCs/>
          <w:szCs w:val="21"/>
          <w:highlight w:val="none"/>
        </w:rPr>
        <w:t xml:space="preserve">集体决定</w:t>
      </w:r>
      <w:r>
        <w:rPr>
          <w:rFonts w:hint="eastAsia" w:ascii="宋体" w:hAnsi="宋体" w:cs="Arial"/>
          <w:bCs/>
          <w:szCs w:val="21"/>
          <w:highlight w:val="none"/>
        </w:rPr>
        <w:t xml:space="preserve">一个供应商获得中标供应商推荐资格，或采取随机抽取方式确定，其他同品牌供应商不作为中标候选人。</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keepLines w:val="0"/>
        <w:pageBreakBefore w:val="0"/>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19.6投标供应商存在下列情况之一的，其投标无效：</w:t>
      </w:r>
      <w:r/>
    </w:p>
    <w:p>
      <w:pPr>
        <w:ind w:firstLine="420"/>
        <w:jc w:val="left"/>
        <w:keepLines w:val="0"/>
        <w:pageBreakBefore w:val="0"/>
        <w:spacing w:line="360" w:lineRule="auto"/>
        <w:shd w:val="clear" w:color="auto" w:fill="ffffff"/>
        <w:widowControl/>
        <w:tabs>
          <w:tab w:val="left" w:pos="767" w:leader="none"/>
        </w:tabs>
        <w:rPr>
          <w:rFonts w:hint="eastAsia" w:hAnsi="宋体"/>
          <w:szCs w:val="21"/>
          <w:highlight w:val="none"/>
        </w:rPr>
      </w:pPr>
      <w:r>
        <w:rPr>
          <w:rFonts w:hint="eastAsia" w:hAnsi="宋体"/>
          <w:szCs w:val="21"/>
          <w:highlight w:val="none"/>
        </w:rPr>
        <w:t xml:space="preserve">（1）投标人在苏采云系统规定的时间内未成功解密电子投标文件的。</w:t>
      </w:r>
      <w:r/>
    </w:p>
    <w:p>
      <w:pPr>
        <w:ind w:firstLine="420"/>
        <w:jc w:val="left"/>
        <w:keepLines w:val="0"/>
        <w:pageBreakBefore w:val="0"/>
        <w:spacing w:line="360" w:lineRule="auto"/>
        <w:shd w:val="clear" w:color="auto" w:fill="ffffff"/>
        <w:widowControl/>
        <w:tabs>
          <w:tab w:val="left" w:pos="767" w:leader="none"/>
        </w:tabs>
        <w:rPr>
          <w:rFonts w:hint="eastAsia" w:hAnsi="宋体"/>
          <w:szCs w:val="21"/>
          <w:highlight w:val="none"/>
        </w:rPr>
      </w:pPr>
      <w:r>
        <w:rPr>
          <w:rFonts w:hint="eastAsia" w:ascii="宋体" w:hAnsi="宋体" w:cs="Arial"/>
          <w:bCs/>
          <w:szCs w:val="21"/>
          <w:highlight w:val="none"/>
        </w:rPr>
        <w:t xml:space="preserve">（2）</w:t>
      </w:r>
      <w:r>
        <w:rPr>
          <w:rFonts w:hint="eastAsia" w:hAnsi="宋体"/>
          <w:szCs w:val="21"/>
          <w:highlight w:val="none"/>
        </w:rPr>
        <w:t xml:space="preserve">投标人未按照招标文件要求上传电子投标文件的。</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ascii="宋体" w:hAnsi="宋体" w:cs="Arial"/>
          <w:bCs/>
          <w:szCs w:val="21"/>
          <w:highlight w:val="none"/>
        </w:rPr>
        <w:t xml:space="preserve">（3）供应商</w:t>
      </w:r>
      <w:r>
        <w:rPr>
          <w:rFonts w:ascii="宋体" w:hAnsi="宋体" w:cs="Arial"/>
          <w:bCs/>
          <w:szCs w:val="21"/>
          <w:highlight w:val="none"/>
        </w:rPr>
        <w:t xml:space="preserve">不具备招标文件中规定资格要求的</w:t>
      </w:r>
      <w:r>
        <w:rPr>
          <w:rFonts w:hAnsi="宋体"/>
          <w:szCs w:val="21"/>
          <w:highlight w:val="none"/>
        </w:rPr>
        <w:t xml:space="preserve">；</w:t>
      </w:r>
      <w:r/>
    </w:p>
    <w:p>
      <w:pPr>
        <w:ind w:firstLine="420"/>
        <w:keepLines w:val="0"/>
        <w:pageBreakBefore w:val="0"/>
        <w:spacing w:line="360" w:lineRule="auto"/>
        <w:rPr>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供应商</w:t>
      </w:r>
      <w:r>
        <w:rPr>
          <w:rFonts w:ascii="宋体" w:hAnsi="宋体" w:cs="Arial"/>
          <w:bCs/>
          <w:szCs w:val="21"/>
          <w:highlight w:val="none"/>
        </w:rPr>
        <w:t xml:space="preserve">在报价时采用选择性报价；</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lang w:val="en-US" w:eastAsia="zh-CN"/>
        </w:rPr>
        <w:t xml:space="preserve">5</w:t>
      </w:r>
      <w:r>
        <w:rPr>
          <w:rFonts w:hAnsi="宋体"/>
          <w:szCs w:val="21"/>
          <w:highlight w:val="none"/>
        </w:rPr>
        <w:t xml:space="preserve">）投标文件含有采购人不能接受的附加条件的；</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lang w:val="en-US" w:eastAsia="zh-CN"/>
        </w:rPr>
        <w:t xml:space="preserve">6</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的投标文件由同一单位或者个人编制；</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lang w:val="en-US" w:eastAsia="zh-CN"/>
        </w:rPr>
        <w:t xml:space="preserve">7</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委托同一单位或者个人办理投标事宜；</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lang w:val="en-US" w:eastAsia="zh-CN"/>
        </w:rPr>
        <w:t xml:space="preserve">8</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的投标文件载明的项目管理成员</w:t>
      </w:r>
      <w:r>
        <w:rPr>
          <w:rFonts w:hint="eastAsia" w:hAnsi="宋体"/>
          <w:szCs w:val="21"/>
          <w:highlight w:val="none"/>
        </w:rPr>
        <w:t xml:space="preserve">或联系人员</w:t>
      </w:r>
      <w:r>
        <w:rPr>
          <w:rFonts w:hAnsi="宋体"/>
          <w:szCs w:val="21"/>
          <w:highlight w:val="none"/>
        </w:rPr>
        <w:t xml:space="preserve">为同一人；</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lang w:val="en-US" w:eastAsia="zh-CN"/>
        </w:rPr>
        <w:t xml:space="preserve">9</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的投标文件异常一致或者投标报价呈规律性差异；</w:t>
      </w:r>
      <w:r/>
    </w:p>
    <w:p>
      <w:pPr>
        <w:ind w:firstLine="420"/>
        <w:jc w:val="left"/>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hAnsi="宋体"/>
          <w:szCs w:val="21"/>
          <w:highlight w:val="none"/>
        </w:rPr>
        <w:t xml:space="preserve">1</w:t>
      </w:r>
      <w:r>
        <w:rPr>
          <w:rFonts w:hint="eastAsia" w:hAnsi="宋体"/>
          <w:szCs w:val="21"/>
          <w:highlight w:val="none"/>
          <w:lang w:val="en-US" w:eastAsia="zh-CN"/>
        </w:rPr>
        <w:t xml:space="preserve">0</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的投标文件相互混装；</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1</w:t>
      </w:r>
      <w:r>
        <w:rPr>
          <w:rFonts w:hint="eastAsia" w:ascii="宋体" w:hAnsi="宋体" w:cs="Arial"/>
          <w:bCs/>
          <w:szCs w:val="21"/>
          <w:highlight w:val="none"/>
        </w:rPr>
        <w:t xml:space="preserve">）不同供应商的法定代表人或委托代理人有夫妻、直系血亲关系的；</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2</w:t>
      </w:r>
      <w:r>
        <w:rPr>
          <w:rFonts w:hint="eastAsia" w:ascii="宋体" w:hAnsi="宋体" w:cs="Arial"/>
          <w:bCs/>
          <w:szCs w:val="21"/>
          <w:highlight w:val="none"/>
        </w:rPr>
        <w:t xml:space="preserve">）不同供应商的负责人为同一人或者存在控股、管理关系的；</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3</w:t>
      </w:r>
      <w:r>
        <w:rPr>
          <w:rFonts w:hint="eastAsia" w:ascii="宋体" w:hAnsi="宋体" w:cs="Arial"/>
          <w:bCs/>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4</w:t>
      </w:r>
      <w:r>
        <w:rPr>
          <w:rFonts w:hAnsi="宋体"/>
          <w:szCs w:val="21"/>
          <w:highlight w:val="none"/>
        </w:rPr>
        <w:t xml:space="preserve">）提供虚假材料的（包括工商营业执照、财务报表、资格证明文件等）；</w:t>
      </w:r>
      <w:r/>
    </w:p>
    <w:p>
      <w:pPr>
        <w:ind w:firstLine="420"/>
        <w:keepLines w:val="0"/>
        <w:pageBreakBefore w:val="0"/>
        <w:spacing w:line="360" w:lineRule="auto"/>
        <w:rPr>
          <w:highlight w:val="none"/>
        </w:rPr>
      </w:pPr>
      <w:r>
        <w:rPr>
          <w:rFonts w:ascii="宋体" w:hAnsi="宋体" w:cs="Arial"/>
          <w:bCs/>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5</w:t>
      </w:r>
      <w:r>
        <w:rPr>
          <w:rFonts w:ascii="宋体" w:hAnsi="宋体" w:cs="Arial"/>
          <w:bCs/>
          <w:szCs w:val="21"/>
          <w:highlight w:val="none"/>
        </w:rPr>
        <w:t xml:space="preserve">）未通过符合性检查的；</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6</w:t>
      </w:r>
      <w:r>
        <w:rPr>
          <w:rFonts w:hAnsi="宋体"/>
          <w:szCs w:val="21"/>
          <w:highlight w:val="none"/>
        </w:rPr>
        <w:t xml:space="preserve">）不符合招标文件中规定的其它实质性要求的；</w:t>
      </w:r>
      <w:r/>
    </w:p>
    <w:p>
      <w:pPr>
        <w:ind w:firstLine="420"/>
        <w:jc w:val="left"/>
        <w:keepLines w:val="0"/>
        <w:pageBreakBefore w:val="0"/>
        <w:spacing w:line="360" w:lineRule="auto"/>
        <w:shd w:val="clear" w:color="auto" w:fill="ffffff"/>
        <w:widowControl/>
        <w:rPr>
          <w:rFonts w:hint="eastAsia" w:hAnsi="宋体" w:eastAsia="宋体"/>
          <w:szCs w:val="21"/>
          <w:highlight w:val="none"/>
          <w:lang w:eastAsia="zh-CN"/>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7</w:t>
      </w:r>
      <w:r>
        <w:rPr>
          <w:rFonts w:hAnsi="宋体"/>
          <w:szCs w:val="21"/>
          <w:highlight w:val="none"/>
        </w:rPr>
        <w:t xml:space="preserve">）</w:t>
      </w:r>
      <w:r>
        <w:rPr>
          <w:rFonts w:hint="eastAsia" w:hAnsi="宋体"/>
          <w:szCs w:val="21"/>
          <w:highlight w:val="none"/>
        </w:rPr>
        <w:t xml:space="preserve">投标人所投标产品不符合招标文件中所列国家强制性标准的</w:t>
      </w:r>
      <w:r>
        <w:rPr>
          <w:rFonts w:hint="eastAsia" w:hAnsi="宋体"/>
          <w:szCs w:val="21"/>
          <w:highlight w:val="none"/>
          <w:lang w:eastAsia="zh-CN"/>
        </w:rPr>
        <w:t xml:space="preserve">；</w:t>
      </w:r>
      <w:r/>
    </w:p>
    <w:p>
      <w:pPr>
        <w:ind w:firstLine="420"/>
        <w:jc w:val="left"/>
        <w:keepLines w:val="0"/>
        <w:pageBreakBefore w:val="0"/>
        <w:spacing w:line="360" w:lineRule="auto"/>
        <w:shd w:val="clear" w:color="auto" w:fill="ffffff"/>
        <w:widowControl/>
        <w:rPr>
          <w:szCs w:val="21"/>
          <w:highlight w:val="none"/>
        </w:rPr>
      </w:pPr>
      <w:r>
        <w:rPr>
          <w:rFonts w:hint="eastAsia" w:hAnsi="宋体"/>
          <w:szCs w:val="21"/>
          <w:highlight w:val="none"/>
          <w:lang w:eastAsia="zh-CN"/>
        </w:rPr>
        <w:t xml:space="preserve">（</w:t>
      </w:r>
      <w:r>
        <w:rPr>
          <w:rFonts w:hint="eastAsia" w:hAnsi="宋体"/>
          <w:szCs w:val="21"/>
          <w:highlight w:val="none"/>
          <w:lang w:val="en-US" w:eastAsia="zh-CN"/>
        </w:rPr>
        <w:t xml:space="preserve">18</w:t>
      </w:r>
      <w:r>
        <w:rPr>
          <w:rFonts w:hint="eastAsia" w:hAnsi="宋体"/>
          <w:szCs w:val="21"/>
          <w:highlight w:val="none"/>
          <w:lang w:eastAsia="zh-CN"/>
        </w:rPr>
        <w:t xml:space="preserve">）</w:t>
      </w:r>
      <w:r>
        <w:rPr>
          <w:rFonts w:hAnsi="宋体"/>
          <w:szCs w:val="21"/>
          <w:highlight w:val="none"/>
        </w:rPr>
        <w:t xml:space="preserve">法律、法规和招标文件规定的其他无效情形。</w:t>
      </w:r>
      <w:r/>
    </w:p>
    <w:p>
      <w:pPr>
        <w:ind w:firstLine="420"/>
        <w:keepLines w:val="0"/>
        <w:pageBreakBefore w:val="0"/>
        <w:spacing w:line="360" w:lineRule="auto"/>
        <w:shd w:val="clear" w:color="auto" w:fill="ffffff"/>
        <w:widowControl/>
        <w:rPr>
          <w:b/>
          <w:szCs w:val="21"/>
          <w:highlight w:val="none"/>
        </w:rPr>
      </w:pPr>
      <w:r>
        <w:rPr>
          <w:rFonts w:hint="eastAsia" w:ascii="宋体" w:hAnsi="宋体" w:cs="Arial"/>
          <w:b/>
          <w:bCs/>
          <w:szCs w:val="21"/>
          <w:highlight w:val="none"/>
        </w:rPr>
        <w:t xml:space="preserve">19.7</w:t>
      </w:r>
      <w:r>
        <w:rPr>
          <w:b/>
          <w:bCs/>
          <w:szCs w:val="21"/>
          <w:highlight w:val="none"/>
        </w:rPr>
        <w:t xml:space="preserve"> </w:t>
      </w:r>
      <w:r>
        <w:rPr>
          <w:rFonts w:hAnsi="宋体"/>
          <w:b/>
          <w:szCs w:val="21"/>
          <w:highlight w:val="none"/>
        </w:rPr>
        <w:t xml:space="preserve">出现下列情形之一的，应予废标：</w:t>
      </w:r>
      <w:r/>
    </w:p>
    <w:p>
      <w:pPr>
        <w:ind w:firstLine="420"/>
        <w:keepLines w:val="0"/>
        <w:pageBreakBefore w:val="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1</w:t>
      </w:r>
      <w:r>
        <w:rPr>
          <w:rFonts w:hAnsi="宋体"/>
          <w:szCs w:val="21"/>
          <w:highlight w:val="none"/>
        </w:rPr>
        <w:t xml:space="preserve">）符合专业条件的供应商或者对招标文件作实质响应的供应商不足三家的；</w:t>
      </w:r>
      <w:r/>
    </w:p>
    <w:p>
      <w:pPr>
        <w:ind w:firstLine="420"/>
        <w:keepLines w:val="0"/>
        <w:pageBreakBefore w:val="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2</w:t>
      </w:r>
      <w:r>
        <w:rPr>
          <w:rFonts w:hAnsi="宋体"/>
          <w:szCs w:val="21"/>
          <w:highlight w:val="none"/>
        </w:rPr>
        <w:t xml:space="preserve">）出现影响采购公正的违法、违规行为的；</w:t>
      </w:r>
      <w:r/>
    </w:p>
    <w:p>
      <w:pPr>
        <w:ind w:firstLine="420"/>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szCs w:val="21"/>
          <w:highlight w:val="none"/>
        </w:rPr>
        <w:t xml:space="preserve">3</w:t>
      </w:r>
      <w:r>
        <w:rPr>
          <w:rFonts w:hAnsi="宋体"/>
          <w:szCs w:val="21"/>
          <w:highlight w:val="none"/>
        </w:rPr>
        <w:t xml:space="preserve">）因重大变故，采购任务取消的</w:t>
      </w:r>
      <w:r>
        <w:rPr>
          <w:rFonts w:hint="eastAsia" w:hAnsi="宋体"/>
          <w:szCs w:val="21"/>
          <w:highlight w:val="none"/>
        </w:rPr>
        <w:t xml:space="preserve">；</w:t>
      </w:r>
      <w:r/>
    </w:p>
    <w:p>
      <w:pPr>
        <w:ind w:firstLine="420"/>
        <w:keepLines w:val="0"/>
        <w:pageBreakBefore w:val="0"/>
        <w:spacing w:line="360" w:lineRule="auto"/>
        <w:rPr>
          <w:highlight w:val="none"/>
        </w:rPr>
      </w:pPr>
      <w:r>
        <w:rPr>
          <w:rFonts w:ascii="Arial" w:hAnsi="Arial" w:cs="Arial"/>
          <w:bCs/>
          <w:highlight w:val="none"/>
        </w:rPr>
        <w:t xml:space="preserve">（4）</w:t>
      </w:r>
      <w:r>
        <w:rPr>
          <w:rFonts w:hint="eastAsia" w:ascii="Arial" w:hAnsi="Arial" w:cs="Arial"/>
          <w:bCs/>
          <w:highlight w:val="none"/>
        </w:rPr>
        <w:t xml:space="preserve">评标委员会认定投标文件存在歧义、重大缺陷</w:t>
      </w:r>
      <w:r>
        <w:rPr>
          <w:rFonts w:ascii="Arial" w:hAnsi="Arial" w:cs="Arial"/>
          <w:bCs/>
          <w:highlight w:val="none"/>
        </w:rPr>
        <w:t xml:space="preserve">导致评审工作无法进行的</w:t>
      </w:r>
      <w:r>
        <w:rPr>
          <w:rFonts w:hint="eastAsia" w:ascii="Arial" w:hAnsi="Arial" w:cs="Arial"/>
          <w:bCs/>
          <w:highlight w:val="none"/>
        </w:rPr>
        <w:t xml:space="preserve">，或者招标文件内容违反国家有关强制性规定的</w:t>
      </w:r>
      <w:r>
        <w:rPr>
          <w:rFonts w:ascii="Arial" w:hAnsi="Arial" w:cs="Arial"/>
          <w:bCs/>
          <w:highlight w:val="none"/>
        </w:rPr>
        <w:t xml:space="preserve">。</w:t>
      </w:r>
      <w:r/>
    </w:p>
    <w:p>
      <w:pPr>
        <w:ind w:firstLine="420"/>
        <w:jc w:val="left"/>
        <w:keepLines w:val="0"/>
        <w:pageBreakBefore w:val="0"/>
        <w:spacing w:line="360" w:lineRule="auto"/>
        <w:shd w:val="clear" w:color="auto" w:fill="ffffff"/>
        <w:widowControl/>
        <w:rPr>
          <w:rFonts w:hAnsi="宋体"/>
          <w:szCs w:val="21"/>
          <w:highlight w:val="none"/>
        </w:rPr>
      </w:pPr>
      <w:r>
        <w:rPr>
          <w:rFonts w:hAnsi="宋体"/>
          <w:szCs w:val="21"/>
          <w:highlight w:val="none"/>
        </w:rPr>
        <w:t xml:space="preserve">在评标期间，通过资格审查或符合性审查的投标人不足</w:t>
      </w:r>
      <w:r>
        <w:rPr>
          <w:szCs w:val="21"/>
          <w:highlight w:val="none"/>
        </w:rPr>
        <w:t xml:space="preserve">3</w:t>
      </w:r>
      <w:r>
        <w:rPr>
          <w:rFonts w:hAnsi="宋体"/>
          <w:szCs w:val="21"/>
          <w:highlight w:val="none"/>
        </w:rPr>
        <w:t xml:space="preserve">家情形的，比照</w:t>
      </w:r>
      <w:r>
        <w:rPr>
          <w:rFonts w:hint="eastAsia"/>
          <w:b/>
          <w:bCs/>
          <w:szCs w:val="21"/>
          <w:highlight w:val="none"/>
        </w:rPr>
        <w:t xml:space="preserve">19.3.5</w:t>
      </w:r>
      <w:r>
        <w:rPr>
          <w:rFonts w:hAnsi="宋体"/>
          <w:szCs w:val="21"/>
          <w:highlight w:val="none"/>
        </w:rPr>
        <w:t xml:space="preserve">款执行。</w:t>
      </w:r>
      <w:bookmarkEnd w:id="102"/>
      <w:r/>
      <w:bookmarkEnd w:id="103"/>
      <w:r/>
      <w:bookmarkEnd w:id="104"/>
      <w:r/>
      <w:bookmarkEnd w:id="105"/>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109" w:name="_Toc12294"/>
      <w:r/>
      <w:bookmarkStart w:id="110" w:name="_Toc18327"/>
      <w:r>
        <w:rPr>
          <w:rFonts w:ascii="宋体" w:hAnsi="宋体" w:cs="Arial"/>
          <w:b/>
          <w:bCs/>
          <w:color w:val="000000"/>
          <w:szCs w:val="21"/>
          <w:highlight w:val="none"/>
        </w:rPr>
        <w:t xml:space="preserve">六、授标</w:t>
      </w:r>
      <w:bookmarkEnd w:id="109"/>
      <w:r/>
      <w:bookmarkEnd w:id="110"/>
      <w:r/>
      <w:r/>
    </w:p>
    <w:p>
      <w:pPr>
        <w:pStyle w:val="1118"/>
        <w:ind w:left="0" w:firstLine="422"/>
        <w:jc w:val="both"/>
        <w:keepLines w:val="0"/>
        <w:pageBreakBefore w:val="0"/>
        <w:spacing w:line="360" w:lineRule="auto"/>
        <w:rPr>
          <w:rFonts w:hint="eastAsia" w:ascii="宋体" w:hAnsi="宋体" w:eastAsia="宋体" w:cs="Arial"/>
          <w:b/>
          <w:bCs/>
          <w:color w:val="000000"/>
          <w:sz w:val="21"/>
          <w:szCs w:val="21"/>
          <w:highlight w:val="none"/>
        </w:rPr>
      </w:pPr>
      <w:r/>
      <w:bookmarkStart w:id="111" w:name="_Toc28693"/>
      <w:r/>
      <w:bookmarkStart w:id="112" w:name="_Toc27522"/>
      <w:r>
        <w:rPr>
          <w:rFonts w:hint="eastAsia" w:ascii="宋体" w:hAnsi="宋体" w:eastAsia="宋体" w:cs="Arial"/>
          <w:b/>
          <w:bCs/>
          <w:color w:val="000000"/>
          <w:sz w:val="21"/>
          <w:szCs w:val="21"/>
          <w:highlight w:val="none"/>
        </w:rPr>
        <w:t xml:space="preserve">20.确定中标</w:t>
      </w:r>
      <w:bookmarkEnd w:id="111"/>
      <w:r>
        <w:rPr>
          <w:rFonts w:hint="eastAsia" w:ascii="宋体" w:hAnsi="宋体" w:eastAsia="宋体" w:cs="Arial"/>
          <w:b/>
          <w:bCs/>
          <w:color w:val="000000"/>
          <w:sz w:val="21"/>
          <w:szCs w:val="21"/>
          <w:highlight w:val="none"/>
        </w:rPr>
        <w:t xml:space="preserve">供应商</w:t>
      </w:r>
      <w:bookmarkEnd w:id="112"/>
      <w:r/>
      <w:bookmarkStart w:id="113" w:name="_Toc7377"/>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keepLines w:val="0"/>
        <w:pageBreakBefore w:val="0"/>
        <w:spacing w:line="360" w:lineRule="auto"/>
        <w:shd w:val="clear" w:color="auto" w:fill="ffffff"/>
        <w:widowControl/>
        <w:rPr>
          <w:szCs w:val="21"/>
          <w:highlight w:val="none"/>
        </w:rPr>
      </w:pPr>
      <w:r>
        <w:rPr>
          <w:rFonts w:hint="eastAsia" w:hAnsi="宋体"/>
          <w:szCs w:val="21"/>
          <w:highlight w:val="none"/>
        </w:rPr>
        <w:t xml:space="preserve">20.2</w:t>
      </w:r>
      <w:r>
        <w:rPr>
          <w:rFonts w:hAnsi="宋体"/>
          <w:szCs w:val="21"/>
          <w:highlight w:val="none"/>
        </w:rPr>
        <w:t xml:space="preserve">中标人确定后，</w:t>
      </w:r>
      <w:r>
        <w:rPr>
          <w:rFonts w:hint="eastAsia" w:hAnsi="宋体"/>
          <w:szCs w:val="21"/>
          <w:highlight w:val="none"/>
        </w:rPr>
        <w:t xml:space="preserve">在南京公共采购信息网</w:t>
      </w:r>
      <w:r>
        <w:rPr>
          <w:rStyle w:val="1164"/>
          <w:rFonts w:hint="eastAsia" w:cs="Arial"/>
          <w:b w:val="0"/>
          <w:highlight w:val="none"/>
        </w:rPr>
        <w:t xml:space="preserve">、</w:t>
      </w:r>
      <w:r>
        <w:rPr>
          <w:rFonts w:hint="eastAsia" w:hAnsi="宋体"/>
          <w:szCs w:val="21"/>
          <w:highlight w:val="none"/>
          <w:lang w:eastAsia="zh-CN"/>
        </w:rPr>
        <w:t xml:space="preserve">江苏政府采购网</w:t>
      </w:r>
      <w:r>
        <w:rPr>
          <w:rFonts w:hAnsi="宋体"/>
          <w:szCs w:val="21"/>
          <w:highlight w:val="none"/>
        </w:rPr>
        <w:t xml:space="preserve">上公告中标结果，中标公告期为</w:t>
      </w:r>
      <w:r>
        <w:rPr>
          <w:szCs w:val="21"/>
          <w:highlight w:val="none"/>
        </w:rPr>
        <w:t xml:space="preserve">1</w:t>
      </w:r>
      <w:r>
        <w:rPr>
          <w:rFonts w:hAnsi="宋体"/>
          <w:szCs w:val="21"/>
          <w:highlight w:val="none"/>
        </w:rPr>
        <w:t xml:space="preserve">个工作日，公告的同时向中标供应商发出中标通知书。</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20.3中标供应商在收到中标通知书后，应郑重保证履行中标供应商应履行的，含招标代理服务费在内的一切义务和责任。</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20.4中标通知书对采购人和中标供应商具有同等法律效力。</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20.6 若评标委员会发现供应商的投标文件中有弄虚作假行为，则该供应商将失去中标资格。</w:t>
      </w:r>
      <w:r/>
    </w:p>
    <w:p>
      <w:pPr>
        <w:ind w:firstLine="420"/>
        <w:keepLines w:val="0"/>
        <w:pageBreakBefore w:val="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1.</w:t>
      </w:r>
      <w:r>
        <w:rPr>
          <w:rFonts w:hAnsi="宋体"/>
          <w:b/>
          <w:bCs/>
          <w:szCs w:val="21"/>
          <w:highlight w:val="none"/>
        </w:rPr>
        <w:t xml:space="preserve">评标过程的保密性</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.1 </w:t>
      </w:r>
      <w:r>
        <w:rPr>
          <w:rFonts w:hAnsi="宋体"/>
          <w:szCs w:val="21"/>
          <w:highlight w:val="none"/>
        </w:rPr>
        <w:t xml:space="preserve">采购人和采购代理机构将采取必要措施，保证评标在严格保密的情况下进行。</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.2 </w:t>
      </w:r>
      <w:r>
        <w:rPr>
          <w:rFonts w:hAnsi="宋体"/>
          <w:szCs w:val="21"/>
          <w:highlight w:val="none"/>
        </w:rPr>
        <w:t xml:space="preserve">任何单位和个人不得非法干预、影响评标办法的确定，以及评标过程和结果。</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.3 </w:t>
      </w:r>
      <w:r>
        <w:rPr>
          <w:rFonts w:hAnsi="宋体"/>
          <w:szCs w:val="21"/>
          <w:highlight w:val="none"/>
        </w:rPr>
        <w:t xml:space="preserve">凡是与审查、澄清、评价和比较投标的有关资料等，均不向投标人及与评标无关的其他人员透露。</w:t>
      </w:r>
      <w:r/>
    </w:p>
    <w:p>
      <w:pPr>
        <w:ind w:firstLine="420"/>
        <w:keepLines w:val="0"/>
        <w:pageBreakBefore w:val="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2.</w:t>
      </w:r>
      <w:r>
        <w:rPr>
          <w:rFonts w:hAnsi="宋体"/>
          <w:b/>
          <w:bCs/>
          <w:szCs w:val="21"/>
          <w:highlight w:val="none"/>
        </w:rPr>
        <w:t xml:space="preserve">签订合同</w:t>
      </w:r>
      <w:r/>
    </w:p>
    <w:p>
      <w:pPr>
        <w:ind w:firstLine="420"/>
        <w:keepLines w:val="0"/>
        <w:pageBreakBefore w:val="0"/>
        <w:spacing w:line="360" w:lineRule="auto"/>
        <w:shd w:val="clear" w:color="auto" w:fill="ffffff"/>
        <w:widowControl/>
        <w:rPr>
          <w:rFonts w:hint="eastAsia"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.1</w:t>
      </w:r>
      <w:r>
        <w:rPr>
          <w:rFonts w:hint="eastAsia"/>
          <w:szCs w:val="21"/>
          <w:highlight w:val="none"/>
        </w:rPr>
        <w:t xml:space="preserve">采购人应当自中标通</w:t>
      </w:r>
      <w:r>
        <w:rPr>
          <w:rFonts w:hint="eastAsia" w:hAnsi="宋体"/>
          <w:szCs w:val="21"/>
          <w:highlight w:val="none"/>
        </w:rPr>
        <w:t xml:space="preserve">知书发出之日起三十日内</w:t>
      </w:r>
      <w:r>
        <w:rPr>
          <w:rFonts w:hAnsi="宋体"/>
          <w:szCs w:val="21"/>
          <w:highlight w:val="none"/>
        </w:rPr>
        <w:t xml:space="preserve">，</w:t>
      </w:r>
      <w:r>
        <w:rPr>
          <w:rFonts w:hint="eastAsia" w:hAnsi="宋体"/>
          <w:szCs w:val="21"/>
          <w:highlight w:val="none"/>
        </w:rPr>
        <w:t xml:space="preserve">按照招标文件和中标供应商投标文件的约定，与中标供应商签订书面合同。所签订的合同不得对招标文件和中标供应商投标文件作实质性修改。</w:t>
      </w:r>
      <w:r/>
    </w:p>
    <w:p>
      <w:pPr>
        <w:ind w:firstLine="420"/>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.2</w:t>
      </w:r>
      <w:r>
        <w:rPr>
          <w:rFonts w:hint="eastAsia" w:hAnsi="宋体"/>
          <w:szCs w:val="21"/>
          <w:highlight w:val="none"/>
        </w:rPr>
        <w:t xml:space="preserve">招标文件、中标供应商的投标文件及评标过程中有关澄清、说明或者补正文件均应作为合同附件。</w:t>
      </w:r>
      <w:r/>
    </w:p>
    <w:p>
      <w:pPr>
        <w:ind w:firstLine="420"/>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3</w:t>
      </w:r>
      <w:r>
        <w:rPr>
          <w:rFonts w:hAnsi="宋体"/>
          <w:szCs w:val="21"/>
          <w:highlight w:val="none"/>
        </w:rPr>
        <w:t xml:space="preserve">采购人不得向中标人提出任何不合理的要求作为签订合同的条件。</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4</w:t>
      </w:r>
      <w:r>
        <w:rPr>
          <w:szCs w:val="21"/>
          <w:highlight w:val="none"/>
        </w:rPr>
        <w:t xml:space="preserve"> </w:t>
      </w:r>
      <w:r>
        <w:rPr>
          <w:rFonts w:hint="eastAsia" w:ascii="宋体" w:hAnsi="宋体" w:cs="Arial"/>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highlight w:val="none"/>
        </w:rPr>
        <w:t xml:space="preserve">。</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5</w:t>
      </w:r>
      <w:r>
        <w:rPr>
          <w:szCs w:val="21"/>
          <w:highlight w:val="none"/>
        </w:rPr>
        <w:t xml:space="preserve"> </w:t>
      </w:r>
      <w:r>
        <w:rPr>
          <w:rFonts w:hAnsi="宋体"/>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keepLines w:val="0"/>
        <w:pageBreakBefore w:val="0"/>
        <w:spacing w:line="360" w:lineRule="auto"/>
        <w:shd w:val="clear" w:color="auto" w:fill="ffffff"/>
        <w:widowControl/>
        <w:rPr>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6</w:t>
      </w:r>
      <w:r>
        <w:rPr>
          <w:szCs w:val="21"/>
          <w:highlight w:val="none"/>
        </w:rPr>
        <w:t xml:space="preserve"> </w:t>
      </w:r>
      <w:r>
        <w:rPr>
          <w:rFonts w:hAnsi="宋体"/>
          <w:szCs w:val="21"/>
          <w:highlight w:val="none"/>
        </w:rPr>
        <w:t xml:space="preserve">采购人与中标人应当根据合同的约定依法履行合同义务。</w:t>
      </w:r>
      <w:bookmarkEnd w:id="113"/>
      <w:r/>
      <w:r/>
    </w:p>
    <w:p>
      <w:pPr>
        <w:pStyle w:val="1118"/>
        <w:ind w:left="420" w:firstLine="0"/>
        <w:jc w:val="both"/>
        <w:keepLines w:val="0"/>
        <w:pageBreakBefore w:val="0"/>
        <w:spacing w:line="360" w:lineRule="auto"/>
        <w:rPr>
          <w:rFonts w:hint="eastAsia" w:ascii="宋体" w:hAnsi="宋体" w:eastAsia="宋体" w:cs="Arial"/>
          <w:b/>
          <w:bCs/>
          <w:color w:val="000000"/>
          <w:sz w:val="21"/>
          <w:szCs w:val="21"/>
          <w:highlight w:val="none"/>
        </w:rPr>
      </w:pPr>
      <w:r>
        <w:rPr>
          <w:rFonts w:hint="eastAsia" w:ascii="宋体" w:hAnsi="宋体" w:eastAsia="宋体" w:cs="Arial"/>
          <w:b/>
          <w:bCs/>
          <w:color w:val="000000"/>
          <w:sz w:val="21"/>
          <w:szCs w:val="21"/>
          <w:highlight w:val="none"/>
        </w:rPr>
        <w:t xml:space="preserve">23.招标代理服务费</w:t>
      </w:r>
      <w:bookmarkEnd w:id="84"/>
      <w:r/>
      <w:bookmarkEnd w:id="85"/>
      <w:r/>
      <w:r/>
    </w:p>
    <w:p>
      <w:pPr>
        <w:keepLines w:val="0"/>
        <w:pageBreakBefore w:val="0"/>
        <w:spacing w:line="360" w:lineRule="auto"/>
        <w:rPr>
          <w:rFonts w:hint="eastAsia" w:ascii="宋体" w:hAnsi="宋体"/>
          <w:szCs w:val="21"/>
          <w:highlight w:val="none"/>
          <w:lang w:val="zh-CN"/>
        </w:rPr>
      </w:pPr>
      <w:r>
        <w:rPr>
          <w:rFonts w:hint="eastAsia" w:ascii="宋体" w:hAnsi="宋体" w:cs="Arial"/>
          <w:bCs/>
          <w:szCs w:val="21"/>
          <w:highlight w:val="none"/>
        </w:rPr>
        <w:t xml:space="preserve">    </w:t>
      </w:r>
      <w:r>
        <w:rPr>
          <w:rFonts w:ascii="宋体" w:hAnsi="宋体" w:cs="Arial"/>
          <w:bCs/>
          <w:szCs w:val="21"/>
          <w:highlight w:val="none"/>
        </w:rPr>
        <w:t xml:space="preserve">2</w:t>
      </w:r>
      <w:r>
        <w:rPr>
          <w:rFonts w:hint="eastAsia" w:ascii="宋体" w:hAnsi="宋体" w:cs="Arial"/>
          <w:bCs/>
          <w:szCs w:val="21"/>
          <w:highlight w:val="none"/>
        </w:rPr>
        <w:t xml:space="preserve">3</w:t>
      </w:r>
      <w:r>
        <w:rPr>
          <w:rFonts w:ascii="宋体" w:hAnsi="宋体" w:cs="Arial"/>
          <w:bCs/>
          <w:szCs w:val="21"/>
          <w:highlight w:val="none"/>
        </w:rPr>
        <w:t xml:space="preserve">.1</w:t>
      </w:r>
      <w:r>
        <w:rPr>
          <w:rFonts w:hint="eastAsia" w:ascii="宋体" w:hAnsi="宋体" w:cs="Arial"/>
          <w:bCs/>
          <w:szCs w:val="21"/>
          <w:highlight w:val="none"/>
        </w:rPr>
        <w:t xml:space="preserve"> </w:t>
      </w:r>
      <w:r>
        <w:rPr>
          <w:rFonts w:hint="eastAsia" w:ascii="宋体" w:hAnsi="宋体"/>
          <w:szCs w:val="21"/>
          <w:highlight w:val="none"/>
          <w:lang w:val="zh-CN"/>
        </w:rPr>
        <w:t xml:space="preserve">领取中标通知时，中标人向采购代理机构一次性付清。</w:t>
      </w:r>
      <w:r/>
    </w:p>
    <w:p>
      <w:pPr>
        <w:pStyle w:val="907"/>
        <w:ind w:firstLine="420"/>
        <w:keepLines w:val="0"/>
        <w:pageBreakBefore w:val="0"/>
        <w:spacing w:line="360" w:lineRule="auto"/>
        <w:rPr>
          <w:rFonts w:hint="eastAsia"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2</w:t>
      </w:r>
      <w:r>
        <w:rPr>
          <w:rFonts w:hAnsi="宋体"/>
          <w:szCs w:val="21"/>
          <w:highlight w:val="none"/>
        </w:rPr>
        <w:t xml:space="preserve">招标代理服务费：本次招标，中标人</w:t>
      </w:r>
      <w:r>
        <w:rPr>
          <w:rFonts w:hint="eastAsia" w:hAnsi="宋体"/>
          <w:szCs w:val="21"/>
          <w:highlight w:val="none"/>
        </w:rPr>
        <w:t xml:space="preserve">按照本项目</w:t>
      </w:r>
      <w:r>
        <w:rPr>
          <w:rFonts w:hint="eastAsia" w:hAnsi="宋体"/>
          <w:szCs w:val="21"/>
          <w:highlight w:val="none"/>
          <w:lang w:val="en-US" w:eastAsia="zh-CN"/>
        </w:rPr>
        <w:t xml:space="preserve">预算/</w:t>
      </w:r>
      <w:r>
        <w:rPr>
          <w:rFonts w:hint="eastAsia" w:hAnsi="宋体"/>
          <w:szCs w:val="21"/>
          <w:highlight w:val="none"/>
        </w:rPr>
        <w:t xml:space="preserve">最高限价</w:t>
      </w:r>
      <w:r>
        <w:rPr>
          <w:rFonts w:hAnsi="宋体"/>
          <w:szCs w:val="21"/>
          <w:highlight w:val="none"/>
        </w:rPr>
        <w:t xml:space="preserve">参照</w:t>
      </w:r>
      <w:r>
        <w:rPr>
          <w:rFonts w:hint="eastAsia" w:hAnsi="宋体"/>
          <w:szCs w:val="21"/>
          <w:highlight w:val="none"/>
        </w:rPr>
        <w:t xml:space="preserve">如下收费标准，</w:t>
      </w:r>
      <w:r>
        <w:rPr>
          <w:rFonts w:hint="eastAsia" w:hAnsi="宋体" w:cs="Arial"/>
          <w:bCs/>
          <w:szCs w:val="21"/>
          <w:highlight w:val="none"/>
          <w:lang w:val="en-US" w:eastAsia="zh-CN"/>
        </w:rPr>
        <w:t xml:space="preserve">服务费金额：7672.00。</w:t>
      </w:r>
      <w:r>
        <w:rPr>
          <w:rFonts w:hAnsi="宋体"/>
          <w:szCs w:val="21"/>
          <w:highlight w:val="none"/>
        </w:rPr>
        <w:t xml:space="preserve">各投标供应商应将招标代理服务费自行考虑包含在投标报价中，本项费用无需在投标报价表中单列。</w:t>
      </w:r>
      <w:r/>
    </w:p>
    <w:tbl>
      <w:tblPr>
        <w:tblStyle w:val="897"/>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b/>
                <w:bCs/>
                <w:szCs w:val="21"/>
                <w:highlight w:val="none"/>
              </w:rPr>
              <w:t xml:space="preserve">中标金额（万元）</w:t>
            </w:r>
            <w:r/>
          </w:p>
        </w:tc>
        <w:tc>
          <w:tcPr>
            <w:gridSpan w:val="4"/>
            <w:shd w:val="clear" w:color="auto" w:fill="ffffff"/>
            <w:tcMar>
              <w:left w:w="136" w:type="dxa"/>
              <w:top w:w="27" w:type="dxa"/>
              <w:right w:w="136" w:type="dxa"/>
              <w:bottom w:w="27" w:type="dxa"/>
            </w:tcMar>
            <w:tcW w:w="8109"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hint="eastAsia" w:ascii="宋体" w:hAnsi="宋体" w:cs="Arial"/>
                <w:b/>
                <w:bCs/>
                <w:szCs w:val="21"/>
                <w:highlight w:val="none"/>
              </w:rPr>
              <w:t xml:space="preserve">服务类型</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r>
            <w:r/>
          </w:p>
        </w:tc>
        <w:tc>
          <w:tcPr>
            <w:gridSpan w:val="2"/>
            <w:shd w:val="clear" w:color="auto" w:fill="ffffff"/>
            <w:tcMar>
              <w:left w:w="136" w:type="dxa"/>
              <w:top w:w="27" w:type="dxa"/>
              <w:right w:w="136" w:type="dxa"/>
              <w:bottom w:w="27" w:type="dxa"/>
            </w:tcMar>
            <w:tcW w:w="3819"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ascii="宋体" w:hAnsi="宋体" w:cs="Arial"/>
                <w:b/>
                <w:bCs/>
                <w:szCs w:val="21"/>
                <w:highlight w:val="none"/>
              </w:rPr>
              <w:t xml:space="preserve">货物招标</w:t>
            </w:r>
            <w:r/>
          </w:p>
        </w:tc>
        <w:tc>
          <w:tcPr>
            <w:gridSpan w:val="2"/>
            <w:shd w:val="clear" w:color="auto" w:fill="ffffff"/>
            <w:tcMar>
              <w:left w:w="136" w:type="dxa"/>
              <w:top w:w="27" w:type="dxa"/>
              <w:right w:w="136" w:type="dxa"/>
              <w:bottom w:w="27" w:type="dxa"/>
            </w:tcMar>
            <w:tcW w:w="4290"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ascii="宋体" w:hAnsi="宋体" w:cs="Arial"/>
                <w:b/>
                <w:bCs/>
                <w:szCs w:val="21"/>
                <w:highlight w:val="none"/>
              </w:rPr>
              <w:t xml:space="preserve">服务招标</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b/>
                <w:bCs/>
                <w:szCs w:val="21"/>
                <w:highlight w:val="none"/>
              </w:rPr>
              <w:t xml:space="preserve">货物招标</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hint="eastAsia" w:ascii="宋体" w:hAnsi="宋体" w:cs="Arial"/>
                <w:b/>
                <w:bCs/>
                <w:szCs w:val="21"/>
                <w:highlight w:val="none"/>
              </w:rPr>
              <w:t xml:space="preserve">优惠后费率</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b/>
                <w:bCs/>
                <w:szCs w:val="21"/>
                <w:highlight w:val="none"/>
              </w:rPr>
              <w:t xml:space="preserve">服务招标</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hint="eastAsia" w:ascii="宋体" w:hAnsi="宋体" w:cs="Arial"/>
                <w:b/>
                <w:bCs/>
                <w:szCs w:val="21"/>
                <w:highlight w:val="none"/>
              </w:rPr>
              <w:t xml:space="preserve">优惠后费率</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100以下</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0.6%</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0.6%</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100-500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1.1%</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0.44%</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0.8%</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0.32%</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500-1000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0.8%</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0.32%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0.45%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0.18%</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1000-5000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0.25%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0.1%</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5000-10000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0.25%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0.1%</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0.1%</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0.04%</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w:t>
            </w:r>
            <w:r>
              <w:rPr>
                <w:rFonts w:hint="eastAsia" w:ascii="宋体" w:hAnsi="宋体" w:cs="Arial"/>
                <w:szCs w:val="21"/>
                <w:highlight w:val="none"/>
              </w:rPr>
              <w:t xml:space="preserve">0000-100000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0.02%</w:t>
            </w:r>
            <w:r/>
          </w:p>
        </w:tc>
      </w:tr>
      <w:tr>
        <w:trPr>
          <w:trHeight w:val="300"/>
        </w:trPr>
        <w:tc>
          <w:tcPr>
            <w:shd w:val="clear" w:color="auto" w:fill="ffffff"/>
            <w:tcMar>
              <w:left w:w="136" w:type="dxa"/>
              <w:top w:w="27" w:type="dxa"/>
              <w:right w:w="136" w:type="dxa"/>
              <w:bottom w:w="27" w:type="dxa"/>
            </w:tcMar>
            <w:tcW w:w="2341"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100000以上</w:t>
            </w:r>
            <w:r/>
          </w:p>
        </w:tc>
        <w:tc>
          <w:tcPr>
            <w:shd w:val="clear" w:color="auto" w:fill="ffffff"/>
            <w:tcMar>
              <w:left w:w="136" w:type="dxa"/>
              <w:top w:w="27" w:type="dxa"/>
              <w:right w:w="136" w:type="dxa"/>
              <w:bottom w:w="27" w:type="dxa"/>
            </w:tcMar>
            <w:tcW w:w="2047"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w:t>
            </w:r>
            <w:r>
              <w:rPr>
                <w:rFonts w:hint="eastAsia" w:ascii="宋体" w:hAnsi="宋体" w:cs="Arial"/>
                <w:szCs w:val="21"/>
                <w:highlight w:val="none"/>
              </w:rPr>
              <w:t xml:space="preserve">1</w:t>
            </w:r>
            <w:r>
              <w:rPr>
                <w:rFonts w:ascii="宋体" w:hAnsi="宋体" w:cs="Arial"/>
                <w:szCs w:val="21"/>
                <w:highlight w:val="none"/>
              </w:rPr>
              <w:t xml:space="preserve">%</w:t>
            </w:r>
            <w:r/>
          </w:p>
        </w:tc>
        <w:tc>
          <w:tcPr>
            <w:shd w:val="clear" w:color="auto" w:fill="ffffff"/>
            <w:tcMar>
              <w:left w:w="136" w:type="dxa"/>
              <w:top w:w="27" w:type="dxa"/>
              <w:right w:w="136" w:type="dxa"/>
              <w:bottom w:w="27" w:type="dxa"/>
            </w:tcMar>
            <w:tcW w:w="1772"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0.004%</w:t>
            </w:r>
            <w:r/>
          </w:p>
        </w:tc>
        <w:tc>
          <w:tcPr>
            <w:shd w:val="clear" w:color="auto" w:fill="ffffff"/>
            <w:tcMar>
              <w:left w:w="136" w:type="dxa"/>
              <w:top w:w="27" w:type="dxa"/>
              <w:right w:w="136" w:type="dxa"/>
              <w:bottom w:w="27" w:type="dxa"/>
            </w:tcMar>
            <w:tcW w:w="2103"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w:t>
            </w:r>
            <w:r>
              <w:rPr>
                <w:rFonts w:hint="eastAsia" w:ascii="宋体" w:hAnsi="宋体" w:cs="Arial"/>
                <w:szCs w:val="21"/>
                <w:highlight w:val="none"/>
              </w:rPr>
              <w:t xml:space="preserve">1</w:t>
            </w:r>
            <w:r>
              <w:rPr>
                <w:rFonts w:ascii="宋体" w:hAnsi="宋体" w:cs="Arial"/>
                <w:szCs w:val="21"/>
                <w:highlight w:val="none"/>
              </w:rPr>
              <w:t xml:space="preserve">%</w:t>
            </w:r>
            <w:r/>
          </w:p>
        </w:tc>
        <w:tc>
          <w:tcPr>
            <w:shd w:val="clear" w:color="auto" w:fill="ffffff"/>
            <w:tcMar>
              <w:left w:w="136" w:type="dxa"/>
              <w:top w:w="27" w:type="dxa"/>
              <w:right w:w="136" w:type="dxa"/>
              <w:bottom w:w="27" w:type="dxa"/>
            </w:tcMar>
            <w:tcW w:w="2187"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0.004%</w:t>
            </w:r>
            <w:r/>
          </w:p>
        </w:tc>
      </w:tr>
    </w:tbl>
    <w:p>
      <w:pPr>
        <w:pStyle w:val="907"/>
        <w:keepLines w:val="0"/>
        <w:pageBreakBefore w:val="0"/>
        <w:spacing w:line="360" w:lineRule="auto"/>
        <w:rPr>
          <w:rFonts w:hint="default" w:hAnsi="宋体" w:eastAsia="宋体" w:cs="Arial"/>
          <w:bCs/>
          <w:szCs w:val="21"/>
          <w:highlight w:val="none"/>
          <w:lang w:val="en-US" w:eastAsia="zh-CN"/>
        </w:rPr>
      </w:pPr>
      <w:r>
        <w:rPr>
          <w:rFonts w:hint="eastAsia" w:hAnsi="宋体" w:cs="Arial"/>
          <w:bCs/>
          <w:szCs w:val="21"/>
          <w:highlight w:val="none"/>
        </w:rPr>
        <w:t xml:space="preserve">     </w:t>
      </w:r>
      <w:r/>
    </w:p>
    <w:p>
      <w:pPr>
        <w:pStyle w:val="907"/>
        <w:ind w:firstLine="840"/>
        <w:keepLines w:val="0"/>
        <w:pageBreakBefore w:val="0"/>
        <w:spacing w:line="360" w:lineRule="auto"/>
        <w:rPr>
          <w:rFonts w:hint="eastAsia" w:hAnsi="宋体"/>
          <w:szCs w:val="21"/>
          <w:highlight w:val="none"/>
        </w:rPr>
      </w:pPr>
      <w:r>
        <w:rPr>
          <w:rFonts w:hint="eastAsia" w:hAnsi="宋体" w:cs="Arial"/>
          <w:bCs/>
          <w:szCs w:val="21"/>
          <w:highlight w:val="none"/>
        </w:rPr>
        <w:t xml:space="preserve"> </w:t>
      </w: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3</w:t>
      </w:r>
      <w:r>
        <w:rPr>
          <w:rFonts w:hAnsi="宋体"/>
          <w:szCs w:val="21"/>
          <w:highlight w:val="none"/>
        </w:rPr>
        <w:t xml:space="preserve">服务费交纳账户：</w:t>
      </w:r>
      <w:r>
        <w:rPr>
          <w:rFonts w:hint="eastAsia" w:hAnsi="宋体"/>
          <w:szCs w:val="21"/>
          <w:highlight w:val="none"/>
        </w:rPr>
        <w:t xml:space="preserve">苏美达国际技术贸易有限公司</w:t>
      </w:r>
      <w:r/>
    </w:p>
    <w:p>
      <w:pPr>
        <w:pStyle w:val="907"/>
        <w:ind w:firstLine="840"/>
        <w:keepLines w:val="0"/>
        <w:pageBreakBefore w:val="0"/>
        <w:spacing w:line="360" w:lineRule="auto"/>
        <w:rPr>
          <w:rFonts w:hint="eastAsia" w:hAnsi="宋体"/>
          <w:szCs w:val="21"/>
          <w:highlight w:val="none"/>
        </w:rPr>
      </w:pPr>
      <w:r>
        <w:rPr>
          <w:rFonts w:hAnsi="宋体"/>
          <w:szCs w:val="21"/>
          <w:highlight w:val="none"/>
        </w:rPr>
        <w:t xml:space="preserve">账号：</w:t>
      </w:r>
      <w:r>
        <w:rPr>
          <w:rFonts w:hint="eastAsia" w:hAnsi="宋体"/>
          <w:szCs w:val="21"/>
          <w:highlight w:val="none"/>
        </w:rPr>
        <w:t xml:space="preserve">7321010182300013675　　　</w:t>
      </w:r>
      <w:r/>
    </w:p>
    <w:p>
      <w:pPr>
        <w:pStyle w:val="1160"/>
        <w:ind w:firstLine="840"/>
        <w:keepLines w:val="0"/>
        <w:pageBreakBefore w:val="0"/>
        <w:spacing w:line="360" w:lineRule="auto"/>
        <w:rPr>
          <w:rFonts w:hint="eastAsia" w:ascii="宋体" w:hAnsi="宋体"/>
          <w:sz w:val="21"/>
          <w:highlight w:val="none"/>
        </w:rPr>
      </w:pPr>
      <w:r>
        <w:rPr>
          <w:rFonts w:ascii="宋体" w:hAnsi="宋体"/>
          <w:sz w:val="21"/>
          <w:highlight w:val="none"/>
        </w:rPr>
        <w:t xml:space="preserve">开户银行：</w:t>
      </w:r>
      <w:r>
        <w:rPr>
          <w:rFonts w:hint="eastAsia" w:ascii="宋体" w:hAnsi="宋体"/>
          <w:sz w:val="21"/>
          <w:highlight w:val="none"/>
        </w:rPr>
        <w:t xml:space="preserve">中信南京分行营业部　</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114" w:name="_Toc5784"/>
      <w:r>
        <w:rPr>
          <w:rFonts w:ascii="宋体" w:hAnsi="宋体" w:cs="Arial"/>
          <w:b/>
          <w:bCs/>
          <w:color w:val="000000"/>
          <w:szCs w:val="21"/>
          <w:highlight w:val="none"/>
        </w:rPr>
        <w:t xml:space="preserve">七、质疑</w:t>
      </w:r>
      <w:bookmarkEnd w:id="114"/>
      <w:r>
        <w:rPr>
          <w:rFonts w:ascii="宋体" w:hAnsi="宋体" w:cs="Arial"/>
          <w:b/>
          <w:bCs/>
          <w:color w:val="000000"/>
          <w:szCs w:val="21"/>
          <w:highlight w:val="none"/>
        </w:rPr>
        <w:t xml:space="preserve">和投诉</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
          <w:bCs/>
          <w:szCs w:val="21"/>
          <w:highlight w:val="none"/>
        </w:rPr>
        <w:t xml:space="preserve">24.</w:t>
      </w:r>
      <w:r>
        <w:rPr>
          <w:rFonts w:ascii="宋体" w:hAnsi="宋体"/>
          <w:b/>
          <w:bCs/>
          <w:szCs w:val="21"/>
          <w:highlight w:val="none"/>
        </w:rPr>
        <w:t xml:space="preserve">质疑</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.1供应商对招标活动事项有疑问的，可以向采购代理机构提出询问，采购代理机构将依法作出答复，但答复的内容不涉及商业秘密</w:t>
      </w:r>
      <w:r>
        <w:rPr>
          <w:rFonts w:ascii="宋体" w:hAnsi="宋体"/>
          <w:b/>
          <w:bCs/>
          <w:szCs w:val="21"/>
          <w:highlight w:val="none"/>
        </w:rPr>
        <w:t xml:space="preserve">。</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质疑一次性提出</w:t>
      </w:r>
      <w:r>
        <w:rPr>
          <w:rFonts w:ascii="宋体" w:hAnsi="宋体"/>
          <w:szCs w:val="21"/>
          <w:highlight w:val="none"/>
        </w:rPr>
        <w:t xml:space="preserve">。</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供应商应知其权益受到损害之日，是指：</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（一）对可以质疑的招标文件提出质疑的，为收到招标文件之日或者招标文件公告期限届满之日；</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（二）对采购过程提出质疑的，为各采购程序环节结束之日；</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（三）对中标或者成交结果提出质疑的，为中标或者成交结果公告期限届满之日。</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采购代理机构将在一定范围内公开质疑人的名称、质疑事项、质疑处理结果，供有关采购人、财政部门、行业协会查询。</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.4 质疑文件应包括以下主要内容，并按照“谁主张、谁举证”的原则，附上相关证明材料。否则，采购代理机构不予受理：</w:t>
      </w:r>
      <w:r/>
    </w:p>
    <w:p>
      <w:pPr>
        <w:ind w:left="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（1）质疑项目名称、项目编号、包号、招标公告发布时间、开标时间；</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（2）具体的质疑事项及法律依据（具体条款）；</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szCs w:val="21"/>
          <w:highlight w:val="none"/>
        </w:rPr>
        <w:t xml:space="preserve">修改理由</w:t>
      </w:r>
      <w:r>
        <w:rPr>
          <w:rFonts w:ascii="宋体" w:hAnsi="宋体"/>
          <w:szCs w:val="21"/>
          <w:highlight w:val="none"/>
        </w:rPr>
        <w:t xml:space="preserve">和</w:t>
      </w:r>
      <w:r>
        <w:rPr>
          <w:rFonts w:ascii="宋体" w:hAnsi="宋体"/>
          <w:b/>
          <w:bCs/>
          <w:szCs w:val="21"/>
          <w:highlight w:val="none"/>
        </w:rPr>
        <w:t xml:space="preserve">修改建议</w:t>
      </w:r>
      <w:r>
        <w:rPr>
          <w:rFonts w:ascii="宋体" w:hAnsi="宋体"/>
          <w:szCs w:val="21"/>
          <w:highlight w:val="none"/>
        </w:rPr>
        <w:t xml:space="preserve">）；</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（4）质疑供应商名称、地址、联系方式（包括手机、传真号码）；</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.6采购代理机构在收到投标商的书面质疑后将及时组织调查核实，在</w:t>
      </w:r>
      <w:r>
        <w:rPr>
          <w:rFonts w:ascii="宋体" w:hAnsi="宋体"/>
          <w:b/>
          <w:bCs/>
          <w:szCs w:val="21"/>
          <w:highlight w:val="none"/>
        </w:rPr>
        <w:t xml:space="preserve">七个工作日内</w:t>
      </w:r>
      <w:r>
        <w:rPr>
          <w:rFonts w:ascii="宋体" w:hAnsi="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keepLines w:val="0"/>
        <w:pageBreakBefore w:val="0"/>
        <w:spacing w:line="360" w:lineRule="auto"/>
        <w:shd w:val="clear" w:color="auto" w:fill="ffffff"/>
        <w:widowControl/>
        <w:rPr>
          <w:rFonts w:hint="eastAsia" w:ascii="宋体" w:hAnsi="宋体"/>
          <w:b/>
          <w:szCs w:val="21"/>
          <w:highlight w:val="none"/>
        </w:rPr>
      </w:pPr>
      <w:r>
        <w:rPr>
          <w:rFonts w:hint="eastAsia" w:ascii="宋体" w:hAnsi="宋体"/>
          <w:b/>
          <w:szCs w:val="21"/>
          <w:highlight w:val="none"/>
        </w:rPr>
        <w:t xml:space="preserve">25.</w:t>
      </w:r>
      <w:r>
        <w:rPr>
          <w:rFonts w:ascii="宋体" w:hAnsi="宋体"/>
          <w:b/>
          <w:szCs w:val="21"/>
          <w:highlight w:val="none"/>
        </w:rPr>
        <w:t xml:space="preserve">投诉</w:t>
      </w:r>
      <w:r/>
    </w:p>
    <w:p>
      <w:pPr>
        <w:ind w:firstLine="420"/>
        <w:keepLines w:val="0"/>
        <w:pageBreakBefore w:val="0"/>
        <w:spacing w:line="360" w:lineRule="auto"/>
        <w:shd w:val="clear" w:color="auto" w:fill="ffffff"/>
        <w:widowControl/>
        <w:rPr>
          <w:rFonts w:hint="eastAsia" w:ascii="宋体" w:hAnsi="宋体"/>
          <w:b/>
          <w:bCs/>
          <w:szCs w:val="21"/>
          <w:highlight w:val="none"/>
        </w:rPr>
      </w:pPr>
      <w:r>
        <w:rPr>
          <w:rFonts w:ascii="宋体" w:hAnsi="宋体"/>
          <w:szCs w:val="21"/>
          <w:highlight w:val="none"/>
        </w:rPr>
        <w:t xml:space="preserve">质疑投标商对代理机构的答复不满意，或代理机构未在规定的时间内作出答复的，可以在答复期满后</w:t>
      </w:r>
      <w:r>
        <w:rPr>
          <w:rFonts w:ascii="宋体" w:hAnsi="宋体"/>
          <w:b/>
          <w:bCs/>
          <w:szCs w:val="21"/>
          <w:highlight w:val="none"/>
        </w:rPr>
        <w:t xml:space="preserve">十五个工作日内</w:t>
      </w:r>
      <w:r>
        <w:rPr>
          <w:rFonts w:ascii="宋体" w:hAnsi="宋体"/>
          <w:szCs w:val="21"/>
          <w:highlight w:val="none"/>
        </w:rPr>
        <w:t xml:space="preserve">向采购人同级财政部门投诉。</w:t>
      </w:r>
      <w:r>
        <w:rPr>
          <w:rFonts w:ascii="宋体" w:hAnsi="宋体"/>
          <w:b/>
          <w:bCs/>
          <w:szCs w:val="21"/>
          <w:highlight w:val="none"/>
        </w:rPr>
        <w:t xml:space="preserve"> </w:t>
      </w:r>
      <w:r/>
    </w:p>
    <w:p>
      <w:pPr>
        <w:ind w:firstLine="420"/>
        <w:keepLines w:val="0"/>
        <w:pageBreakBefore w:val="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r>
      <w:r/>
    </w:p>
    <w:p>
      <w:pPr>
        <w:pStyle w:val="968"/>
        <w:ind w:left="0" w:firstLine="0"/>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highlight w:val="none"/>
        </w:rPr>
      </w:pPr>
      <w:r>
        <w:rPr>
          <w:rFonts w:hint="eastAsia"/>
          <w:highlight w:val="none"/>
        </w:rPr>
      </w:r>
      <w:r/>
    </w:p>
    <w:p>
      <w:pPr>
        <w:ind w:firstLine="562"/>
        <w:jc w:val="center"/>
        <w:spacing w:line="360" w:lineRule="auto"/>
        <w:rPr>
          <w:rFonts w:eastAsia="黑体"/>
          <w:b/>
          <w:bCs/>
          <w:sz w:val="32"/>
          <w:szCs w:val="32"/>
          <w:highlight w:val="none"/>
        </w:rPr>
      </w:pPr>
      <w:r/>
      <w:bookmarkStart w:id="115" w:name="_Toc668"/>
      <w:r>
        <w:rPr>
          <w:rFonts w:ascii="Arial" w:hAnsi="Arial" w:eastAsia="黑体" w:cs="Arial"/>
          <w:b/>
          <w:color w:val="000000"/>
          <w:sz w:val="28"/>
          <w:szCs w:val="28"/>
          <w:highlight w:val="none"/>
        </w:rPr>
        <w:t xml:space="preserve">第三章 </w:t>
      </w:r>
      <w:bookmarkEnd w:id="115"/>
      <w:r>
        <w:rPr>
          <w:rFonts w:eastAsia="黑体"/>
          <w:b/>
          <w:bCs/>
          <w:sz w:val="32"/>
          <w:szCs w:val="32"/>
          <w:highlight w:val="none"/>
        </w:rPr>
        <w:t xml:space="preserve">评标方法、评分标准</w:t>
      </w:r>
      <w:bookmarkStart w:id="116" w:name="_Toc11059"/>
      <w:r/>
      <w:r/>
    </w:p>
    <w:p>
      <w:pPr>
        <w:pStyle w:val="907"/>
        <w:ind w:firstLine="420"/>
        <w:keepLines w:val="0"/>
        <w:keepNext w:val="0"/>
        <w:pageBreakBefore w:val="0"/>
        <w:spacing w:line="360" w:lineRule="auto"/>
        <w:rPr>
          <w:rFonts w:hint="eastAsia" w:hAnsi="宋体"/>
          <w:b/>
          <w:bCs/>
          <w:szCs w:val="21"/>
          <w:highlight w:val="none"/>
        </w:rPr>
      </w:pPr>
      <w:r>
        <w:rPr>
          <w:rFonts w:hAnsi="宋体"/>
          <w:b/>
          <w:bCs/>
          <w:szCs w:val="21"/>
          <w:highlight w:val="none"/>
        </w:rPr>
        <w:t xml:space="preserve">一、评标办法：</w:t>
      </w:r>
      <w:r/>
    </w:p>
    <w:p>
      <w:pPr>
        <w:pStyle w:val="907"/>
        <w:ind w:firstLine="420"/>
        <w:keepLines w:val="0"/>
        <w:keepNext w:val="0"/>
        <w:pageBreakBefore w:val="0"/>
        <w:spacing w:line="360" w:lineRule="auto"/>
        <w:rPr>
          <w:rFonts w:hAnsi="宋体"/>
          <w:szCs w:val="21"/>
          <w:highlight w:val="none"/>
        </w:rPr>
      </w:pPr>
      <w:r>
        <w:rPr>
          <w:rFonts w:hint="eastAsia" w:hAnsi="宋体"/>
          <w:szCs w:val="21"/>
          <w:highlight w:val="none"/>
        </w:rPr>
        <w:t xml:space="preserve">1、评标方法采用综合评分法。即在投标文件满足招标文件全部实质性要求，且按照评审因素的量化指标评审得分最高的投标人为中标人的评标方法</w:t>
      </w:r>
      <w:r>
        <w:rPr>
          <w:rFonts w:hAnsi="宋体"/>
          <w:szCs w:val="21"/>
          <w:highlight w:val="none"/>
        </w:rPr>
        <w:t xml:space="preserve">。</w:t>
      </w:r>
      <w:r/>
    </w:p>
    <w:p>
      <w:pPr>
        <w:pStyle w:val="907"/>
        <w:ind w:firstLine="420"/>
        <w:keepLines w:val="0"/>
        <w:keepNext w:val="0"/>
        <w:pageBreakBefore w:val="0"/>
        <w:spacing w:line="360" w:lineRule="auto"/>
        <w:rPr>
          <w:rFonts w:hint="eastAsia" w:hAnsi="宋体"/>
          <w:szCs w:val="21"/>
          <w:highlight w:val="none"/>
        </w:rPr>
      </w:pPr>
      <w:r>
        <w:rPr>
          <w:rFonts w:hint="eastAsia" w:hAnsi="宋体"/>
          <w:szCs w:val="21"/>
          <w:highlight w:val="none"/>
          <w:lang w:val="en-US" w:eastAsia="zh-CN"/>
        </w:rPr>
        <w:t xml:space="preserve">2</w:t>
      </w:r>
      <w:r>
        <w:rPr>
          <w:rFonts w:hint="eastAsia" w:hAnsi="宋体"/>
          <w:szCs w:val="21"/>
          <w:highlight w:val="none"/>
        </w:rPr>
        <w:t xml:space="preserve">、评委会根据本招标文件规定评分办法与评分标准综合打分，并按综合得分由高到低顺序（综合得分相同的，按价格从低到高顺序）确定3名中标候选人，排名第1者，为中标单位。</w:t>
      </w:r>
      <w:r/>
    </w:p>
    <w:p>
      <w:pPr>
        <w:pStyle w:val="907"/>
        <w:ind w:firstLine="420"/>
        <w:keepLines w:val="0"/>
        <w:keepNext w:val="0"/>
        <w:pageBreakBefore w:val="0"/>
        <w:spacing w:line="360" w:lineRule="auto"/>
        <w:rPr>
          <w:rFonts w:hint="eastAsia" w:hAnsi="宋体"/>
          <w:b/>
          <w:bCs/>
          <w:szCs w:val="21"/>
          <w:highlight w:val="none"/>
        </w:rPr>
      </w:pPr>
      <w:r>
        <w:rPr>
          <w:rFonts w:hint="eastAsia" w:hAnsi="宋体"/>
          <w:b/>
          <w:bCs/>
          <w:szCs w:val="21"/>
          <w:highlight w:val="none"/>
        </w:rPr>
        <w:t xml:space="preserve">二、政府采购政策执行办法：</w:t>
      </w:r>
      <w:r/>
    </w:p>
    <w:p>
      <w:pPr>
        <w:pStyle w:val="907"/>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07"/>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07"/>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07"/>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同一投标人，上述</w:t>
      </w:r>
      <w:r>
        <w:rPr>
          <w:rFonts w:hint="eastAsia" w:hAnsi="宋体"/>
          <w:szCs w:val="21"/>
          <w:highlight w:val="none"/>
          <w:lang w:val="en-US" w:eastAsia="zh-CN"/>
        </w:rPr>
        <w:t xml:space="preserve">三</w:t>
      </w:r>
      <w:r>
        <w:rPr>
          <w:rFonts w:hint="eastAsia" w:hAnsi="宋体"/>
          <w:szCs w:val="21"/>
          <w:highlight w:val="none"/>
        </w:rPr>
        <w:t xml:space="preserve">项价格扣除优惠不得重复享受。</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④</w:t>
      </w:r>
      <w:r>
        <w:rPr>
          <w:rFonts w:hint="eastAsia" w:ascii="宋体" w:hAnsi="宋体" w:eastAsia="宋体" w:cs="宋体"/>
          <w:color w:val="auto"/>
          <w:sz w:val="21"/>
          <w:szCs w:val="21"/>
          <w:highlight w:val="none"/>
        </w:rPr>
        <w:t xml:space="preserve">采购本国产品的支持政策</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1"/>
          <w:szCs w:val="21"/>
          <w:highlight w:val="none"/>
          <w:u w:val="single"/>
        </w:rPr>
        <w:t xml:space="preserve">80%</w:t>
      </w:r>
      <w:r>
        <w:rPr>
          <w:rFonts w:hint="eastAsia" w:ascii="宋体" w:hAnsi="宋体" w:eastAsia="宋体" w:cs="宋体"/>
          <w:color w:val="auto"/>
          <w:sz w:val="21"/>
          <w:szCs w:val="21"/>
          <w:highlight w:val="none"/>
        </w:rPr>
        <w:t xml:space="preserve">以上时（供应商需在投标文件格式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细目报价表</w:t>
      </w:r>
      <w:r>
        <w:rPr>
          <w:rFonts w:hint="eastAsia" w:ascii="宋体" w:hAnsi="宋体" w:eastAsia="宋体" w:cs="宋体"/>
          <w:color w:val="auto"/>
          <w:sz w:val="21"/>
          <w:szCs w:val="21"/>
          <w:highlight w:val="none"/>
        </w:rPr>
        <w:t xml:space="preserve">”中填写比例数值），依法对该供应商提供的全部产品给予价格评审优惠，即对该供应商提供的全部产品的总报价给予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before="0" w:after="0" w:line="360" w:lineRule="auto"/>
        <w:rPr>
          <w:rFonts w:hint="eastAsia" w:ascii="方正魏碑_GBK" w:hAnsi="方正魏碑_GBK" w:eastAsia="方正魏碑_GBK" w:cs="方正魏碑_GBK"/>
          <w:color w:val="auto"/>
          <w:sz w:val="28"/>
          <w:szCs w:val="28"/>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7"/>
        <w:ind w:firstLine="420"/>
        <w:spacing w:line="48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三、评分标准：</w:t>
      </w:r>
      <w:r/>
    </w:p>
    <w:p>
      <w:pPr>
        <w:pStyle w:val="907"/>
        <w:ind w:firstLine="420"/>
        <w:spacing w:line="48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本次采购的评标方法采用综合评分法，小数点后保留两位，四舍五入。</w:t>
      </w:r>
      <w:r/>
    </w:p>
    <w:tbl>
      <w:tblPr>
        <w:tblStyle w:val="897"/>
        <w:tblpPr w:horzAnchor="page" w:tblpX="1236" w:vertAnchor="text" w:tblpY="442" w:leftFromText="180" w:topFromText="0" w:rightFromText="180" w:bottomFromText="0"/>
        <w:tblW w:w="51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182"/>
        <w:gridCol w:w="6632"/>
        <w:gridCol w:w="853"/>
      </w:tblGrid>
      <w:tr>
        <w:trPr>
          <w:trHeight w:val="249"/>
        </w:trPr>
        <w:tc>
          <w:tcPr>
            <w:shd w:val="clear" w:color="auto" w:fill="bebebe"/>
            <w:tcW w:w="394" w:type="pct"/>
            <w:vAlign w:val="center"/>
            <w:textDirection w:val="lrTb"/>
            <w:noWrap w:val="false"/>
          </w:tcPr>
          <w:p>
            <w:pPr>
              <w:jc w:val="center"/>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序号</w:t>
            </w:r>
            <w:r/>
          </w:p>
        </w:tc>
        <w:tc>
          <w:tcPr>
            <w:shd w:val="clear" w:color="auto" w:fill="bebebe"/>
            <w:tcW w:w="628" w:type="pct"/>
            <w:vAlign w:val="center"/>
            <w:textDirection w:val="lrTb"/>
            <w:noWrap w:val="false"/>
          </w:tcPr>
          <w:p>
            <w:pPr>
              <w:jc w:val="center"/>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内容</w:t>
            </w:r>
            <w:r/>
          </w:p>
        </w:tc>
        <w:tc>
          <w:tcPr>
            <w:shd w:val="clear" w:color="auto" w:fill="bebebe"/>
            <w:tcW w:w="3524" w:type="pct"/>
            <w:vAlign w:val="center"/>
            <w:textDirection w:val="lrTb"/>
            <w:noWrap w:val="false"/>
          </w:tcPr>
          <w:p>
            <w:pPr>
              <w:jc w:val="center"/>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评分要求</w:t>
            </w:r>
            <w:r/>
          </w:p>
        </w:tc>
        <w:tc>
          <w:tcPr>
            <w:shd w:val="clear" w:color="auto" w:fill="bebebe"/>
            <w:tcW w:w="453" w:type="pct"/>
            <w:vAlign w:val="center"/>
            <w:textDirection w:val="lrTb"/>
            <w:noWrap w:val="false"/>
          </w:tcPr>
          <w:p>
            <w:pPr>
              <w:jc w:val="center"/>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分值</w:t>
            </w:r>
            <w:r/>
          </w:p>
        </w:tc>
      </w:tr>
      <w:tr>
        <w:trPr>
          <w:trHeight w:val="580"/>
        </w:trPr>
        <w:tc>
          <w:tcPr>
            <w:tcW w:w="394" w:type="pct"/>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628" w:type="pct"/>
            <w:vAlign w:val="center"/>
            <w:textDirection w:val="lrTb"/>
            <w:noWrap w:val="false"/>
          </w:tcPr>
          <w:p>
            <w:pPr>
              <w:jc w:val="center"/>
              <w:spacing w:after="0" w:line="320" w:lineRule="exact"/>
              <w:rPr>
                <w:rFonts w:ascii="宋体" w:hAnsi="宋体" w:eastAsia="宋体" w:cs="宋体"/>
                <w:szCs w:val="21"/>
                <w:highlight w:val="none"/>
              </w:rPr>
            </w:pPr>
            <w:r>
              <w:rPr>
                <w:rFonts w:hint="eastAsia" w:ascii="宋体" w:hAnsi="宋体" w:eastAsia="宋体" w:cs="宋体"/>
                <w:bCs/>
                <w:color w:val="000000"/>
                <w:sz w:val="21"/>
                <w:szCs w:val="21"/>
                <w:highlight w:val="none"/>
              </w:rPr>
              <w:t xml:space="preserve">价格分</w:t>
            </w:r>
            <w:r/>
          </w:p>
        </w:tc>
        <w:tc>
          <w:tcPr>
            <w:tcW w:w="3524" w:type="pct"/>
            <w:vAlign w:val="center"/>
            <w:textDirection w:val="lrTb"/>
            <w:noWrap w:val="false"/>
          </w:tcPr>
          <w:p>
            <w:pPr>
              <w:rPr>
                <w:rFonts w:hint="eastAsia" w:ascii="宋体" w:hAnsi="宋体" w:eastAsia="宋体" w:cs="宋体"/>
                <w:szCs w:val="21"/>
                <w:highlight w:val="none"/>
              </w:rPr>
            </w:pPr>
            <w:r>
              <w:rPr>
                <w:rFonts w:hint="eastAsia" w:ascii="Times New Roman" w:hAnsi="Times New Roman" w:eastAsia="宋体" w:cs="Times New Roman"/>
                <w:szCs w:val="21"/>
                <w:highlight w:val="none"/>
                <w:lang w:eastAsia="en-US"/>
              </w:rPr>
              <w:t xml:space="preserve">价格分采用低价优先法计算，即满足采购文件要求且报价最低的供应商报价为评标基准价，其价格分为满分</w:t>
            </w:r>
            <w:r>
              <w:rPr>
                <w:rFonts w:hint="eastAsia" w:ascii="Times New Roman" w:hAnsi="Times New Roman" w:eastAsia="宋体" w:cs="Times New Roman"/>
                <w:szCs w:val="21"/>
                <w:highlight w:val="none"/>
                <w:lang w:val="en-US" w:eastAsia="zh-CN"/>
              </w:rPr>
              <w:t xml:space="preserve">30</w:t>
            </w:r>
            <w:r>
              <w:rPr>
                <w:rFonts w:hint="eastAsia" w:ascii="Times New Roman" w:hAnsi="Times New Roman" w:cs="Times New Roman"/>
                <w:szCs w:val="21"/>
                <w:highlight w:val="none"/>
                <w:lang w:val="en-US" w:eastAsia="zh-CN"/>
              </w:rPr>
              <w:t xml:space="preserve">分</w:t>
            </w:r>
            <w:r>
              <w:rPr>
                <w:rFonts w:hint="eastAsia" w:ascii="Times New Roman" w:hAnsi="Times New Roman" w:eastAsia="宋体" w:cs="Times New Roman"/>
                <w:szCs w:val="21"/>
                <w:highlight w:val="none"/>
                <w:lang w:eastAsia="en-US"/>
              </w:rPr>
              <w:t xml:space="preserve">，其它投标人的价格分统一按照以下公式计算：投标报价得分=（评标基准价/该投标人的投标报价）×</w:t>
            </w:r>
            <w:r>
              <w:rPr>
                <w:rFonts w:hint="eastAsia" w:ascii="Times New Roman" w:hAnsi="Times New Roman" w:eastAsia="宋体" w:cs="Times New Roman"/>
                <w:szCs w:val="21"/>
                <w:highlight w:val="none"/>
                <w:lang w:val="en-US" w:eastAsia="zh-CN"/>
              </w:rPr>
              <w:t xml:space="preserve">30</w:t>
            </w:r>
            <w:r>
              <w:rPr>
                <w:rFonts w:hint="eastAsia" w:ascii="Times New Roman" w:hAnsi="Times New Roman" w:eastAsia="宋体" w:cs="Times New Roman"/>
                <w:szCs w:val="21"/>
                <w:highlight w:val="none"/>
                <w:lang w:eastAsia="zh-CN"/>
              </w:rPr>
              <w:t xml:space="preserve">，</w:t>
            </w:r>
            <w:r>
              <w:rPr>
                <w:rFonts w:hint="eastAsia" w:ascii="Times New Roman" w:hAnsi="Times New Roman" w:eastAsia="宋体" w:cs="Times New Roman"/>
                <w:szCs w:val="21"/>
                <w:highlight w:val="none"/>
                <w:lang w:eastAsia="en-US"/>
              </w:rPr>
              <w:t xml:space="preserve">保留</w:t>
            </w:r>
            <w:r>
              <w:rPr>
                <w:rFonts w:hint="eastAsia" w:ascii="Times New Roman" w:hAnsi="Times New Roman" w:eastAsia="宋体" w:cs="Times New Roman"/>
                <w:szCs w:val="21"/>
                <w:highlight w:val="none"/>
                <w:lang w:val="en-US" w:eastAsia="zh-CN"/>
              </w:rPr>
              <w:t xml:space="preserve">2位小数</w:t>
            </w:r>
            <w:r>
              <w:rPr>
                <w:rFonts w:hint="eastAsia" w:ascii="Times New Roman" w:hAnsi="Times New Roman" w:eastAsia="宋体" w:cs="Times New Roman"/>
                <w:szCs w:val="21"/>
                <w:highlight w:val="none"/>
                <w:lang w:eastAsia="zh-CN"/>
              </w:rPr>
              <w:t xml:space="preserve">。</w:t>
            </w:r>
            <w:r/>
          </w:p>
        </w:tc>
        <w:tc>
          <w:tcPr>
            <w:tcW w:w="453" w:type="pct"/>
            <w:vAlign w:val="center"/>
            <w:textDirection w:val="lrTb"/>
            <w:noWrap w:val="false"/>
          </w:tcPr>
          <w:p>
            <w:pPr>
              <w:jc w:val="center"/>
              <w:spacing w:after="0" w:line="320" w:lineRule="exact"/>
              <w:rPr>
                <w:rFonts w:hint="eastAsia" w:ascii="宋体" w:hAnsi="宋体" w:eastAsia="宋体" w:cs="宋体"/>
                <w:sz w:val="21"/>
                <w:szCs w:val="21"/>
                <w:highlight w:val="none"/>
                <w:lang w:val="en-US" w:eastAsia="zh-CN" w:bidi="ar-SA"/>
              </w:rPr>
            </w:pPr>
            <w:r>
              <w:rPr>
                <w:rFonts w:hint="eastAsia" w:ascii="宋体" w:hAnsi="宋体" w:eastAsia="宋体" w:cs="宋体"/>
                <w:bCs/>
                <w:color w:val="000000"/>
                <w:sz w:val="21"/>
                <w:szCs w:val="21"/>
                <w:highlight w:val="none"/>
              </w:rPr>
              <w:t xml:space="preserve">30</w:t>
            </w:r>
            <w:r/>
          </w:p>
        </w:tc>
      </w:tr>
      <w:tr>
        <w:trPr/>
        <w:tc>
          <w:tcPr>
            <w:tcW w:w="394" w:type="pct"/>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628" w:type="pct"/>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采购需求响应</w:t>
            </w:r>
            <w:r/>
          </w:p>
        </w:tc>
        <w:tc>
          <w:tcPr>
            <w:tcW w:w="3524" w:type="pct"/>
            <w:vAlign w:val="center"/>
            <w:textDirection w:val="lrTb"/>
            <w:noWrap w:val="false"/>
          </w:tcPr>
          <w:p>
            <w:pPr>
              <w:jc w:val="left"/>
              <w:spacing w:line="28" w:lineRule="atLeast"/>
              <w:widowControl/>
              <w:rPr>
                <w:rFonts w:hint="default" w:ascii="宋体" w:hAnsi="宋体" w:eastAsia="宋体" w:cs="宋体"/>
                <w:szCs w:val="21"/>
                <w:highlight w:val="none"/>
                <w:lang w:val="en-US"/>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完全满足“招标文件第四章</w:t>
            </w:r>
            <w:r>
              <w:rPr>
                <w:rFonts w:hint="eastAsia" w:ascii="宋体" w:hAnsi="宋体" w:eastAsia="宋体" w:cs="宋体"/>
                <w:bCs/>
                <w:color w:val="000000" w:themeColor="text1"/>
                <w:positio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position w:val="0"/>
                <w:sz w:val="21"/>
                <w:szCs w:val="21"/>
                <w:highlight w:val="none"/>
                <w:u w:val="single"/>
                <w:lang w:val="en-US" w:eastAsia="zh-CN"/>
                <w14:textFill>
                  <w14:solidFill>
                    <w14:schemeClr w14:val="tx1"/>
                  </w14:solidFill>
                </w14:textFill>
              </w:rPr>
              <w:t xml:space="preserve">采购需求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”中全部要求的得2</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不允许负偏离，</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偏离将导致投标被否决，</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每有一项非★</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负偏离扣</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0.7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分，扣完为止。</w:t>
            </w:r>
            <w:r/>
          </w:p>
        </w:tc>
        <w:tc>
          <w:tcPr>
            <w:tcW w:w="453" w:type="pct"/>
            <w:vAlign w:val="center"/>
            <w:textDirection w:val="lrTb"/>
            <w:noWrap w:val="false"/>
          </w:tcPr>
          <w:p>
            <w:pPr>
              <w:jc w:val="center"/>
              <w:spacing w:line="400" w:lineRule="exact"/>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21</w:t>
            </w:r>
            <w:r/>
          </w:p>
        </w:tc>
      </w:tr>
      <w:tr>
        <w:trPr>
          <w:trHeight w:val="403"/>
        </w:trPr>
        <w:tc>
          <w:tcPr>
            <w:tcW w:w="394" w:type="pct"/>
            <w:vAlign w:val="center"/>
            <w:textDirection w:val="lrTb"/>
            <w:noWrap w:val="false"/>
          </w:tcPr>
          <w:p>
            <w:pPr>
              <w:jc w:val="center"/>
              <w:rPr>
                <w:rFonts w:hint="eastAsia" w:ascii="宋体" w:hAnsi="宋体" w:eastAsia="宋体" w:cs="宋体"/>
                <w:szCs w:val="21"/>
                <w:highlight w:val="none"/>
              </w:rPr>
            </w:pPr>
            <w:r>
              <w:rPr>
                <w:rFonts w:hint="eastAsia" w:ascii="宋体" w:hAnsi="宋体" w:cs="宋体"/>
                <w:szCs w:val="21"/>
                <w:highlight w:val="none"/>
              </w:rPr>
              <w:t xml:space="preserve">3</w:t>
            </w:r>
            <w:r/>
          </w:p>
        </w:tc>
        <w:tc>
          <w:tcPr>
            <w:tcW w:w="628" w:type="pct"/>
            <w:vAlign w:val="center"/>
            <w:textDirection w:val="lrTb"/>
            <w:noWrap w:val="false"/>
          </w:tcPr>
          <w:p>
            <w:pPr>
              <w:jc w:val="center"/>
              <w:rPr>
                <w:rFonts w:ascii="宋体" w:hAnsi="宋体" w:eastAsia="宋体" w:cs="宋体"/>
                <w:szCs w:val="21"/>
                <w:highlight w:val="none"/>
              </w:rPr>
            </w:pPr>
            <w:r>
              <w:rPr>
                <w:rFonts w:hint="eastAsia" w:ascii="宋体" w:hAnsi="宋体" w:cs="宋体"/>
                <w:szCs w:val="21"/>
                <w:highlight w:val="none"/>
              </w:rPr>
              <w:t xml:space="preserve">样品</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根据投标人提供样品的品牌、包装、品质</w:t>
            </w:r>
            <w:r>
              <w:rPr>
                <w:rFonts w:hint="eastAsia" w:ascii="宋体" w:hAnsi="宋体" w:eastAsia="宋体" w:cs="宋体"/>
                <w:szCs w:val="21"/>
                <w:highlight w:val="none"/>
                <w:lang w:val="en-US" w:eastAsia="zh-CN"/>
              </w:rPr>
              <w:t xml:space="preserve">及增值产品</w:t>
            </w:r>
            <w:r>
              <w:rPr>
                <w:rFonts w:hint="eastAsia" w:ascii="宋体" w:hAnsi="宋体" w:eastAsia="宋体" w:cs="宋体"/>
                <w:szCs w:val="21"/>
                <w:highlight w:val="none"/>
                <w:lang w:eastAsia="zh-CN"/>
              </w:rPr>
              <w:t xml:space="preserve">进行评审：</w:t>
            </w:r>
            <w:r/>
          </w:p>
          <w:p>
            <w:pPr>
              <w:numPr>
                <w:ilvl w:val="0"/>
                <w:numId w:val="0"/>
              </w:numPr>
              <w:jc w:val="left"/>
              <w:spacing w:line="28" w:lineRule="atLeas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t xml:space="preserve">投标人完整提供全部参评样品；样品以知名品牌为主；样品包装完好规整、精致美观；产品材质优质、做工精细，实物质量与采购参数要求完全一致</w:t>
            </w:r>
            <w:r>
              <w:rPr>
                <w:rFonts w:hint="eastAsia" w:ascii="宋体" w:hAnsi="宋体" w:cs="宋体"/>
                <w:szCs w:val="21"/>
                <w:highlight w:val="none"/>
                <w:lang w:val="en-US" w:eastAsia="zh-CN"/>
              </w:rPr>
              <w:t xml:space="preserve">得12分；</w:t>
            </w:r>
            <w:r/>
          </w:p>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2、投标人完整提供全部参评样品；样品知名品牌占比较少；样品包装无破损、整体完好但样式普通；产品材质、做工质量中等，实物各项指标与采购参数要求一致</w:t>
            </w:r>
            <w:r>
              <w:rPr>
                <w:rFonts w:hint="eastAsia" w:ascii="宋体" w:hAnsi="宋体" w:cs="宋体"/>
                <w:szCs w:val="21"/>
                <w:highlight w:val="none"/>
                <w:lang w:val="en-US" w:eastAsia="zh-CN"/>
              </w:rPr>
              <w:t xml:space="preserve">得9分；</w:t>
            </w:r>
            <w:r/>
          </w:p>
          <w:p>
            <w:pPr>
              <w:jc w:val="left"/>
              <w:spacing w:line="28" w:lineRule="atLeast"/>
              <w:widowControl/>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3、投标人完整提供全部参评样品；样品无知名品牌；样品包装粗糙、标识信息不全；产品材质与做工质量偏弱，存在轻微瑕疵，但不影响产品核心使用功能</w:t>
            </w:r>
            <w:r>
              <w:rPr>
                <w:rFonts w:hint="eastAsia" w:ascii="宋体" w:hAnsi="宋体" w:cs="宋体"/>
                <w:szCs w:val="21"/>
                <w:highlight w:val="none"/>
                <w:lang w:val="en-US" w:eastAsia="zh-CN"/>
              </w:rPr>
              <w:t xml:space="preserve">得4分</w:t>
            </w:r>
            <w:r>
              <w:rPr>
                <w:rFonts w:hint="eastAsia" w:ascii="宋体" w:hAnsi="宋体" w:eastAsia="宋体" w:cs="宋体"/>
                <w:szCs w:val="21"/>
                <w:highlight w:val="none"/>
                <w:lang w:eastAsia="zh-CN"/>
              </w:rPr>
              <w:t xml:space="preserve">；</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4、投标人未提供样品、样品提供不全，或样品实物参数与采购要求不符、存在严重质量缺陷，无法满足本次采购基本需求的，本项不得分。</w:t>
            </w:r>
            <w:r/>
          </w:p>
        </w:tc>
        <w:tc>
          <w:tcPr>
            <w:tcW w:w="453" w:type="pct"/>
            <w:vAlign w:val="center"/>
            <w:textDirection w:val="lrTb"/>
            <w:noWrap w:val="false"/>
          </w:tcPr>
          <w:p>
            <w:pPr>
              <w:jc w:val="center"/>
              <w:spacing w:line="400" w:lineRule="exact"/>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12</w:t>
            </w:r>
            <w:r/>
          </w:p>
        </w:tc>
      </w:tr>
      <w:tr>
        <w:trPr>
          <w:trHeight w:val="403"/>
        </w:trPr>
        <w:tc>
          <w:tcPr>
            <w:tcW w:w="394" w:type="pct"/>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628" w:type="pct"/>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增值产品</w:t>
            </w:r>
            <w:r/>
          </w:p>
        </w:tc>
        <w:tc>
          <w:tcPr>
            <w:tcW w:w="3524" w:type="pct"/>
            <w:vAlign w:val="center"/>
            <w:textDirection w:val="lrTb"/>
            <w:noWrap w:val="false"/>
          </w:tcPr>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根据投标人提供</w:t>
            </w:r>
            <w:r>
              <w:rPr>
                <w:rFonts w:hint="eastAsia" w:ascii="宋体" w:hAnsi="宋体" w:cs="宋体"/>
                <w:szCs w:val="21"/>
                <w:highlight w:val="none"/>
                <w:lang w:val="en-US" w:eastAsia="zh-CN"/>
              </w:rPr>
              <w:t xml:space="preserve">的</w:t>
            </w:r>
            <w:r>
              <w:rPr>
                <w:rFonts w:hint="eastAsia" w:ascii="宋体" w:hAnsi="宋体" w:eastAsia="宋体" w:cs="宋体"/>
                <w:szCs w:val="21"/>
                <w:highlight w:val="none"/>
                <w:lang w:val="en-US" w:eastAsia="zh-CN"/>
              </w:rPr>
              <w:t xml:space="preserve">增值产品</w:t>
            </w:r>
            <w:r>
              <w:rPr>
                <w:rFonts w:hint="eastAsia" w:ascii="宋体" w:hAnsi="宋体" w:cs="宋体"/>
                <w:szCs w:val="21"/>
                <w:highlight w:val="none"/>
                <w:lang w:val="en-US" w:eastAsia="zh-CN"/>
              </w:rPr>
              <w:t xml:space="preserve">内容</w:t>
            </w:r>
            <w:r>
              <w:rPr>
                <w:rFonts w:hint="eastAsia" w:ascii="宋体" w:hAnsi="宋体" w:eastAsia="宋体" w:cs="宋体"/>
                <w:szCs w:val="21"/>
                <w:highlight w:val="none"/>
                <w:lang w:val="en-US" w:eastAsia="zh-CN"/>
              </w:rPr>
              <w:t xml:space="preserve">进行评审：</w:t>
            </w:r>
            <w:r/>
          </w:p>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1、投标人完整、规范提交增值产品明细表，所列增值产品品牌合规正规、规格参数详实清晰，增值内容丰富、实用性强、性价比优异，能够有效提升本次采购整体服务品质与使用体验，满足且优于采购预期要求的，得4分；</w:t>
            </w:r>
            <w:r/>
          </w:p>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2、投标人完整、规范提交增值产品明细表，所列增值产品贴合本次采购需求，具备良好实用性，可有效补充采购服务内容，能够满足项目额外使用需求的，得2分；</w:t>
            </w:r>
            <w:r/>
          </w:p>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3、投标人完整、规范提交增值产品明细表，但增值产品内容单一，仅为通用基础内容，无实质性增值效用、增值价值有限的，得1分；</w:t>
            </w:r>
            <w:r/>
          </w:p>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4、未按要求提供增值产品明细表及相关增值内容的，本项不得分。</w:t>
            </w:r>
            <w:r/>
          </w:p>
        </w:tc>
        <w:tc>
          <w:tcPr>
            <w:tcW w:w="453" w:type="pct"/>
            <w:vAlign w:val="center"/>
            <w:textDirection w:val="lrTb"/>
            <w:noWrap w:val="false"/>
          </w:tcPr>
          <w:p>
            <w:pPr>
              <w:jc w:val="center"/>
              <w:spacing w:line="400" w:lineRule="exact"/>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r>
            <w:r/>
          </w:p>
          <w:p>
            <w:pPr>
              <w:jc w:val="center"/>
              <w:spacing w:line="400" w:lineRule="exact"/>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r>
            <w:r/>
          </w:p>
          <w:p>
            <w:pPr>
              <w:jc w:val="center"/>
              <w:spacing w:line="400" w:lineRule="exact"/>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r>
            <w:r/>
          </w:p>
          <w:p>
            <w:pPr>
              <w:jc w:val="center"/>
              <w:spacing w:line="400" w:lineRule="exact"/>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 xml:space="preserve">4</w:t>
            </w:r>
            <w:r/>
          </w:p>
        </w:tc>
      </w:tr>
      <w:tr>
        <w:trPr/>
        <w:tc>
          <w:tcPr>
            <w:tcW w:w="394"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p>
        </w:tc>
        <w:tc>
          <w:tcPr>
            <w:tcW w:w="628" w:type="pct"/>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提货券及兑换方式</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根据</w:t>
            </w:r>
            <w:r>
              <w:rPr>
                <w:rFonts w:hint="eastAsia" w:ascii="宋体" w:hAnsi="宋体" w:eastAsia="宋体" w:cs="宋体"/>
                <w:szCs w:val="21"/>
                <w:highlight w:val="none"/>
                <w:lang w:eastAsia="zh-CN"/>
              </w:rPr>
              <w:t xml:space="preserve">投标人</w:t>
            </w:r>
            <w:r>
              <w:rPr>
                <w:rFonts w:ascii="宋体" w:hAnsi="宋体" w:eastAsia="宋体" w:cs="宋体"/>
                <w:szCs w:val="21"/>
                <w:highlight w:val="none"/>
              </w:rPr>
              <w:t xml:space="preserve">提供的提货券外观设计的美观性、新颖性</w:t>
            </w:r>
            <w:r>
              <w:rPr>
                <w:rFonts w:hint="eastAsia" w:ascii="宋体" w:hAnsi="宋体" w:eastAsia="宋体" w:cs="宋体"/>
                <w:szCs w:val="21"/>
                <w:highlight w:val="none"/>
              </w:rPr>
              <w:t xml:space="preserve">、易保存</w:t>
            </w:r>
            <w:r>
              <w:rPr>
                <w:rFonts w:ascii="宋体" w:hAnsi="宋体" w:eastAsia="宋体" w:cs="宋体"/>
                <w:szCs w:val="21"/>
                <w:highlight w:val="none"/>
              </w:rPr>
              <w:t xml:space="preserve">以及兑换方式的便利性</w:t>
            </w:r>
            <w:r>
              <w:rPr>
                <w:rFonts w:hint="eastAsia" w:ascii="宋体" w:hAnsi="宋体" w:eastAsia="宋体" w:cs="宋体"/>
                <w:szCs w:val="21"/>
                <w:highlight w:val="none"/>
              </w:rPr>
              <w:t xml:space="preserve">进</w:t>
            </w:r>
            <w:r>
              <w:rPr>
                <w:rFonts w:ascii="宋体" w:hAnsi="宋体" w:eastAsia="宋体" w:cs="宋体"/>
                <w:szCs w:val="21"/>
                <w:highlight w:val="none"/>
              </w:rPr>
              <w:t xml:space="preserve">行</w:t>
            </w:r>
            <w:r>
              <w:rPr>
                <w:rFonts w:hint="eastAsia" w:ascii="宋体" w:hAnsi="宋体" w:eastAsia="宋体" w:cs="宋体"/>
                <w:szCs w:val="21"/>
                <w:highlight w:val="none"/>
              </w:rPr>
              <w:t xml:space="preserve">评审</w:t>
            </w:r>
            <w:r>
              <w:rPr>
                <w:rFonts w:ascii="宋体" w:hAnsi="宋体" w:eastAsia="宋体" w:cs="宋体"/>
                <w:szCs w:val="21"/>
                <w:highlight w:val="none"/>
              </w:rPr>
              <w:t xml:space="preserve">（提供不超过5分钟的</w:t>
            </w:r>
            <w:r>
              <w:rPr>
                <w:rFonts w:hint="eastAsia" w:ascii="宋体" w:hAnsi="宋体" w:eastAsia="宋体" w:cs="宋体"/>
                <w:szCs w:val="21"/>
                <w:highlight w:val="none"/>
              </w:rPr>
              <w:t xml:space="preserve">介绍提货券及</w:t>
            </w:r>
            <w:r>
              <w:rPr>
                <w:rFonts w:ascii="宋体" w:hAnsi="宋体" w:eastAsia="宋体" w:cs="宋体"/>
                <w:szCs w:val="21"/>
                <w:highlight w:val="none"/>
              </w:rPr>
              <w:t xml:space="preserve">兑换操作流程的录制视频）</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 </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提货券外观设计美观新颖、辨识度高，材质耐用、易保存；兑换方式便捷高效（支持多渠道兑换、流程步骤少、操作简单）；录制视频完整清晰，能在规定时间内全面展示提货券外观、保存要点及兑换全流程，得3分</w:t>
            </w:r>
            <w:r>
              <w:rPr>
                <w:rFonts w:hint="eastAsia" w:ascii="宋体" w:hAnsi="宋体" w:eastAsia="宋体" w:cs="宋体"/>
                <w:szCs w:val="21"/>
                <w:highlight w:val="none"/>
              </w:rPr>
              <w:t xml:space="preserve">；</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rPr>
              <w:t xml:space="preserve">提货券外观设计较美观，材质基本耐用、可正常保存；兑换方式较便利（支持主流渠道兑换，流程无明显障碍）；录制视频完整，能清晰展示提货券及兑换流程，得2分</w:t>
            </w:r>
            <w:r>
              <w:rPr>
                <w:rFonts w:hint="eastAsia" w:ascii="宋体" w:hAnsi="宋体" w:eastAsia="宋体" w:cs="宋体"/>
                <w:szCs w:val="21"/>
                <w:highlight w:val="none"/>
              </w:rPr>
              <w:t xml:space="preserve">；</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rPr>
              <w:t xml:space="preserve">提货券外观设计一般，材质普通、保存性一般；兑换方式较繁琐（渠道单一、步骤较多或操作不够友好）；录制视频已按要求提供，能基本展示提货券及兑换流程，得1分</w:t>
            </w:r>
            <w:r>
              <w:rPr>
                <w:rFonts w:hint="eastAsia" w:ascii="宋体" w:hAnsi="宋体" w:eastAsia="宋体" w:cs="宋体"/>
                <w:szCs w:val="21"/>
                <w:highlight w:val="none"/>
              </w:rPr>
              <w:t xml:space="preserve">；</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未提供视频不得分。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w:t>
            </w:r>
            <w:r/>
          </w:p>
        </w:tc>
      </w:tr>
      <w:tr>
        <w:trPr/>
        <w:tc>
          <w:tcPr>
            <w:tcW w:w="394"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628" w:type="pct"/>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t xml:space="preserve">产品质量保障</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提供的产品质量保障方案（包括但不限于采购渠道、包装、储存、运输、保质期管理等质量</w:t>
            </w:r>
            <w:r>
              <w:rPr>
                <w:rFonts w:ascii="宋体" w:hAnsi="宋体" w:eastAsia="宋体" w:cs="宋体"/>
                <w:szCs w:val="21"/>
                <w:highlight w:val="none"/>
              </w:rPr>
              <w:t xml:space="preserve">保障</w:t>
            </w:r>
            <w:r>
              <w:rPr>
                <w:rFonts w:hint="eastAsia" w:ascii="宋体" w:hAnsi="宋体" w:eastAsia="宋体" w:cs="宋体"/>
                <w:szCs w:val="21"/>
                <w:highlight w:val="none"/>
              </w:rPr>
              <w:t xml:space="preserve">内容）进行评审：</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ascii="宋体" w:hAnsi="宋体" w:eastAsia="宋体" w:cs="宋体"/>
                <w:szCs w:val="21"/>
                <w:highlight w:val="none"/>
              </w:rPr>
              <w:t xml:space="preserve">方案内容完整，覆盖采购渠道、包装、储存、运输、保质期管理等全环节；措施合理可行、针对性强，可有效保障产品质量稳定，完全响应采购需求</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得6分；</w:t>
            </w:r>
            <w:r/>
          </w:p>
          <w:p>
            <w:pPr>
              <w:jc w:val="left"/>
              <w:spacing w:line="28" w:lineRule="atLeast"/>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rPr>
              <w:t xml:space="preserve">方案内容较完整，覆盖主要环节；措施较合理可行、针对性较强，能基本保障产品质量，无明显缺陷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得4分；</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rPr>
              <w:t xml:space="preserve">方案内容不完整，部分环节缺失；措施合理性、可行性不足，针对性一般，对产品质量的保障能力较弱</w:t>
            </w:r>
            <w:r>
              <w:rPr>
                <w:rFonts w:hint="eastAsia" w:ascii="宋体" w:hAnsi="宋体" w:eastAsia="宋体" w:cs="宋体"/>
                <w:szCs w:val="21"/>
                <w:highlight w:val="none"/>
              </w:rPr>
              <w:t xml:space="preserve">，</w:t>
            </w:r>
            <w:r>
              <w:rPr>
                <w:rFonts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2</w:t>
            </w:r>
            <w:r>
              <w:rPr>
                <w:rFonts w:ascii="宋体" w:hAnsi="宋体" w:eastAsia="宋体" w:cs="宋体"/>
                <w:szCs w:val="21"/>
                <w:highlight w:val="none"/>
              </w:rPr>
              <w:t xml:space="preserve">分；</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ascii="宋体" w:hAnsi="宋体" w:eastAsia="宋体" w:cs="宋体"/>
                <w:szCs w:val="21"/>
                <w:highlight w:val="none"/>
              </w:rPr>
              <w:t xml:space="preserve">未提供不得分。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6</w:t>
            </w:r>
            <w:r/>
          </w:p>
        </w:tc>
      </w:tr>
      <w:tr>
        <w:trPr/>
        <w:tc>
          <w:tcPr>
            <w:tcW w:w="394" w:type="pct"/>
            <w:vAlign w:val="center"/>
            <w:vMerge w:val="restart"/>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7</w:t>
            </w:r>
            <w:r/>
          </w:p>
        </w:tc>
        <w:tc>
          <w:tcPr>
            <w:tcW w:w="628" w:type="pct"/>
            <w:vAlign w:val="center"/>
            <w:vMerge w:val="restar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供货方案</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根据供应商提供的提货券发放、产品配送等供货方案进行评审：</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ascii="宋体" w:hAnsi="宋体" w:eastAsia="宋体" w:cs="宋体"/>
                <w:szCs w:val="21"/>
                <w:highlight w:val="none"/>
              </w:rPr>
              <w:t xml:space="preserve">供货方案内容详细完整，覆盖提货券发放、订单响应、产品配送、签收确认、异常处理等全流程；时间节点清晰、配送方式合理、应急预案完善，完全匹配采购需求，可行性强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得6分；</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rPr>
              <w:t xml:space="preserve">供货方案内容较完整，覆盖主要供货环节；流程基本清晰，配送安排合理，无明显不合理项，能满足采购需求，可行性较好</w:t>
            </w:r>
            <w:r>
              <w:rPr>
                <w:rFonts w:hint="eastAsia" w:ascii="宋体" w:hAnsi="宋体" w:eastAsia="宋体" w:cs="宋体"/>
                <w:szCs w:val="21"/>
                <w:highlight w:val="none"/>
              </w:rPr>
              <w:t xml:space="preserve">，得4分；</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rPr>
              <w:t xml:space="preserve">供货方案内容有欠缺，部分关键环节（如发放时效、配送范围、应急处理）缺失或表述模糊，可行性一般，对供货保障能力较弱</w:t>
            </w:r>
            <w:r>
              <w:rPr>
                <w:rFonts w:hint="eastAsia" w:ascii="宋体" w:hAnsi="宋体" w:eastAsia="宋体" w:cs="宋体"/>
                <w:szCs w:val="21"/>
                <w:highlight w:val="none"/>
              </w:rPr>
              <w:t xml:space="preserve">，得2分；</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不提供不得分。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6</w:t>
            </w:r>
            <w:r/>
          </w:p>
        </w:tc>
      </w:tr>
      <w:tr>
        <w:trPr/>
        <w:tc>
          <w:tcPr>
            <w:tcW w:w="394"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28"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3524" w:type="pct"/>
            <w:vAlign w:val="center"/>
            <w:textDirection w:val="lrTb"/>
            <w:noWrap w:val="false"/>
          </w:tcPr>
          <w:p>
            <w:pPr>
              <w:jc w:val="left"/>
              <w:spacing w:line="28" w:lineRule="atLeast"/>
              <w:widowControl/>
              <w:rPr>
                <w:rStyle w:val="1227"/>
                <w:rFonts w:hint="eastAsia" w:ascii="宋体" w:hAnsi="宋体" w:eastAsia="宋体" w:cs="Times New Roman"/>
                <w:szCs w:val="21"/>
                <w:highlight w:val="none"/>
              </w:rPr>
            </w:pPr>
            <w:r>
              <w:rPr>
                <w:rFonts w:hint="eastAsia" w:ascii="宋体" w:hAnsi="宋体" w:eastAsia="宋体" w:cs="宋体"/>
                <w:szCs w:val="21"/>
                <w:highlight w:val="none"/>
              </w:rPr>
              <w:t xml:space="preserve">配送方式</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承诺全国包邮到户、顺丰或京东快递的得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分，否则不得分。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w:t>
            </w:r>
            <w:r/>
          </w:p>
        </w:tc>
      </w:tr>
      <w:tr>
        <w:trPr/>
        <w:tc>
          <w:tcPr>
            <w:tcW w:w="394"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28"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3524" w:type="pct"/>
            <w:vAlign w:val="center"/>
            <w:textDirection w:val="lrTb"/>
            <w:noWrap w:val="false"/>
          </w:tcPr>
          <w:p>
            <w:pPr>
              <w:jc w:val="left"/>
              <w:spacing w:line="28" w:lineRule="atLeast"/>
              <w:widowControl/>
              <w:rPr>
                <w:rStyle w:val="1227"/>
                <w:rFonts w:hint="eastAsia" w:ascii="宋体" w:hAnsi="宋体" w:eastAsia="宋体" w:cs="Times New Roman"/>
                <w:szCs w:val="21"/>
                <w:highlight w:val="none"/>
              </w:rPr>
            </w:pPr>
            <w:r>
              <w:rPr>
                <w:rFonts w:hint="eastAsia" w:ascii="宋体" w:hAnsi="宋体" w:eastAsia="宋体" w:cs="宋体"/>
                <w:szCs w:val="21"/>
                <w:highlight w:val="none"/>
              </w:rPr>
              <w:t xml:space="preserve">备货发货时间</w:t>
            </w:r>
            <w:r>
              <w:rPr>
                <w:rFonts w:hint="eastAsia" w:ascii="宋体" w:hAnsi="宋体" w:eastAsia="宋体" w:cs="宋体"/>
                <w:szCs w:val="21"/>
                <w:highlight w:val="none"/>
                <w:lang w:eastAsia="zh-CN"/>
              </w:rPr>
              <w:t xml:space="preserve">：</w:t>
            </w:r>
            <w:r>
              <w:rPr>
                <w:rStyle w:val="1227"/>
                <w:rFonts w:hint="eastAsia" w:ascii="宋体" w:hAnsi="宋体" w:eastAsia="宋体" w:cs="Times New Roman"/>
                <w:szCs w:val="21"/>
                <w:highlight w:val="none"/>
              </w:rPr>
              <w:t xml:space="preserve">优于采购文件要求的</w:t>
            </w:r>
            <w:r>
              <w:rPr>
                <w:rFonts w:hint="eastAsia" w:ascii="宋体" w:hAnsi="宋体" w:eastAsia="宋体" w:cs="宋体"/>
                <w:szCs w:val="21"/>
                <w:highlight w:val="none"/>
              </w:rPr>
              <w:t xml:space="preserve">备货发货时间的</w:t>
            </w:r>
            <w:r>
              <w:rPr>
                <w:rStyle w:val="1227"/>
                <w:rFonts w:hint="eastAsia" w:ascii="宋体" w:hAnsi="宋体" w:eastAsia="宋体" w:cs="Times New Roman"/>
                <w:szCs w:val="21"/>
                <w:highlight w:val="none"/>
              </w:rPr>
              <w:t xml:space="preserve">，加</w:t>
            </w:r>
            <w:r>
              <w:rPr>
                <w:rStyle w:val="1227"/>
                <w:rFonts w:hint="eastAsia" w:ascii="宋体" w:hAnsi="宋体" w:cs="Times New Roman"/>
                <w:szCs w:val="21"/>
                <w:highlight w:val="none"/>
                <w:lang w:val="en-US" w:eastAsia="zh-CN"/>
              </w:rPr>
              <w:t xml:space="preserve">2</w:t>
            </w:r>
            <w:r>
              <w:rPr>
                <w:rStyle w:val="1227"/>
                <w:rFonts w:hint="eastAsia" w:ascii="宋体" w:hAnsi="宋体" w:eastAsia="宋体" w:cs="Times New Roman"/>
                <w:szCs w:val="21"/>
                <w:highlight w:val="none"/>
              </w:rPr>
              <w:t xml:space="preserve">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w:t>
            </w:r>
            <w:r/>
          </w:p>
        </w:tc>
      </w:tr>
      <w:tr>
        <w:trPr/>
        <w:tc>
          <w:tcPr>
            <w:tcW w:w="394" w:type="pct"/>
            <w:vAlign w:val="center"/>
            <w:vMerge w:val="restart"/>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p>
        </w:tc>
        <w:tc>
          <w:tcPr>
            <w:tcW w:w="628" w:type="pct"/>
            <w:vAlign w:val="center"/>
            <w:vMerge w:val="restart"/>
            <w:textDirection w:val="lrTb"/>
            <w:noWrap w:val="false"/>
          </w:tcPr>
          <w:p>
            <w:pPr>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售后</w:t>
            </w:r>
            <w:r>
              <w:rPr>
                <w:rFonts w:hint="eastAsia" w:ascii="宋体" w:hAnsi="宋体" w:cs="宋体"/>
                <w:szCs w:val="21"/>
                <w:highlight w:val="none"/>
                <w:lang w:val="en-US" w:eastAsia="zh-CN"/>
              </w:rPr>
              <w:t xml:space="preserve">服务方案</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投标商</w:t>
            </w:r>
            <w:r>
              <w:rPr>
                <w:rFonts w:hint="eastAsia" w:ascii="宋体" w:hAnsi="宋体" w:eastAsia="宋体" w:cs="宋体"/>
                <w:szCs w:val="21"/>
                <w:highlight w:val="none"/>
              </w:rPr>
              <w:t xml:space="preserve">提供在服务过程中可能产生的问题的售后方案，包含但不限于响应时间、售后渠道、遗漏及时补货、延迟配送处理、产品退换货、质量问题赔偿等：</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ascii="宋体" w:hAnsi="宋体" w:eastAsia="宋体" w:cs="宋体"/>
                <w:szCs w:val="21"/>
                <w:highlight w:val="none"/>
              </w:rPr>
              <w:t xml:space="preserve">售后服务方案完整覆盖响应时效、咨询渠道、遗漏补货、延迟配送处理、退换货流程、质量问题赔偿等全部要求；响应时间明确且快速，咨询渠道多元（含电话、线上平台、专属客服等），补发及退换货流程高效便捷，质量问题赔偿方案合理、可落地，保障措施完善，针对性强，完全满足采购需求</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rPr>
              <w:t xml:space="preserve">售后服务方案覆盖主要服务环节，响应时间较合理，提供基础售后咨询渠道，补发、退换货及赔偿措施基本明确，流程较顺畅，无明显不合理项，能有效处理常见售后问题，可行性较好</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rPr>
              <w:t xml:space="preserve">售后服务方案内容有欠缺，部分关键环节表述模糊；响应时间偏长、渠道单一，补发</w:t>
            </w:r>
            <w:r>
              <w:rPr>
                <w:rFonts w:hint="eastAsia" w:ascii="宋体" w:hAnsi="宋体" w:eastAsia="宋体" w:cs="宋体"/>
                <w:szCs w:val="21"/>
                <w:highlight w:val="none"/>
                <w:lang w:eastAsia="zh-CN"/>
              </w:rPr>
              <w:t xml:space="preserve">、</w:t>
            </w:r>
            <w:r>
              <w:rPr>
                <w:rFonts w:ascii="宋体" w:hAnsi="宋体" w:eastAsia="宋体" w:cs="宋体"/>
                <w:szCs w:val="21"/>
                <w:highlight w:val="none"/>
              </w:rPr>
              <w:t xml:space="preserve">退换货流程繁琐，赔偿方案不够明确，售后保障能力较弱</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不提供不得分。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6</w:t>
            </w:r>
            <w:r/>
          </w:p>
        </w:tc>
      </w:tr>
      <w:tr>
        <w:trPr/>
        <w:tc>
          <w:tcPr>
            <w:tcW w:w="394"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28"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退换货承诺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rPr>
              <w:t xml:space="preserve">承诺无条件退换货的得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分（提供承诺书</w:t>
            </w:r>
            <w:r>
              <w:rPr>
                <w:rFonts w:hint="eastAsia" w:ascii="宋体" w:hAnsi="宋体" w:eastAsia="宋体" w:cs="宋体"/>
                <w:szCs w:val="21"/>
                <w:highlight w:val="none"/>
                <w:lang w:val="en-US" w:eastAsia="zh-CN"/>
              </w:rPr>
              <w:t xml:space="preserve">并</w:t>
            </w:r>
            <w:r>
              <w:rPr>
                <w:rFonts w:hint="eastAsia" w:ascii="宋体" w:hAnsi="宋体" w:eastAsia="宋体" w:cs="宋体"/>
                <w:szCs w:val="21"/>
                <w:highlight w:val="none"/>
              </w:rPr>
              <w:t xml:space="preserve">加盖</w:t>
            </w: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rPr>
              <w:t xml:space="preserve">公章），否则不得分。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w:t>
            </w:r>
            <w:r/>
          </w:p>
        </w:tc>
      </w:tr>
      <w:tr>
        <w:trPr>
          <w:trHeight w:val="1440"/>
        </w:trPr>
        <w:tc>
          <w:tcPr>
            <w:tcW w:w="394"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tcW w:w="628" w:type="pct"/>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业绩</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rPr>
              <w:t xml:space="preserve">自202</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年01月01日（含）以来（以合同签订日期为准）承接过的类似物资采购项目业绩，</w:t>
            </w:r>
            <w:r>
              <w:rPr>
                <w:rFonts w:hint="eastAsia" w:ascii="宋体" w:hAnsi="宋体" w:cs="宋体"/>
                <w:szCs w:val="21"/>
                <w:highlight w:val="none"/>
                <w:lang w:val="en-US" w:eastAsia="zh-CN"/>
              </w:rPr>
              <w:t xml:space="preserve">提供合同扫描件并加盖投标人公章</w:t>
            </w:r>
            <w:r>
              <w:rPr>
                <w:rFonts w:hint="eastAsia" w:ascii="宋体" w:hAnsi="宋体" w:eastAsia="宋体" w:cs="宋体"/>
                <w:szCs w:val="21"/>
                <w:highlight w:val="none"/>
              </w:rPr>
              <w:t xml:space="preserve">，合同上双方名称，盖章，落款时间，金额等关键信息必须清晰可见，每提供1份得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分，本项最高得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分，不符合或不提供不得分。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6</w:t>
            </w:r>
            <w:r/>
          </w:p>
        </w:tc>
      </w:tr>
    </w:tbl>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pStyle w:val="969"/>
        <w:rPr>
          <w:sz w:val="22"/>
          <w:highlight w:val="none"/>
        </w:rPr>
      </w:pPr>
      <w:r>
        <w:rPr>
          <w:sz w:val="22"/>
          <w:highlight w:val="none"/>
        </w:rPr>
      </w:r>
      <w:r/>
    </w:p>
    <w:p>
      <w:pPr>
        <w:numPr>
          <w:ilvl w:val="0"/>
          <w:numId w:val="0"/>
        </w:numPr>
        <w:jc w:val="center"/>
        <w:spacing w:line="360" w:lineRule="auto"/>
        <w:rPr>
          <w:rFonts w:hint="eastAsia" w:ascii="黑体" w:hAnsi="黑体" w:eastAsia="黑体" w:cs="黑体"/>
          <w:b/>
          <w:color w:val="000000"/>
          <w:sz w:val="32"/>
          <w:szCs w:val="32"/>
          <w:highlight w:val="none"/>
          <w:lang w:eastAsia="zh-CN"/>
        </w:rPr>
      </w:pPr>
      <w:r>
        <w:rPr>
          <w:rFonts w:hint="eastAsia" w:ascii="黑体" w:hAnsi="黑体" w:eastAsia="黑体" w:cs="黑体"/>
          <w:b/>
          <w:color w:val="000000"/>
          <w:sz w:val="32"/>
          <w:szCs w:val="32"/>
          <w:highlight w:val="none"/>
          <w:lang w:val="en-US" w:eastAsia="zh-CN"/>
        </w:rPr>
        <w:t xml:space="preserve">第四章 </w:t>
      </w:r>
      <w:r>
        <w:rPr>
          <w:rFonts w:hint="eastAsia" w:ascii="黑体" w:hAnsi="黑体" w:eastAsia="黑体" w:cs="黑体"/>
          <w:b/>
          <w:color w:val="000000"/>
          <w:sz w:val="32"/>
          <w:szCs w:val="32"/>
          <w:highlight w:val="none"/>
          <w:lang w:eastAsia="zh-CN"/>
        </w:rPr>
        <w:t xml:space="preserve">采购需求</w:t>
      </w:r>
      <w:r/>
    </w:p>
    <w:p>
      <w:pPr>
        <w:pStyle w:val="909"/>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一、项目概述</w:t>
      </w:r>
      <w:r/>
    </w:p>
    <w:p>
      <w:pPr>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本次采购项目</w:t>
      </w:r>
      <w:r>
        <w:rPr>
          <w:rFonts w:hint="eastAsia" w:ascii="宋体" w:hAnsi="宋体" w:eastAsia="宋体" w:cs="宋体"/>
          <w:b w:val="0"/>
          <w:bCs w:val="0"/>
          <w:sz w:val="21"/>
          <w:szCs w:val="21"/>
        </w:rPr>
        <w:t xml:space="preserve">为</w:t>
      </w:r>
      <w:r>
        <w:rPr>
          <w:rFonts w:hint="eastAsia" w:ascii="宋体" w:hAnsi="宋体" w:cs="宋体"/>
          <w:b w:val="0"/>
          <w:bCs w:val="0"/>
          <w:sz w:val="21"/>
          <w:szCs w:val="21"/>
          <w:lang w:eastAsia="zh-CN"/>
        </w:rPr>
        <w:t xml:space="preserve">2026年鼓楼医院职工夏季清凉用品</w:t>
      </w:r>
      <w:r>
        <w:rPr>
          <w:rFonts w:hint="eastAsia" w:ascii="宋体" w:hAnsi="宋体" w:eastAsia="宋体" w:cs="宋体"/>
          <w:b w:val="0"/>
          <w:bCs w:val="0"/>
          <w:sz w:val="21"/>
          <w:szCs w:val="21"/>
        </w:rPr>
        <w:t xml:space="preserve">，</w:t>
      </w:r>
      <w:r>
        <w:rPr>
          <w:rFonts w:hint="eastAsia" w:ascii="宋体" w:hAnsi="宋体" w:eastAsia="宋体" w:cs="宋体"/>
          <w:sz w:val="21"/>
          <w:szCs w:val="21"/>
        </w:rPr>
        <w:t xml:space="preserve">供应商应根据采购文件所提出的货物</w:t>
      </w:r>
      <w:r>
        <w:rPr>
          <w:rFonts w:hint="eastAsia" w:ascii="宋体" w:hAnsi="宋体" w:eastAsia="宋体" w:cs="宋体"/>
          <w:sz w:val="21"/>
          <w:szCs w:val="21"/>
          <w:lang w:val="en-US" w:eastAsia="zh-CN"/>
        </w:rPr>
        <w:t xml:space="preserve">规格要求</w:t>
      </w:r>
      <w:r>
        <w:rPr>
          <w:rFonts w:hint="eastAsia" w:ascii="宋体" w:hAnsi="宋体" w:eastAsia="宋体" w:cs="宋体"/>
          <w:sz w:val="21"/>
          <w:szCs w:val="21"/>
        </w:rPr>
        <w:t xml:space="preserve">，综合考虑货物的适用性，选择具有</w:t>
      </w:r>
      <w:r>
        <w:rPr>
          <w:rFonts w:hint="eastAsia" w:ascii="宋体" w:hAnsi="宋体" w:eastAsia="宋体" w:cs="宋体"/>
          <w:b w:val="0"/>
          <w:bCs w:val="0"/>
          <w:sz w:val="21"/>
          <w:szCs w:val="21"/>
        </w:rPr>
        <w:t xml:space="preserve">最佳性能价格比</w:t>
      </w:r>
      <w:r>
        <w:rPr>
          <w:rFonts w:hint="eastAsia" w:ascii="宋体" w:hAnsi="宋体" w:eastAsia="宋体" w:cs="宋体"/>
          <w:sz w:val="21"/>
          <w:szCs w:val="21"/>
        </w:rPr>
        <w:t xml:space="preserve">的货物前来</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。希望供应商以精美的货物、优良的服务和优惠的价格，充分显示你们的竞争实力。</w:t>
      </w:r>
      <w:r/>
    </w:p>
    <w:p>
      <w:pPr>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numPr>
          <w:ilvl w:val="0"/>
          <w:numId w:val="0"/>
        </w:numPr>
        <w:jc w:val="both"/>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二、采购内容清单及要求</w:t>
      </w:r>
      <w:r/>
    </w:p>
    <w:tbl>
      <w:tblPr>
        <w:tblStyle w:val="897"/>
        <w:tblpPr w:horzAnchor="page" w:tblpX="1246" w:vertAnchor="text" w:tblpY="166" w:leftFromText="180" w:topFromText="0" w:rightFromText="180" w:bottomFromText="0"/>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995"/>
        <w:gridCol w:w="1637"/>
        <w:gridCol w:w="722"/>
        <w:gridCol w:w="5414"/>
      </w:tblGrid>
      <w:tr>
        <w:trPr>
          <w:jc w:val="center"/>
          <w:trHeight w:val="437"/>
        </w:trPr>
        <w:tc>
          <w:tcPr>
            <w:tcW w:w="859" w:type="dxa"/>
            <w:vAlign w:val="center"/>
            <w:textDirection w:val="lrTb"/>
            <w:noWrap/>
          </w:tcPr>
          <w:p>
            <w:pPr>
              <w:jc w:val="center"/>
              <w:widowControl/>
              <w:rPr>
                <w:rFonts w:hint="eastAsia" w:ascii="宋体" w:hAnsi="宋体" w:eastAsia="宋体" w:cs="宋体"/>
                <w:color w:val="000000"/>
                <w:sz w:val="21"/>
                <w:szCs w:val="21"/>
              </w:rPr>
            </w:pPr>
            <w:r/>
            <w:bookmarkStart w:id="117" w:name="_Toc19691"/>
            <w:r/>
            <w:bookmarkStart w:id="118" w:name="_Toc11326"/>
            <w:r/>
            <w:bookmarkStart w:id="119" w:name="_Toc11219"/>
            <w:r/>
            <w:bookmarkStart w:id="120" w:name="_Toc19"/>
            <w:r>
              <w:rPr>
                <w:rFonts w:hint="eastAsia" w:ascii="宋体" w:hAnsi="宋体" w:eastAsia="宋体" w:cs="宋体"/>
                <w:color w:val="000000"/>
                <w:sz w:val="21"/>
                <w:szCs w:val="21"/>
              </w:rPr>
              <w:t xml:space="preserve">套餐</w:t>
            </w:r>
            <w:r/>
          </w:p>
        </w:tc>
        <w:tc>
          <w:tcPr>
            <w:tcW w:w="99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品类</w:t>
            </w:r>
            <w:r/>
          </w:p>
        </w:tc>
        <w:tc>
          <w:tcPr>
            <w:tcW w:w="1637"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品名</w:t>
            </w:r>
            <w:r/>
          </w:p>
        </w:tc>
        <w:tc>
          <w:tcPr>
            <w:tcW w:w="722"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W w:w="5414"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规格参数</w:t>
            </w:r>
            <w:r/>
          </w:p>
        </w:tc>
      </w:tr>
      <w:tr>
        <w:trPr>
          <w:jc w:val="center"/>
          <w:trHeight w:val="1151"/>
        </w:trPr>
        <w:tc>
          <w:tcPr>
            <w:tcW w:w="859"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套餐A</w:t>
            </w:r>
            <w:r/>
          </w:p>
        </w:tc>
        <w:tc>
          <w:tcPr>
            <w:tcW w:w="995"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夏被</w:t>
            </w:r>
            <w:r/>
          </w:p>
        </w:tc>
        <w:tc>
          <w:tcPr>
            <w:tcW w:w="1637"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蚕丝夏被</w:t>
            </w:r>
            <w:r/>
          </w:p>
        </w:tc>
        <w:tc>
          <w:tcPr>
            <w:tcW w:w="722"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1床</w:t>
            </w:r>
            <w:r/>
          </w:p>
        </w:tc>
        <w:tc>
          <w:tcPr>
            <w:tcW w:w="5414" w:type="dxa"/>
            <w:vAlign w:val="center"/>
            <w:textDirection w:val="lrTb"/>
            <w:noWrap w:val="false"/>
          </w:tcPr>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1、尺寸：</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180*200cm </w:t>
            </w:r>
            <w:r/>
          </w:p>
          <w:p>
            <w:pPr>
              <w:jc w:val="left"/>
              <w:widowControl/>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lang w:val="en-US" w:eastAsia="zh-CN"/>
              </w:rPr>
              <w:t xml:space="preserve">2、填充材质：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50%柞蚕丝（中长丝绵）</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3、填充物克重：</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280g</w:t>
            </w:r>
            <w:r/>
          </w:p>
          <w:p>
            <w:pPr>
              <w:jc w:val="left"/>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、执行标准：GB/T 24252-2019，安全技术类别：GB 18401 A类</w:t>
            </w:r>
            <w:r/>
          </w:p>
        </w:tc>
      </w:tr>
      <w:tr>
        <w:trPr>
          <w:jc w:val="center"/>
          <w:trHeight w:val="709"/>
        </w:trPr>
        <w:tc>
          <w:tcPr>
            <w:tcW w:w="859" w:type="dxa"/>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套餐B</w:t>
            </w:r>
            <w:r/>
          </w:p>
        </w:tc>
        <w:tc>
          <w:tcPr>
            <w:tcW w:w="995"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防晒伞</w:t>
            </w:r>
            <w:r/>
          </w:p>
        </w:tc>
        <w:tc>
          <w:tcPr>
            <w:tcW w:w="1637"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黑胶防晒伞</w:t>
            </w:r>
            <w:r/>
          </w:p>
        </w:tc>
        <w:tc>
          <w:tcPr>
            <w:tcW w:w="722"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1把</w:t>
            </w:r>
            <w:r/>
          </w:p>
        </w:tc>
        <w:tc>
          <w:tcPr>
            <w:tcW w:w="5414" w:type="dxa"/>
            <w:vAlign w:val="center"/>
            <w:textDirection w:val="lrTb"/>
            <w:noWrap w:val="false"/>
          </w:tcPr>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1、材质：聚酯纤维</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2、紫外线</w:t>
            </w:r>
            <w:r>
              <w:rPr>
                <w:rFonts w:hint="eastAsia" w:ascii="宋体" w:hAnsi="宋体" w:eastAsia="宋体" w:cs="宋体"/>
                <w:color w:val="000000"/>
                <w:sz w:val="21"/>
                <w:szCs w:val="21"/>
              </w:rPr>
              <w:t xml:space="preserve">防晒系数</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UPF≥50+ </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防泼水级别</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4-5级</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4、防风等级：5级</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5、执行标准：GB/T 23147-2018，GB/T 18830-2009</w:t>
            </w:r>
            <w:r/>
          </w:p>
        </w:tc>
      </w:tr>
      <w:tr>
        <w:trPr>
          <w:jc w:val="center"/>
          <w:trHeight w:val="863"/>
        </w:trPr>
        <w:tc>
          <w:tcPr>
            <w:tcW w:w="859"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5"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帽子</w:t>
            </w:r>
            <w:r/>
          </w:p>
        </w:tc>
        <w:tc>
          <w:tcPr>
            <w:tcW w:w="1637"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自收纳防晒帽</w:t>
            </w:r>
            <w:r/>
          </w:p>
        </w:tc>
        <w:tc>
          <w:tcPr>
            <w:tcW w:w="722" w:type="dxa"/>
            <w:vAlign w:val="center"/>
            <w:textDirection w:val="lrTb"/>
            <w:noWrap/>
          </w:tcPr>
          <w:p>
            <w:pPr>
              <w:jc w:val="center"/>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1顶</w:t>
            </w:r>
            <w:r/>
          </w:p>
        </w:tc>
        <w:tc>
          <w:tcPr>
            <w:tcW w:w="5414" w:type="dxa"/>
            <w:vAlign w:val="center"/>
            <w:textDirection w:val="lrTb"/>
            <w:noWrap w:val="false"/>
          </w:tcPr>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1、材质：锦纶75%-85%，氨纶15%-25%</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2、紫外线防晒系数：UPF</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50+</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3、透气率：≥360mm/s，凉感系数：≥0.2</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4、执行标准：FZ/T 82002-2016，GB/T 18830-2009</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5、安全类别：GB 18401-2010 B类</w:t>
            </w:r>
            <w:r/>
          </w:p>
        </w:tc>
      </w:tr>
      <w:tr>
        <w:trPr>
          <w:jc w:val="center"/>
          <w:trHeight w:val="367"/>
        </w:trPr>
        <w:tc>
          <w:tcPr>
            <w:tcW w:w="859"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5"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口罩</w:t>
            </w:r>
            <w:r/>
          </w:p>
        </w:tc>
        <w:tc>
          <w:tcPr>
            <w:tcW w:w="1637"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防晒口罩</w:t>
            </w:r>
            <w:r/>
          </w:p>
        </w:tc>
        <w:tc>
          <w:tcPr>
            <w:tcW w:w="722"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1个</w:t>
            </w:r>
            <w:r/>
          </w:p>
        </w:tc>
        <w:tc>
          <w:tcPr>
            <w:tcW w:w="5414" w:type="dxa"/>
            <w:vAlign w:val="center"/>
            <w:textDirection w:val="lrTb"/>
            <w:noWrap w:val="false"/>
          </w:tcPr>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1、材质成分：锦纶75%-80%，氨纶15%-25%</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2、紫外线防晒系数：UPF 50+</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3、透气率≥400mm/s，凉感系数≥0.3</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4、执行标准：FZ/T 73044-2012，GB/T 18830-2009，FZ/T 73023-2006</w:t>
            </w:r>
            <w:r/>
          </w:p>
          <w:p>
            <w:pPr>
              <w:jc w:val="lef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5、安全类别：GB 18401-2010 B类</w:t>
            </w:r>
            <w:bookmarkEnd w:id="117"/>
            <w:r/>
            <w:r/>
          </w:p>
        </w:tc>
      </w:tr>
    </w:tbl>
    <w:p>
      <w:pPr>
        <w:pStyle w:val="968"/>
        <w:ind w:left="0" w:firstLine="0"/>
        <w:pageBreakBefore w:val="0"/>
        <w:spacing w:line="360" w:lineRule="auto"/>
        <w:rPr>
          <w:rStyle w:val="1227"/>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供应商需提供佐证材料（如第三方权威检测报告、产品实物吊牌、产品彩页、规格说明书等）以证明所提供的产品符合以上采购需求，未提供评标委员会将不予认可。</w:t>
      </w:r>
      <w:r/>
    </w:p>
    <w:p>
      <w:pPr>
        <w:jc w:val="left"/>
        <w:spacing w:line="440" w:lineRule="exact"/>
        <w:widowControl/>
        <w:rPr>
          <w:rStyle w:val="1227"/>
          <w:rFonts w:hint="eastAsia" w:ascii="宋体" w:hAnsi="宋体" w:eastAsia="宋体" w:cs="宋体"/>
          <w:b/>
          <w:bCs/>
          <w:sz w:val="21"/>
          <w:szCs w:val="21"/>
        </w:rPr>
      </w:pPr>
      <w:r>
        <w:rPr>
          <w:rStyle w:val="1227"/>
          <w:rFonts w:hint="eastAsia" w:ascii="宋体" w:hAnsi="宋体" w:eastAsia="宋体" w:cs="宋体"/>
          <w:b/>
          <w:bCs/>
          <w:sz w:val="21"/>
          <w:szCs w:val="21"/>
          <w:lang w:val="en-US" w:eastAsia="zh-CN"/>
        </w:rPr>
        <w:t xml:space="preserve">三、</w:t>
      </w:r>
      <w:r>
        <w:rPr>
          <w:rStyle w:val="1227"/>
          <w:rFonts w:hint="eastAsia" w:ascii="宋体" w:hAnsi="宋体" w:eastAsia="宋体" w:cs="宋体"/>
          <w:b/>
          <w:bCs/>
          <w:sz w:val="21"/>
          <w:szCs w:val="21"/>
        </w:rPr>
        <w:t xml:space="preserve">供货要求</w:t>
      </w:r>
      <w:r/>
    </w:p>
    <w:p>
      <w:pPr>
        <w:jc w:val="left"/>
        <w:spacing w:line="440" w:lineRule="exact"/>
        <w:widowControl/>
        <w:rPr>
          <w:rStyle w:val="1227"/>
          <w:rFonts w:hint="eastAsia" w:ascii="宋体" w:hAnsi="宋体" w:eastAsia="宋体" w:cs="宋体"/>
          <w:sz w:val="21"/>
          <w:szCs w:val="21"/>
        </w:rPr>
      </w:pPr>
      <w:r>
        <w:rPr>
          <w:rStyle w:val="1227"/>
          <w:rFonts w:hint="eastAsia" w:ascii="宋体" w:hAnsi="宋体" w:eastAsia="宋体" w:cs="宋体"/>
          <w:sz w:val="21"/>
          <w:szCs w:val="21"/>
        </w:rPr>
        <w:t xml:space="preserve">1、供应商为采购人职工提供上述产品的供货及配套服务，供应商成交后须及时备好设计合理、易于保存、具有限期提货功能的提货</w:t>
      </w:r>
      <w:r>
        <w:rPr>
          <w:rFonts w:hint="eastAsia" w:ascii="宋体" w:hAnsi="宋体" w:eastAsia="宋体" w:cs="宋体"/>
          <w:sz w:val="21"/>
          <w:szCs w:val="21"/>
        </w:rPr>
        <w:t xml:space="preserve">券</w:t>
      </w:r>
      <w:r>
        <w:rPr>
          <w:rStyle w:val="1227"/>
          <w:rFonts w:hint="eastAsia" w:ascii="宋体" w:hAnsi="宋体" w:eastAsia="宋体" w:cs="宋体"/>
          <w:sz w:val="21"/>
          <w:szCs w:val="21"/>
        </w:rPr>
        <w:t xml:space="preserve">，并在采购人要求的时间内提供相应数量的提货</w:t>
      </w:r>
      <w:r>
        <w:rPr>
          <w:rFonts w:hint="eastAsia" w:ascii="宋体" w:hAnsi="宋体" w:eastAsia="宋体" w:cs="宋体"/>
          <w:sz w:val="21"/>
          <w:szCs w:val="21"/>
        </w:rPr>
        <w:t xml:space="preserve">券</w:t>
      </w:r>
      <w:r>
        <w:rPr>
          <w:rStyle w:val="1227"/>
          <w:rFonts w:hint="eastAsia" w:ascii="宋体" w:hAnsi="宋体" w:eastAsia="宋体" w:cs="宋体"/>
          <w:sz w:val="21"/>
          <w:szCs w:val="21"/>
        </w:rPr>
        <w:t xml:space="preserve">，供采购人发放给职工。</w:t>
      </w:r>
      <w:r/>
    </w:p>
    <w:p>
      <w:pPr>
        <w:jc w:val="left"/>
        <w:spacing w:line="440" w:lineRule="exact"/>
        <w:widowControl/>
        <w:rPr>
          <w:rStyle w:val="1227"/>
          <w:rFonts w:hint="eastAsia" w:ascii="宋体" w:hAnsi="宋体" w:eastAsia="宋体" w:cs="宋体"/>
          <w:sz w:val="21"/>
          <w:szCs w:val="21"/>
        </w:rPr>
      </w:pPr>
      <w:r>
        <w:rPr>
          <w:rStyle w:val="1227"/>
          <w:rFonts w:hint="eastAsia" w:ascii="宋体" w:hAnsi="宋体" w:eastAsia="宋体" w:cs="宋体"/>
          <w:sz w:val="21"/>
          <w:szCs w:val="21"/>
        </w:rPr>
        <w:t xml:space="preserve">2、提货券上须有有效期、使用方法、配送范围及时间、注意事项等说明。</w:t>
      </w:r>
      <w:r/>
    </w:p>
    <w:p>
      <w:pPr>
        <w:jc w:val="left"/>
        <w:spacing w:line="440" w:lineRule="exact"/>
        <w:widowControl/>
        <w:rPr>
          <w:rStyle w:val="1227"/>
          <w:rFonts w:hint="eastAsia" w:ascii="宋体" w:hAnsi="宋体" w:eastAsia="宋体" w:cs="宋体"/>
          <w:sz w:val="21"/>
          <w:szCs w:val="21"/>
        </w:rPr>
      </w:pPr>
      <w:r>
        <w:rPr>
          <w:rStyle w:val="1227"/>
          <w:rFonts w:hint="eastAsia" w:ascii="宋体" w:hAnsi="宋体" w:eastAsia="宋体" w:cs="宋体"/>
          <w:sz w:val="21"/>
          <w:szCs w:val="21"/>
        </w:rPr>
        <w:t xml:space="preserve">3、提货券持有人可根据提货券上的说明在购物平台兑换指定商品。</w:t>
      </w:r>
      <w:r/>
    </w:p>
    <w:p>
      <w:pPr>
        <w:jc w:val="left"/>
        <w:spacing w:line="440" w:lineRule="exact"/>
        <w:widowControl/>
        <w:rPr>
          <w:rStyle w:val="1227"/>
          <w:rFonts w:hint="eastAsia" w:ascii="宋体" w:hAnsi="宋体" w:eastAsia="宋体" w:cs="宋体"/>
          <w:sz w:val="21"/>
          <w:szCs w:val="21"/>
        </w:rPr>
      </w:pPr>
      <w:r>
        <w:rPr>
          <w:rStyle w:val="1227"/>
          <w:rFonts w:hint="eastAsia" w:ascii="宋体" w:hAnsi="宋体" w:eastAsia="宋体" w:cs="宋体"/>
          <w:sz w:val="21"/>
          <w:szCs w:val="21"/>
        </w:rPr>
        <w:t xml:space="preserve">4、采购人及提货券持有人所享受的客服服务、配送服务，应与供应商公示于平台的规则、说明或提示一致。</w:t>
      </w:r>
      <w:r/>
    </w:p>
    <w:p>
      <w:pPr>
        <w:jc w:val="left"/>
        <w:spacing w:line="440" w:lineRule="exact"/>
        <w:widowControl/>
        <w:rPr>
          <w:rStyle w:val="1227"/>
          <w:rFonts w:hint="eastAsia" w:ascii="宋体" w:hAnsi="宋体" w:eastAsia="宋体" w:cs="宋体"/>
          <w:sz w:val="21"/>
          <w:szCs w:val="21"/>
          <w:highlight w:val="none"/>
          <w:lang w:eastAsia="zh-CN"/>
        </w:rPr>
      </w:pPr>
      <w:r>
        <w:rPr>
          <w:rStyle w:val="1227"/>
          <w:rFonts w:hint="eastAsia" w:ascii="宋体" w:hAnsi="宋体" w:eastAsia="宋体" w:cs="宋体"/>
          <w:sz w:val="21"/>
          <w:szCs w:val="21"/>
          <w:highlight w:val="none"/>
        </w:rPr>
        <w:t xml:space="preserve">5、供应商承诺中标后须7天内备好货，</w:t>
      </w:r>
      <w:r>
        <w:rPr>
          <w:rStyle w:val="1227"/>
          <w:rFonts w:hint="eastAsia" w:ascii="宋体" w:hAnsi="宋体" w:cs="宋体"/>
          <w:sz w:val="21"/>
          <w:szCs w:val="21"/>
          <w:highlight w:val="none"/>
          <w:lang w:val="en-US" w:eastAsia="zh-CN"/>
        </w:rPr>
        <w:t xml:space="preserve">持券人兑换并确定送货信息后，10天内发货</w:t>
      </w:r>
      <w:r>
        <w:rPr>
          <w:rStyle w:val="1227"/>
          <w:rFonts w:hint="eastAsia" w:ascii="宋体" w:hAnsi="宋体" w:cs="宋体"/>
          <w:sz w:val="21"/>
          <w:szCs w:val="21"/>
          <w:highlight w:val="none"/>
          <w:lang w:eastAsia="zh-CN"/>
        </w:rPr>
        <w:t xml:space="preserve">。（</w:t>
      </w:r>
      <w:r>
        <w:rPr>
          <w:rStyle w:val="1227"/>
          <w:rFonts w:hint="eastAsia" w:ascii="宋体" w:hAnsi="宋体" w:cs="宋体"/>
          <w:sz w:val="21"/>
          <w:szCs w:val="21"/>
          <w:highlight w:val="none"/>
          <w:lang w:val="en-US" w:eastAsia="zh-CN"/>
        </w:rPr>
        <w:t xml:space="preserve">提供承诺书并加盖公章，格式自拟</w:t>
      </w:r>
      <w:r>
        <w:rPr>
          <w:rStyle w:val="1227"/>
          <w:rFonts w:hint="eastAsia" w:ascii="宋体" w:hAnsi="宋体" w:cs="宋体"/>
          <w:sz w:val="21"/>
          <w:szCs w:val="21"/>
          <w:highlight w:val="none"/>
          <w:lang w:eastAsia="zh-CN"/>
        </w:rPr>
        <w:t xml:space="preserve">）</w:t>
      </w:r>
      <w:r/>
    </w:p>
    <w:p>
      <w:pPr>
        <w:jc w:val="left"/>
        <w:spacing w:line="440" w:lineRule="exact"/>
        <w:widowControl/>
        <w:rPr>
          <w:rStyle w:val="1227"/>
          <w:rFonts w:hint="eastAsia" w:ascii="宋体" w:hAnsi="宋体" w:eastAsia="宋体" w:cs="宋体"/>
          <w:sz w:val="21"/>
          <w:szCs w:val="21"/>
        </w:rPr>
      </w:pPr>
      <w:r>
        <w:rPr>
          <w:rFonts w:hint="eastAsia" w:ascii="宋体" w:hAnsi="宋体" w:eastAsia="宋体" w:cs="宋体"/>
          <w:sz w:val="21"/>
          <w:szCs w:val="21"/>
        </w:rPr>
      </w:r>
      <w:r/>
    </w:p>
    <w:p>
      <w:pPr>
        <w:jc w:val="both"/>
        <w:spacing w:line="360" w:lineRule="auto"/>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四、商务要求</w:t>
      </w:r>
      <w:r/>
    </w:p>
    <w:p>
      <w:pPr>
        <w:spacing w:line="360" w:lineRule="auto"/>
        <w:rPr>
          <w:rFonts w:hint="eastAsia" w:ascii="宋体" w:hAnsi="宋体" w:eastAsia="宋体" w:cs="Times New Roman"/>
          <w:szCs w:val="21"/>
        </w:rPr>
      </w:pPr>
      <w:r>
        <w:rPr>
          <w:rFonts w:hint="eastAsia" w:ascii="Times New Roman" w:hAnsi="Times New Roman" w:eastAsia="宋体" w:cs="Times New Roman"/>
        </w:rPr>
        <w:t xml:space="preserve">1、合同履行期限：</w:t>
      </w:r>
      <w:r>
        <w:rPr>
          <w:rFonts w:hint="eastAsia" w:ascii="宋体" w:hAnsi="宋体" w:eastAsia="宋体" w:cs="Times New Roman"/>
          <w:szCs w:val="21"/>
        </w:rPr>
        <w:t xml:space="preserve">产品兑换期限为3个月。</w:t>
      </w:r>
      <w:r/>
    </w:p>
    <w:p>
      <w:pPr>
        <w:spacing w:line="360" w:lineRule="auto"/>
        <w:rPr>
          <w:rFonts w:hint="eastAsia" w:ascii="宋体" w:hAnsi="宋体" w:eastAsia="宋体" w:cs="Times New Roman"/>
          <w:szCs w:val="21"/>
        </w:rPr>
      </w:pPr>
      <w:r>
        <w:rPr>
          <w:rFonts w:hint="eastAsia" w:ascii="Times New Roman" w:hAnsi="Times New Roman" w:eastAsia="宋体" w:cs="Times New Roman"/>
        </w:rPr>
        <w:t xml:space="preserve">2、交货方式：产品以提货券形式发放实物。持券人兑换并确定送货信息后，</w:t>
      </w:r>
      <w:r>
        <w:rPr>
          <w:rFonts w:hint="eastAsia" w:cs="Times New Roman"/>
          <w:lang w:val="en-US" w:eastAsia="zh-CN"/>
        </w:rPr>
        <w:t xml:space="preserve">供应</w:t>
      </w:r>
      <w:r>
        <w:rPr>
          <w:rFonts w:hint="eastAsia" w:cs="Times New Roman"/>
          <w:highlight w:val="none"/>
          <w:lang w:val="en-US" w:eastAsia="zh-CN"/>
        </w:rPr>
        <w:t xml:space="preserve">商10天</w:t>
      </w:r>
      <w:r>
        <w:rPr>
          <w:rFonts w:hint="eastAsia" w:ascii="Times New Roman" w:hAnsi="Times New Roman" w:eastAsia="宋体" w:cs="Times New Roman"/>
          <w:highlight w:val="none"/>
        </w:rPr>
        <w:t xml:space="preserve">内</w:t>
      </w:r>
      <w:r>
        <w:rPr>
          <w:rFonts w:hint="eastAsia" w:cs="Times New Roman"/>
          <w:highlight w:val="none"/>
          <w:lang w:val="en-US" w:eastAsia="zh-CN"/>
        </w:rPr>
        <w:t xml:space="preserve">发货</w:t>
      </w:r>
      <w:r>
        <w:rPr>
          <w:rFonts w:hint="eastAsia" w:ascii="Times New Roman" w:hAnsi="Times New Roman" w:eastAsia="宋体" w:cs="Times New Roman"/>
          <w:highlight w:val="none"/>
        </w:rPr>
        <w:t xml:space="preserve">。</w:t>
      </w:r>
      <w:r>
        <w:rPr>
          <w:rFonts w:hint="eastAsia" w:ascii="Times New Roman" w:hAnsi="Times New Roman" w:eastAsia="宋体" w:cs="Times New Roman"/>
        </w:rPr>
        <w:t xml:space="preserve">供应商送达当天以电话或短信形式通知持券人。送货方式：</w:t>
      </w:r>
      <w:r>
        <w:rPr>
          <w:rFonts w:hint="eastAsia" w:ascii="宋体" w:hAnsi="宋体" w:eastAsia="宋体" w:cs="Times New Roman"/>
          <w:szCs w:val="21"/>
        </w:rPr>
        <w:t xml:space="preserve">全国包邮送货上门，顺丰或京东快递。</w:t>
      </w:r>
      <w:r/>
    </w:p>
    <w:p>
      <w:pPr>
        <w:spacing w:line="360" w:lineRule="auto"/>
        <w:rPr>
          <w:rFonts w:hint="eastAsia" w:ascii="宋体" w:hAnsi="宋体" w:eastAsia="宋体" w:cs="Times New Roman"/>
          <w:szCs w:val="21"/>
        </w:rPr>
      </w:pPr>
      <w:r>
        <w:rPr>
          <w:rFonts w:ascii="Times New Roman" w:hAnsi="Times New Roman" w:eastAsia="宋体" w:cs="Times New Roman"/>
          <w:b/>
        </w:rPr>
        <w:t xml:space="preserve">★</w:t>
      </w:r>
      <w:r>
        <w:rPr>
          <w:rFonts w:hint="eastAsia" w:ascii="Times New Roman" w:hAnsi="Times New Roman" w:eastAsia="宋体" w:cs="Times New Roman"/>
        </w:rPr>
        <w:t xml:space="preserve">3、</w:t>
      </w:r>
      <w:r>
        <w:rPr>
          <w:rFonts w:hint="eastAsia" w:ascii="宋体" w:hAnsi="宋体" w:eastAsia="宋体" w:cs="Times New Roman"/>
          <w:szCs w:val="21"/>
        </w:rPr>
        <w:t xml:space="preserve">付款条件和方式：依据实际购置数量结算。提货券送至采购人，采购人需当场验收提货券数量。供应商应提供到截止日期为止已兑换清单及物流发货数量，并加盖公章，经采购人确认合格后支付已兑换并发货金额的90%，第一批付款后的一个月付清余款。付款前，供应商须出具正式增值税普通发票，采购人以支票或转账等形式付款。如果供应商未提供正式发票，则采购人有权拒绝支付该部分费用，由此产生的一切损失由供应商自行承担。</w:t>
      </w:r>
      <w:r/>
    </w:p>
    <w:p>
      <w:pPr>
        <w:spacing w:line="360" w:lineRule="auto"/>
        <w:rPr>
          <w:rFonts w:hint="eastAsia" w:ascii="宋体" w:hAnsi="宋体" w:eastAsia="宋体" w:cs="Times New Roman"/>
          <w:szCs w:val="21"/>
        </w:rPr>
      </w:pPr>
      <w:r>
        <w:rPr>
          <w:rFonts w:hint="eastAsia" w:ascii="Times New Roman" w:hAnsi="Times New Roman" w:eastAsia="宋体" w:cs="Times New Roman"/>
        </w:rPr>
        <w:t xml:space="preserve">4、</w:t>
      </w:r>
      <w:r>
        <w:rPr>
          <w:rFonts w:hint="eastAsia" w:ascii="宋体" w:hAnsi="宋体" w:eastAsia="宋体" w:cs="Times New Roman"/>
          <w:szCs w:val="21"/>
        </w:rPr>
        <w:t xml:space="preserve">供应商应保证保证按时保质保量提供产品。</w:t>
      </w:r>
      <w:r/>
    </w:p>
    <w:p>
      <w:pPr>
        <w:spacing w:line="360" w:lineRule="auto"/>
        <w:rPr>
          <w:rFonts w:hint="eastAsia" w:ascii="宋体" w:hAnsi="宋体" w:eastAsia="宋体" w:cs="Times New Roman"/>
          <w:szCs w:val="21"/>
        </w:rPr>
      </w:pPr>
      <w:r>
        <w:rPr>
          <w:rFonts w:hint="eastAsia" w:ascii="Times New Roman" w:hAnsi="Times New Roman" w:eastAsia="宋体" w:cs="Times New Roman"/>
        </w:rPr>
        <w:t xml:space="preserve">5、</w:t>
      </w:r>
      <w:r>
        <w:rPr>
          <w:rFonts w:hint="eastAsia" w:ascii="宋体" w:hAnsi="宋体" w:eastAsia="宋体" w:cs="Times New Roman"/>
          <w:szCs w:val="21"/>
        </w:rPr>
        <w:t xml:space="preserve">所供产品应在京东、淘宝等大型平台有公开报价，供货的生产日期为近期。</w:t>
      </w:r>
      <w:r/>
    </w:p>
    <w:p>
      <w:pPr>
        <w:spacing w:line="360" w:lineRule="auto"/>
        <w:rPr>
          <w:rFonts w:hint="eastAsia" w:ascii="宋体" w:hAnsi="宋体" w:eastAsia="宋体" w:cs="Times New Roman"/>
          <w:szCs w:val="21"/>
        </w:rPr>
      </w:pPr>
      <w:r>
        <w:rPr>
          <w:rFonts w:hint="eastAsia" w:ascii="Times New Roman" w:hAnsi="Times New Roman" w:eastAsia="宋体" w:cs="Times New Roman"/>
        </w:rPr>
        <w:t xml:space="preserve">6、</w:t>
      </w:r>
      <w:r>
        <w:rPr>
          <w:rFonts w:hint="eastAsia" w:ascii="宋体" w:hAnsi="宋体" w:eastAsia="宋体" w:cs="Times New Roman"/>
          <w:szCs w:val="21"/>
        </w:rPr>
        <w:t xml:space="preserve">如遇产品质量问</w:t>
      </w:r>
      <w:bookmarkStart w:id="129" w:name="_GoBack"/>
      <w:r/>
      <w:bookmarkEnd w:id="129"/>
      <w:r>
        <w:rPr>
          <w:rFonts w:hint="eastAsia" w:ascii="宋体" w:hAnsi="宋体" w:eastAsia="宋体" w:cs="Times New Roman"/>
          <w:szCs w:val="21"/>
        </w:rPr>
        <w:t xml:space="preserve">题，必须及时按价补偿，确保员工对处理结果满意。</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both"/>
        <w:spacing w:line="360" w:lineRule="auto"/>
        <w:widowControl w:val="off"/>
        <w:rPr>
          <w:rFonts w:hint="eastAsia" w:ascii="宋体" w:hAnsi="宋体" w:eastAsia="宋体" w:cs="宋体"/>
          <w:b/>
          <w:sz w:val="21"/>
          <w:szCs w:val="21"/>
          <w:lang w:val="en-US" w:eastAsia="zh-CN" w:bidi="ar-SA"/>
        </w:rPr>
      </w:pPr>
      <w:r/>
      <w:bookmarkStart w:id="121" w:name="_Toc26708"/>
      <w:r/>
      <w:bookmarkStart w:id="122" w:name="_Toc7860"/>
      <w:r/>
      <w:bookmarkStart w:id="123" w:name="_Toc8478"/>
      <w:r/>
      <w:bookmarkStart w:id="124" w:name="_Toc166247946"/>
      <w:r/>
      <w:bookmarkStart w:id="125" w:name="_Toc17882"/>
      <w:r/>
      <w:bookmarkStart w:id="126" w:name="_Toc10173"/>
      <w:r/>
      <w:bookmarkStart w:id="127" w:name="_Toc24734"/>
      <w:r/>
      <w:bookmarkStart w:id="128" w:name="_Toc6872"/>
      <w:r>
        <w:rPr>
          <w:rFonts w:hint="eastAsia" w:ascii="宋体" w:hAnsi="宋体" w:eastAsia="宋体" w:cs="宋体"/>
          <w:b/>
          <w:sz w:val="21"/>
          <w:szCs w:val="21"/>
          <w:lang w:val="en-US" w:eastAsia="zh-CN" w:bidi="ar-SA"/>
        </w:rPr>
        <w:t xml:space="preserve">五、样品</w:t>
      </w:r>
      <w:bookmarkEnd w:id="121"/>
      <w:r/>
      <w:bookmarkEnd w:id="122"/>
      <w:r/>
      <w:bookmarkEnd w:id="123"/>
      <w:r/>
      <w:bookmarkEnd w:id="124"/>
      <w:r/>
      <w:bookmarkEnd w:id="125"/>
      <w:r/>
      <w:bookmarkEnd w:id="126"/>
      <w:r/>
      <w:bookmarkEnd w:id="127"/>
      <w:r/>
      <w:bookmarkEnd w:id="128"/>
      <w:r/>
      <w:r/>
    </w:p>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1、供应商须在</w:t>
      </w:r>
      <w:r>
        <w:rPr>
          <w:rFonts w:hint="eastAsia" w:ascii="宋体" w:hAnsi="宋体" w:cs="宋体"/>
          <w:sz w:val="21"/>
          <w:szCs w:val="21"/>
          <w:lang w:val="en-US" w:eastAsia="zh-CN"/>
        </w:rPr>
        <w:t xml:space="preserve">投标截止时间前递交</w:t>
      </w:r>
      <w:r>
        <w:rPr>
          <w:rFonts w:hint="eastAsia" w:ascii="宋体" w:hAnsi="宋体" w:eastAsia="宋体" w:cs="宋体"/>
          <w:sz w:val="21"/>
          <w:szCs w:val="21"/>
        </w:rPr>
        <w:t xml:space="preserve">符合采购需求的样品实物1套供</w:t>
      </w:r>
      <w:r>
        <w:rPr>
          <w:rFonts w:hint="eastAsia" w:ascii="宋体" w:hAnsi="宋体" w:eastAsia="宋体" w:cs="宋体"/>
          <w:sz w:val="21"/>
          <w:szCs w:val="21"/>
          <w:lang w:eastAsia="zh-CN"/>
        </w:rPr>
        <w:t xml:space="preserve">评标委员会</w:t>
      </w:r>
      <w:r>
        <w:rPr>
          <w:rFonts w:hint="eastAsia" w:ascii="宋体" w:hAnsi="宋体" w:eastAsia="宋体" w:cs="宋体"/>
          <w:sz w:val="21"/>
          <w:szCs w:val="21"/>
        </w:rPr>
        <w:t xml:space="preserve">评审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包含套餐A和套餐B的所有内容</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递交地址：南京市玄武区双龙巷5号双龙大厦A座4楼404室</w:t>
      </w:r>
      <w:r/>
    </w:p>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2、提交的样品请注明供应商名称，每种样品包装应清晰看出选用的规格、品牌、制造商及产地、生产日期等信息。如因以上资料缺失导致评分过程中出现的漏评、失分等，评标委员会概不负责。</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3、采购人将对</w:t>
      </w:r>
      <w:r>
        <w:rPr>
          <w:rFonts w:hint="eastAsia" w:ascii="宋体" w:hAnsi="宋体" w:eastAsia="宋体" w:cs="宋体"/>
          <w:sz w:val="21"/>
          <w:szCs w:val="21"/>
          <w:lang w:eastAsia="zh-CN"/>
        </w:rPr>
        <w:t xml:space="preserve">中标人</w:t>
      </w:r>
      <w:r>
        <w:rPr>
          <w:rFonts w:hint="eastAsia" w:ascii="宋体" w:hAnsi="宋体" w:eastAsia="宋体" w:cs="宋体"/>
          <w:sz w:val="21"/>
          <w:szCs w:val="21"/>
        </w:rPr>
        <w:t xml:space="preserve">的样品进行封存，并作为履约验收依据，供货产品质量必须与样品一致。其他供应商的样品评审结束</w:t>
      </w:r>
      <w:r>
        <w:rPr>
          <w:rFonts w:hint="eastAsia" w:ascii="宋体" w:hAnsi="宋体" w:cs="宋体"/>
          <w:sz w:val="21"/>
          <w:szCs w:val="21"/>
          <w:lang w:val="en-US" w:eastAsia="zh-CN"/>
        </w:rPr>
        <w:t xml:space="preserve">可退</w:t>
      </w:r>
      <w:r>
        <w:rPr>
          <w:rFonts w:hint="eastAsia" w:ascii="宋体" w:hAnsi="宋体" w:eastAsia="宋体" w:cs="宋体"/>
          <w:sz w:val="21"/>
          <w:szCs w:val="21"/>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numPr>
          <w:ilvl w:val="0"/>
          <w:numId w:val="4"/>
        </w:numPr>
        <w:jc w:val="center"/>
        <w:spacing w:line="420" w:lineRule="exact"/>
        <w:rPr>
          <w:rFonts w:hint="eastAsia" w:ascii="黑体" w:hAnsi="宋体" w:eastAsia="黑体"/>
          <w:b/>
          <w:bCs/>
          <w:sz w:val="32"/>
          <w:szCs w:val="32"/>
          <w:highlight w:val="none"/>
        </w:rPr>
        <w:outlineLvl w:val="0"/>
      </w:pPr>
      <w:r>
        <w:rPr>
          <w:rFonts w:ascii="黑体" w:hAnsi="宋体" w:eastAsia="黑体"/>
          <w:b/>
          <w:bCs/>
          <w:sz w:val="32"/>
          <w:szCs w:val="32"/>
          <w:highlight w:val="none"/>
        </w:rPr>
        <w:t xml:space="preserve"> </w:t>
      </w:r>
      <w:r>
        <w:rPr>
          <w:rFonts w:hint="eastAsia" w:ascii="黑体" w:hAnsi="宋体" w:eastAsia="黑体"/>
          <w:b/>
          <w:bCs/>
          <w:sz w:val="32"/>
          <w:szCs w:val="32"/>
          <w:highlight w:val="none"/>
        </w:rPr>
        <w:t xml:space="preserve">合同条款</w:t>
      </w:r>
      <w:r/>
    </w:p>
    <w:p>
      <w:pPr>
        <w:numPr>
          <w:ilvl w:val="0"/>
          <w:numId w:val="0"/>
        </w:numPr>
        <w:jc w:val="center"/>
        <w:spacing w:line="420" w:lineRule="exact"/>
        <w:rPr>
          <w:rFonts w:ascii="Arial" w:hAnsi="Arial" w:eastAsia="黑体" w:cs="Arial"/>
          <w:b/>
          <w:sz w:val="28"/>
          <w:szCs w:val="28"/>
          <w:highlight w:val="none"/>
        </w:rPr>
        <w:outlineLvl w:val="0"/>
      </w:pPr>
      <w:r>
        <w:rPr>
          <w:rFonts w:hint="eastAsia" w:ascii="黑体" w:hAnsi="宋体" w:eastAsia="黑体"/>
          <w:b/>
          <w:bCs/>
          <w:sz w:val="32"/>
          <w:szCs w:val="32"/>
          <w:highlight w:val="none"/>
          <w:lang w:eastAsia="zh-CN"/>
        </w:rPr>
        <w:t xml:space="preserve">（</w:t>
      </w:r>
      <w:r>
        <w:rPr>
          <w:rFonts w:hint="eastAsia" w:ascii="黑体" w:hAnsi="宋体" w:eastAsia="黑体"/>
          <w:b/>
          <w:bCs/>
          <w:sz w:val="32"/>
          <w:szCs w:val="32"/>
          <w:highlight w:val="none"/>
          <w:lang w:val="en-US" w:eastAsia="zh-CN"/>
        </w:rPr>
        <w:t xml:space="preserve">供参考）</w:t>
      </w:r>
      <w:r/>
    </w:p>
    <w:p>
      <w:pPr>
        <w:jc w:val="center"/>
        <w:rPr>
          <w:rFonts w:ascii="华文中宋" w:hAnsi="华文中宋" w:eastAsia="华文中宋" w:cs="Times New Roman"/>
          <w:bCs/>
          <w:sz w:val="44"/>
          <w:szCs w:val="44"/>
        </w:rPr>
      </w:pPr>
      <w:r>
        <w:rPr>
          <w:rFonts w:hint="eastAsia" w:ascii="华文中宋" w:hAnsi="华文中宋" w:eastAsia="华文中宋" w:cs="Times New Roman"/>
          <w:bCs/>
          <w:sz w:val="44"/>
          <w:szCs w:val="44"/>
          <w:lang w:eastAsia="zh-CN"/>
        </w:rPr>
        <w:t xml:space="preserve">2026年鼓楼医院职工夏季清凉用品</w:t>
      </w:r>
      <w:r>
        <w:rPr>
          <w:rFonts w:hint="eastAsia" w:ascii="华文中宋" w:hAnsi="华文中宋" w:eastAsia="华文中宋" w:cs="Times New Roman"/>
          <w:bCs/>
          <w:sz w:val="44"/>
          <w:szCs w:val="44"/>
        </w:rPr>
        <w:t xml:space="preserve">采购</w:t>
      </w:r>
      <w:r/>
    </w:p>
    <w:p>
      <w:pPr>
        <w:jc w:val="left"/>
        <w:spacing w:before="93" w:after="93"/>
        <w:rPr>
          <w:rFonts w:ascii="黑体" w:hAnsi="黑体" w:eastAsia="黑体" w:cs="Times New Roman"/>
          <w:sz w:val="24"/>
          <w:szCs w:val="24"/>
        </w:rPr>
      </w:pPr>
      <w:r>
        <w:rPr>
          <w:rFonts w:hint="eastAsia" w:ascii="黑体" w:hAnsi="黑体" w:eastAsia="黑体" w:cs="Times New Roman"/>
          <w:sz w:val="24"/>
          <w:szCs w:val="24"/>
        </w:rPr>
        <w:t xml:space="preserve">甲方：南京鼓楼医院</w:t>
      </w:r>
      <w:r/>
    </w:p>
    <w:p>
      <w:pPr>
        <w:jc w:val="left"/>
        <w:spacing w:before="93" w:after="93"/>
        <w:rPr>
          <w:rFonts w:ascii="黑体" w:hAnsi="黑体" w:eastAsia="黑体" w:cs="Times New Roman"/>
          <w:sz w:val="24"/>
          <w:szCs w:val="24"/>
        </w:rPr>
      </w:pPr>
      <w:r>
        <w:rPr>
          <w:rFonts w:hint="eastAsia" w:ascii="黑体" w:hAnsi="黑体" w:eastAsia="黑体" w:cs="Times New Roman"/>
          <w:sz w:val="24"/>
          <w:szCs w:val="24"/>
        </w:rPr>
        <w:t xml:space="preserve">乙方： </w:t>
      </w:r>
      <w:r/>
    </w:p>
    <w:p>
      <w:pPr>
        <w:jc w:val="left"/>
        <w:spacing w:before="93" w:after="93"/>
        <w:rPr>
          <w:rFonts w:hint="eastAsia" w:ascii="仿宋" w:hAnsi="仿宋" w:eastAsia="仿宋" w:cs="Times New Roman"/>
          <w:sz w:val="24"/>
          <w:szCs w:val="24"/>
        </w:rPr>
      </w:pPr>
      <w:r>
        <w:rPr>
          <w:rFonts w:hint="eastAsia" w:ascii="仿宋" w:hAnsi="仿宋" w:eastAsia="仿宋" w:cs="Times New Roman"/>
          <w:sz w:val="24"/>
          <w:szCs w:val="24"/>
        </w:rPr>
        <w:t xml:space="preserve">    </w:t>
      </w:r>
      <w:r/>
    </w:p>
    <w:p>
      <w:pPr>
        <w:ind w:firstLine="480"/>
        <w:spacing w:line="440" w:lineRule="exact"/>
        <w:rPr>
          <w:rFonts w:hint="eastAsia" w:ascii="仿宋" w:hAnsi="仿宋" w:eastAsia="仿宋" w:cs="宋体"/>
          <w:sz w:val="24"/>
        </w:rPr>
      </w:pPr>
      <w:r>
        <w:rPr>
          <w:rFonts w:hint="eastAsia" w:ascii="仿宋" w:hAnsi="仿宋" w:eastAsia="仿宋" w:cs="Times New Roman"/>
          <w:color w:val="000000"/>
          <w:sz w:val="24"/>
        </w:rPr>
        <w:t xml:space="preserve">南京鼓楼医院和 </w:t>
      </w:r>
      <w:r>
        <w:rPr>
          <w:rFonts w:ascii="仿宋" w:hAnsi="仿宋" w:eastAsia="仿宋" w:cs="Times New Roman"/>
          <w:color w:val="000000"/>
          <w:sz w:val="24"/>
        </w:rPr>
        <w:t xml:space="preserve">          </w:t>
      </w:r>
      <w:r>
        <w:rPr>
          <w:rFonts w:hint="eastAsia" w:ascii="仿宋" w:hAnsi="仿宋" w:eastAsia="仿宋" w:cs="Times New Roman"/>
          <w:color w:val="000000"/>
          <w:sz w:val="24"/>
        </w:rPr>
        <w:t xml:space="preserve">（经 </w:t>
      </w:r>
      <w:r>
        <w:rPr>
          <w:rFonts w:ascii="仿宋" w:hAnsi="仿宋" w:eastAsia="仿宋" w:cs="Times New Roman"/>
          <w:color w:val="000000"/>
          <w:sz w:val="24"/>
        </w:rPr>
        <w:t xml:space="preserve">      </w:t>
      </w:r>
      <w:r>
        <w:rPr>
          <w:rFonts w:hint="eastAsia" w:ascii="仿宋" w:hAnsi="仿宋" w:eastAsia="仿宋" w:cs="Times New Roman"/>
          <w:color w:val="000000"/>
          <w:sz w:val="24"/>
        </w:rPr>
        <w:t xml:space="preserve">有限公司</w:t>
      </w:r>
      <w:r>
        <w:rPr>
          <w:rFonts w:ascii="仿宋" w:hAnsi="仿宋" w:eastAsia="仿宋" w:cs="Times New Roman"/>
          <w:color w:val="000000"/>
          <w:sz w:val="24"/>
          <w:u w:val="single"/>
        </w:rPr>
        <w:t xml:space="preserve">    </w:t>
      </w:r>
      <w:r>
        <w:rPr>
          <w:rFonts w:hint="eastAsia" w:ascii="仿宋" w:hAnsi="仿宋" w:eastAsia="仿宋" w:cs="Times New Roman"/>
          <w:color w:val="000000"/>
          <w:sz w:val="24"/>
          <w:u w:val="single"/>
        </w:rPr>
        <w:t xml:space="preserve">年</w:t>
      </w:r>
      <w:r>
        <w:rPr>
          <w:rFonts w:ascii="仿宋" w:hAnsi="仿宋" w:eastAsia="仿宋" w:cs="Times New Roman"/>
          <w:color w:val="000000"/>
          <w:sz w:val="24"/>
          <w:u w:val="single"/>
        </w:rPr>
        <w:t xml:space="preserve">  </w:t>
      </w:r>
      <w:r>
        <w:rPr>
          <w:rFonts w:hint="eastAsia" w:ascii="仿宋" w:hAnsi="仿宋" w:eastAsia="仿宋" w:cs="Times New Roman"/>
          <w:color w:val="000000"/>
          <w:sz w:val="24"/>
          <w:u w:val="single"/>
        </w:rPr>
        <w:t xml:space="preserve">月</w:t>
      </w:r>
      <w:r>
        <w:rPr>
          <w:rFonts w:ascii="仿宋" w:hAnsi="仿宋" w:eastAsia="仿宋" w:cs="Times New Roman"/>
          <w:color w:val="000000"/>
          <w:sz w:val="24"/>
          <w:u w:val="single"/>
        </w:rPr>
        <w:t xml:space="preserve">   </w:t>
      </w:r>
      <w:r>
        <w:rPr>
          <w:rFonts w:hint="eastAsia" w:ascii="仿宋" w:hAnsi="仿宋" w:eastAsia="仿宋" w:cs="Times New Roman"/>
          <w:color w:val="000000"/>
          <w:sz w:val="24"/>
          <w:u w:val="single"/>
        </w:rPr>
        <w:t xml:space="preserve">日招</w:t>
      </w:r>
      <w:r>
        <w:rPr>
          <w:rFonts w:hint="eastAsia" w:ascii="仿宋" w:hAnsi="仿宋" w:eastAsia="仿宋" w:cs="Times New Roman"/>
          <w:color w:val="000000"/>
          <w:sz w:val="24"/>
        </w:rPr>
        <w:t xml:space="preserve">标，项目编号：</w:t>
      </w:r>
      <w:r>
        <w:rPr>
          <w:rFonts w:ascii="仿宋" w:hAnsi="仿宋" w:eastAsia="仿宋" w:cs="Times New Roman"/>
          <w:color w:val="000000"/>
          <w:sz w:val="24"/>
        </w:rPr>
        <w:t xml:space="preserve">      </w:t>
      </w:r>
      <w:r>
        <w:rPr>
          <w:rFonts w:hint="eastAsia" w:ascii="仿宋" w:hAnsi="仿宋" w:eastAsia="仿宋" w:cs="Times New Roman"/>
          <w:color w:val="000000"/>
          <w:sz w:val="24"/>
        </w:rPr>
        <w:t xml:space="preserve">），就乙方向甲方销售本合同内产品并为其提供配套服务的相关事宜，签定如下协议：</w:t>
      </w:r>
      <w:r/>
    </w:p>
    <w:p>
      <w:pPr>
        <w:ind w:firstLine="480"/>
        <w:jc w:val="left"/>
        <w:spacing w:before="93" w:after="93" w:line="440" w:lineRule="exact"/>
        <w:rPr>
          <w:rFonts w:ascii="仿宋" w:hAnsi="仿宋" w:eastAsia="仿宋" w:cs="Times New Roman"/>
          <w:sz w:val="24"/>
          <w:szCs w:val="24"/>
        </w:rPr>
      </w:pPr>
      <w:r>
        <w:rPr>
          <w:rFonts w:hint="eastAsia" w:ascii="仿宋" w:hAnsi="仿宋" w:eastAsia="仿宋" w:cs="Times New Roman"/>
          <w:sz w:val="24"/>
          <w:szCs w:val="24"/>
        </w:rPr>
        <w:t xml:space="preserve">一、甲乙双方同意，为甲方全院职工按以下条款提供产品：</w:t>
      </w:r>
      <w:r/>
    </w:p>
    <w:tbl>
      <w:tblPr>
        <w:tblStyle w:val="89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3"/>
        <w:gridCol w:w="2087"/>
        <w:gridCol w:w="4200"/>
        <w:gridCol w:w="1150"/>
        <w:gridCol w:w="882"/>
      </w:tblGrid>
      <w:tr>
        <w:trPr>
          <w:trHeight w:val="507"/>
        </w:trPr>
        <w:tc>
          <w:tcPr>
            <w:tcBorders>
              <w:top w:val="single" w:color="auto" w:sz="8"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序号</w:t>
            </w:r>
            <w:r/>
          </w:p>
        </w:tc>
        <w:tc>
          <w:tcPr>
            <w:tcBorders>
              <w:top w:val="single" w:color="auto" w:sz="8" w:space="0"/>
              <w:left w:val="none" w:color="000000" w:sz="4" w:space="0"/>
              <w:bottom w:val="single" w:color="auto" w:sz="8" w:space="0"/>
              <w:right w:val="single" w:color="auto" w:sz="8" w:space="0"/>
            </w:tcBorders>
            <w:tcW w:w="115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名称</w:t>
            </w:r>
            <w:r/>
          </w:p>
        </w:tc>
        <w:tc>
          <w:tcPr>
            <w:tcBorders>
              <w:top w:val="single" w:color="auto" w:sz="8" w:space="0"/>
              <w:left w:val="none" w:color="000000" w:sz="4" w:space="0"/>
              <w:bottom w:val="single" w:color="auto" w:sz="4" w:space="0"/>
              <w:right w:val="single" w:color="000000" w:sz="8" w:space="0"/>
            </w:tcBorders>
            <w:tcW w:w="231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品牌、规格、型号等</w:t>
            </w:r>
            <w:r/>
          </w:p>
        </w:tc>
        <w:tc>
          <w:tcPr>
            <w:tcBorders>
              <w:top w:val="single" w:color="auto" w:sz="8" w:space="0"/>
              <w:left w:val="none" w:color="000000" w:sz="4" w:space="0"/>
              <w:bottom w:val="single" w:color="auto" w:sz="4" w:space="0"/>
              <w:right w:val="single" w:color="auto" w:sz="4" w:space="0"/>
            </w:tcBorders>
            <w:tcW w:w="634"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单价（元）</w:t>
            </w:r>
            <w:r/>
          </w:p>
        </w:tc>
        <w:tc>
          <w:tcPr>
            <w:tcBorders>
              <w:top w:val="single" w:color="auto" w:sz="8" w:space="0"/>
              <w:left w:val="none" w:color="000000"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数量</w:t>
            </w:r>
            <w:r/>
          </w:p>
        </w:tc>
      </w:tr>
      <w:tr>
        <w:trPr>
          <w:trHeight w:val="557"/>
        </w:trPr>
        <w:tc>
          <w:tcPr>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none" w:color="000000" w:sz="4" w:space="0"/>
              <w:left w:val="none" w:color="000000" w:sz="4" w:space="0"/>
              <w:bottom w:val="single" w:color="auto" w:sz="8" w:space="0"/>
              <w:right w:val="single" w:color="auto" w:sz="8" w:space="0"/>
            </w:tcBorders>
            <w:tcW w:w="115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000000" w:sz="8" w:space="0"/>
            </w:tcBorders>
            <w:tcW w:w="2315" w:type="pct"/>
            <w:vAlign w:val="center"/>
            <w:textDirection w:val="lrTb"/>
            <w:noWrap w:val="false"/>
          </w:tcPr>
          <w:p>
            <w:pPr>
              <w:jc w:val="left"/>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auto" w:sz="4" w:space="0"/>
            </w:tcBorders>
            <w:tcW w:w="634"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r>
      <w:tr>
        <w:trPr>
          <w:trHeight w:val="541"/>
        </w:trPr>
        <w:tc>
          <w:tcPr>
            <w:tcBorders>
              <w:top w:val="none" w:color="000000" w:sz="4" w:space="0"/>
              <w:left w:val="single" w:color="auto" w:sz="8" w:space="0"/>
              <w:bottom w:val="none" w:color="000000" w:sz="4" w:space="0"/>
              <w:right w:val="single" w:color="auto" w:sz="8" w:space="0"/>
            </w:tcBorders>
            <w:tcW w:w="41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none" w:color="000000" w:sz="4" w:space="0"/>
              <w:left w:val="none" w:color="000000" w:sz="4" w:space="0"/>
              <w:bottom w:val="none" w:color="000000" w:sz="4" w:space="0"/>
              <w:right w:val="single" w:color="auto" w:sz="8" w:space="0"/>
            </w:tcBorders>
            <w:tcW w:w="115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right w:val="single" w:color="000000" w:sz="8" w:space="0"/>
            </w:tcBorders>
            <w:tcW w:w="2315" w:type="pct"/>
            <w:vAlign w:val="center"/>
            <w:textDirection w:val="lrTb"/>
            <w:noWrap w:val="false"/>
          </w:tcPr>
          <w:p>
            <w:pPr>
              <w:jc w:val="left"/>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none" w:color="000000" w:sz="4" w:space="0"/>
              <w:right w:val="single" w:color="auto" w:sz="4" w:space="0"/>
            </w:tcBorders>
            <w:tcW w:w="634"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none" w:color="000000" w:sz="4" w:space="0"/>
              <w:right w:val="single" w:color="auto" w:sz="4" w:space="0"/>
            </w:tcBorders>
            <w:tcW w:w="483"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r>
      <w:tr>
        <w:trPr>
          <w:trHeight w:val="573"/>
        </w:trPr>
        <w:tc>
          <w:tcPr>
            <w:tcBorders>
              <w:top w:val="single" w:color="auto" w:sz="4" w:space="0"/>
              <w:left w:val="single" w:color="auto" w:sz="8" w:space="0"/>
              <w:bottom w:val="none" w:color="000000" w:sz="4" w:space="0"/>
              <w:right w:val="single" w:color="auto" w:sz="8" w:space="0"/>
            </w:tcBorders>
            <w:tcW w:w="41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none" w:color="000000" w:sz="4" w:space="0"/>
              <w:right w:val="single" w:color="auto" w:sz="8" w:space="0"/>
            </w:tcBorders>
            <w:tcW w:w="115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right w:val="single" w:color="000000" w:sz="8" w:space="0"/>
            </w:tcBorders>
            <w:tcW w:w="2315" w:type="pct"/>
            <w:vAlign w:val="center"/>
            <w:textDirection w:val="lrTb"/>
            <w:noWrap w:val="false"/>
          </w:tcPr>
          <w:p>
            <w:pPr>
              <w:jc w:val="left"/>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none" w:color="000000" w:sz="4" w:space="0"/>
              <w:right w:val="single" w:color="auto" w:sz="4" w:space="0"/>
            </w:tcBorders>
            <w:tcW w:w="634"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none" w:color="000000" w:sz="4" w:space="0"/>
              <w:right w:val="single" w:color="auto" w:sz="4" w:space="0"/>
            </w:tcBorders>
            <w:tcW w:w="483"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r>
      <w:tr>
        <w:trPr>
          <w:trHeight w:val="690"/>
        </w:trPr>
        <w:tc>
          <w:tcPr>
            <w:tcBorders>
              <w:top w:val="single" w:color="auto"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8" w:space="0"/>
              <w:right w:val="single" w:color="auto" w:sz="8" w:space="0"/>
            </w:tcBorders>
            <w:tcW w:w="115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000000" w:sz="8" w:space="0"/>
            </w:tcBorders>
            <w:tcW w:w="2315" w:type="pct"/>
            <w:vAlign w:val="center"/>
            <w:textDirection w:val="lrTb"/>
            <w:noWrap w:val="false"/>
          </w:tcPr>
          <w:p>
            <w:pPr>
              <w:jc w:val="left"/>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8" w:space="0"/>
              <w:right w:val="single" w:color="auto" w:sz="4" w:space="0"/>
            </w:tcBorders>
            <w:tcW w:w="634"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8" w:space="0"/>
              <w:right w:val="single" w:color="auto" w:sz="4" w:space="0"/>
            </w:tcBorders>
            <w:tcW w:w="483"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r>
      <w:tr>
        <w:trPr>
          <w:trHeight w:val="489"/>
        </w:trPr>
        <w:tc>
          <w:tcPr>
            <w:gridSpan w:val="5"/>
            <w:tcBorders>
              <w:top w:val="single" w:color="auto" w:sz="4" w:space="0"/>
              <w:left w:val="single" w:color="auto" w:sz="8" w:space="0"/>
              <w:bottom w:val="single" w:color="auto" w:sz="8" w:space="0"/>
              <w:right w:val="single" w:color="auto" w:sz="4" w:space="0"/>
            </w:tcBorders>
            <w:tcW w:w="500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r>
    </w:tbl>
    <w:p>
      <w:pPr>
        <w:spacing w:line="440" w:lineRule="exact"/>
        <w:rPr>
          <w:rFonts w:ascii="仿宋" w:hAnsi="仿宋" w:eastAsia="仿宋" w:cs="Times New Roman"/>
          <w:bCs/>
          <w:sz w:val="24"/>
        </w:rPr>
      </w:pPr>
      <w:r>
        <w:rPr>
          <w:rFonts w:hint="eastAsia" w:ascii="仿宋" w:hAnsi="仿宋" w:eastAsia="仿宋" w:cs="Times New Roman"/>
          <w:sz w:val="24"/>
          <w:szCs w:val="24"/>
        </w:rPr>
        <w:t xml:space="preserve">备注：</w:t>
      </w:r>
      <w:r>
        <w:rPr>
          <w:rFonts w:hint="eastAsia" w:ascii="仿宋" w:hAnsi="仿宋" w:eastAsia="仿宋" w:cs="Times New Roman"/>
          <w:sz w:val="24"/>
        </w:rPr>
        <w:t xml:space="preserve">1、</w:t>
      </w:r>
      <w:r>
        <w:rPr>
          <w:rFonts w:hint="eastAsia" w:ascii="仿宋" w:hAnsi="仿宋" w:eastAsia="仿宋" w:cs="Times New Roman"/>
          <w:bCs/>
          <w:sz w:val="24"/>
        </w:rPr>
        <w:t xml:space="preserve">以上价格含本次项目有关的所有产品费用，包装费、运输费，搬运、保管费、税费、样品拆样破样费等所有费用。</w:t>
      </w:r>
      <w:r/>
    </w:p>
    <w:p>
      <w:pPr>
        <w:ind w:firstLine="482"/>
        <w:spacing w:line="440" w:lineRule="exact"/>
        <w:rPr>
          <w:rFonts w:ascii="仿宋" w:hAnsi="仿宋" w:eastAsia="仿宋" w:cs="Times New Roman"/>
          <w:b/>
          <w:sz w:val="24"/>
        </w:rPr>
      </w:pPr>
      <w:r>
        <w:rPr>
          <w:rFonts w:hint="eastAsia" w:ascii="仿宋" w:hAnsi="仿宋" w:eastAsia="仿宋" w:cs="Times New Roman"/>
          <w:b/>
          <w:sz w:val="24"/>
        </w:rPr>
        <w:t xml:space="preserve">2、产品以提货券形式发放实物。</w:t>
      </w:r>
      <w:r>
        <w:rPr>
          <w:rFonts w:hint="eastAsia" w:ascii="Times New Roman" w:hAnsi="Times New Roman" w:eastAsia="宋体" w:cs="Times New Roman"/>
        </w:rPr>
        <w:t xml:space="preserve">持券人兑换并确定送货信息后，</w:t>
      </w:r>
      <w:r>
        <w:rPr>
          <w:rFonts w:hint="eastAsia" w:cs="Times New Roman"/>
          <w:lang w:val="en-US" w:eastAsia="zh-CN"/>
        </w:rPr>
        <w:t xml:space="preserve">乙</w:t>
      </w:r>
      <w:r>
        <w:rPr>
          <w:rFonts w:hint="eastAsia" w:cs="Times New Roman"/>
          <w:highlight w:val="none"/>
          <w:lang w:val="en-US" w:eastAsia="zh-CN"/>
        </w:rPr>
        <w:t xml:space="preserve">方10天</w:t>
      </w:r>
      <w:r>
        <w:rPr>
          <w:rFonts w:hint="eastAsia" w:ascii="Times New Roman" w:hAnsi="Times New Roman" w:eastAsia="宋体" w:cs="Times New Roman"/>
          <w:highlight w:val="none"/>
        </w:rPr>
        <w:t xml:space="preserve">内</w:t>
      </w:r>
      <w:r>
        <w:rPr>
          <w:rFonts w:hint="eastAsia" w:cs="Times New Roman"/>
          <w:highlight w:val="none"/>
          <w:lang w:val="en-US" w:eastAsia="zh-CN"/>
        </w:rPr>
        <w:t xml:space="preserve">发货</w:t>
      </w:r>
      <w:r>
        <w:rPr>
          <w:rFonts w:hint="eastAsia" w:ascii="Times New Roman" w:hAnsi="Times New Roman" w:eastAsia="宋体" w:cs="Times New Roman"/>
          <w:highlight w:val="none"/>
        </w:rPr>
        <w:t xml:space="preserve">。</w:t>
      </w:r>
      <w:r>
        <w:rPr>
          <w:rFonts w:hint="eastAsia" w:ascii="仿宋" w:hAnsi="仿宋" w:eastAsia="仿宋" w:cs="Times New Roman"/>
          <w:b/>
          <w:sz w:val="24"/>
          <w:highlight w:val="none"/>
        </w:rPr>
        <w:t xml:space="preserve">乙</w:t>
      </w:r>
      <w:r>
        <w:rPr>
          <w:rFonts w:hint="eastAsia" w:ascii="仿宋" w:hAnsi="仿宋" w:eastAsia="仿宋" w:cs="Times New Roman"/>
          <w:b/>
          <w:sz w:val="24"/>
        </w:rPr>
        <w:t xml:space="preserve">方将持券人兑换实物送货至指定地点。乙方送达当天以电话或短信形式通知持券人。</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3、</w:t>
      </w:r>
      <w:r>
        <w:rPr>
          <w:rFonts w:ascii="仿宋" w:hAnsi="仿宋" w:eastAsia="仿宋" w:cs="Times New Roman"/>
          <w:sz w:val="24"/>
        </w:rPr>
        <w:t xml:space="preserve">由于</w:t>
      </w:r>
      <w:r>
        <w:rPr>
          <w:rFonts w:hint="eastAsia" w:ascii="仿宋" w:hAnsi="仿宋" w:eastAsia="仿宋" w:cs="Times New Roman"/>
          <w:sz w:val="24"/>
        </w:rPr>
        <w:t xml:space="preserve">夏季清凉品季节</w:t>
      </w:r>
      <w:r>
        <w:rPr>
          <w:rFonts w:ascii="仿宋" w:hAnsi="仿宋" w:eastAsia="仿宋" w:cs="Times New Roman"/>
          <w:sz w:val="24"/>
        </w:rPr>
        <w:t xml:space="preserve">特殊性</w:t>
      </w:r>
      <w:r>
        <w:rPr>
          <w:rFonts w:hint="eastAsia" w:ascii="仿宋" w:hAnsi="仿宋" w:eastAsia="仿宋" w:cs="Times New Roman"/>
          <w:sz w:val="24"/>
        </w:rPr>
        <w:t xml:space="preserve">，</w:t>
      </w:r>
      <w:r>
        <w:rPr>
          <w:rFonts w:ascii="仿宋" w:hAnsi="仿宋" w:eastAsia="仿宋" w:cs="Times New Roman"/>
          <w:sz w:val="24"/>
        </w:rPr>
        <w:t xml:space="preserve">截止</w:t>
      </w:r>
      <w:r>
        <w:rPr>
          <w:rFonts w:hint="eastAsia" w:ascii="仿宋" w:hAnsi="仿宋" w:eastAsia="仿宋" w:cs="Times New Roman"/>
          <w:sz w:val="24"/>
        </w:rPr>
        <w:t xml:space="preserve">兑换时间为</w:t>
      </w:r>
      <w:r>
        <w:rPr>
          <w:rFonts w:hint="eastAsia" w:ascii="仿宋" w:hAnsi="仿宋" w:eastAsia="仿宋" w:cs="Times New Roman"/>
          <w:sz w:val="24"/>
          <w:lang w:val="en-US" w:eastAsia="zh-CN"/>
        </w:rPr>
        <w:t xml:space="preserve">2026</w:t>
      </w:r>
      <w:r>
        <w:rPr>
          <w:rFonts w:ascii="仿宋" w:hAnsi="仿宋" w:eastAsia="仿宋" w:cs="Times New Roman"/>
          <w:sz w:val="24"/>
        </w:rPr>
        <w:t xml:space="preserve">年</w:t>
      </w:r>
      <w:r>
        <w:rPr>
          <w:rFonts w:hint="eastAsia" w:ascii="仿宋" w:hAnsi="仿宋" w:eastAsia="仿宋" w:cs="Times New Roman"/>
          <w:sz w:val="24"/>
          <w:lang w:val="en-US" w:eastAsia="zh-CN"/>
        </w:rPr>
        <w:t xml:space="preserve">9</w:t>
      </w:r>
      <w:r>
        <w:rPr>
          <w:rFonts w:ascii="仿宋" w:hAnsi="仿宋" w:eastAsia="仿宋" w:cs="Times New Roman"/>
          <w:sz w:val="24"/>
        </w:rPr>
        <w:t xml:space="preserve">月</w:t>
      </w:r>
      <w:r>
        <w:rPr>
          <w:rFonts w:hint="eastAsia" w:ascii="仿宋" w:hAnsi="仿宋" w:eastAsia="仿宋" w:cs="Times New Roman"/>
          <w:sz w:val="24"/>
          <w:lang w:val="en-US" w:eastAsia="zh-CN"/>
        </w:rPr>
        <w:t xml:space="preserve">30</w:t>
      </w:r>
      <w:r>
        <w:rPr>
          <w:rFonts w:ascii="仿宋" w:hAnsi="仿宋" w:eastAsia="仿宋" w:cs="Times New Roman"/>
          <w:sz w:val="24"/>
        </w:rPr>
        <w:t xml:space="preserve">日</w:t>
      </w:r>
      <w:r>
        <w:rPr>
          <w:rFonts w:hint="eastAsia" w:ascii="仿宋" w:hAnsi="仿宋" w:eastAsia="仿宋" w:cs="Times New Roman"/>
          <w:sz w:val="24"/>
        </w:rPr>
        <w:t xml:space="preserve">。</w:t>
      </w:r>
      <w:r/>
    </w:p>
    <w:p>
      <w:pPr>
        <w:ind w:firstLine="480"/>
        <w:spacing w:line="440" w:lineRule="exact"/>
        <w:rPr>
          <w:rFonts w:ascii="仿宋" w:hAnsi="仿宋" w:eastAsia="仿宋" w:cs="Times New Roman"/>
          <w:sz w:val="24"/>
          <w:szCs w:val="24"/>
        </w:rPr>
      </w:pPr>
      <w:r>
        <w:rPr>
          <w:rFonts w:hint="eastAsia" w:ascii="仿宋" w:hAnsi="仿宋" w:eastAsia="仿宋" w:cs="Times New Roman"/>
          <w:sz w:val="24"/>
        </w:rPr>
        <w:t xml:space="preserve">4、</w:t>
      </w:r>
      <w:r>
        <w:rPr>
          <w:rFonts w:hint="eastAsia" w:ascii="仿宋" w:hAnsi="仿宋" w:eastAsia="仿宋" w:cs="宋体"/>
          <w:sz w:val="24"/>
          <w:szCs w:val="24"/>
        </w:rPr>
        <w:t xml:space="preserve">快递到户，全国包邮。（快递为京东、顺丰</w:t>
      </w:r>
      <w:r>
        <w:rPr>
          <w:rFonts w:ascii="仿宋" w:hAnsi="仿宋" w:eastAsia="仿宋" w:cs="宋体"/>
          <w:sz w:val="24"/>
          <w:szCs w:val="24"/>
        </w:rPr>
        <w:t xml:space="preserve">）</w:t>
      </w:r>
      <w:r/>
    </w:p>
    <w:p>
      <w:pPr>
        <w:ind w:firstLine="480"/>
        <w:jc w:val="left"/>
        <w:spacing w:line="440" w:lineRule="exact"/>
        <w:rPr>
          <w:rFonts w:ascii="仿宋" w:hAnsi="仿宋" w:eastAsia="仿宋" w:cs="Times New Roman"/>
          <w:sz w:val="24"/>
          <w:szCs w:val="24"/>
        </w:rPr>
      </w:pPr>
      <w:r>
        <w:rPr>
          <w:rFonts w:hint="eastAsia" w:ascii="仿宋" w:hAnsi="仿宋" w:eastAsia="仿宋" w:cs="Times New Roman"/>
          <w:sz w:val="24"/>
          <w:szCs w:val="24"/>
        </w:rPr>
        <w:t xml:space="preserve">二、乙方向甲方提供营业执照复印件、质量承诺书相关证件、相关产品质量检测报告并加盖公章。</w:t>
      </w:r>
      <w:r/>
    </w:p>
    <w:p>
      <w:pPr>
        <w:ind w:firstLine="480"/>
        <w:jc w:val="left"/>
        <w:spacing w:line="440" w:lineRule="exact"/>
        <w:rPr>
          <w:rFonts w:ascii="仿宋" w:hAnsi="仿宋" w:eastAsia="仿宋" w:cs="Times New Roman"/>
          <w:color w:val="000000"/>
          <w:sz w:val="24"/>
          <w:szCs w:val="24"/>
        </w:rPr>
      </w:pPr>
      <w:r>
        <w:rPr>
          <w:rFonts w:hint="eastAsia" w:ascii="仿宋" w:hAnsi="仿宋" w:eastAsia="仿宋" w:cs="Times New Roman"/>
          <w:color w:val="000000"/>
          <w:sz w:val="24"/>
          <w:szCs w:val="24"/>
          <w:lang w:val="en-US" w:eastAsia="zh-CN"/>
        </w:rPr>
        <w:t xml:space="preserve">三</w:t>
      </w:r>
      <w:r>
        <w:rPr>
          <w:rFonts w:hint="eastAsia" w:ascii="仿宋" w:hAnsi="仿宋" w:eastAsia="仿宋" w:cs="Times New Roman"/>
          <w:color w:val="000000"/>
          <w:sz w:val="24"/>
          <w:szCs w:val="24"/>
        </w:rPr>
        <w:t xml:space="preserve">、甲方指定实物提货券接收人：</w:t>
      </w:r>
      <w:r>
        <w:rPr>
          <w:rFonts w:hint="eastAsia" w:ascii="仿宋" w:hAnsi="仿宋" w:eastAsia="仿宋" w:cs="Times New Roman"/>
          <w:color w:val="000000"/>
          <w:sz w:val="24"/>
          <w:szCs w:val="24"/>
          <w:u w:val="single"/>
          <w:shd w:val="pct10" w:color="auto" w:fill="ffffff"/>
        </w:rPr>
        <w:t xml:space="preserve"> </w:t>
      </w:r>
      <w:r>
        <w:rPr>
          <w:rFonts w:ascii="仿宋" w:hAnsi="仿宋" w:eastAsia="仿宋" w:cs="Times New Roman"/>
          <w:color w:val="000000"/>
          <w:sz w:val="24"/>
          <w:szCs w:val="24"/>
          <w:u w:val="single"/>
          <w:shd w:val="pct10" w:color="auto" w:fill="ffffff"/>
        </w:rPr>
        <w:t xml:space="preserve">    </w:t>
      </w:r>
      <w:r>
        <w:rPr>
          <w:rFonts w:hint="eastAsia" w:ascii="仿宋" w:hAnsi="仿宋" w:eastAsia="仿宋" w:cs="Times New Roman"/>
          <w:color w:val="000000"/>
          <w:sz w:val="24"/>
          <w:szCs w:val="24"/>
        </w:rPr>
        <w:t xml:space="preserve">，联系方式：</w:t>
      </w:r>
      <w:r>
        <w:rPr>
          <w:rFonts w:hint="eastAsia" w:ascii="仿宋" w:hAnsi="仿宋" w:eastAsia="仿宋" w:cs="Times New Roman"/>
          <w:color w:val="000000"/>
          <w:sz w:val="24"/>
          <w:szCs w:val="24"/>
          <w:u w:val="single"/>
          <w:shd w:val="pct10" w:color="auto" w:fill="ffffff"/>
        </w:rPr>
        <w:t xml:space="preserve">  </w:t>
      </w:r>
      <w:r>
        <w:rPr>
          <w:rFonts w:ascii="仿宋" w:hAnsi="仿宋" w:eastAsia="仿宋" w:cs="Times New Roman"/>
          <w:color w:val="000000"/>
          <w:sz w:val="24"/>
          <w:szCs w:val="24"/>
          <w:u w:val="single"/>
          <w:shd w:val="pct10" w:color="auto" w:fill="ffffff"/>
        </w:rPr>
        <w:t xml:space="preserve">    </w:t>
      </w:r>
      <w:r>
        <w:rPr>
          <w:rFonts w:hint="eastAsia" w:ascii="仿宋" w:hAnsi="仿宋" w:eastAsia="仿宋" w:cs="Times New Roman"/>
          <w:color w:val="000000"/>
          <w:sz w:val="24"/>
          <w:szCs w:val="24"/>
        </w:rPr>
        <w:t xml:space="preserve">， 交付地点：</w:t>
      </w:r>
      <w:r>
        <w:rPr>
          <w:rFonts w:hint="eastAsia" w:ascii="仿宋" w:hAnsi="仿宋" w:eastAsia="仿宋" w:cs="Times New Roman"/>
          <w:color w:val="000000"/>
          <w:sz w:val="24"/>
          <w:szCs w:val="24"/>
          <w:u w:val="single"/>
        </w:rPr>
        <w:t xml:space="preserve">南京鼓楼医院机关办公楼</w:t>
      </w:r>
      <w:r>
        <w:rPr>
          <w:rFonts w:hint="eastAsia" w:ascii="仿宋" w:hAnsi="仿宋" w:eastAsia="仿宋" w:cs="Times New Roman"/>
          <w:color w:val="000000"/>
          <w:sz w:val="24"/>
          <w:szCs w:val="24"/>
        </w:rPr>
        <w:t xml:space="preserve"> 。          </w:t>
      </w:r>
      <w:r/>
    </w:p>
    <w:p>
      <w:pPr>
        <w:ind w:firstLine="480"/>
        <w:jc w:val="left"/>
        <w:spacing w:line="440" w:lineRule="exact"/>
        <w:rPr>
          <w:rFonts w:ascii="仿宋" w:hAnsi="仿宋" w:eastAsia="仿宋" w:cs="Times New Roman"/>
          <w:sz w:val="24"/>
          <w:szCs w:val="24"/>
        </w:rPr>
      </w:pPr>
      <w:r>
        <w:rPr>
          <w:rFonts w:hint="eastAsia" w:ascii="仿宋" w:hAnsi="仿宋" w:eastAsia="仿宋" w:cs="Times New Roman"/>
          <w:sz w:val="24"/>
          <w:szCs w:val="24"/>
          <w:lang w:val="en-US" w:eastAsia="zh-CN"/>
        </w:rPr>
        <w:t xml:space="preserve">四</w:t>
      </w:r>
      <w:r>
        <w:rPr>
          <w:rFonts w:hint="eastAsia" w:ascii="仿宋" w:hAnsi="仿宋" w:eastAsia="仿宋" w:cs="Times New Roman"/>
          <w:sz w:val="24"/>
          <w:szCs w:val="24"/>
        </w:rPr>
        <w:t xml:space="preserve">、结算方式：</w:t>
      </w:r>
      <w:r/>
    </w:p>
    <w:p>
      <w:pPr>
        <w:ind w:firstLine="480"/>
        <w:jc w:val="left"/>
        <w:spacing w:line="440" w:lineRule="exact"/>
        <w:rPr>
          <w:rFonts w:ascii="仿宋" w:hAnsi="仿宋" w:eastAsia="仿宋" w:cs="Times New Roman"/>
          <w:sz w:val="24"/>
          <w:szCs w:val="24"/>
        </w:rPr>
      </w:pPr>
      <w:r>
        <w:rPr>
          <w:rFonts w:hint="eastAsia" w:ascii="仿宋" w:hAnsi="仿宋" w:eastAsia="仿宋" w:cs="宋体"/>
          <w:color w:val="000000"/>
          <w:sz w:val="24"/>
        </w:rPr>
        <w:t xml:space="preserve">依据实际购置数量结算。提货券送至甲方，甲方需当场验收提货券数量。</w:t>
      </w:r>
      <w:r>
        <w:rPr>
          <w:rFonts w:ascii="仿宋" w:hAnsi="仿宋" w:eastAsia="仿宋" w:cs="宋体"/>
          <w:color w:val="000000"/>
          <w:sz w:val="24"/>
        </w:rPr>
        <w:t xml:space="preserve">乙方应提供到截止日期为止已兑换清单及物流发货</w:t>
      </w:r>
      <w:r>
        <w:rPr>
          <w:rFonts w:hint="eastAsia" w:ascii="仿宋" w:hAnsi="仿宋" w:eastAsia="仿宋" w:cs="宋体"/>
          <w:color w:val="000000"/>
          <w:sz w:val="24"/>
        </w:rPr>
        <w:t xml:space="preserve">数量</w:t>
      </w:r>
      <w:r>
        <w:rPr>
          <w:rFonts w:ascii="仿宋" w:hAnsi="仿宋" w:eastAsia="仿宋" w:cs="宋体"/>
          <w:color w:val="000000"/>
          <w:sz w:val="24"/>
        </w:rPr>
        <w:t xml:space="preserve">，并加盖公章，经甲方确认合格后支付已兑换并发货金额的90%</w:t>
      </w:r>
      <w:r>
        <w:rPr>
          <w:rFonts w:hint="eastAsia" w:ascii="仿宋" w:hAnsi="仿宋" w:eastAsia="仿宋" w:cs="宋体"/>
          <w:color w:val="000000"/>
          <w:sz w:val="24"/>
        </w:rPr>
        <w:t xml:space="preserve">，第一批付款后的一个月付清余款。付款前，乙方须出具正式增值税普通发票，甲方以支票或转账等形式付款。如果乙方未提供正式发票，则甲方有权拒绝支付该部分费用，由此产生的一切损失由乙方自行承担</w:t>
      </w:r>
      <w:r>
        <w:rPr>
          <w:rFonts w:hint="eastAsia" w:ascii="仿宋" w:hAnsi="仿宋" w:eastAsia="仿宋" w:cs="Times New Roman"/>
          <w:sz w:val="24"/>
          <w:szCs w:val="24"/>
        </w:rPr>
        <w:t xml:space="preserve">。</w:t>
      </w:r>
      <w:r/>
    </w:p>
    <w:p>
      <w:pPr>
        <w:ind w:firstLine="480"/>
        <w:spacing w:line="440" w:lineRule="exact"/>
        <w:rPr>
          <w:rFonts w:ascii="仿宋" w:hAnsi="仿宋" w:eastAsia="仿宋" w:cs="Times New Roman"/>
          <w:sz w:val="24"/>
          <w:szCs w:val="24"/>
        </w:rPr>
      </w:pPr>
      <w:r>
        <w:rPr>
          <w:rFonts w:hint="eastAsia" w:ascii="仿宋" w:hAnsi="仿宋" w:eastAsia="仿宋" w:cs="Times New Roman"/>
          <w:sz w:val="24"/>
          <w:szCs w:val="24"/>
          <w:lang w:val="en-US" w:eastAsia="zh-CN"/>
        </w:rPr>
        <w:t xml:space="preserve">五</w:t>
      </w:r>
      <w:r>
        <w:rPr>
          <w:rFonts w:hint="eastAsia" w:ascii="仿宋" w:hAnsi="仿宋" w:eastAsia="仿宋" w:cs="Times New Roman"/>
          <w:sz w:val="24"/>
          <w:szCs w:val="24"/>
        </w:rPr>
        <w:t xml:space="preserve">、特别说明：</w:t>
      </w:r>
      <w:r/>
    </w:p>
    <w:p>
      <w:pPr>
        <w:ind w:firstLine="480"/>
        <w:spacing w:line="440" w:lineRule="exact"/>
        <w:rPr>
          <w:rFonts w:ascii="仿宋" w:hAnsi="仿宋" w:eastAsia="仿宋" w:cs="Times New Roman"/>
          <w:sz w:val="24"/>
          <w:szCs w:val="24"/>
        </w:rPr>
      </w:pPr>
      <w:r>
        <w:rPr>
          <w:rFonts w:hint="eastAsia" w:ascii="仿宋" w:hAnsi="仿宋" w:eastAsia="仿宋" w:cs="Times New Roman"/>
          <w:sz w:val="24"/>
          <w:szCs w:val="24"/>
        </w:rPr>
        <w:t xml:space="preserve">  1、乙方承诺按甲方要求随时提供提货券使用情况供甲方审核。</w:t>
      </w:r>
      <w:r/>
    </w:p>
    <w:p>
      <w:pPr>
        <w:ind w:firstLine="480"/>
        <w:spacing w:line="440" w:lineRule="exact"/>
        <w:rPr>
          <w:rFonts w:ascii="仿宋" w:hAnsi="仿宋" w:eastAsia="仿宋" w:cs="Times New Roman"/>
          <w:color w:val="000000"/>
          <w:sz w:val="24"/>
          <w:szCs w:val="24"/>
        </w:rPr>
      </w:pPr>
      <w:r>
        <w:rPr>
          <w:rFonts w:hint="eastAsia" w:ascii="仿宋" w:hAnsi="仿宋" w:eastAsia="仿宋" w:cs="Times New Roman"/>
          <w:sz w:val="24"/>
          <w:szCs w:val="24"/>
        </w:rPr>
        <w:t xml:space="preserve">  2、</w:t>
      </w:r>
      <w:r>
        <w:rPr>
          <w:rFonts w:hint="eastAsia" w:ascii="仿宋" w:hAnsi="仿宋" w:eastAsia="仿宋" w:cs="Times New Roman"/>
          <w:color w:val="000000"/>
          <w:sz w:val="24"/>
          <w:szCs w:val="24"/>
        </w:rPr>
        <w:t xml:space="preserve">甲方指定联系人、联系方式或交付地点等发生变更的，甲方应在乙方发货前书面通知乙方，如因甲方未按约定通知乙方，造成产品毁损、灭失的，由此造成的甲方或乙方损失，均由甲方承担。</w:t>
      </w:r>
      <w:r/>
    </w:p>
    <w:p>
      <w:pPr>
        <w:ind w:firstLine="480"/>
        <w:spacing w:line="440" w:lineRule="exact"/>
        <w:rPr>
          <w:rFonts w:ascii="仿宋" w:hAnsi="仿宋" w:eastAsia="仿宋" w:cs="Times New Roman"/>
          <w:sz w:val="24"/>
          <w:szCs w:val="24"/>
        </w:rPr>
      </w:pPr>
      <w:r>
        <w:rPr>
          <w:rFonts w:hint="eastAsia" w:ascii="仿宋" w:hAnsi="仿宋" w:eastAsia="仿宋" w:cs="Times New Roman"/>
          <w:color w:val="000000"/>
          <w:sz w:val="24"/>
          <w:szCs w:val="24"/>
        </w:rPr>
        <w:t xml:space="preserve">  3、</w:t>
      </w:r>
      <w:r>
        <w:rPr>
          <w:rFonts w:hint="eastAsia" w:ascii="仿宋" w:hAnsi="仿宋" w:eastAsia="仿宋" w:cs="Times New Roman"/>
          <w:sz w:val="24"/>
          <w:szCs w:val="24"/>
        </w:rPr>
        <w:t xml:space="preserve">甲方指定接收人在接收产品时应对产品的数量、面额确认并签署签收单，甲方确认其在签署本合同时已充分了解产品的有效期、使用方法、配送范围及时间、注意事项等。乙方在收到甲方签署的签收单后为甲方开通相应提货券产</w:t>
      </w:r>
      <w:r>
        <w:rPr>
          <w:rFonts w:ascii="仿宋" w:hAnsi="仿宋" w:eastAsia="仿宋" w:cs="Times New Roman"/>
          <w:sz w:val="24"/>
          <w:szCs w:val="24"/>
        </w:rPr>
        <w:t xml:space="preserve">品。</w:t>
      </w:r>
      <w:r>
        <w:rPr>
          <w:rFonts w:hint="eastAsia" w:ascii="仿宋" w:hAnsi="仿宋" w:eastAsia="仿宋" w:cs="Times New Roman"/>
          <w:sz w:val="24"/>
          <w:szCs w:val="24"/>
        </w:rPr>
        <w:t xml:space="preserve">除乙方交付产品不符合约定外，甲方不得拒绝接收产品，否则视为甲方违约，甲方应承担由此给乙方造成的损失。</w:t>
      </w:r>
      <w:r/>
    </w:p>
    <w:p>
      <w:pPr>
        <w:ind w:firstLine="480"/>
        <w:spacing w:line="440" w:lineRule="exact"/>
        <w:rPr>
          <w:rFonts w:ascii="仿宋" w:hAnsi="仿宋" w:eastAsia="仿宋" w:cs="Times New Roman"/>
          <w:sz w:val="24"/>
          <w:szCs w:val="24"/>
        </w:rPr>
      </w:pPr>
      <w:r>
        <w:rPr>
          <w:rFonts w:hint="eastAsia" w:ascii="仿宋" w:hAnsi="仿宋" w:eastAsia="仿宋" w:cs="Times New Roman"/>
          <w:sz w:val="24"/>
          <w:szCs w:val="24"/>
        </w:rPr>
        <w:t xml:space="preserve"> 4、本合同项下提货券持有人可根据提货券上</w:t>
      </w:r>
      <w:r>
        <w:rPr>
          <w:rFonts w:ascii="仿宋" w:hAnsi="仿宋" w:eastAsia="仿宋" w:cs="Times New Roman"/>
          <w:sz w:val="24"/>
          <w:szCs w:val="24"/>
        </w:rPr>
        <w:t xml:space="preserve">的说明</w:t>
      </w:r>
      <w:r>
        <w:rPr>
          <w:rFonts w:hint="eastAsia" w:ascii="仿宋" w:hAnsi="仿宋" w:eastAsia="仿宋" w:cs="Times New Roman"/>
          <w:sz w:val="24"/>
          <w:szCs w:val="24"/>
        </w:rPr>
        <w:t xml:space="preserve">在平台兑换指定商品或者商品组合。甲方及</w:t>
      </w:r>
      <w:r>
        <w:rPr>
          <w:rFonts w:ascii="仿宋" w:hAnsi="仿宋" w:eastAsia="仿宋" w:cs="Times New Roman"/>
          <w:sz w:val="24"/>
          <w:szCs w:val="24"/>
        </w:rPr>
        <w:t xml:space="preserve">持券人</w:t>
      </w:r>
      <w:r>
        <w:rPr>
          <w:rFonts w:hint="eastAsia" w:ascii="仿宋" w:hAnsi="仿宋" w:eastAsia="仿宋" w:cs="Times New Roman"/>
          <w:sz w:val="24"/>
          <w:szCs w:val="24"/>
        </w:rPr>
        <w:t xml:space="preserve">所享受的客服服务、配送服务，除本合同约定外，与乙方公示</w:t>
      </w:r>
      <w:r>
        <w:rPr>
          <w:rFonts w:ascii="仿宋" w:hAnsi="仿宋" w:eastAsia="仿宋" w:cs="Times New Roman"/>
          <w:sz w:val="24"/>
          <w:szCs w:val="24"/>
        </w:rPr>
        <w:t xml:space="preserve">于</w:t>
      </w:r>
      <w:r>
        <w:rPr>
          <w:rFonts w:hint="eastAsia" w:ascii="仿宋" w:hAnsi="仿宋" w:eastAsia="仿宋" w:cs="Times New Roman"/>
          <w:sz w:val="24"/>
          <w:szCs w:val="24"/>
        </w:rPr>
        <w:t xml:space="preserve">平台的</w:t>
      </w:r>
      <w:r>
        <w:rPr>
          <w:rFonts w:ascii="仿宋" w:hAnsi="仿宋" w:eastAsia="仿宋" w:cs="Times New Roman"/>
          <w:sz w:val="24"/>
          <w:szCs w:val="24"/>
        </w:rPr>
        <w:t xml:space="preserve">规则</w:t>
      </w:r>
      <w:r>
        <w:rPr>
          <w:rFonts w:hint="eastAsia" w:ascii="仿宋" w:hAnsi="仿宋" w:eastAsia="仿宋" w:cs="Times New Roman"/>
          <w:sz w:val="24"/>
          <w:szCs w:val="24"/>
        </w:rPr>
        <w:t xml:space="preserve">、说明或提示一致。</w:t>
      </w:r>
      <w:r/>
    </w:p>
    <w:p>
      <w:pPr>
        <w:ind w:firstLine="480"/>
        <w:spacing w:line="440" w:lineRule="exact"/>
        <w:rPr>
          <w:rFonts w:ascii="仿宋" w:hAnsi="仿宋" w:eastAsia="仿宋" w:cs="Times New Roman"/>
          <w:sz w:val="24"/>
          <w:szCs w:val="24"/>
        </w:rPr>
      </w:pPr>
      <w:r>
        <w:rPr>
          <w:rFonts w:hint="eastAsia" w:ascii="仿宋" w:hAnsi="仿宋" w:eastAsia="仿宋" w:cs="Times New Roman"/>
          <w:sz w:val="24"/>
          <w:szCs w:val="24"/>
        </w:rPr>
        <w:t xml:space="preserve">5、因本合同项下产品均具有不记名的特殊性，乙方</w:t>
      </w:r>
      <w:r>
        <w:rPr>
          <w:rFonts w:ascii="仿宋" w:hAnsi="仿宋" w:eastAsia="仿宋" w:cs="Times New Roman"/>
          <w:sz w:val="24"/>
          <w:szCs w:val="24"/>
        </w:rPr>
        <w:t xml:space="preserve">一经交付，</w:t>
      </w:r>
      <w:r>
        <w:rPr>
          <w:rFonts w:hint="eastAsia" w:ascii="仿宋" w:hAnsi="仿宋" w:eastAsia="仿宋" w:cs="Times New Roman"/>
          <w:sz w:val="24"/>
          <w:szCs w:val="24"/>
        </w:rPr>
        <w:t xml:space="preserve">除因质量问题一律不予退换。甲方有义务告知并确保</w:t>
      </w:r>
      <w:r>
        <w:rPr>
          <w:rFonts w:ascii="仿宋" w:hAnsi="仿宋" w:eastAsia="仿宋" w:cs="Times New Roman"/>
          <w:sz w:val="24"/>
          <w:szCs w:val="24"/>
        </w:rPr>
        <w:t xml:space="preserve">持券人</w:t>
      </w:r>
      <w:r>
        <w:rPr>
          <w:rFonts w:hint="eastAsia" w:ascii="仿宋" w:hAnsi="仿宋" w:eastAsia="仿宋" w:cs="Times New Roman"/>
          <w:sz w:val="24"/>
          <w:szCs w:val="24"/>
        </w:rPr>
        <w:t xml:space="preserve">知悉本合同约定，并对</w:t>
      </w:r>
      <w:r>
        <w:rPr>
          <w:rFonts w:ascii="仿宋" w:hAnsi="仿宋" w:eastAsia="仿宋" w:cs="Times New Roman"/>
          <w:sz w:val="24"/>
          <w:szCs w:val="24"/>
        </w:rPr>
        <w:t xml:space="preserve">持券人</w:t>
      </w:r>
      <w:r>
        <w:rPr>
          <w:rFonts w:hint="eastAsia" w:ascii="仿宋" w:hAnsi="仿宋" w:eastAsia="仿宋" w:cs="Times New Roman"/>
          <w:sz w:val="24"/>
          <w:szCs w:val="24"/>
        </w:rPr>
        <w:t xml:space="preserve">的行为负责，除因乙方过错原因外，甲方与实际</w:t>
      </w:r>
      <w:r>
        <w:rPr>
          <w:rFonts w:ascii="仿宋" w:hAnsi="仿宋" w:eastAsia="仿宋" w:cs="Times New Roman"/>
          <w:sz w:val="24"/>
          <w:szCs w:val="24"/>
        </w:rPr>
        <w:t xml:space="preserve">持券人</w:t>
      </w:r>
      <w:r>
        <w:rPr>
          <w:rFonts w:hint="eastAsia" w:ascii="仿宋" w:hAnsi="仿宋" w:eastAsia="仿宋" w:cs="Times New Roman"/>
          <w:sz w:val="24"/>
          <w:szCs w:val="24"/>
        </w:rPr>
        <w:t xml:space="preserve">之间发生的任何争议、纠纷等，与乙方无关。</w:t>
      </w:r>
      <w:r/>
    </w:p>
    <w:p>
      <w:pPr>
        <w:ind w:firstLine="480"/>
        <w:jc w:val="left"/>
        <w:spacing w:line="440" w:lineRule="exact"/>
        <w:rPr>
          <w:rFonts w:ascii="仿宋" w:hAnsi="仿宋" w:eastAsia="仿宋" w:cs="Times New Roman"/>
          <w:sz w:val="24"/>
          <w:szCs w:val="24"/>
        </w:rPr>
      </w:pPr>
      <w:r>
        <w:rPr>
          <w:rFonts w:hint="eastAsia" w:ascii="仿宋" w:hAnsi="仿宋" w:eastAsia="仿宋" w:cs="Times New Roman"/>
          <w:sz w:val="24"/>
          <w:szCs w:val="24"/>
        </w:rPr>
        <w:t xml:space="preserve">6、乙方承诺所供产品效期不能少于保质期的二分之一，如因乙方原因导致安全事故，乙方应承担全部责任，与甲方无关。 </w:t>
      </w:r>
      <w:r/>
    </w:p>
    <w:p>
      <w:pPr>
        <w:ind w:firstLine="480"/>
        <w:spacing w:line="440" w:lineRule="exact"/>
        <w:rPr>
          <w:rFonts w:hint="eastAsia" w:ascii="仿宋" w:hAnsi="仿宋" w:eastAsia="仿宋" w:cs="黑体"/>
          <w:sz w:val="24"/>
        </w:rPr>
      </w:pPr>
      <w:r>
        <w:rPr>
          <w:rFonts w:hint="eastAsia" w:ascii="仿宋" w:hAnsi="仿宋" w:eastAsia="仿宋" w:cs="黑体"/>
          <w:sz w:val="24"/>
          <w:lang w:val="en-US" w:eastAsia="zh-CN"/>
        </w:rPr>
        <w:t xml:space="preserve">六</w:t>
      </w:r>
      <w:r>
        <w:rPr>
          <w:rFonts w:hint="eastAsia" w:ascii="仿宋" w:hAnsi="仿宋" w:eastAsia="仿宋" w:cs="黑体"/>
          <w:sz w:val="24"/>
        </w:rPr>
        <w:t xml:space="preserve">、廉洁条款</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甲乙双方须遵守《南京鼓楼医院物资购销廉洁条例》，条例内容如下：</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为进一步加强医疗卫生行风建设，规范医疗卫生机构购销行为，有效防范商业贿赂行为，营造公平交易、诚实守信的购销环境，南京鼓楼医院特制定本条例，以资合同各方共同遵守：</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1、合同各方按照《民法典》及购销廉洁条例约定购销药品、医用设备、医用耗材及行政办公物资等。</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2、甲方应当严格执行产品购销合同验收、入库制度，对采购产品及发票进行查验，不得违反有关规定进行合同外采购、违价采购或从非规定渠道采购。</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4、甲方严禁利用任何途径和方式，为乙方统计医师个人及临床科室有关产品用量信息，或为乙方统计提供便利。</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5、乙方不得以回扣、宴请等方式影响甲方工作人员采购或使用产品的选择权，不得在学术活动中提供旅游、超标准支付食宿费用。</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8、乙方如违反本廉洁条例，一经发现，甲方有权终止购销合同，并向上级主管部门报告。如乙方被列入商业贿赂不良记录，则严格按照国家相关规定处理。</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9、本廉洁条例在产品购销过程中，合同各方均需严格遵守。</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10、本条例由南京鼓楼医院负责解释。</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11、本条例自即日起施行。</w:t>
      </w:r>
      <w:r>
        <w:rPr>
          <w:rFonts w:ascii="仿宋" w:hAnsi="仿宋" w:eastAsia="仿宋" w:cs="宋体"/>
          <w:sz w:val="24"/>
        </w:rPr>
        <w:tab/>
      </w:r>
      <w:r/>
    </w:p>
    <w:p>
      <w:pPr>
        <w:ind w:firstLine="480"/>
        <w:spacing w:line="440" w:lineRule="exact"/>
        <w:rPr>
          <w:rFonts w:ascii="仿宋" w:hAnsi="仿宋" w:eastAsia="仿宋" w:cs="Times New Roman"/>
          <w:sz w:val="24"/>
        </w:rPr>
      </w:pPr>
      <w:r>
        <w:rPr>
          <w:rFonts w:hint="eastAsia" w:ascii="仿宋" w:hAnsi="仿宋" w:eastAsia="仿宋" w:cs="Times New Roman"/>
          <w:sz w:val="24"/>
          <w:lang w:val="en-US" w:eastAsia="zh-CN"/>
        </w:rPr>
        <w:t xml:space="preserve">七</w:t>
      </w:r>
      <w:r>
        <w:rPr>
          <w:rFonts w:hint="eastAsia" w:ascii="仿宋" w:hAnsi="仿宋" w:eastAsia="仿宋" w:cs="Times New Roman"/>
          <w:sz w:val="24"/>
        </w:rPr>
        <w:t xml:space="preserve">、违约责任：</w:t>
      </w:r>
      <w:r/>
    </w:p>
    <w:p>
      <w:pPr>
        <w:ind w:firstLine="480"/>
        <w:spacing w:line="440" w:lineRule="exact"/>
        <w:rPr>
          <w:rFonts w:ascii="仿宋" w:hAnsi="仿宋" w:eastAsia="仿宋" w:cs="Times New Roman"/>
          <w:sz w:val="24"/>
        </w:rPr>
      </w:pPr>
      <w:r>
        <w:rPr>
          <w:rFonts w:ascii="仿宋" w:hAnsi="仿宋" w:eastAsia="仿宋" w:cs="Times New Roman"/>
          <w:sz w:val="24"/>
        </w:rPr>
        <w:t xml:space="preserve">1、自本协议（合同）生效之日起，各方应严格依约履行。若任何一方违反本合同规定的，应赔偿由此给其他方造成的损失。</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2、乙方未按协议（合同）规定的质量、技术等标准要求履行合同（包括但不限于交货、安装、调试、保修），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4、乙方提供假冒伪劣产品的，乙方按该批次所购商品或服务金额的10倍向甲方支付违约金。</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5、乙方发生下列违约行为，应按协议（合同）总额的30%计算向甲方支付违约金。</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（1）乙方未能对从系统中获得的甲方医疗信息和患者诊疗信息永久保密。</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（2）乙方违反《物资购销廉洁条例》的规定。</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6、乙方有下列情形之一的，甲方有权单方直接解除协议（合同）：①未经甲方书面同意，将本协议（合同）约定权利义务转让给第三方；</w:t>
      </w:r>
      <w:r>
        <w:rPr>
          <w:rFonts w:ascii="仿宋" w:hAnsi="仿宋" w:eastAsia="仿宋" w:cs="Times New Roman"/>
          <w:sz w:val="24"/>
        </w:rPr>
        <w:t xml:space="preserve">②</w:t>
      </w:r>
      <w:r>
        <w:rPr>
          <w:rFonts w:hint="eastAsia" w:ascii="仿宋" w:hAnsi="仿宋" w:eastAsia="仿宋" w:cs="Times New Roman"/>
          <w:sz w:val="24"/>
        </w:rPr>
        <w:t xml:space="preserve">协议（合同）履行过程中出现侵犯他人合法权益的事项，包括但不限于知识产权、人身财产权益等；</w:t>
      </w:r>
      <w:r>
        <w:rPr>
          <w:rFonts w:ascii="仿宋" w:hAnsi="仿宋" w:eastAsia="仿宋" w:cs="Times New Roman"/>
          <w:sz w:val="24"/>
        </w:rPr>
        <w:t xml:space="preserve">③</w:t>
      </w:r>
      <w:r>
        <w:rPr>
          <w:rFonts w:hint="eastAsia" w:ascii="仿宋" w:hAnsi="仿宋" w:eastAsia="仿宋" w:cs="Times New Roman"/>
          <w:sz w:val="24"/>
        </w:rPr>
        <w:t xml:space="preserve">未履行协议（合同）信息保密和使用约定的；④</w:t>
      </w:r>
      <w:r>
        <w:rPr>
          <w:rFonts w:ascii="仿宋" w:hAnsi="仿宋" w:eastAsia="仿宋" w:cs="Times New Roman"/>
          <w:sz w:val="24"/>
        </w:rPr>
        <w:t xml:space="preserve">未履行本</w:t>
      </w:r>
      <w:r>
        <w:rPr>
          <w:rFonts w:hint="eastAsia" w:ascii="仿宋" w:hAnsi="仿宋" w:eastAsia="仿宋" w:cs="Times New Roman"/>
          <w:sz w:val="24"/>
        </w:rPr>
        <w:t xml:space="preserve">协议（合同）</w:t>
      </w:r>
      <w:r>
        <w:rPr>
          <w:rFonts w:ascii="仿宋" w:hAnsi="仿宋" w:eastAsia="仿宋" w:cs="Times New Roman"/>
          <w:sz w:val="24"/>
        </w:rPr>
        <w:t xml:space="preserve">约定其他义务的，经委托人催告后 7 日内，仍未整改的</w:t>
      </w:r>
      <w:r>
        <w:rPr>
          <w:rFonts w:hint="eastAsia" w:ascii="仿宋" w:hAnsi="仿宋" w:eastAsia="仿宋" w:cs="Times New Roman"/>
          <w:sz w:val="24"/>
        </w:rPr>
        <w:t xml:space="preserve">。</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w:t>
      </w:r>
      <w:r>
        <w:rPr>
          <w:rFonts w:ascii="仿宋" w:hAnsi="仿宋" w:eastAsia="仿宋" w:cs="Times New Roman"/>
          <w:sz w:val="24"/>
        </w:rPr>
        <w:t xml:space="preserve">行政罚金、侵权</w:t>
      </w:r>
      <w:r>
        <w:rPr>
          <w:rFonts w:hint="eastAsia" w:ascii="仿宋" w:hAnsi="仿宋" w:eastAsia="仿宋" w:cs="Times New Roman"/>
          <w:sz w:val="24"/>
        </w:rPr>
        <w:t xml:space="preserve">及人身损害</w:t>
      </w:r>
      <w:r>
        <w:rPr>
          <w:rFonts w:ascii="仿宋" w:hAnsi="仿宋" w:eastAsia="仿宋" w:cs="Times New Roman"/>
          <w:sz w:val="24"/>
        </w:rPr>
        <w:t xml:space="preserve">赔偿金、调查费、诉讼费、保全费、鉴定费、律师费</w:t>
      </w:r>
      <w:r>
        <w:rPr>
          <w:rFonts w:hint="eastAsia" w:ascii="仿宋" w:hAnsi="仿宋" w:eastAsia="仿宋" w:cs="Times New Roman"/>
          <w:sz w:val="24"/>
        </w:rPr>
        <w:t xml:space="preserve">、赔偿费等。</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8、乙方出现违约行为并承担违约责任时，甲方有权从</w:t>
      </w:r>
      <w:r>
        <w:rPr>
          <w:rFonts w:ascii="仿宋" w:hAnsi="仿宋" w:eastAsia="仿宋" w:cs="Times New Roman"/>
          <w:sz w:val="24"/>
        </w:rPr>
        <w:t xml:space="preserve">应支付给</w:t>
      </w:r>
      <w:r>
        <w:rPr>
          <w:rFonts w:hint="eastAsia" w:ascii="仿宋" w:hAnsi="仿宋" w:eastAsia="仿宋" w:cs="Times New Roman"/>
          <w:sz w:val="24"/>
        </w:rPr>
        <w:t xml:space="preserve">乙方</w:t>
      </w:r>
      <w:r>
        <w:rPr>
          <w:rFonts w:ascii="仿宋" w:hAnsi="仿宋" w:eastAsia="仿宋" w:cs="Times New Roman"/>
          <w:sz w:val="24"/>
        </w:rPr>
        <w:t xml:space="preserve">的</w:t>
      </w:r>
      <w:r>
        <w:rPr>
          <w:rFonts w:hint="eastAsia" w:ascii="仿宋" w:hAnsi="仿宋" w:eastAsia="仿宋" w:cs="Times New Roman"/>
          <w:sz w:val="24"/>
        </w:rPr>
        <w:t xml:space="preserve">协议（合同）款项中直接扣除违约金、赔偿金等所有违约责任费用；合同款项不足以扣除的，乙方应在收到甲方通知后的7日内予以补足。</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9、以上各项交付的违约金并不影响乙方继续履行本协议（合同）的其他各项义务。</w:t>
      </w:r>
      <w:r/>
    </w:p>
    <w:p>
      <w:pPr>
        <w:ind w:firstLine="480"/>
        <w:spacing w:line="440" w:lineRule="exact"/>
        <w:rPr>
          <w:rFonts w:ascii="仿宋" w:hAnsi="仿宋" w:eastAsia="仿宋" w:cs="Times New Roman"/>
          <w:sz w:val="24"/>
        </w:rPr>
      </w:pPr>
      <w:r>
        <w:rPr>
          <w:rFonts w:ascii="仿宋" w:hAnsi="仿宋" w:eastAsia="仿宋" w:cs="Times New Roman"/>
          <w:sz w:val="24"/>
        </w:rPr>
        <w:t xml:space="preserve">10、乙方若违反本协议（合同）第</w:t>
      </w:r>
      <w:r>
        <w:rPr>
          <w:rFonts w:hint="eastAsia" w:ascii="仿宋" w:hAnsi="仿宋" w:eastAsia="仿宋" w:cs="Times New Roman"/>
          <w:sz w:val="24"/>
        </w:rPr>
        <w:t xml:space="preserve">七</w:t>
      </w:r>
      <w:r>
        <w:rPr>
          <w:rFonts w:ascii="仿宋" w:hAnsi="仿宋" w:eastAsia="仿宋" w:cs="Times New Roman"/>
          <w:sz w:val="24"/>
        </w:rPr>
        <w:t xml:space="preserve">款视为对本协议的重大违约，甲方有权随时书面通知乙方立即终止本协议（合同）。</w:t>
      </w:r>
      <w:r/>
    </w:p>
    <w:p>
      <w:pPr>
        <w:ind w:firstLine="480"/>
        <w:spacing w:line="440" w:lineRule="exact"/>
        <w:rPr>
          <w:rFonts w:hint="eastAsia" w:ascii="仿宋" w:hAnsi="仿宋" w:eastAsia="仿宋" w:cs="Times New Roman"/>
          <w:sz w:val="24"/>
        </w:rPr>
      </w:pPr>
      <w:r>
        <w:rPr>
          <w:rFonts w:hint="eastAsia" w:ascii="仿宋" w:hAnsi="仿宋" w:eastAsia="仿宋" w:cs="Times New Roman"/>
          <w:sz w:val="24"/>
          <w:lang w:val="en-US" w:eastAsia="zh-CN"/>
        </w:rPr>
        <w:t xml:space="preserve">八</w:t>
      </w:r>
      <w:r>
        <w:rPr>
          <w:rFonts w:hint="eastAsia" w:ascii="仿宋" w:hAnsi="仿宋" w:eastAsia="仿宋" w:cs="Times New Roman"/>
          <w:sz w:val="24"/>
        </w:rPr>
        <w:t xml:space="preserve">、争议解决</w:t>
      </w:r>
      <w:r/>
    </w:p>
    <w:p>
      <w:pPr>
        <w:ind w:firstLine="420"/>
        <w:spacing w:line="440" w:lineRule="exact"/>
        <w:rPr>
          <w:rFonts w:hint="eastAsia" w:ascii="仿宋" w:hAnsi="仿宋" w:eastAsia="仿宋" w:cs="Times New Roman"/>
          <w:sz w:val="24"/>
        </w:rPr>
      </w:pPr>
      <w:r>
        <w:rPr>
          <w:rFonts w:hint="eastAsia" w:ascii="仿宋" w:hAnsi="仿宋" w:eastAsia="仿宋" w:cs="Times New Roman"/>
          <w:sz w:val="24"/>
        </w:rPr>
        <w:t xml:space="preserve">双方就本合同项下条款的解释或履行发生争议时，双方应首先通过友好协商解决该争议。如果协商不成，任何一方均有权向甲方所在地人民法院提起诉讼。</w:t>
      </w:r>
      <w:r/>
    </w:p>
    <w:p>
      <w:pPr>
        <w:ind w:left="181" w:firstLine="240"/>
        <w:spacing w:line="440" w:lineRule="exact"/>
        <w:rPr>
          <w:rFonts w:hint="eastAsia" w:ascii="仿宋" w:hAnsi="仿宋" w:eastAsia="仿宋" w:cs="Times New Roman"/>
          <w:sz w:val="24"/>
        </w:rPr>
      </w:pPr>
      <w:r>
        <w:rPr>
          <w:rFonts w:hint="eastAsia" w:ascii="仿宋" w:hAnsi="仿宋" w:eastAsia="仿宋" w:cs="Times New Roman"/>
          <w:sz w:val="24"/>
        </w:rPr>
        <w:t xml:space="preserve">本合同壹式肆份，甲方叁份，乙方壹份，经双方签字盖章生效。其它未尽事宜由双方协商解决。</w:t>
      </w:r>
      <w:r/>
    </w:p>
    <w:p>
      <w:pPr>
        <w:spacing w:line="440" w:lineRule="exact"/>
        <w:rPr>
          <w:rFonts w:hint="eastAsia" w:ascii="仿宋" w:hAnsi="仿宋" w:eastAsia="仿宋" w:cs="宋体"/>
          <w:sz w:val="24"/>
        </w:rPr>
      </w:pPr>
      <w:r>
        <w:rPr>
          <w:rFonts w:hint="eastAsia" w:ascii="仿宋" w:hAnsi="仿宋" w:eastAsia="仿宋" w:cs="宋体"/>
          <w:sz w:val="24"/>
        </w:rPr>
      </w:r>
      <w:r/>
    </w:p>
    <w:p>
      <w:pPr>
        <w:spacing w:line="440" w:lineRule="exact"/>
        <w:rPr>
          <w:rFonts w:hint="eastAsia" w:ascii="仿宋" w:hAnsi="仿宋" w:eastAsia="仿宋" w:cs="宋体"/>
          <w:sz w:val="24"/>
        </w:rPr>
      </w:pPr>
      <w:r>
        <w:rPr>
          <w:rFonts w:hint="eastAsia" w:ascii="仿宋" w:hAnsi="仿宋" w:eastAsia="仿宋" w:cs="宋体"/>
          <w:sz w:val="24"/>
        </w:rPr>
        <w:t xml:space="preserve">甲方：</w:t>
      </w:r>
      <w:r>
        <w:rPr>
          <w:rFonts w:hint="eastAsia" w:ascii="仿宋" w:hAnsi="仿宋" w:eastAsia="仿宋" w:cs="宋体"/>
          <w:sz w:val="24"/>
          <w:u w:val="single"/>
        </w:rPr>
        <w:t xml:space="preserve">   南京鼓楼医院  </w:t>
      </w:r>
      <w:r>
        <w:rPr>
          <w:rFonts w:hint="eastAsia" w:ascii="仿宋" w:hAnsi="仿宋" w:eastAsia="仿宋" w:cs="宋体"/>
          <w:sz w:val="24"/>
        </w:rPr>
        <w:t xml:space="preserve">（盖章）   </w:t>
      </w:r>
      <w:r>
        <w:rPr>
          <w:rFonts w:ascii="仿宋" w:hAnsi="仿宋" w:eastAsia="仿宋" w:cs="宋体"/>
          <w:sz w:val="24"/>
        </w:rPr>
        <w:t xml:space="preserve"> </w:t>
      </w:r>
      <w:r>
        <w:rPr>
          <w:rFonts w:hint="eastAsia" w:ascii="仿宋" w:hAnsi="仿宋" w:eastAsia="仿宋" w:cs="宋体"/>
          <w:sz w:val="24"/>
        </w:rPr>
        <w:t xml:space="preserve">乙方：</w:t>
      </w:r>
      <w:r>
        <w:rPr>
          <w:rFonts w:hint="eastAsia" w:ascii="仿宋" w:hAnsi="仿宋" w:eastAsia="仿宋" w:cs="宋体"/>
          <w:sz w:val="24"/>
          <w:u w:val="single"/>
        </w:rPr>
        <w:t xml:space="preserve">                    </w:t>
      </w:r>
      <w:r>
        <w:rPr>
          <w:rFonts w:hint="eastAsia" w:ascii="仿宋" w:hAnsi="仿宋" w:eastAsia="仿宋" w:cs="宋体"/>
          <w:sz w:val="24"/>
        </w:rPr>
        <w:t xml:space="preserve">（盖章）</w:t>
      </w:r>
      <w:r/>
    </w:p>
    <w:p>
      <w:pPr>
        <w:spacing w:line="440" w:lineRule="exact"/>
        <w:rPr>
          <w:rFonts w:hint="eastAsia" w:ascii="仿宋" w:hAnsi="仿宋" w:eastAsia="仿宋" w:cs="宋体"/>
          <w:sz w:val="24"/>
        </w:rPr>
      </w:pPr>
      <w:r>
        <w:rPr>
          <w:rFonts w:hint="eastAsia" w:ascii="仿宋" w:hAnsi="仿宋" w:eastAsia="仿宋" w:cs="宋体"/>
          <w:sz w:val="24"/>
        </w:rPr>
        <w:t xml:space="preserve">地址：</w:t>
      </w:r>
      <w:r>
        <w:rPr>
          <w:rFonts w:hint="eastAsia" w:ascii="仿宋" w:hAnsi="仿宋" w:eastAsia="仿宋" w:cs="宋体"/>
          <w:sz w:val="24"/>
          <w:u w:val="single"/>
        </w:rPr>
        <w:t xml:space="preserve">     南京中山路321号      </w:t>
      </w:r>
      <w:r>
        <w:rPr>
          <w:rFonts w:hint="eastAsia" w:ascii="仿宋" w:hAnsi="仿宋" w:eastAsia="仿宋" w:cs="宋体"/>
          <w:sz w:val="24"/>
        </w:rPr>
        <w:t xml:space="preserve">             地址：</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邮编：</w:t>
      </w:r>
      <w:r>
        <w:rPr>
          <w:rFonts w:hint="eastAsia" w:ascii="仿宋" w:hAnsi="仿宋" w:eastAsia="仿宋" w:cs="宋体"/>
          <w:sz w:val="24"/>
          <w:u w:val="single"/>
        </w:rPr>
        <w:t xml:space="preserve">  210008  </w:t>
      </w:r>
      <w:r>
        <w:rPr>
          <w:rFonts w:hint="eastAsia" w:ascii="仿宋" w:hAnsi="仿宋" w:eastAsia="仿宋" w:cs="宋体"/>
          <w:sz w:val="24"/>
        </w:rPr>
        <w:t xml:space="preserve"> 传真：</w:t>
      </w:r>
      <w:r>
        <w:rPr>
          <w:rFonts w:hint="eastAsia" w:ascii="仿宋" w:hAnsi="仿宋" w:eastAsia="仿宋" w:cs="宋体"/>
          <w:sz w:val="24"/>
          <w:u w:val="single"/>
        </w:rPr>
        <w:t xml:space="preserve">          </w:t>
      </w:r>
      <w:r>
        <w:rPr>
          <w:rFonts w:hint="eastAsia" w:ascii="仿宋" w:hAnsi="仿宋" w:eastAsia="仿宋" w:cs="宋体"/>
          <w:sz w:val="24"/>
        </w:rPr>
        <w:t xml:space="preserve">             邮编：</w:t>
      </w:r>
      <w:r>
        <w:rPr>
          <w:rFonts w:hint="eastAsia" w:ascii="仿宋" w:hAnsi="仿宋" w:eastAsia="仿宋" w:cs="宋体"/>
          <w:sz w:val="24"/>
          <w:u w:val="single"/>
        </w:rPr>
        <w:t xml:space="preserve">              </w:t>
      </w:r>
      <w:r>
        <w:rPr>
          <w:rFonts w:hint="eastAsia" w:ascii="仿宋" w:hAnsi="仿宋" w:eastAsia="仿宋" w:cs="宋体"/>
          <w:sz w:val="24"/>
        </w:rPr>
        <w:t xml:space="preserve">传真：</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电话：</w:t>
      </w:r>
      <w:r>
        <w:rPr>
          <w:rFonts w:hint="eastAsia" w:ascii="仿宋" w:hAnsi="仿宋" w:eastAsia="仿宋" w:cs="宋体"/>
          <w:sz w:val="24"/>
          <w:u w:val="single"/>
        </w:rPr>
        <w:t xml:space="preserve">    025-83105798     </w:t>
      </w:r>
      <w:r>
        <w:rPr>
          <w:rFonts w:hint="eastAsia" w:ascii="仿宋" w:hAnsi="仿宋" w:eastAsia="仿宋" w:cs="宋体"/>
          <w:sz w:val="24"/>
        </w:rPr>
        <w:t xml:space="preserve">                   电话：</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法定代表人/授权代表：</w:t>
      </w:r>
      <w:r>
        <w:rPr>
          <w:rFonts w:hint="eastAsia" w:ascii="仿宋" w:hAnsi="仿宋" w:eastAsia="仿宋" w:cs="宋体"/>
          <w:sz w:val="24"/>
          <w:u w:val="single"/>
        </w:rPr>
        <w:t xml:space="preserve">                  </w:t>
      </w:r>
      <w:r>
        <w:rPr>
          <w:rFonts w:hint="eastAsia" w:ascii="仿宋" w:hAnsi="仿宋" w:eastAsia="仿宋" w:cs="宋体"/>
          <w:sz w:val="24"/>
        </w:rPr>
        <w:t xml:space="preserve">       法定代表人：</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分管院领导：</w:t>
      </w:r>
      <w:r>
        <w:rPr>
          <w:rFonts w:hint="eastAsia" w:ascii="仿宋" w:hAnsi="仿宋" w:eastAsia="仿宋" w:cs="宋体"/>
          <w:sz w:val="24"/>
          <w:u w:val="single"/>
        </w:rPr>
        <w:t xml:space="preserve">                     </w:t>
      </w:r>
      <w:r>
        <w:rPr>
          <w:rFonts w:hint="eastAsia" w:ascii="仿宋" w:hAnsi="仿宋" w:eastAsia="仿宋" w:cs="宋体"/>
          <w:sz w:val="24"/>
        </w:rPr>
        <w:t xml:space="preserve">             代表：</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医用物资采购中心负责人：</w:t>
      </w:r>
      <w:r>
        <w:rPr>
          <w:rFonts w:hint="eastAsia" w:ascii="仿宋" w:hAnsi="仿宋" w:eastAsia="仿宋" w:cs="宋体"/>
          <w:sz w:val="24"/>
          <w:u w:val="single"/>
        </w:rPr>
        <w:t xml:space="preserve">        </w:t>
      </w:r>
      <w:r>
        <w:rPr>
          <w:rFonts w:hint="eastAsia" w:ascii="仿宋" w:hAnsi="仿宋" w:eastAsia="仿宋" w:cs="宋体"/>
          <w:sz w:val="24"/>
        </w:rPr>
        <w:t xml:space="preserve">              代表（手机）：</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日期：</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ascii="仿宋" w:hAnsi="仿宋" w:eastAsia="仿宋" w:cs="宋体"/>
          <w:sz w:val="24"/>
        </w:rPr>
        <w:t xml:space="preserve">         </w:t>
      </w:r>
      <w:r>
        <w:rPr>
          <w:rFonts w:hint="eastAsia" w:ascii="仿宋" w:hAnsi="仿宋" w:eastAsia="仿宋" w:cs="宋体"/>
          <w:sz w:val="24"/>
        </w:rPr>
        <w:t xml:space="preserve">开户行：</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             </w:t>
      </w:r>
      <w:r>
        <w:rPr>
          <w:rFonts w:ascii="仿宋" w:hAnsi="仿宋" w:eastAsia="仿宋" w:cs="宋体"/>
          <w:sz w:val="24"/>
        </w:rPr>
        <w:t xml:space="preserve">                                </w:t>
      </w:r>
      <w:r>
        <w:rPr>
          <w:rFonts w:hint="eastAsia" w:ascii="仿宋" w:hAnsi="仿宋" w:eastAsia="仿宋" w:cs="宋体"/>
          <w:sz w:val="24"/>
        </w:rPr>
        <w:t xml:space="preserve"> 帐号：</w:t>
      </w:r>
      <w:r>
        <w:rPr>
          <w:rFonts w:hint="eastAsia" w:ascii="仿宋" w:hAnsi="仿宋" w:eastAsia="仿宋" w:cs="宋体"/>
          <w:sz w:val="24"/>
          <w:u w:val="single"/>
        </w:rPr>
        <w:t xml:space="preserve">                            </w:t>
      </w:r>
      <w:r/>
    </w:p>
    <w:p>
      <w:pPr>
        <w:ind w:firstLine="200"/>
        <w:spacing w:line="440" w:lineRule="exact"/>
        <w:rPr>
          <w:rFonts w:hint="eastAsia" w:ascii="仿宋" w:hAnsi="仿宋" w:eastAsia="仿宋" w:cs="宋体"/>
          <w:sz w:val="24"/>
          <w:u w:val="single"/>
        </w:rPr>
      </w:pPr>
      <w:r>
        <w:rPr>
          <w:rFonts w:hint="eastAsia" w:ascii="仿宋" w:hAnsi="仿宋" w:eastAsia="仿宋" w:cs="宋体"/>
          <w:sz w:val="24"/>
        </w:rPr>
        <w:t xml:space="preserve">                                            日期：</w:t>
      </w:r>
      <w:r>
        <w:rPr>
          <w:rFonts w:hint="eastAsia" w:ascii="仿宋" w:hAnsi="仿宋" w:eastAsia="仿宋" w:cs="宋体"/>
          <w:sz w:val="24"/>
          <w:u w:val="single"/>
        </w:rPr>
        <w:t xml:space="preserve">                            </w:t>
      </w:r>
      <w:r/>
    </w:p>
    <w:p>
      <w:pPr>
        <w:jc w:val="center"/>
        <w:spacing w:line="360" w:lineRule="auto"/>
        <w:rPr>
          <w:b/>
          <w:szCs w:val="21"/>
        </w:rPr>
        <w:sectPr>
          <w:footerReference w:type="default" r:id="rId17"/>
          <w:footerReference w:type="first" r:id="rId18"/>
          <w:footnotePr/>
          <w:endnotePr/>
          <w:type w:val="nextPage"/>
          <w:pgSz w:w="11906" w:h="16838" w:orient="portrait"/>
          <w:pgMar w:top="1417" w:right="1417" w:bottom="1417" w:left="1417" w:header="851" w:footer="992" w:gutter="0"/>
          <w:cols w:num="1" w:sep="0" w:space="720" w:equalWidth="1"/>
          <w:docGrid w:linePitch="360"/>
        </w:sectPr>
      </w:pPr>
      <w:r>
        <w:rPr>
          <w:b/>
          <w:szCs w:val="21"/>
        </w:rPr>
      </w:r>
      <w:r/>
    </w:p>
    <w:p>
      <w:pPr>
        <w:jc w:val="both"/>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r>
      <w:r/>
    </w:p>
    <w:p>
      <w:pPr>
        <w:jc w:val="both"/>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r>
      <w:r/>
    </w:p>
    <w:p>
      <w:pPr>
        <w:jc w:val="center"/>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t xml:space="preserve">第六章  投标文件格式及附件</w:t>
      </w:r>
      <w:bookmarkEnd w:id="118"/>
      <w:r/>
      <w:bookmarkEnd w:id="119"/>
      <w:r/>
      <w:bookmarkEnd w:id="120"/>
      <w:r/>
      <w:r/>
    </w:p>
    <w:p>
      <w:pPr>
        <w:spacing w:line="440" w:lineRule="exact"/>
        <w:rPr>
          <w:rFonts w:ascii="Arial" w:hAnsi="Arial" w:cs="Arial"/>
          <w:b/>
          <w:bCs/>
          <w:sz w:val="24"/>
          <w:highlight w:val="none"/>
        </w:rPr>
      </w:pPr>
      <w:r>
        <w:rPr>
          <w:rFonts w:hint="eastAsia" w:ascii="Arial" w:hAnsi="Arial" w:cs="Arial"/>
          <w:b/>
          <w:bCs/>
          <w:sz w:val="24"/>
          <w:highlight w:val="none"/>
        </w:rPr>
        <w:t xml:space="preserve">注：</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sz w:val="24"/>
          <w:highlight w:val="none"/>
        </w:rPr>
        <w:sectPr>
          <w:headerReference w:type="default" r:id="rId12"/>
          <w:footerReference w:type="default" r:id="rId19"/>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highlight w:val="none"/>
        </w:rPr>
        <w:t xml:space="preserve"> </w:t>
      </w:r>
      <w:r/>
    </w:p>
    <w:p>
      <w:pPr>
        <w:pStyle w:val="921"/>
        <w:jc w:val="center"/>
        <w:spacing w:beforeAutospacing="0" w:afterAutospacing="0"/>
        <w:widowControl/>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921"/>
        <w:jc w:val="center"/>
        <w:spacing w:beforeAutospacing="0" w:afterAutospacing="0"/>
        <w:widowControl/>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921"/>
        <w:jc w:val="center"/>
        <w:spacing w:beforeAutospacing="0" w:afterAutospacing="0"/>
        <w:widowControl/>
        <w:rPr>
          <w:highlight w:val="none"/>
        </w:rPr>
      </w:pPr>
      <w:r>
        <w:rPr>
          <w:rFonts w:ascii="宋体" w:hAnsi="宋体" w:cs="宋体"/>
          <w:b/>
          <w:bCs/>
          <w:color w:val="000000"/>
          <w:sz w:val="72"/>
          <w:szCs w:val="72"/>
          <w:highlight w:val="none"/>
        </w:rPr>
        <w:t xml:space="preserve">投标文件</w:t>
      </w:r>
      <w:r/>
    </w:p>
    <w:p>
      <w:pPr>
        <w:pStyle w:val="921"/>
        <w:jc w:val="center"/>
        <w:spacing w:beforeAutospacing="0" w:afterAutospacing="0"/>
        <w:widowControl/>
        <w:rPr>
          <w:highlight w:val="none"/>
        </w:rPr>
      </w:pPr>
      <w:r>
        <w:rPr>
          <w:rFonts w:ascii="宋体" w:hAnsi="宋体" w:cs="宋体"/>
          <w:b/>
          <w:bCs/>
          <w:color w:val="000000"/>
          <w:sz w:val="72"/>
          <w:szCs w:val="72"/>
          <w:highlight w:val="none"/>
        </w:rPr>
        <w:t xml:space="preserve"> </w:t>
      </w:r>
      <w:r/>
    </w:p>
    <w:p>
      <w:pPr>
        <w:pStyle w:val="921"/>
        <w:jc w:val="center"/>
        <w:spacing w:beforeAutospacing="0" w:afterAutospacing="0"/>
        <w:widowControl/>
        <w:rPr>
          <w:highlight w:val="none"/>
        </w:rPr>
      </w:pPr>
      <w:r>
        <w:rPr>
          <w:rFonts w:ascii="宋体" w:hAnsi="宋体" w:cs="宋体"/>
          <w:b/>
          <w:bCs/>
          <w:color w:val="000000"/>
          <w:sz w:val="72"/>
          <w:szCs w:val="72"/>
          <w:highlight w:val="none"/>
        </w:rPr>
        <w:t xml:space="preserve"> </w:t>
      </w:r>
      <w:r/>
    </w:p>
    <w:p>
      <w:pPr>
        <w:pStyle w:val="921"/>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1"/>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1"/>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1"/>
        <w:ind w:firstLine="1081"/>
        <w:jc w:val="both"/>
        <w:spacing w:beforeAutospacing="0" w:afterAutospacing="0"/>
        <w:widowControl/>
        <w:rPr>
          <w:highlight w:val="none"/>
        </w:rP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p>
    <w:p>
      <w:pPr>
        <w:pStyle w:val="921"/>
        <w:ind w:firstLine="1081"/>
        <w:jc w:val="both"/>
        <w:spacing w:beforeAutospacing="0" w:afterAutospacing="0"/>
        <w:widowControl/>
        <w:rPr>
          <w:highlight w:val="none"/>
        </w:rP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p>
    <w:p>
      <w:pPr>
        <w:pStyle w:val="921"/>
        <w:jc w:val="both"/>
        <w:spacing w:beforeAutospacing="0" w:afterAutospacing="0"/>
        <w:widowControl/>
        <w:rPr>
          <w:highlight w:val="none"/>
        </w:rP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p>
    <w:p>
      <w:pPr>
        <w:pStyle w:val="921"/>
        <w:jc w:val="both"/>
        <w:spacing w:beforeAutospacing="0" w:afterAutospacing="0"/>
        <w:widowControl/>
        <w:rPr>
          <w:highlight w:val="none"/>
        </w:rP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p>
    <w:p>
      <w:pPr>
        <w:jc w:val="cente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t xml:space="preserve">（一）投标函(格式)：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投  标  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致苏美达国际技术贸易有限公司：</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我方收到贵方编号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投标人(盖章)：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电话：                              传真：</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通讯地址：                          邮编：</w:t>
      </w:r>
      <w:r/>
    </w:p>
    <w:p>
      <w:pPr>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t xml:space="preserve"> （二）关于资格的声明函(格式)：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关于资格的声明函</w:t>
      </w:r>
      <w:r/>
    </w:p>
    <w:p>
      <w:pPr>
        <w:jc w:val="center"/>
        <w:rPr>
          <w:rFonts w:ascii="黑体" w:eastAsia="黑体"/>
          <w:bCs/>
          <w:color w:val="000000"/>
          <w:sz w:val="32"/>
          <w:highlight w:val="none"/>
        </w:rPr>
      </w:pPr>
      <w:r>
        <w:rPr>
          <w:rFonts w:ascii="黑体" w:eastAsia="黑体"/>
          <w:bCs/>
          <w:color w:val="000000"/>
          <w:sz w:val="32"/>
          <w:highlight w:val="none"/>
        </w:rPr>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招标编号：</w:t>
      </w:r>
      <w:r/>
    </w:p>
    <w:p>
      <w:pPr>
        <w:jc w:val="center"/>
        <w:spacing w:line="360" w:lineRule="auto"/>
        <w:tabs>
          <w:tab w:val="left" w:pos="630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szCs w:val="21"/>
          <w:highlight w:val="none"/>
        </w:rPr>
        <w:t xml:space="preserve">苏美达国际技术贸易有限公司</w:t>
      </w:r>
      <w:r>
        <w:rPr>
          <w:rFonts w:hint="eastAsia" w:ascii="宋体" w:hAnsi="宋体" w:cs="宋体"/>
          <w:bCs/>
          <w:color w:val="000000"/>
          <w:szCs w:val="21"/>
          <w:highlight w:val="none"/>
        </w:rPr>
        <w:t xml:space="preserve">：</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投标人（盖章）：</w:t>
      </w:r>
      <w:r/>
    </w:p>
    <w:p>
      <w:pPr>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法定代表人或法定代表人授权代表（签字或盖章）：</w:t>
      </w:r>
      <w:r/>
    </w:p>
    <w:p>
      <w:pPr>
        <w:spacing w:line="480" w:lineRule="auto"/>
        <w:rPr>
          <w:rFonts w:ascii="宋体"/>
          <w:bCs/>
          <w:color w:val="000000"/>
          <w:sz w:val="24"/>
          <w:szCs w:val="24"/>
          <w:highlight w:val="none"/>
        </w:rPr>
      </w:pPr>
      <w:r>
        <w:rPr>
          <w:rFonts w:ascii="宋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20"/>
        <w:rPr>
          <w:rFonts w:hint="eastAsia" w:ascii="黑体" w:hAnsi="宋体" w:eastAsia="黑体"/>
          <w:bCs/>
          <w:color w:val="000000"/>
          <w:sz w:val="24"/>
          <w:szCs w:val="24"/>
          <w:highlight w:val="none"/>
        </w:rPr>
        <w:outlineLvl w:val="0"/>
      </w:pPr>
      <w:r>
        <w:rPr>
          <w:rFonts w:hint="eastAsia"/>
          <w:color w:val="000000"/>
          <w:highlight w:val="none"/>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sz w:val="24"/>
          <w:highlight w:val="none"/>
        </w:rPr>
        <w:outlineLvl w:val="0"/>
      </w:pPr>
      <w:r>
        <w:rPr>
          <w:rFonts w:eastAsia="黑体"/>
          <w:bCs/>
          <w:sz w:val="24"/>
          <w:highlight w:val="none"/>
        </w:rPr>
      </w:r>
      <w:r/>
    </w:p>
    <w:p>
      <w:pPr>
        <w:rPr>
          <w:highlight w:val="none"/>
        </w:rPr>
      </w:pPr>
      <w:r>
        <w:rPr>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（三）法定代表人授权委托书(格式)：</w:t>
      </w:r>
      <w:r/>
    </w:p>
    <w:p>
      <w:pPr>
        <w:spacing w:line="360" w:lineRule="auto"/>
        <w:rPr>
          <w:rFonts w:eastAsia="黑体"/>
          <w:bCs/>
          <w:sz w:val="28"/>
          <w:szCs w:val="28"/>
          <w:highlight w:val="none"/>
        </w:rPr>
      </w:pPr>
      <w:r>
        <w:rPr>
          <w:rFonts w:eastAsia="黑体"/>
          <w:bCs/>
          <w:sz w:val="28"/>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法定代表人授权委托书</w:t>
      </w:r>
      <w:r/>
    </w:p>
    <w:p>
      <w:pPr>
        <w:jc w:val="center"/>
        <w:spacing w:line="360" w:lineRule="auto"/>
        <w:rPr>
          <w:rFonts w:eastAsia="黑体"/>
          <w:bCs/>
          <w:sz w:val="28"/>
          <w:szCs w:val="28"/>
          <w:highlight w:val="none"/>
        </w:rPr>
        <w:outlineLvl w:val="0"/>
      </w:pPr>
      <w:r>
        <w:rPr>
          <w:rFonts w:eastAsia="黑体"/>
          <w:bCs/>
          <w:sz w:val="28"/>
          <w:szCs w:val="28"/>
          <w:highlight w:val="none"/>
        </w:rPr>
      </w:r>
      <w:r/>
    </w:p>
    <w:p>
      <w:pPr>
        <w:spacing w:line="360" w:lineRule="auto"/>
        <w:rPr>
          <w:rFonts w:hint="eastAsia" w:ascii="宋体" w:hAnsi="宋体" w:cs="宋体"/>
          <w:bCs/>
          <w:szCs w:val="21"/>
          <w:highlight w:val="none"/>
        </w:rPr>
      </w:pPr>
      <w:r>
        <w:rPr>
          <w:rFonts w:eastAsia="楷体_GB2312"/>
          <w:bCs/>
          <w:sz w:val="30"/>
          <w:highlight w:val="none"/>
        </w:rPr>
        <w:t xml:space="preserve">  </w:t>
      </w:r>
      <w:r>
        <w:rPr>
          <w:rFonts w:eastAsia="楷体_GB2312"/>
          <w:bCs/>
          <w:sz w:val="24"/>
          <w:szCs w:val="24"/>
          <w:highlight w:val="none"/>
        </w:rPr>
        <w:t xml:space="preserve">  </w:t>
      </w:r>
      <w:r>
        <w:rPr>
          <w:rFonts w:hint="eastAsia" w:ascii="宋体" w:hAnsi="宋体" w:cs="宋体"/>
          <w:bCs/>
          <w:sz w:val="24"/>
          <w:szCs w:val="24"/>
          <w:highlight w:val="none"/>
        </w:rPr>
        <w:t xml:space="preserve">                    </w:t>
      </w:r>
      <w:r>
        <w:rPr>
          <w:rFonts w:hint="eastAsia" w:ascii="宋体" w:hAnsi="宋体" w:cs="宋体"/>
          <w:bCs/>
          <w:szCs w:val="21"/>
          <w:highlight w:val="none"/>
        </w:rPr>
        <w:t xml:space="preserve">           招标编号：</w:t>
      </w:r>
      <w:r/>
    </w:p>
    <w:p>
      <w:pPr>
        <w:ind w:firstLine="4620"/>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苏美达国际技术贸易有限公司：</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系中华人民共和国合法企业，特授权</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代表我公司(单位)全权办理针对本项目</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的投标、参与开标、评标、签约等具体工作，并签署全部有关的文件、协议及合同。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我公司(单位)对被授权人的签名负全部责任。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被授权人情况：</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姓名：         性别：             电话：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投标人(盖章)：</w:t>
      </w:r>
      <w:r/>
    </w:p>
    <w:p>
      <w:pPr>
        <w:ind w:firstLine="357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57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spacing w:line="360" w:lineRule="auto"/>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pStyle w:val="902"/>
        <w:rPr>
          <w:rFonts w:eastAsia="黑体"/>
          <w:sz w:val="24"/>
          <w:szCs w:val="24"/>
          <w:highlight w:val="none"/>
        </w:rPr>
      </w:pPr>
      <w:r>
        <w:rPr>
          <w:rFonts w:eastAsia="黑体"/>
          <w:sz w:val="24"/>
          <w:szCs w:val="24"/>
          <w:highlight w:val="none"/>
        </w:rPr>
      </w:r>
      <w:r/>
    </w:p>
    <w:p>
      <w:pPr>
        <w:rPr>
          <w:highlight w:val="none"/>
        </w:rPr>
      </w:pPr>
      <w:r>
        <w:rPr>
          <w:highlight w:val="none"/>
        </w:rPr>
      </w:r>
      <w:r/>
    </w:p>
    <w:p>
      <w:pPr>
        <w:rPr>
          <w:rFonts w:eastAsia="黑体"/>
          <w:bCs/>
          <w:sz w:val="24"/>
          <w:szCs w:val="24"/>
          <w:highlight w:val="none"/>
        </w:rPr>
      </w:pPr>
      <w:r>
        <w:rPr>
          <w:rFonts w:eastAsia="黑体"/>
          <w:bCs/>
          <w:sz w:val="24"/>
          <w:szCs w:val="24"/>
          <w:highlight w:val="none"/>
        </w:rPr>
      </w:r>
      <w:r/>
    </w:p>
    <w:p>
      <w:pPr>
        <w:rPr>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7"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6" o:spid="_x0000_s6"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395855" cy="1584960"/>
                <wp:effectExtent l="4445" t="4445" r="19050" b="10795"/>
                <wp:docPr id="8"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7" o:spid="_x0000_s7"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highlight w:val="none"/>
        </w:rPr>
        <w:t xml:space="preserve">       </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pStyle w:val="902"/>
        <w:rPr>
          <w:highlight w:val="none"/>
        </w:rPr>
      </w:pPr>
      <w:r>
        <w:rPr>
          <w:sz w:val="24"/>
          <w:szCs w:val="24"/>
          <w:highlight w:val="none"/>
        </w:rPr>
        <mc:AlternateContent>
          <mc:Choice Requires="wpg">
            <w:drawing>
              <wp:inline xmlns:wp="http://schemas.openxmlformats.org/drawingml/2006/wordprocessingDrawing" distT="0" distB="0" distL="0" distR="0">
                <wp:extent cx="2414270" cy="1584960"/>
                <wp:effectExtent l="4445" t="4445" r="19685" b="10795"/>
                <wp:docPr id="9"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sz w:val="24"/>
          <w:szCs w:val="24"/>
          <w:highlight w:val="none"/>
        </w:rPr>
        <w:t xml:space="preserve"> </w:t>
      </w:r>
      <w:r>
        <w:rPr>
          <w:sz w:val="24"/>
          <w:szCs w:val="24"/>
          <w:highlight w:val="none"/>
        </w:rPr>
        <mc:AlternateContent>
          <mc:Choice Requires="wpg">
            <w:drawing>
              <wp:inline xmlns:wp="http://schemas.openxmlformats.org/drawingml/2006/wordprocessingDrawing" distT="0" distB="0" distL="0" distR="0">
                <wp:extent cx="2397125" cy="1584960"/>
                <wp:effectExtent l="5080" t="4445" r="17145" b="10795"/>
                <wp:docPr id="10"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highlight w:val="none"/>
        </w:rPr>
        <w:outlineLvl w:val="0"/>
      </w:pPr>
      <w:r>
        <w:rPr>
          <w:rFonts w:eastAsia="黑体"/>
          <w:bCs/>
          <w:sz w:val="24"/>
          <w:szCs w:val="24"/>
          <w:highlight w:val="none"/>
        </w:rPr>
        <w:br w:type="page" w:clear="all"/>
      </w:r>
      <w:r>
        <w:rPr>
          <w:rFonts w:hint="eastAsia" w:ascii="宋体" w:hAnsi="宋体" w:cs="宋体"/>
          <w:b/>
          <w:sz w:val="24"/>
          <w:szCs w:val="24"/>
          <w:highlight w:val="none"/>
        </w:rPr>
        <w:t xml:space="preserve">(四) 承诺书(格式)：</w:t>
      </w:r>
      <w:r/>
    </w:p>
    <w:p>
      <w:pPr>
        <w:spacing w:line="360" w:lineRule="auto"/>
        <w:rPr>
          <w:rFonts w:eastAsia="黑体"/>
          <w:bCs/>
          <w:sz w:val="28"/>
          <w:szCs w:val="28"/>
          <w:highlight w:val="none"/>
        </w:rPr>
        <w:outlineLvl w:val="0"/>
      </w:pPr>
      <w:r>
        <w:rPr>
          <w:rFonts w:eastAsia="黑体"/>
          <w:bCs/>
          <w:sz w:val="28"/>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承诺书</w:t>
      </w:r>
      <w:r/>
    </w:p>
    <w:p>
      <w:pPr>
        <w:jc w:val="center"/>
        <w:rPr>
          <w:rFonts w:ascii="黑体" w:eastAsia="黑体"/>
          <w:bCs/>
          <w:sz w:val="28"/>
          <w:szCs w:val="28"/>
          <w:highlight w:val="none"/>
        </w:rPr>
      </w:pPr>
      <w:r>
        <w:rPr>
          <w:rFonts w:ascii="黑体" w:eastAsia="黑体"/>
          <w:bCs/>
          <w:sz w:val="28"/>
          <w:szCs w:val="28"/>
          <w:highlight w:val="none"/>
        </w:rPr>
      </w:r>
      <w:r/>
    </w:p>
    <w:p>
      <w:pPr>
        <w:spacing w:line="360" w:lineRule="auto"/>
        <w:rPr>
          <w:rFonts w:ascii="宋体"/>
          <w:szCs w:val="21"/>
          <w:highlight w:val="none"/>
        </w:rPr>
      </w:pPr>
      <w:r>
        <w:rPr>
          <w:rFonts w:ascii="宋体" w:hAnsi="宋体"/>
          <w:szCs w:val="21"/>
          <w:highlight w:val="none"/>
          <w:u w:val="single"/>
        </w:rPr>
        <w:t xml:space="preserve">                             </w:t>
      </w:r>
      <w:r>
        <w:rPr>
          <w:rFonts w:hint="eastAsia" w:ascii="宋体" w:hAnsi="宋体"/>
          <w:szCs w:val="21"/>
          <w:highlight w:val="none"/>
        </w:rPr>
        <w:t xml:space="preserve">（投标人名称）在此承诺：</w:t>
      </w:r>
      <w:r/>
    </w:p>
    <w:p>
      <w:pPr>
        <w:ind w:firstLine="420"/>
        <w:spacing w:line="360" w:lineRule="auto"/>
        <w:rPr>
          <w:rFonts w:ascii="宋体"/>
          <w:szCs w:val="21"/>
          <w:highlight w:val="none"/>
        </w:rPr>
      </w:pPr>
      <w:r>
        <w:rPr>
          <w:rFonts w:ascii="宋体"/>
          <w:szCs w:val="21"/>
          <w:highlight w:val="none"/>
        </w:rPr>
      </w:r>
      <w:r/>
    </w:p>
    <w:p>
      <w:pPr>
        <w:ind w:firstLine="420"/>
        <w:spacing w:line="360" w:lineRule="auto"/>
        <w:rPr>
          <w:rFonts w:ascii="宋体"/>
          <w:bCs/>
          <w:szCs w:val="21"/>
          <w:highlight w:val="none"/>
        </w:rPr>
      </w:pPr>
      <w:r>
        <w:rPr>
          <w:rFonts w:ascii="宋体" w:hAnsi="宋体"/>
          <w:szCs w:val="21"/>
          <w:highlight w:val="none"/>
        </w:rPr>
        <w:t xml:space="preserve">1</w:t>
      </w:r>
      <w:r>
        <w:rPr>
          <w:rFonts w:hint="eastAsia" w:ascii="宋体" w:hAnsi="宋体"/>
          <w:szCs w:val="21"/>
          <w:highlight w:val="none"/>
        </w:rPr>
        <w:t xml:space="preserve">.本公司（单位）</w:t>
      </w:r>
      <w:r>
        <w:rPr>
          <w:rFonts w:hint="eastAsia" w:ascii="宋体" w:hAnsi="宋体"/>
          <w:bCs/>
          <w:szCs w:val="21"/>
          <w:highlight w:val="none"/>
        </w:rPr>
        <w:t xml:space="preserve">对本项目（招标编号：              ）所提供的货物均为原厂全新合格品，</w:t>
      </w:r>
      <w:r>
        <w:rPr>
          <w:rFonts w:hint="eastAsia" w:ascii="宋体" w:hAnsi="宋体"/>
          <w:bCs/>
          <w:color w:val="000000"/>
          <w:szCs w:val="21"/>
          <w:highlight w:val="none"/>
        </w:rPr>
        <w:t xml:space="preserve">提供的服务符合招标文件要求</w:t>
      </w:r>
      <w:r>
        <w:rPr>
          <w:rFonts w:hint="eastAsia" w:ascii="宋体" w:hAnsi="宋体"/>
          <w:bCs/>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2.本公司（单位）具备履行合同所必需的设备和专业技术能力；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3.本公司（单位）未被“信用中国”网站（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Cs w:val="21"/>
          <w:highlight w:val="none"/>
        </w:rPr>
        <w:t xml:space="preserve">www.creditchina.gov.cn</w:t>
      </w:r>
      <w:r>
        <w:rPr>
          <w:rFonts w:hint="eastAsia" w:ascii="宋体" w:hAnsi="宋体"/>
          <w:szCs w:val="21"/>
          <w:highlight w:val="none"/>
        </w:rPr>
        <w:fldChar w:fldCharType="end"/>
      </w:r>
      <w:r>
        <w:rPr>
          <w:rFonts w:hint="eastAsia" w:ascii="宋体" w:hAnsi="宋体"/>
          <w:szCs w:val="21"/>
          <w:highlight w:val="none"/>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4.本公司（单位）参加政府采购活动前3年内在经营活动中没有重大违法记录。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904"/>
        <w:ind w:left="0"/>
        <w:rPr>
          <w:szCs w:val="21"/>
          <w:highlight w:val="none"/>
        </w:rPr>
      </w:pPr>
      <w:r>
        <w:rPr>
          <w:szCs w:val="21"/>
          <w:highlight w:val="none"/>
        </w:rPr>
      </w:r>
      <w:r/>
    </w:p>
    <w:p>
      <w:pPr>
        <w:ind w:firstLine="420"/>
        <w:spacing w:line="360" w:lineRule="auto"/>
        <w:rPr>
          <w:rFonts w:ascii="宋体"/>
          <w:bCs/>
          <w:szCs w:val="21"/>
          <w:highlight w:val="none"/>
        </w:rPr>
      </w:pPr>
      <w:r>
        <w:rPr>
          <w:rFonts w:hint="eastAsia" w:ascii="宋体" w:hAnsi="宋体"/>
          <w:bCs/>
          <w:szCs w:val="21"/>
          <w:highlight w:val="none"/>
        </w:rPr>
        <w:t xml:space="preserve">如违背上述承诺，本公司</w:t>
      </w:r>
      <w:r>
        <w:rPr>
          <w:rFonts w:hint="eastAsia" w:ascii="宋体" w:hAnsi="宋体"/>
          <w:szCs w:val="21"/>
          <w:highlight w:val="none"/>
        </w:rPr>
        <w:t xml:space="preserve">（单位）</w:t>
      </w:r>
      <w:r>
        <w:rPr>
          <w:rFonts w:hint="eastAsia" w:ascii="宋体" w:hAnsi="宋体"/>
          <w:bCs/>
          <w:szCs w:val="21"/>
          <w:highlight w:val="none"/>
        </w:rPr>
        <w:t xml:space="preserve">将承担一切法律责任。</w:t>
      </w:r>
      <w:r/>
    </w:p>
    <w:p>
      <w:pPr>
        <w:spacing w:line="360" w:lineRule="auto"/>
        <w:rPr>
          <w:rFonts w:ascii="宋体"/>
          <w:szCs w:val="21"/>
          <w:highlight w:val="none"/>
        </w:rPr>
      </w:pPr>
      <w:r>
        <w:rPr>
          <w:rFonts w:ascii="宋体"/>
          <w:szCs w:val="21"/>
          <w:highlight w:val="none"/>
        </w:rPr>
      </w:r>
      <w:r/>
    </w:p>
    <w:p>
      <w:pPr>
        <w:ind w:firstLine="4725"/>
        <w:spacing w:line="360" w:lineRule="auto"/>
        <w:rPr>
          <w:rFonts w:ascii="宋体"/>
          <w:bCs/>
          <w:szCs w:val="21"/>
          <w:highlight w:val="none"/>
        </w:rPr>
      </w:pPr>
      <w:r>
        <w:rPr>
          <w:rFonts w:ascii="宋体"/>
          <w:bCs/>
          <w:szCs w:val="21"/>
          <w:highlight w:val="none"/>
        </w:rPr>
      </w:r>
      <w:r/>
    </w:p>
    <w:p>
      <w:pPr>
        <w:ind w:firstLine="4515"/>
        <w:spacing w:line="360" w:lineRule="auto"/>
        <w:rPr>
          <w:rFonts w:hint="eastAsia" w:ascii="宋体" w:hAnsi="宋体"/>
          <w:bCs/>
          <w:szCs w:val="21"/>
          <w:highlight w:val="none"/>
        </w:rPr>
      </w:pPr>
      <w:r>
        <w:rPr>
          <w:rFonts w:hint="eastAsia" w:ascii="宋体" w:hAnsi="宋体" w:cs="宋体"/>
          <w:bCs/>
          <w:szCs w:val="21"/>
          <w:highlight w:val="none"/>
        </w:rPr>
        <w:t xml:space="preserve">投标人(盖章)：</w:t>
      </w:r>
      <w:r/>
    </w:p>
    <w:p>
      <w:pPr>
        <w:ind w:firstLine="840"/>
        <w:spacing w:line="360" w:lineRule="auto"/>
        <w:rPr>
          <w:rFonts w:hint="eastAsia" w:ascii="宋体" w:hAnsi="宋体"/>
          <w:bCs/>
          <w:szCs w:val="21"/>
          <w:highlight w:val="none"/>
        </w:rPr>
      </w:pPr>
      <w:r>
        <w:rPr>
          <w:rFonts w:hint="eastAsia" w:ascii="宋体" w:hAnsi="宋体"/>
          <w:bCs/>
          <w:szCs w:val="21"/>
          <w:highlight w:val="none"/>
        </w:rPr>
      </w:r>
      <w:r/>
    </w:p>
    <w:p>
      <w:pPr>
        <w:ind w:firstLine="1680"/>
        <w:spacing w:line="360" w:lineRule="auto"/>
        <w:rPr>
          <w:rFonts w:hint="eastAsia" w:ascii="宋体" w:hAnsi="宋体"/>
          <w:bCs/>
          <w:szCs w:val="21"/>
          <w:highlight w:val="none"/>
        </w:rPr>
      </w:pPr>
      <w:r>
        <w:rPr>
          <w:rFonts w:hint="eastAsia" w:ascii="宋体" w:hAnsi="宋体"/>
          <w:bCs/>
          <w:szCs w:val="21"/>
          <w:highlight w:val="none"/>
        </w:rPr>
        <w:t xml:space="preserve">法定代表人或法定代表人授权代表签字或盖章：</w:t>
      </w:r>
      <w:r/>
    </w:p>
    <w:p>
      <w:pPr>
        <w:pStyle w:val="1216"/>
        <w:rPr>
          <w:highlight w:val="none"/>
        </w:rPr>
      </w:pPr>
      <w:r>
        <w:rPr>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spacing w:line="360" w:lineRule="auto"/>
        <w:rPr>
          <w:rFonts w:ascii="宋体"/>
          <w:sz w:val="24"/>
          <w:highlight w:val="none"/>
        </w:rPr>
      </w:pPr>
      <w:r>
        <w:rPr>
          <w:rFonts w:ascii="宋体"/>
          <w:sz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cs="宋体"/>
          <w:b/>
          <w:sz w:val="24"/>
          <w:szCs w:val="24"/>
          <w:highlight w:val="none"/>
        </w:rPr>
        <w:br w:type="page" w:clear="all"/>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开标一览表</w:t>
      </w:r>
      <w:r>
        <w:rPr>
          <w:rFonts w:hint="eastAsia" w:ascii="宋体" w:hAnsi="宋体" w:eastAsia="宋体" w:cs="宋体"/>
          <w:b/>
          <w:color w:val="auto"/>
          <w:sz w:val="24"/>
          <w:szCs w:val="24"/>
          <w:highlight w:val="none"/>
        </w:rPr>
        <w:t xml:space="preserve">(格式系统生成)：</w:t>
      </w:r>
      <w:r/>
    </w:p>
    <w:p>
      <w:pPr>
        <w:pStyle w:val="968"/>
        <w:numPr>
          <w:ilvl w:val="0"/>
          <w:numId w:val="0"/>
        </w:numPr>
        <w:rPr>
          <w:rFonts w:hint="eastAsia"/>
          <w:highlight w:val="none"/>
        </w:rPr>
      </w:pPr>
      <w:r>
        <w:rPr>
          <w:rFonts w:hint="eastAsia"/>
          <w:highlight w:val="none"/>
        </w:rPr>
      </w:r>
      <w:r/>
    </w:p>
    <w:p>
      <w:pPr>
        <w:rPr>
          <w:highlight w:val="none"/>
        </w:rPr>
      </w:pPr>
      <w:r>
        <w:rPr>
          <w:highlight w:val="none"/>
        </w:rPr>
      </w:r>
      <w:r/>
    </w:p>
    <w:p>
      <w:pPr>
        <w:pStyle w:val="904"/>
        <w:ind w:left="1260"/>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04"/>
        <w:ind w:left="1260"/>
        <w:rPr>
          <w:highlight w:val="none"/>
        </w:rPr>
      </w:pPr>
      <w:r>
        <w:rPr>
          <w:highlight w:val="none"/>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rPr>
          <w:rFonts w:hint="eastAsia" w:ascii="宋体" w:hAnsi="宋体" w:eastAsia="宋体" w:cs="宋体"/>
          <w:szCs w:val="21"/>
        </w:rPr>
      </w:pPr>
      <w:r>
        <w:rPr>
          <w:rFonts w:hint="eastAsia" w:ascii="宋体" w:hAnsi="宋体" w:eastAsia="宋体" w:cs="宋体"/>
          <w:szCs w:val="21"/>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bCs/>
          <w:sz w:val="24"/>
          <w:szCs w:val="24"/>
          <w:highlight w:val="none"/>
        </w:rPr>
      </w:pPr>
      <w:r>
        <w:rPr>
          <w:rFonts w:eastAsia="黑体"/>
          <w:bCs/>
          <w:sz w:val="24"/>
          <w:szCs w:val="24"/>
          <w:highlight w:val="none"/>
        </w:rPr>
        <w:br w:type="page" w:clear="all"/>
      </w:r>
      <w:r>
        <w:rPr>
          <w:rFonts w:hint="eastAsia" w:ascii="宋体" w:hAnsi="宋体" w:cs="宋体"/>
          <w:b/>
          <w:sz w:val="24"/>
          <w:szCs w:val="24"/>
          <w:highlight w:val="none"/>
        </w:rPr>
        <w:t xml:space="preserve">（六）细目报价表 (格式)：</w:t>
      </w:r>
      <w:r/>
    </w:p>
    <w:p>
      <w:pPr>
        <w:jc w:val="center"/>
        <w:spacing w:line="440" w:lineRule="exact"/>
        <w:rPr>
          <w:rFonts w:hint="eastAsia" w:ascii="Arial" w:hAnsi="Arial" w:eastAsia="宋体" w:cs="Arial"/>
          <w:b/>
          <w:sz w:val="28"/>
          <w:szCs w:val="22"/>
          <w:highlight w:val="none"/>
        </w:rPr>
      </w:pPr>
      <w:r>
        <w:rPr>
          <w:rFonts w:hint="eastAsia" w:ascii="宋体" w:hAnsi="宋体" w:cs="宋体"/>
          <w:b/>
          <w:sz w:val="24"/>
          <w:szCs w:val="24"/>
          <w:highlight w:val="none"/>
          <w:lang w:val="en-US" w:eastAsia="zh-CN"/>
        </w:rPr>
        <w:t xml:space="preserve">套餐A</w:t>
      </w:r>
      <w:r>
        <w:rPr>
          <w:rFonts w:hint="eastAsia" w:ascii="宋体" w:hAnsi="宋体" w:cs="宋体"/>
          <w:b/>
          <w:sz w:val="24"/>
          <w:szCs w:val="24"/>
          <w:highlight w:val="none"/>
        </w:rPr>
        <w:t xml:space="preserve">细目报价表</w:t>
      </w:r>
      <w:r/>
    </w:p>
    <w:p>
      <w:pPr>
        <w:spacing w:after="156" w:line="440" w:lineRule="exact"/>
        <w:rPr>
          <w:rFonts w:hint="default" w:ascii="Arial" w:hAnsi="Arial" w:eastAsia="宋体" w:cs="Arial"/>
          <w:highlight w:val="none"/>
        </w:rPr>
      </w:pPr>
      <w:r>
        <w:rPr>
          <w:rFonts w:hint="eastAsia" w:ascii="Arial" w:hAnsi="Arial" w:eastAsia="宋体" w:cs="Arial"/>
          <w:szCs w:val="21"/>
          <w:highlight w:val="none"/>
        </w:rPr>
        <w:t xml:space="preserve">项目</w:t>
      </w:r>
      <w:r>
        <w:rPr>
          <w:rFonts w:hint="default" w:ascii="Arial" w:hAnsi="Arial" w:eastAsia="宋体" w:cs="Arial"/>
          <w:szCs w:val="21"/>
          <w:highlight w:val="none"/>
        </w:rPr>
        <w:t xml:space="preserve">名称：</w:t>
      </w:r>
      <w:r>
        <w:rPr>
          <w:rFonts w:hint="eastAsia" w:ascii="Arial" w:hAnsi="Arial" w:eastAsia="宋体" w:cs="Arial"/>
          <w:szCs w:val="21"/>
          <w:highlight w:val="none"/>
          <w:lang w:val="en-US" w:eastAsia="zh-CN"/>
        </w:rPr>
        <w:t xml:space="preserve">                                         </w:t>
      </w:r>
      <w:r>
        <w:rPr>
          <w:rFonts w:hint="eastAsia" w:ascii="Arial" w:hAnsi="Arial" w:eastAsia="宋体" w:cs="Arial"/>
          <w:szCs w:val="21"/>
          <w:highlight w:val="none"/>
        </w:rPr>
        <w:t xml:space="preserve">       </w:t>
      </w:r>
      <w:r>
        <w:rPr>
          <w:rFonts w:hint="default" w:ascii="Arial" w:hAnsi="Arial" w:eastAsia="宋体" w:cs="Arial"/>
          <w:szCs w:val="21"/>
          <w:highlight w:val="none"/>
        </w:rPr>
        <w:t xml:space="preserve">招标编号：</w:t>
      </w:r>
      <w:r>
        <w:rPr>
          <w:rFonts w:hint="default" w:ascii="Arial" w:hAnsi="Arial" w:eastAsia="宋体" w:cs="Arial"/>
          <w:szCs w:val="21"/>
          <w:highlight w:val="none"/>
          <w:u w:val="single"/>
        </w:rPr>
        <w:t xml:space="preserve">   </w:t>
      </w:r>
      <w:r>
        <w:rPr>
          <w:rFonts w:hint="default" w:ascii="Arial" w:hAnsi="Arial" w:eastAsia="宋体" w:cs="Arial"/>
          <w:highlight w:val="none"/>
          <w:u w:val="single"/>
        </w:rPr>
        <w:t xml:space="preserve">             </w:t>
      </w:r>
      <w:r>
        <w:rPr>
          <w:rFonts w:hint="default" w:ascii="Arial" w:hAnsi="Arial" w:eastAsia="宋体" w:cs="Arial"/>
          <w:highlight w:val="none"/>
        </w:rPr>
        <w:t xml:space="preserve">                  </w:t>
      </w:r>
      <w:r>
        <w:rPr>
          <w:rFonts w:hint="default" w:ascii="Arial" w:hAnsi="Arial" w:eastAsia="宋体" w:cs="Arial"/>
          <w:highlight w:val="none"/>
          <w:u w:val="single"/>
        </w:rPr>
        <w:t xml:space="preserve">  </w:t>
      </w:r>
      <w:r/>
    </w:p>
    <w:tbl>
      <w:tblPr>
        <w:tblStyle w:val="897"/>
        <w:tblW w:w="8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350"/>
        <w:gridCol w:w="1714"/>
        <w:gridCol w:w="2269"/>
        <w:gridCol w:w="2283"/>
      </w:tblGrid>
      <w:tr>
        <w:trPr>
          <w:jc w:val="center"/>
        </w:trPr>
        <w:tc>
          <w:tcPr>
            <w:tcW w:w="675"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1350"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名 称</w:t>
            </w:r>
            <w:r/>
          </w:p>
        </w:tc>
        <w:tc>
          <w:tcPr>
            <w:tcW w:w="1714"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数量</w:t>
            </w:r>
            <w:r/>
          </w:p>
        </w:tc>
        <w:tc>
          <w:tcPr>
            <w:tcW w:w="2269" w:type="dxa"/>
            <w:vAlign w:val="top"/>
            <w:textDirection w:val="lrTb"/>
            <w:noWrap w:val="false"/>
          </w:tcPr>
          <w:p>
            <w:pPr>
              <w:ind w:firstLine="420"/>
              <w:jc w:val="both"/>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品牌名称</w:t>
            </w:r>
            <w:r/>
          </w:p>
        </w:tc>
        <w:tc>
          <w:tcPr>
            <w:tcW w:w="2283" w:type="dxa"/>
            <w:vAlign w:val="center"/>
            <w:textDirection w:val="lrTb"/>
            <w:noWrap w:val="false"/>
          </w:tcPr>
          <w:p>
            <w:pPr>
              <w:jc w:val="center"/>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实际货值</w:t>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1350" w:type="dxa"/>
            <w:vAlign w:val="top"/>
            <w:textDirection w:val="lrTb"/>
            <w:noWrap w:val="false"/>
          </w:tcPr>
          <w:p>
            <w:pPr>
              <w:ind w:left="-827" w:firstLine="827"/>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gridSpan w:val="5"/>
            <w:tcW w:w="8291" w:type="dxa"/>
            <w:vAlign w:val="top"/>
            <w:textDirection w:val="lrTb"/>
            <w:noWrap w:val="false"/>
          </w:tcPr>
          <w:p>
            <w:pPr>
              <w:spacing w:line="440" w:lineRule="exact"/>
              <w:rPr>
                <w:rFonts w:hint="default" w:ascii="宋体" w:hAnsi="宋体" w:eastAsia="宋体" w:cs="宋体"/>
                <w:szCs w:val="21"/>
                <w:highlight w:val="none"/>
                <w:lang w:val="en-US" w:eastAsia="zh-CN"/>
              </w:rPr>
            </w:pPr>
            <w:r>
              <w:rPr>
                <w:rFonts w:hint="eastAsia" w:ascii="宋体" w:hAnsi="宋体" w:cs="宋体"/>
                <w:b/>
                <w:bCs/>
                <w:szCs w:val="21"/>
                <w:highlight w:val="none"/>
                <w:lang w:val="en-US" w:eastAsia="zh-CN"/>
              </w:rPr>
              <w:t xml:space="preserve">实际结算单价：</w:t>
            </w:r>
            <w:r>
              <w:rPr>
                <w:rFonts w:hint="eastAsia" w:ascii="宋体" w:hAnsi="宋体" w:cs="宋体"/>
                <w:b/>
                <w:bCs/>
                <w:szCs w:val="21"/>
                <w:highlight w:val="none"/>
                <w:u w:val="single"/>
                <w:lang w:val="en-US" w:eastAsia="zh-CN"/>
              </w:rPr>
              <w:t xml:space="preserve">    </w:t>
            </w:r>
            <w:r>
              <w:rPr>
                <w:rFonts w:hint="eastAsia" w:ascii="宋体" w:hAnsi="宋体" w:cs="宋体"/>
                <w:b/>
                <w:bCs/>
                <w:szCs w:val="21"/>
                <w:highlight w:val="none"/>
                <w:lang w:val="en-US" w:eastAsia="zh-CN"/>
              </w:rPr>
              <w:t xml:space="preserve">元/份</w:t>
            </w:r>
            <w:r/>
          </w:p>
        </w:tc>
      </w:tr>
      <w:tr>
        <w:trPr>
          <w:jc w:val="center"/>
        </w:trPr>
        <w:tc>
          <w:tcPr>
            <w:gridSpan w:val="5"/>
            <w:tcW w:w="8291" w:type="dxa"/>
            <w:vAlign w:val="top"/>
            <w:textDirection w:val="lrTb"/>
            <w:noWrap w:val="false"/>
          </w:tcPr>
          <w:p>
            <w:pPr>
              <w:spacing w:line="440" w:lineRule="exact"/>
              <w:rPr>
                <w:rFonts w:hint="eastAsia" w:ascii="宋体" w:hAnsi="宋体" w:eastAsia="宋体" w:cs="宋体"/>
                <w:szCs w:val="21"/>
                <w:highlight w:val="none"/>
              </w:rPr>
            </w:pPr>
            <w:r>
              <w:rPr>
                <w:rFonts w:hint="default" w:ascii="宋体" w:hAnsi="宋体" w:eastAsia="宋体" w:cs="宋体"/>
                <w:b/>
                <w:bCs/>
                <w:color w:val="000000"/>
                <w:sz w:val="22"/>
                <w:szCs w:val="22"/>
                <w:highlight w:val="none"/>
                <w:lang w:val="en-US" w:eastAsia="zh-CN" w:bidi="ar-SA"/>
              </w:rPr>
              <w:t xml:space="preserve">本采购包中提供的符合本国产品标准的产品成本之和占该采购包提供的全部产品成本之和的比例为***%。</w:t>
            </w:r>
            <w:r/>
          </w:p>
        </w:tc>
      </w:tr>
    </w:tbl>
    <w:p>
      <w:pPr>
        <w:spacing w:line="440" w:lineRule="exact"/>
        <w:rPr>
          <w:rFonts w:hint="default" w:ascii="Arial" w:hAnsi="Arial" w:eastAsia="宋体" w:cs="Arial"/>
          <w:highlight w:val="none"/>
        </w:rPr>
      </w:pPr>
      <w:r>
        <w:rPr>
          <w:rFonts w:hint="default" w:ascii="Arial" w:hAnsi="Arial" w:eastAsia="宋体" w:cs="Arial"/>
          <w:highlight w:val="none"/>
        </w:rPr>
      </w:r>
      <w:r/>
    </w:p>
    <w:p>
      <w:pPr>
        <w:spacing w:line="360" w:lineRule="auto"/>
        <w:rPr>
          <w:rFonts w:hint="eastAsia" w:ascii="Arial" w:hAnsi="Arial" w:cs="Arial"/>
          <w:szCs w:val="21"/>
          <w:highlight w:val="none"/>
        </w:rPr>
      </w:pPr>
      <w:r>
        <w:rPr>
          <w:rFonts w:hint="eastAsia" w:ascii="Arial" w:hAnsi="Arial" w:cs="Arial"/>
          <w:szCs w:val="21"/>
          <w:highlight w:val="none"/>
        </w:rPr>
      </w:r>
      <w:r/>
    </w:p>
    <w:p>
      <w:pPr>
        <w:jc w:val="center"/>
        <w:spacing w:line="440" w:lineRule="exact"/>
        <w:rPr>
          <w:rFonts w:hint="eastAsia" w:ascii="Arial" w:hAnsi="Arial" w:eastAsia="宋体" w:cs="Arial"/>
          <w:b/>
          <w:sz w:val="28"/>
          <w:szCs w:val="22"/>
          <w:highlight w:val="none"/>
        </w:rPr>
      </w:pPr>
      <w:r>
        <w:rPr>
          <w:rFonts w:hint="eastAsia" w:ascii="宋体" w:hAnsi="宋体" w:cs="宋体"/>
          <w:b/>
          <w:sz w:val="24"/>
          <w:szCs w:val="24"/>
          <w:highlight w:val="none"/>
          <w:lang w:val="en-US" w:eastAsia="zh-CN"/>
        </w:rPr>
        <w:t xml:space="preserve">套餐B</w:t>
      </w:r>
      <w:r>
        <w:rPr>
          <w:rFonts w:hint="eastAsia" w:ascii="宋体" w:hAnsi="宋体" w:cs="宋体"/>
          <w:b/>
          <w:sz w:val="24"/>
          <w:szCs w:val="24"/>
          <w:highlight w:val="none"/>
        </w:rPr>
        <w:t xml:space="preserve">细目报价表</w:t>
      </w:r>
      <w:r/>
    </w:p>
    <w:p>
      <w:pPr>
        <w:spacing w:after="156" w:line="440" w:lineRule="exact"/>
        <w:rPr>
          <w:rFonts w:hint="default" w:ascii="Arial" w:hAnsi="Arial" w:eastAsia="宋体" w:cs="Arial"/>
          <w:highlight w:val="none"/>
        </w:rPr>
      </w:pPr>
      <w:r>
        <w:rPr>
          <w:rFonts w:hint="eastAsia" w:ascii="Arial" w:hAnsi="Arial" w:eastAsia="宋体" w:cs="Arial"/>
          <w:szCs w:val="21"/>
          <w:highlight w:val="none"/>
        </w:rPr>
        <w:t xml:space="preserve">项目</w:t>
      </w:r>
      <w:r>
        <w:rPr>
          <w:rFonts w:hint="default" w:ascii="Arial" w:hAnsi="Arial" w:eastAsia="宋体" w:cs="Arial"/>
          <w:szCs w:val="21"/>
          <w:highlight w:val="none"/>
        </w:rPr>
        <w:t xml:space="preserve">名称：</w:t>
      </w:r>
      <w:r>
        <w:rPr>
          <w:rFonts w:hint="eastAsia" w:ascii="Arial" w:hAnsi="Arial" w:eastAsia="宋体" w:cs="Arial"/>
          <w:szCs w:val="21"/>
          <w:highlight w:val="none"/>
          <w:lang w:val="en-US" w:eastAsia="zh-CN"/>
        </w:rPr>
        <w:t xml:space="preserve">                                         </w:t>
      </w:r>
      <w:r>
        <w:rPr>
          <w:rFonts w:hint="eastAsia" w:ascii="Arial" w:hAnsi="Arial" w:eastAsia="宋体" w:cs="Arial"/>
          <w:szCs w:val="21"/>
          <w:highlight w:val="none"/>
        </w:rPr>
        <w:t xml:space="preserve">       </w:t>
      </w:r>
      <w:r>
        <w:rPr>
          <w:rFonts w:hint="default" w:ascii="Arial" w:hAnsi="Arial" w:eastAsia="宋体" w:cs="Arial"/>
          <w:szCs w:val="21"/>
          <w:highlight w:val="none"/>
        </w:rPr>
        <w:t xml:space="preserve">招标编号：</w:t>
      </w:r>
      <w:r>
        <w:rPr>
          <w:rFonts w:hint="default" w:ascii="Arial" w:hAnsi="Arial" w:eastAsia="宋体" w:cs="Arial"/>
          <w:szCs w:val="21"/>
          <w:highlight w:val="none"/>
          <w:u w:val="single"/>
        </w:rPr>
        <w:t xml:space="preserve">   </w:t>
      </w:r>
      <w:r>
        <w:rPr>
          <w:rFonts w:hint="default" w:ascii="Arial" w:hAnsi="Arial" w:eastAsia="宋体" w:cs="Arial"/>
          <w:highlight w:val="none"/>
          <w:u w:val="single"/>
        </w:rPr>
        <w:t xml:space="preserve">             </w:t>
      </w:r>
      <w:r>
        <w:rPr>
          <w:rFonts w:hint="default" w:ascii="Arial" w:hAnsi="Arial" w:eastAsia="宋体" w:cs="Arial"/>
          <w:highlight w:val="none"/>
        </w:rPr>
        <w:t xml:space="preserve">                  </w:t>
      </w:r>
      <w:r>
        <w:rPr>
          <w:rFonts w:hint="default" w:ascii="Arial" w:hAnsi="Arial" w:eastAsia="宋体" w:cs="Arial"/>
          <w:highlight w:val="none"/>
          <w:u w:val="single"/>
        </w:rPr>
        <w:t xml:space="preserve">  </w:t>
      </w:r>
      <w:r/>
    </w:p>
    <w:tbl>
      <w:tblPr>
        <w:tblStyle w:val="897"/>
        <w:tblW w:w="8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350"/>
        <w:gridCol w:w="1714"/>
        <w:gridCol w:w="2269"/>
        <w:gridCol w:w="2283"/>
      </w:tblGrid>
      <w:tr>
        <w:trPr>
          <w:jc w:val="center"/>
        </w:trPr>
        <w:tc>
          <w:tcPr>
            <w:tcW w:w="675"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1350"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名 称</w:t>
            </w:r>
            <w:r/>
          </w:p>
        </w:tc>
        <w:tc>
          <w:tcPr>
            <w:tcW w:w="1714"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数量</w:t>
            </w:r>
            <w:r/>
          </w:p>
        </w:tc>
        <w:tc>
          <w:tcPr>
            <w:tcW w:w="2269" w:type="dxa"/>
            <w:vAlign w:val="top"/>
            <w:textDirection w:val="lrTb"/>
            <w:noWrap w:val="false"/>
          </w:tcPr>
          <w:p>
            <w:pPr>
              <w:ind w:firstLine="420"/>
              <w:jc w:val="both"/>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品牌名称</w:t>
            </w:r>
            <w:r/>
          </w:p>
        </w:tc>
        <w:tc>
          <w:tcPr>
            <w:tcW w:w="2283" w:type="dxa"/>
            <w:vAlign w:val="center"/>
            <w:textDirection w:val="lrTb"/>
            <w:noWrap w:val="false"/>
          </w:tcPr>
          <w:p>
            <w:pPr>
              <w:jc w:val="center"/>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实际货值</w:t>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1350" w:type="dxa"/>
            <w:vAlign w:val="top"/>
            <w:textDirection w:val="lrTb"/>
            <w:noWrap w:val="false"/>
          </w:tcPr>
          <w:p>
            <w:pPr>
              <w:ind w:left="-827" w:firstLine="827"/>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gridSpan w:val="5"/>
            <w:tcW w:w="8291" w:type="dxa"/>
            <w:vAlign w:val="top"/>
            <w:textDirection w:val="lrTb"/>
            <w:noWrap w:val="false"/>
          </w:tcPr>
          <w:p>
            <w:pPr>
              <w:spacing w:line="440" w:lineRule="exact"/>
              <w:rPr>
                <w:rFonts w:hint="eastAsia" w:ascii="宋体" w:hAnsi="宋体" w:eastAsia="宋体" w:cs="宋体"/>
                <w:b/>
                <w:bCs/>
                <w:szCs w:val="21"/>
                <w:highlight w:val="none"/>
              </w:rPr>
            </w:pPr>
            <w:r>
              <w:rPr>
                <w:rFonts w:hint="eastAsia" w:ascii="宋体" w:hAnsi="宋体" w:cs="宋体"/>
                <w:b/>
                <w:bCs/>
                <w:szCs w:val="21"/>
                <w:highlight w:val="none"/>
                <w:lang w:val="en-US" w:eastAsia="zh-CN"/>
              </w:rPr>
              <w:t xml:space="preserve">实际结算单价：</w:t>
            </w:r>
            <w:r>
              <w:rPr>
                <w:rFonts w:hint="eastAsia" w:ascii="宋体" w:hAnsi="宋体" w:cs="宋体"/>
                <w:b/>
                <w:bCs/>
                <w:szCs w:val="21"/>
                <w:highlight w:val="none"/>
                <w:u w:val="single"/>
                <w:lang w:val="en-US" w:eastAsia="zh-CN"/>
              </w:rPr>
              <w:t xml:space="preserve">    </w:t>
            </w:r>
            <w:r>
              <w:rPr>
                <w:rFonts w:hint="eastAsia" w:ascii="宋体" w:hAnsi="宋体" w:cs="宋体"/>
                <w:b/>
                <w:bCs/>
                <w:szCs w:val="21"/>
                <w:highlight w:val="none"/>
                <w:lang w:val="en-US" w:eastAsia="zh-CN"/>
              </w:rPr>
              <w:t xml:space="preserve">元/份</w:t>
            </w:r>
            <w:r/>
          </w:p>
        </w:tc>
      </w:tr>
      <w:tr>
        <w:trPr>
          <w:jc w:val="center"/>
        </w:trPr>
        <w:tc>
          <w:tcPr>
            <w:gridSpan w:val="5"/>
            <w:tcW w:w="8291" w:type="dxa"/>
            <w:vAlign w:val="top"/>
            <w:textDirection w:val="lrTb"/>
            <w:noWrap w:val="false"/>
          </w:tcPr>
          <w:p>
            <w:pPr>
              <w:spacing w:line="440" w:lineRule="exact"/>
              <w:rPr>
                <w:rFonts w:hint="eastAsia" w:ascii="宋体" w:hAnsi="宋体" w:eastAsia="宋体" w:cs="宋体"/>
                <w:b/>
                <w:bCs/>
                <w:szCs w:val="21"/>
                <w:highlight w:val="none"/>
              </w:rPr>
            </w:pPr>
            <w:r>
              <w:rPr>
                <w:rFonts w:hint="default" w:ascii="宋体" w:hAnsi="宋体" w:eastAsia="宋体" w:cs="宋体"/>
                <w:b/>
                <w:bCs/>
                <w:color w:val="000000"/>
                <w:sz w:val="22"/>
                <w:szCs w:val="22"/>
                <w:highlight w:val="none"/>
                <w:lang w:val="en-US" w:eastAsia="zh-CN" w:bidi="ar-SA"/>
              </w:rPr>
              <w:t xml:space="preserve">本采购包中提供的符合本国产品标准的产品成本之和占该采购包提供的全部产品成本之和的比例为***%。</w:t>
            </w:r>
            <w:r/>
          </w:p>
        </w:tc>
      </w:tr>
    </w:tbl>
    <w:p>
      <w:pPr>
        <w:spacing w:line="360" w:lineRule="auto"/>
        <w:rPr>
          <w:rFonts w:hint="eastAsia" w:ascii="Arial" w:hAnsi="Arial" w:cs="Arial"/>
          <w:b/>
          <w:bCs/>
          <w:szCs w:val="21"/>
          <w:highlight w:val="none"/>
          <w:lang w:val="en-US" w:eastAsia="zh-CN"/>
        </w:rPr>
      </w:pPr>
      <w:r>
        <w:rPr>
          <w:rFonts w:hint="eastAsia" w:ascii="Arial" w:hAnsi="Arial" w:cs="Arial"/>
          <w:b/>
          <w:bCs/>
          <w:szCs w:val="21"/>
          <w:highlight w:val="none"/>
          <w:lang w:val="en-US" w:eastAsia="zh-CN"/>
        </w:rPr>
      </w:r>
      <w:r/>
    </w:p>
    <w:p>
      <w:pPr>
        <w:spacing w:line="360" w:lineRule="auto"/>
        <w:rPr>
          <w:rFonts w:hint="default" w:ascii="Arial" w:hAnsi="Arial" w:eastAsia="宋体" w:cs="Arial"/>
          <w:b/>
          <w:bCs/>
          <w:szCs w:val="21"/>
          <w:highlight w:val="none"/>
          <w:lang w:val="en-US" w:eastAsia="zh-CN"/>
        </w:rPr>
      </w:pPr>
      <w:r>
        <w:rPr>
          <w:rFonts w:hint="eastAsia" w:ascii="Arial" w:hAnsi="Arial" w:cs="Arial"/>
          <w:b/>
          <w:bCs/>
          <w:szCs w:val="21"/>
          <w:highlight w:val="none"/>
          <w:lang w:val="en-US" w:eastAsia="zh-CN"/>
        </w:rPr>
        <w:t xml:space="preserve">注：套餐A和套餐B所报实际结算单价必须一致，超过200元/份将导致投标被否决。</w:t>
      </w:r>
      <w:r/>
    </w:p>
    <w:p>
      <w:pPr>
        <w:spacing w:line="360" w:lineRule="auto"/>
        <w:rPr>
          <w:rFonts w:hint="eastAsia" w:ascii="Arial" w:hAnsi="Arial" w:cs="Arial"/>
          <w:szCs w:val="21"/>
          <w:highlight w:val="none"/>
        </w:rPr>
      </w:pPr>
      <w:r>
        <w:rPr>
          <w:rFonts w:hint="eastAsia"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投标人名称（盖章）：</w:t>
      </w:r>
      <w:r/>
    </w:p>
    <w:p>
      <w:pPr>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p>
    <w:p>
      <w:pPr>
        <w:spacing w:line="360" w:lineRule="auto"/>
        <w:rPr>
          <w:rFonts w:hint="eastAsia" w:ascii="Arial" w:hAnsi="Arial" w:cs="Arial"/>
          <w:szCs w:val="21"/>
          <w:highlight w:val="none"/>
        </w:rPr>
      </w:pPr>
      <w:r>
        <w:rPr>
          <w:rFonts w:hint="eastAsia" w:ascii="Arial" w:hAnsi="Arial" w:cs="Arial"/>
          <w:szCs w:val="21"/>
          <w:highlight w:val="none"/>
        </w:rPr>
        <w:t xml:space="preserve">日期：</w:t>
      </w:r>
      <w:r/>
    </w:p>
    <w:p>
      <w:pPr>
        <w:pStyle w:val="1216"/>
        <w:numPr>
          <w:ilvl w:val="0"/>
          <w:numId w:val="0"/>
        </w:numPr>
        <w:rPr>
          <w:rFonts w:eastAsia="黑体"/>
          <w:bCs/>
          <w:sz w:val="24"/>
          <w:szCs w:val="24"/>
          <w:highlight w:val="none"/>
        </w:rPr>
      </w:pPr>
      <w:r>
        <w:rPr>
          <w:rFonts w:hint="eastAsia" w:ascii="宋体" w:hAnsi="宋体" w:eastAsia="宋体" w:cs="宋体"/>
          <w:b/>
          <w:sz w:val="24"/>
          <w:szCs w:val="24"/>
          <w:highlight w:val="none"/>
        </w:rPr>
        <w:t xml:space="preserve">（七）</w:t>
      </w:r>
      <w:r>
        <w:rPr>
          <w:rFonts w:hint="eastAsia" w:ascii="宋体" w:hAnsi="宋体" w:eastAsia="宋体" w:cs="宋体"/>
          <w:b/>
          <w:sz w:val="24"/>
          <w:szCs w:val="24"/>
          <w:highlight w:val="none"/>
          <w:lang w:eastAsia="zh-CN"/>
        </w:rPr>
        <w:t xml:space="preserve">采购需求偏离响应表</w:t>
      </w:r>
      <w:r>
        <w:rPr>
          <w:rFonts w:hint="eastAsia" w:ascii="宋体" w:hAnsi="宋体" w:eastAsia="宋体" w:cs="宋体"/>
          <w:b/>
          <w:sz w:val="24"/>
          <w:szCs w:val="24"/>
          <w:highlight w:val="none"/>
        </w:rPr>
        <w:t xml:space="preserve">（格式）：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eastAsia="宋体" w:cs="宋体"/>
          <w:b/>
          <w:sz w:val="36"/>
          <w:szCs w:val="28"/>
          <w:highlight w:val="none"/>
          <w:lang w:eastAsia="zh-CN"/>
        </w:rPr>
      </w:pPr>
      <w:r>
        <w:rPr>
          <w:rFonts w:hint="eastAsia" w:ascii="宋体" w:hAnsi="宋体" w:cs="宋体"/>
          <w:b/>
          <w:sz w:val="36"/>
          <w:szCs w:val="28"/>
          <w:highlight w:val="none"/>
          <w:lang w:eastAsia="zh-CN"/>
        </w:rPr>
        <w:t xml:space="preserve">采购需求偏离响应表</w:t>
      </w:r>
      <w:r/>
    </w:p>
    <w:p>
      <w:pPr>
        <w:spacing w:line="400" w:lineRule="exact"/>
        <w:rPr>
          <w:rFonts w:hint="eastAsia" w:ascii="宋体" w:hAnsi="宋体" w:eastAsia="宋体" w:cs="Times New Roman"/>
          <w:bCs/>
          <w:sz w:val="24"/>
          <w:highlight w:val="none"/>
        </w:rPr>
        <w:outlineLvl w:val="0"/>
      </w:pPr>
      <w:r>
        <w:rPr>
          <w:rFonts w:hint="eastAsia" w:ascii="宋体" w:hAnsi="宋体" w:eastAsia="宋体" w:cs="Times New Roman"/>
          <w:bCs/>
          <w:sz w:val="24"/>
          <w:highlight w:val="none"/>
        </w:rPr>
      </w:r>
      <w:r/>
    </w:p>
    <w:p>
      <w:pPr>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招标编号：</w:t>
      </w:r>
      <w:r/>
    </w:p>
    <w:tbl>
      <w:tblPr>
        <w:tblStyle w:val="897"/>
        <w:tblpPr w:horzAnchor="text" w:tblpXSpec="center" w:vertAnchor="text" w:tblpY="1" w:leftFromText="180" w:topFromText="0" w:rightFromText="180" w:bottomFromText="0"/>
        <w:tblW w:w="8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67"/>
        <w:gridCol w:w="2173"/>
        <w:gridCol w:w="2480"/>
        <w:gridCol w:w="1587"/>
      </w:tblGrid>
      <w:tr>
        <w:trPr>
          <w:jc w:val="center"/>
          <w:trHeight w:val="855"/>
        </w:trPr>
        <w:tc>
          <w:tcPr>
            <w:tcW w:w="705"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序号</w:t>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招标文件条目号</w:t>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招标文件</w:t>
            </w:r>
            <w:r>
              <w:rPr>
                <w:rFonts w:hint="eastAsia" w:ascii="宋体" w:hAnsi="宋体" w:cs="Times New Roman"/>
                <w:bCs/>
                <w:szCs w:val="21"/>
                <w:highlight w:val="none"/>
                <w:lang w:val="en-US" w:eastAsia="zh-CN"/>
              </w:rPr>
              <w:t xml:space="preserve">采购需求</w:t>
            </w:r>
            <w:r>
              <w:rPr>
                <w:rFonts w:hint="eastAsia" w:ascii="宋体" w:hAnsi="宋体" w:eastAsia="宋体" w:cs="Times New Roman"/>
                <w:bCs/>
                <w:szCs w:val="21"/>
                <w:highlight w:val="none"/>
              </w:rPr>
              <w:t xml:space="preserve">条款</w:t>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投标文件响应情况</w:t>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偏离/响应</w:t>
            </w:r>
            <w:r/>
          </w:p>
        </w:tc>
      </w:tr>
      <w:tr>
        <w:trPr>
          <w:jc w:val="center"/>
          <w:trHeight w:val="478"/>
        </w:trPr>
        <w:tc>
          <w:tcPr>
            <w:tcW w:w="705"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95"/>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bl>
    <w:p>
      <w:pPr>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226"/>
        <w:ind w:firstLine="0"/>
        <w:spacing w:line="360" w:lineRule="auto"/>
        <w:rPr>
          <w:szCs w:val="21"/>
          <w:highlight w:val="none"/>
        </w:rPr>
      </w:pPr>
      <w:r>
        <w:rPr>
          <w:szCs w:val="21"/>
          <w:highlight w:val="none"/>
        </w:rPr>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投标人名称（盖章）：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法定代表人或法定代表人授权代表签字或盖章：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日期：</w:t>
      </w:r>
      <w:r/>
    </w:p>
    <w:p>
      <w:pPr>
        <w:spacing w:line="440" w:lineRule="exact"/>
        <w:rPr>
          <w:rFonts w:ascii="Arial" w:hAnsi="Arial" w:cs="Arial"/>
          <w:color w:val="000000"/>
          <w:szCs w:val="21"/>
          <w:highlight w:val="none"/>
        </w:rPr>
      </w:pPr>
      <w:r>
        <w:rPr>
          <w:rFonts w:ascii="Arial" w:hAnsi="Arial" w:cs="Arial"/>
          <w:color w:val="000000"/>
          <w:szCs w:val="21"/>
          <w:highlight w:val="none"/>
        </w:rPr>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注：</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1、投标人应对招标文件</w:t>
      </w:r>
      <w:r>
        <w:rPr>
          <w:rFonts w:hint="eastAsia" w:ascii="宋体" w:hAnsi="宋体" w:eastAsia="宋体" w:cs="宋体"/>
          <w:szCs w:val="21"/>
          <w:highlight w:val="none"/>
          <w:lang w:val="en-US" w:eastAsia="zh-CN"/>
        </w:rPr>
        <w:t xml:space="preserve">第四章</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采购需求</w:t>
      </w:r>
      <w:r>
        <w:rPr>
          <w:rFonts w:hint="eastAsia" w:ascii="宋体" w:hAnsi="宋体" w:eastAsia="宋体" w:cs="宋体"/>
          <w:szCs w:val="21"/>
          <w:highlight w:val="none"/>
        </w:rPr>
        <w:t xml:space="preserve">》的内容给予逐条响应，若漏项或不逐条应答视为</w:t>
      </w:r>
      <w:r>
        <w:rPr>
          <w:rFonts w:hint="eastAsia" w:ascii="宋体" w:hAnsi="宋体" w:cs="宋体"/>
          <w:szCs w:val="21"/>
          <w:highlight w:val="none"/>
          <w:lang w:val="en-US" w:eastAsia="zh-CN"/>
        </w:rPr>
        <w:t xml:space="preserve">负偏离</w:t>
      </w:r>
      <w:r>
        <w:rPr>
          <w:rFonts w:hint="eastAsia" w:ascii="宋体" w:hAnsi="宋体" w:eastAsia="宋体" w:cs="宋体"/>
          <w:szCs w:val="21"/>
          <w:highlight w:val="none"/>
        </w:rPr>
        <w:t xml:space="preserve">。</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“偏离/响应”栏请注明”响应或无偏离/正偏离/负偏离，正偏离指供应商的响应高于招标文件要求，负偏离指供应商的响应低于招标文件要求。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szCs w:val="21"/>
          <w:highlight w:val="none"/>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、如果行数不够，请自行增加。</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902"/>
        <w:rPr>
          <w:rFonts w:hint="eastAsia" w:ascii="宋体" w:hAnsi="宋体"/>
          <w:sz w:val="24"/>
          <w:szCs w:val="24"/>
          <w:highlight w:val="none"/>
        </w:rPr>
      </w:pPr>
      <w:r>
        <w:rPr>
          <w:rFonts w:hint="eastAsia" w:ascii="宋体" w:hAnsi="宋体"/>
          <w:sz w:val="24"/>
          <w:szCs w:val="24"/>
          <w:highlight w:val="none"/>
        </w:rPr>
      </w:r>
      <w:r/>
    </w:p>
    <w:p>
      <w:pPr>
        <w:rPr>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）中小企业声明函（格式）：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中小企业声明函（货物）</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本公司（联合体）郑重声明，根据《政府采购促进中小企业发展管理办法》（财库﹝2020﹞46 号）的规定，本公司 （联合体）参加</w:t>
      </w:r>
      <w:r>
        <w:rPr>
          <w:rFonts w:hint="eastAsia" w:ascii="宋体" w:hAnsi="宋体" w:cs="宋体"/>
          <w:bCs/>
          <w:szCs w:val="21"/>
          <w:highlight w:val="none"/>
          <w:u w:val="single"/>
        </w:rPr>
        <w:t xml:space="preserve">（单位名称）</w:t>
      </w:r>
      <w:r>
        <w:rPr>
          <w:rFonts w:hint="eastAsia" w:ascii="宋体" w:hAnsi="宋体" w:cs="宋体"/>
          <w:bCs/>
          <w:szCs w:val="21"/>
          <w:highlight w:val="none"/>
        </w:rPr>
        <w:t xml:space="preserve">的</w:t>
      </w:r>
      <w:r>
        <w:rPr>
          <w:rFonts w:hint="eastAsia" w:ascii="宋体" w:hAnsi="宋体" w:cs="宋体"/>
          <w:bCs/>
          <w:szCs w:val="21"/>
          <w:highlight w:val="none"/>
          <w:u w:val="single"/>
        </w:rPr>
        <w:t xml:space="preserve">（项目名称）</w:t>
      </w:r>
      <w:r>
        <w:rPr>
          <w:rFonts w:hint="eastAsia" w:ascii="宋体" w:hAnsi="宋体" w:cs="宋体"/>
          <w:bCs/>
          <w:szCs w:val="21"/>
          <w:highlight w:val="none"/>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w:t>
      </w:r>
      <w:r>
        <w:rPr>
          <w:rFonts w:hint="eastAsia" w:ascii="宋体" w:hAnsi="宋体" w:cs="宋体"/>
          <w:bCs/>
          <w:szCs w:val="21"/>
          <w:highlight w:val="none"/>
          <w:u w:val="single"/>
        </w:rPr>
        <w:t xml:space="preserve">（标的名称）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企业名称（盖章）：</w:t>
      </w:r>
      <w:r/>
    </w:p>
    <w:p>
      <w:pPr>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注：</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1.从业人员、营业收入、资产总额填报上一年度数据，无上一年度数据的新成立企业可不填报。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szCs w:val="21"/>
          <w:highlight w:val="none"/>
        </w:rPr>
      </w:pPr>
      <w:r>
        <w:rPr>
          <w:szCs w:val="21"/>
          <w:highlight w:val="none"/>
        </w:rPr>
        <w:br w:type="page" w:clear="all"/>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九</w:t>
      </w:r>
      <w:r>
        <w:rPr>
          <w:rFonts w:hint="eastAsia" w:ascii="宋体" w:hAnsi="宋体" w:cs="宋体"/>
          <w:b/>
          <w:szCs w:val="21"/>
          <w:highlight w:val="none"/>
        </w:rPr>
        <w:t xml:space="preserve">）残疾人福利性单位声明函（格式）：</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残疾人福利性单位声明函</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highlight w:val="none"/>
          <w:u w:val="single"/>
        </w:rPr>
        <w:t xml:space="preserve">             项目</w:t>
      </w:r>
      <w:r>
        <w:rPr>
          <w:rFonts w:hint="eastAsia" w:ascii="宋体" w:hAnsi="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单位名称（盖章）：</w:t>
      </w:r>
      <w:r/>
    </w:p>
    <w:p>
      <w:pPr>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p>
    <w:p>
      <w:pPr>
        <w:pStyle w:val="1216"/>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rPr>
          <w:highlight w:val="none"/>
        </w:rPr>
      </w:pPr>
      <w:r>
        <w:rPr>
          <w:highlight w:val="none"/>
        </w:rPr>
      </w:r>
      <w:r/>
    </w:p>
    <w:p>
      <w:pPr>
        <w:pStyle w:val="1216"/>
        <w:numPr>
          <w:ilvl w:val="0"/>
          <w:numId w:val="0"/>
        </w:numPr>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（十）关于符合本国产品标准的声明函（格式）：</w:t>
      </w:r>
      <w:r/>
    </w:p>
    <w:p>
      <w:pPr>
        <w:pStyle w:val="1216"/>
        <w:numPr>
          <w:ilvl w:val="0"/>
          <w:numId w:val="0"/>
        </w:numPr>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关于符合本国产品标准的声明函</w:t>
      </w:r>
      <w:r/>
    </w:p>
    <w:p>
      <w:pPr>
        <w:pStyle w:val="921"/>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333333"/>
          <w:spacing w:val="0"/>
          <w:sz w:val="27"/>
          <w:szCs w:val="27"/>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7"/>
          <w:szCs w:val="27"/>
          <w:highlight w:val="none"/>
        </w:rPr>
      </w:r>
      <w:r/>
    </w:p>
    <w:p>
      <w:pPr>
        <w:pStyle w:val="921"/>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21"/>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921"/>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w:t>
      </w:r>
      <w:r/>
    </w:p>
    <w:p>
      <w:pPr>
        <w:pStyle w:val="921"/>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本公司（单位）对上述声明内容的真实性负责。如有虚假，愿承担相应法律责任。</w:t>
      </w:r>
      <w:r/>
    </w:p>
    <w:p>
      <w:pPr>
        <w:pStyle w:val="921"/>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  </w:t>
      </w:r>
      <w:r/>
    </w:p>
    <w:p>
      <w:pPr>
        <w:pStyle w:val="921"/>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sz w:val="21"/>
          <w:szCs w:val="21"/>
          <w:highlight w:val="none"/>
          <w:lang w:val="en-US" w:eastAsia="zh-CN" w:bidi="ar-SA"/>
        </w:rPr>
      </w:r>
      <w:r/>
    </w:p>
    <w:p>
      <w:pPr>
        <w:pStyle w:val="921"/>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       公司（单位）名称（盖章）：　        </w:t>
      </w:r>
      <w:r/>
    </w:p>
    <w:p>
      <w:pPr>
        <w:pStyle w:val="921"/>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日期：　     年　  月　  日 </w:t>
      </w:r>
      <w:r/>
    </w:p>
    <w:p>
      <w:pPr>
        <w:pStyle w:val="1216"/>
        <w:ind w:left="0" w:firstLine="0"/>
        <w:keepLines w:val="0"/>
        <w:keepNext w:val="0"/>
        <w:pageBreakBefore w:val="0"/>
        <w:spacing w:after="0" w:line="36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r>
      <w:r/>
    </w:p>
    <w:p>
      <w:pPr>
        <w:pStyle w:val="1216"/>
        <w:rPr>
          <w:highlight w:val="none"/>
        </w:rPr>
      </w:pPr>
      <w:r>
        <w:rPr>
          <w:highlight w:val="none"/>
        </w:rPr>
      </w:r>
      <w:r/>
    </w:p>
    <w:p>
      <w:pPr>
        <w:pStyle w:val="902"/>
        <w:rPr>
          <w:highlight w:val="none"/>
        </w:rPr>
      </w:pPr>
      <w:r>
        <w:rPr>
          <w:highlight w:val="none"/>
        </w:rPr>
      </w:r>
      <w:r/>
    </w:p>
    <w:p>
      <w:pPr>
        <w:pStyle w:val="1216"/>
        <w:ind w:firstLine="0"/>
        <w:rPr>
          <w:highlight w:val="none"/>
        </w:rPr>
      </w:pPr>
      <w:r>
        <w:rPr>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__________________</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1.产品如有型号，请在“产品名称”栏一并填写。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2.生产厂名与厂址应与生产厂营业执照载明的相关信息保持一致。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3.该产品的中国境内生产的组件成本占比相关要求实施前，“规定比例”栏可不填，下同。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4.该产品的关键组件要求实施前，“关键组件”栏可不填，下同。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5.该产品的关键工序要求实施前，“关键工序”栏可不填，下同。</w:t>
      </w:r>
      <w:r/>
    </w:p>
    <w:p>
      <w:pPr>
        <w:pStyle w:val="1160"/>
        <w:ind w:firstLine="240"/>
        <w:rPr>
          <w:rFonts w:ascii="Arial" w:hAnsi="Arial" w:cs="Arial"/>
          <w:sz w:val="24"/>
          <w:highlight w:val="none"/>
        </w:rPr>
      </w:pPr>
      <w:r>
        <w:rPr>
          <w:rFonts w:ascii="Arial" w:hAnsi="Arial" w:cs="Arial"/>
          <w:sz w:val="24"/>
          <w:highlight w:val="none"/>
        </w:rPr>
      </w:r>
      <w:r/>
    </w:p>
    <w:sectPr>
      <w:footerReference w:type="default" r:id="rId20"/>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65"/>
      </w:rPr>
    </w:pPr>
    <w:r>
      <w:rPr>
        <w:rStyle w:val="1165"/>
        <w:rFonts w:hint="eastAsia"/>
      </w:rPr>
      <w:t xml:space="preserve">            </w:t>
    </w:r>
    <w:r/>
  </w:p>
  <w:p>
    <w:pPr>
      <w:pStyle w:val="1143"/>
      <w:rPr>
        <w:rStyle w:val="1165"/>
      </w:rPr>
      <w:framePr w:wrap="around" w:vAnchor="text" w:hAnchor="page" w:x="6104" w:y="52"/>
    </w:pPr>
    <w:r>
      <w:rPr>
        <w:rStyle w:val="1165"/>
        <w:rFonts w:hint="eastAsia"/>
      </w:rPr>
      <w:t xml:space="preserve">                   </w:t>
    </w:r>
    <w:r/>
  </w:p>
  <w:p>
    <w:pPr>
      <w:pStyle w:val="1143"/>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pPr>
    <w:r>
      <w:fldChar w:fldCharType="begin"/>
    </w:r>
    <w:r>
      <w:instrText xml:space="preserve">PAGE   \* MERGEFORMAT</w:instrText>
    </w:r>
    <w:r>
      <w:fldChar w:fldCharType="separate"/>
    </w:r>
    <w:r>
      <w:rPr>
        <w:lang w:val="zh-CN"/>
      </w:rPr>
      <w:t xml:space="preserve">90</w:t>
    </w:r>
    <w:r>
      <w:fldChar w:fldCharType="end"/>
    </w:r>
    <w:r/>
  </w:p>
  <w:p>
    <w:pPr>
      <w:pStyle w:val="114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43"/>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33</w:t>
                          </w:r>
                          <w:r>
                            <w:rPr>
                              <w:rFonts w:ascii="Times New Roman" w:hAnsi="Times New Roman" w:eastAsia="宋体" w:cs="Times New Roman"/>
                              <w:sz w:val="18"/>
                              <w:lang w:val="en-US" w:eastAsia="zh-CN" w:bidi="ar-S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33</w:t>
                    </w:r>
                    <w:r>
                      <w:rPr>
                        <w:rFonts w:ascii="Times New Roman" w:hAnsi="Times New Roman" w:eastAsia="宋体" w:cs="Times New Roman"/>
                        <w:sz w:val="18"/>
                        <w:lang w:val="en-US" w:eastAsia="zh-CN" w:bidi="ar-SA"/>
                      </w:rPr>
                      <w:fldChar w:fldCharType="end"/>
                    </w:r>
                    <w:r/>
                  </w:p>
                </w:txbxContent>
              </v:textbox>
            </v:shape>
          </w:pict>
        </mc:Fallback>
      </mc:AlternateContent>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ascii="Times New Roman" w:hAnsi="Times New Roman" w:eastAsia="宋体" w:cs="Times New Roman"/>
                              <w:sz w:val="18"/>
                            </w:rPr>
                          </w:pPr>
                          <w:r>
                            <w:rPr>
                              <w:rFonts w:ascii="Times New Roman" w:hAnsi="Times New Roman" w:eastAsia="宋体" w:cs="Times New Roman"/>
                              <w:sz w:val="18"/>
                            </w:rPr>
                            <w:fldChar w:fldCharType="begin"/>
                          </w:r>
                          <w:r>
                            <w:rPr>
                              <w:rFonts w:ascii="Times New Roman" w:hAnsi="Times New Roman" w:eastAsia="宋体" w:cs="Times New Roman"/>
                              <w:sz w:val="18"/>
                            </w:rPr>
                            <w:instrText xml:space="preserve"> PAGE  \* MERGEFORMAT </w:instrText>
                          </w:r>
                          <w:r>
                            <w:rPr>
                              <w:rFonts w:ascii="Times New Roman" w:hAnsi="Times New Roman" w:eastAsia="宋体" w:cs="Times New Roman"/>
                              <w:sz w:val="18"/>
                            </w:rPr>
                            <w:fldChar w:fldCharType="separate"/>
                          </w:r>
                          <w:r>
                            <w:rPr>
                              <w:rFonts w:ascii="Times New Roman" w:hAnsi="Times New Roman" w:eastAsia="宋体" w:cs="Times New Roman"/>
                              <w:sz w:val="18"/>
                            </w:rPr>
                            <w:t xml:space="preserve">33</w:t>
                          </w:r>
                          <w:r>
                            <w:rPr>
                              <w:rFonts w:ascii="Times New Roman" w:hAnsi="Times New Roman" w:eastAsia="宋体" w:cs="Times New Roman"/>
                              <w:sz w:val="18"/>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ascii="Times New Roman" w:hAnsi="Times New Roman" w:eastAsia="宋体" w:cs="Times New Roman"/>
                        <w:sz w:val="18"/>
                      </w:rPr>
                    </w:pPr>
                    <w:r>
                      <w:rPr>
                        <w:rFonts w:ascii="Times New Roman" w:hAnsi="Times New Roman" w:eastAsia="宋体" w:cs="Times New Roman"/>
                        <w:sz w:val="18"/>
                      </w:rPr>
                      <w:fldChar w:fldCharType="begin"/>
                    </w:r>
                    <w:r>
                      <w:rPr>
                        <w:rFonts w:ascii="Times New Roman" w:hAnsi="Times New Roman" w:eastAsia="宋体" w:cs="Times New Roman"/>
                        <w:sz w:val="18"/>
                      </w:rPr>
                      <w:instrText xml:space="preserve"> PAGE  \* MERGEFORMAT </w:instrText>
                    </w:r>
                    <w:r>
                      <w:rPr>
                        <w:rFonts w:ascii="Times New Roman" w:hAnsi="Times New Roman" w:eastAsia="宋体" w:cs="Times New Roman"/>
                        <w:sz w:val="18"/>
                      </w:rPr>
                      <w:fldChar w:fldCharType="separate"/>
                    </w:r>
                    <w:r>
                      <w:rPr>
                        <w:rFonts w:ascii="Times New Roman" w:hAnsi="Times New Roman" w:eastAsia="宋体" w:cs="Times New Roman"/>
                        <w:sz w:val="18"/>
                      </w:rPr>
                      <w:t xml:space="preserve">33</w:t>
                    </w:r>
                    <w:r>
                      <w:rPr>
                        <w:rFonts w:ascii="Times New Roman" w:hAnsi="Times New Roman" w:eastAsia="宋体" w:cs="Times New Roman"/>
                        <w:sz w:val="18"/>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left"/>
      <w:rPr>
        <w:sz w:val="21"/>
      </w:rPr>
    </w:pPr>
    <w:r>
      <w:rPr>
        <w:rFonts w:hint="eastAsia"/>
        <w:sz w:val="21"/>
      </w:rPr>
      <w:t xml:space="preserve">苏美达国际技术贸易有限公司                                           SUMEC       </w:t>
    </w:r>
    <w:r/>
  </w:p>
  <w:p>
    <w:pPr>
      <w:pStyle w:val="912"/>
      <w:rPr>
        <w:b/>
        <w:bCs/>
      </w:rPr>
    </w:pPr>
    <w:r>
      <w:rPr>
        <w:b/>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left"/>
      <w:rPr>
        <w:sz w:val="21"/>
      </w:rPr>
    </w:pPr>
    <w:r>
      <w:rPr>
        <w:rFonts w:hint="eastAsia"/>
        <w:sz w:val="21"/>
      </w:rPr>
      <w:t xml:space="preserve">苏美达国际技术贸易有限公司                                           SUMEC       </w:t>
    </w:r>
    <w:r/>
  </w:p>
  <w:p>
    <w:pPr>
      <w:pStyle w:val="1145"/>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209"/>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87">
    <w:name w:val="Heading 1"/>
    <w:basedOn w:val="886"/>
    <w:next w:val="886"/>
    <w:link w:val="970"/>
    <w:uiPriority w:val="9"/>
    <w:qFormat/>
    <w:pPr>
      <w:keepLines/>
      <w:keepNext/>
      <w:spacing w:before="480" w:after="200"/>
      <w:outlineLvl w:val="0"/>
    </w:pPr>
    <w:rPr>
      <w:rFonts w:ascii="Arial" w:hAnsi="Arial" w:eastAsia="Arial" w:cs="Arial"/>
      <w:sz w:val="40"/>
      <w:szCs w:val="40"/>
    </w:rPr>
  </w:style>
  <w:style w:type="paragraph" w:styleId="888">
    <w:name w:val="Heading 2"/>
    <w:basedOn w:val="886"/>
    <w:next w:val="886"/>
    <w:link w:val="971"/>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886"/>
    <w:link w:val="972"/>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886"/>
    <w:next w:val="886"/>
    <w:link w:val="973"/>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link w:val="974"/>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886"/>
    <w:next w:val="886"/>
    <w:link w:val="975"/>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link w:val="976"/>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link w:val="977"/>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link w:val="978"/>
    <w:uiPriority w:val="9"/>
    <w:unhideWhenUsed/>
    <w:qFormat/>
    <w:pPr>
      <w:keepLines/>
      <w:keepNext/>
      <w:spacing w:before="320" w:after="200"/>
      <w:outlineLvl w:val="8"/>
    </w:pPr>
    <w:rPr>
      <w:rFonts w:ascii="Arial" w:hAnsi="Arial" w:eastAsia="Arial" w:cs="Arial"/>
      <w:i/>
      <w:iCs/>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toc 7"/>
    <w:basedOn w:val="886"/>
    <w:next w:val="886"/>
    <w:uiPriority w:val="39"/>
    <w:unhideWhenUsed/>
    <w:qFormat/>
    <w:pPr>
      <w:ind w:left="1701"/>
      <w:spacing w:after="57"/>
    </w:pPr>
  </w:style>
  <w:style w:type="paragraph" w:styleId="899">
    <w:name w:val="Normal Indent"/>
    <w:basedOn w:val="886"/>
    <w:uiPriority w:val="0"/>
    <w:qFormat/>
    <w:pPr>
      <w:ind w:firstLine="420"/>
    </w:pPr>
  </w:style>
  <w:style w:type="paragraph" w:styleId="900">
    <w:name w:val="Caption"/>
    <w:basedOn w:val="886"/>
    <w:next w:val="8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1">
    <w:name w:val="annotation text"/>
    <w:basedOn w:val="886"/>
    <w:uiPriority w:val="99"/>
    <w:semiHidden/>
    <w:unhideWhenUsed/>
    <w:qFormat/>
    <w:pPr>
      <w:jc w:val="left"/>
    </w:pPr>
  </w:style>
  <w:style w:type="paragraph" w:styleId="902">
    <w:name w:val="Body Text"/>
    <w:basedOn w:val="886"/>
    <w:uiPriority w:val="99"/>
    <w:qFormat/>
    <w:rPr>
      <w:rFonts w:ascii="华文中宋" w:eastAsia="华文中宋"/>
      <w:bCs/>
      <w:sz w:val="28"/>
    </w:rPr>
  </w:style>
  <w:style w:type="paragraph" w:styleId="903">
    <w:name w:val="Body Text Indent"/>
    <w:basedOn w:val="886"/>
    <w:uiPriority w:val="0"/>
    <w:qFormat/>
    <w:pPr>
      <w:ind w:left="565"/>
      <w:spacing w:after="100" w:line="360" w:lineRule="auto"/>
    </w:pPr>
    <w:rPr>
      <w:rFonts w:ascii="宋体"/>
      <w:sz w:val="28"/>
    </w:rPr>
  </w:style>
  <w:style w:type="paragraph" w:styleId="904">
    <w:name w:val="index 4"/>
    <w:basedOn w:val="886"/>
    <w:next w:val="886"/>
    <w:uiPriority w:val="99"/>
    <w:qFormat/>
    <w:pPr>
      <w:ind w:left="600"/>
    </w:pPr>
    <w:rPr>
      <w:szCs w:val="24"/>
    </w:rPr>
  </w:style>
  <w:style w:type="paragraph" w:styleId="905">
    <w:name w:val="toc 5"/>
    <w:basedOn w:val="886"/>
    <w:next w:val="886"/>
    <w:uiPriority w:val="39"/>
    <w:unhideWhenUsed/>
    <w:qFormat/>
    <w:pPr>
      <w:ind w:left="1134"/>
      <w:spacing w:after="57"/>
    </w:pPr>
  </w:style>
  <w:style w:type="paragraph" w:styleId="906">
    <w:name w:val="toc 3"/>
    <w:basedOn w:val="886"/>
    <w:next w:val="886"/>
    <w:uiPriority w:val="39"/>
    <w:unhideWhenUsed/>
    <w:qFormat/>
    <w:pPr>
      <w:ind w:left="567"/>
      <w:spacing w:after="57"/>
    </w:pPr>
  </w:style>
  <w:style w:type="paragraph" w:styleId="907">
    <w:name w:val="Plain Text"/>
    <w:basedOn w:val="886"/>
    <w:uiPriority w:val="0"/>
    <w:qFormat/>
    <w:pPr>
      <w:jc w:val="left"/>
      <w:widowControl/>
    </w:pPr>
    <w:rPr>
      <w:rFonts w:ascii="宋体" w:hAnsi="Courier New"/>
    </w:rPr>
  </w:style>
  <w:style w:type="paragraph" w:styleId="908">
    <w:name w:val="toc 8"/>
    <w:basedOn w:val="886"/>
    <w:next w:val="886"/>
    <w:uiPriority w:val="39"/>
    <w:unhideWhenUsed/>
    <w:qFormat/>
    <w:pPr>
      <w:ind w:left="1984"/>
      <w:spacing w:after="57"/>
    </w:pPr>
  </w:style>
  <w:style w:type="paragraph" w:styleId="909">
    <w:name w:val="Date"/>
    <w:next w:val="886"/>
    <w:uiPriority w:val="0"/>
    <w:qFormat/>
    <w:pPr>
      <w:jc w:val="both"/>
      <w:widowControl w:val="off"/>
    </w:pPr>
    <w:rPr>
      <w:rFonts w:hint="default" w:ascii="宋体" w:hAnsi="Times New Roman" w:eastAsia="宋体" w:cs="Times New Roman"/>
      <w:sz w:val="21"/>
      <w:lang w:val="en-US" w:eastAsia="zh-CN" w:bidi="ar-SA"/>
    </w:rPr>
  </w:style>
  <w:style w:type="paragraph" w:styleId="910">
    <w:name w:val="endnote text"/>
    <w:basedOn w:val="886"/>
    <w:link w:val="1114"/>
    <w:uiPriority w:val="99"/>
    <w:semiHidden/>
    <w:unhideWhenUsed/>
    <w:qFormat/>
    <w:rPr>
      <w:sz w:val="20"/>
    </w:rPr>
  </w:style>
  <w:style w:type="paragraph" w:styleId="911">
    <w:name w:val="Footer"/>
    <w:basedOn w:val="886"/>
    <w:link w:val="987"/>
    <w:uiPriority w:val="99"/>
    <w:unhideWhenUsed/>
    <w:qFormat/>
    <w:pPr>
      <w:tabs>
        <w:tab w:val="center" w:pos="7143" w:leader="none"/>
        <w:tab w:val="right" w:pos="14287" w:leader="none"/>
      </w:tabs>
    </w:pPr>
  </w:style>
  <w:style w:type="paragraph" w:styleId="912">
    <w:name w:val="Header"/>
    <w:basedOn w:val="886"/>
    <w:link w:val="985"/>
    <w:uiPriority w:val="99"/>
    <w:unhideWhenUsed/>
    <w:qFormat/>
    <w:pPr>
      <w:tabs>
        <w:tab w:val="center" w:pos="7143" w:leader="none"/>
        <w:tab w:val="right" w:pos="14287" w:leader="none"/>
      </w:tabs>
    </w:pPr>
  </w:style>
  <w:style w:type="paragraph" w:styleId="913">
    <w:name w:val="toc 1"/>
    <w:basedOn w:val="886"/>
    <w:next w:val="886"/>
    <w:uiPriority w:val="39"/>
    <w:unhideWhenUsed/>
    <w:qFormat/>
    <w:pPr>
      <w:spacing w:after="57"/>
    </w:pPr>
  </w:style>
  <w:style w:type="paragraph" w:styleId="914">
    <w:name w:val="toc 4"/>
    <w:basedOn w:val="886"/>
    <w:next w:val="886"/>
    <w:uiPriority w:val="39"/>
    <w:unhideWhenUsed/>
    <w:qFormat/>
    <w:pPr>
      <w:ind w:left="850"/>
      <w:spacing w:after="57"/>
    </w:pPr>
  </w:style>
  <w:style w:type="paragraph" w:styleId="915">
    <w:name w:val="Subtitle"/>
    <w:basedOn w:val="886"/>
    <w:next w:val="886"/>
    <w:link w:val="980"/>
    <w:uiPriority w:val="11"/>
    <w:qFormat/>
    <w:pPr>
      <w:spacing w:before="200" w:after="200"/>
    </w:pPr>
    <w:rPr>
      <w:sz w:val="24"/>
      <w:szCs w:val="24"/>
    </w:rPr>
  </w:style>
  <w:style w:type="paragraph" w:styleId="916">
    <w:name w:val="footnote text"/>
    <w:basedOn w:val="886"/>
    <w:link w:val="1113"/>
    <w:uiPriority w:val="99"/>
    <w:semiHidden/>
    <w:unhideWhenUsed/>
    <w:qFormat/>
    <w:pPr>
      <w:spacing w:after="40"/>
    </w:pPr>
    <w:rPr>
      <w:sz w:val="18"/>
    </w:rPr>
  </w:style>
  <w:style w:type="paragraph" w:styleId="917">
    <w:name w:val="toc 6"/>
    <w:basedOn w:val="886"/>
    <w:next w:val="886"/>
    <w:uiPriority w:val="39"/>
    <w:unhideWhenUsed/>
    <w:qFormat/>
    <w:pPr>
      <w:ind w:left="1417"/>
      <w:spacing w:after="57"/>
    </w:pPr>
  </w:style>
  <w:style w:type="paragraph" w:styleId="918">
    <w:name w:val="table of figures"/>
    <w:basedOn w:val="886"/>
    <w:next w:val="886"/>
    <w:uiPriority w:val="99"/>
    <w:unhideWhenUsed/>
    <w:qFormat/>
  </w:style>
  <w:style w:type="paragraph" w:styleId="919">
    <w:name w:val="toc 2"/>
    <w:basedOn w:val="886"/>
    <w:next w:val="886"/>
    <w:uiPriority w:val="39"/>
    <w:unhideWhenUsed/>
    <w:qFormat/>
    <w:pPr>
      <w:ind w:left="283"/>
      <w:spacing w:after="57"/>
    </w:pPr>
  </w:style>
  <w:style w:type="paragraph" w:styleId="920">
    <w:name w:val="toc 9"/>
    <w:basedOn w:val="886"/>
    <w:next w:val="886"/>
    <w:uiPriority w:val="39"/>
    <w:unhideWhenUsed/>
    <w:qFormat/>
    <w:pPr>
      <w:ind w:left="2268"/>
      <w:spacing w:after="57"/>
    </w:pPr>
  </w:style>
  <w:style w:type="paragraph" w:styleId="921">
    <w:name w:val="Normal (Web)"/>
    <w:basedOn w:val="886"/>
    <w:uiPriority w:val="0"/>
    <w:qFormat/>
    <w:pPr>
      <w:jc w:val="left"/>
      <w:spacing w:beforeAutospacing="1" w:afterAutospacing="1"/>
    </w:pPr>
    <w:rPr>
      <w:sz w:val="24"/>
    </w:rPr>
  </w:style>
  <w:style w:type="paragraph" w:styleId="922">
    <w:name w:val="Title"/>
    <w:basedOn w:val="886"/>
    <w:next w:val="886"/>
    <w:link w:val="979"/>
    <w:uiPriority w:val="10"/>
    <w:qFormat/>
    <w:pPr>
      <w:contextualSpacing/>
      <w:spacing w:before="300" w:after="200"/>
    </w:pPr>
    <w:rPr>
      <w:sz w:val="48"/>
      <w:szCs w:val="48"/>
    </w:rPr>
  </w:style>
  <w:style w:type="table" w:styleId="9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4">
    <w:name w:val="Strong"/>
    <w:basedOn w:val="896"/>
    <w:uiPriority w:val="22"/>
    <w:qFormat/>
    <w:rPr>
      <w:b/>
    </w:rPr>
  </w:style>
  <w:style w:type="character" w:styleId="925">
    <w:name w:val="endnote reference"/>
    <w:uiPriority w:val="99"/>
    <w:semiHidden/>
    <w:unhideWhenUsed/>
    <w:qFormat/>
    <w:rPr>
      <w:vertAlign w:val="superscript"/>
    </w:rPr>
  </w:style>
  <w:style w:type="character" w:styleId="926">
    <w:name w:val="page number"/>
    <w:basedOn w:val="896"/>
    <w:uiPriority w:val="0"/>
    <w:qFormat/>
  </w:style>
  <w:style w:type="character" w:styleId="927">
    <w:name w:val="Emphasis"/>
    <w:basedOn w:val="896"/>
    <w:uiPriority w:val="20"/>
    <w:qFormat/>
    <w:rPr>
      <w:i/>
    </w:rPr>
  </w:style>
  <w:style w:type="character" w:styleId="928">
    <w:name w:val="Hyperlink"/>
    <w:uiPriority w:val="99"/>
    <w:unhideWhenUsed/>
    <w:qFormat/>
    <w:rPr>
      <w:color w:val="0000ff" w:themeColor="hyperlink"/>
      <w:u w:val="single"/>
      <w14:textFill>
        <w14:solidFill>
          <w14:schemeClr w14:val="hlink"/>
        </w14:solidFill>
      </w14:textFill>
    </w:rPr>
  </w:style>
  <w:style w:type="character" w:styleId="929">
    <w:name w:val="annotation reference"/>
    <w:basedOn w:val="896"/>
    <w:uiPriority w:val="99"/>
    <w:semiHidden/>
    <w:unhideWhenUsed/>
    <w:qFormat/>
    <w:rPr>
      <w:sz w:val="21"/>
      <w:szCs w:val="21"/>
    </w:rPr>
  </w:style>
  <w:style w:type="character" w:styleId="930">
    <w:name w:val="footnote reference"/>
    <w:uiPriority w:val="99"/>
    <w:unhideWhenUsed/>
    <w:qFormat/>
    <w:rPr>
      <w:vertAlign w:val="superscript"/>
    </w:rPr>
  </w:style>
  <w:style w:type="character" w:styleId="931" w:customStyle="1">
    <w:name w:val="Heading 1 Char"/>
    <w:basedOn w:val="896"/>
    <w:uiPriority w:val="9"/>
    <w:qFormat/>
    <w:rPr>
      <w:rFonts w:ascii="Arial" w:hAnsi="Arial" w:eastAsia="Arial" w:cs="Arial"/>
      <w:sz w:val="40"/>
      <w:szCs w:val="40"/>
    </w:rPr>
  </w:style>
  <w:style w:type="character" w:styleId="932" w:customStyle="1">
    <w:name w:val="Heading 2 Char"/>
    <w:basedOn w:val="896"/>
    <w:uiPriority w:val="9"/>
    <w:rPr>
      <w:rFonts w:ascii="Arial" w:hAnsi="Arial" w:eastAsia="Arial" w:cs="Arial"/>
      <w:sz w:val="34"/>
    </w:rPr>
  </w:style>
  <w:style w:type="character" w:styleId="933" w:customStyle="1">
    <w:name w:val="Heading 3 Char"/>
    <w:basedOn w:val="896"/>
    <w:uiPriority w:val="9"/>
    <w:qFormat/>
    <w:rPr>
      <w:rFonts w:ascii="Arial" w:hAnsi="Arial" w:eastAsia="Arial" w:cs="Arial"/>
      <w:sz w:val="30"/>
      <w:szCs w:val="30"/>
    </w:rPr>
  </w:style>
  <w:style w:type="character" w:styleId="934" w:customStyle="1">
    <w:name w:val="Heading 4 Char"/>
    <w:basedOn w:val="896"/>
    <w:uiPriority w:val="9"/>
    <w:rPr>
      <w:rFonts w:ascii="Arial" w:hAnsi="Arial" w:eastAsia="Arial" w:cs="Arial"/>
      <w:b/>
      <w:bCs/>
      <w:sz w:val="26"/>
      <w:szCs w:val="26"/>
    </w:rPr>
  </w:style>
  <w:style w:type="character" w:styleId="935" w:customStyle="1">
    <w:name w:val="Heading 5 Char"/>
    <w:basedOn w:val="896"/>
    <w:uiPriority w:val="9"/>
    <w:rPr>
      <w:rFonts w:ascii="Arial" w:hAnsi="Arial" w:eastAsia="Arial" w:cs="Arial"/>
      <w:b/>
      <w:bCs/>
      <w:sz w:val="24"/>
      <w:szCs w:val="24"/>
    </w:rPr>
  </w:style>
  <w:style w:type="character" w:styleId="936" w:customStyle="1">
    <w:name w:val="Heading 6 Char"/>
    <w:basedOn w:val="896"/>
    <w:uiPriority w:val="9"/>
    <w:rPr>
      <w:rFonts w:ascii="Arial" w:hAnsi="Arial" w:eastAsia="Arial" w:cs="Arial"/>
      <w:b/>
      <w:bCs/>
      <w:sz w:val="22"/>
      <w:szCs w:val="22"/>
    </w:rPr>
  </w:style>
  <w:style w:type="character" w:styleId="937" w:customStyle="1">
    <w:name w:val="Heading 7 Char"/>
    <w:basedOn w:val="896"/>
    <w:uiPriority w:val="9"/>
    <w:rPr>
      <w:rFonts w:ascii="Arial" w:hAnsi="Arial" w:eastAsia="Arial" w:cs="Arial"/>
      <w:b/>
      <w:bCs/>
      <w:i/>
      <w:iCs/>
      <w:sz w:val="22"/>
      <w:szCs w:val="22"/>
    </w:rPr>
  </w:style>
  <w:style w:type="character" w:styleId="938" w:customStyle="1">
    <w:name w:val="Heading 8 Char"/>
    <w:basedOn w:val="896"/>
    <w:uiPriority w:val="9"/>
    <w:rPr>
      <w:rFonts w:ascii="Arial" w:hAnsi="Arial" w:eastAsia="Arial" w:cs="Arial"/>
      <w:i/>
      <w:iCs/>
      <w:sz w:val="22"/>
      <w:szCs w:val="22"/>
    </w:rPr>
  </w:style>
  <w:style w:type="character" w:styleId="939" w:customStyle="1">
    <w:name w:val="Heading 9 Char"/>
    <w:basedOn w:val="896"/>
    <w:uiPriority w:val="9"/>
    <w:rPr>
      <w:rFonts w:ascii="Arial" w:hAnsi="Arial" w:eastAsia="Arial" w:cs="Arial"/>
      <w:i/>
      <w:iCs/>
      <w:sz w:val="21"/>
      <w:szCs w:val="21"/>
    </w:rPr>
  </w:style>
  <w:style w:type="character" w:styleId="940" w:customStyle="1">
    <w:name w:val="Title Char"/>
    <w:basedOn w:val="896"/>
    <w:uiPriority w:val="10"/>
    <w:rPr>
      <w:sz w:val="48"/>
      <w:szCs w:val="48"/>
    </w:rPr>
  </w:style>
  <w:style w:type="character" w:styleId="941" w:customStyle="1">
    <w:name w:val="Subtitle Char"/>
    <w:basedOn w:val="896"/>
    <w:uiPriority w:val="11"/>
    <w:rPr>
      <w:sz w:val="24"/>
      <w:szCs w:val="24"/>
    </w:rPr>
  </w:style>
  <w:style w:type="character" w:styleId="942" w:customStyle="1">
    <w:name w:val="Quote Char"/>
    <w:uiPriority w:val="29"/>
    <w:rPr>
      <w:i/>
    </w:rPr>
  </w:style>
  <w:style w:type="character" w:styleId="943" w:customStyle="1">
    <w:name w:val="Intense Quote Char"/>
    <w:uiPriority w:val="30"/>
    <w:rPr>
      <w:i/>
    </w:rPr>
  </w:style>
  <w:style w:type="character" w:styleId="944" w:customStyle="1">
    <w:name w:val="Header Char"/>
    <w:basedOn w:val="896"/>
    <w:uiPriority w:val="99"/>
    <w:qFormat/>
  </w:style>
  <w:style w:type="character" w:styleId="945" w:customStyle="1">
    <w:name w:val="Caption Char"/>
    <w:uiPriority w:val="99"/>
  </w:style>
  <w:style w:type="table" w:styleId="946" w:customStyle="1">
    <w:name w:val="Plain Table 1"/>
    <w:basedOn w:val="8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basedOn w:val="8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basedOn w:val="8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2"/>
    <w:basedOn w:val="8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3" w:customStyle="1">
    <w:name w:val="Grid Table 3"/>
    <w:basedOn w:val="8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4"/>
    <w:basedOn w:val="8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Grid Table 5 Dark"/>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6 Colorful"/>
    <w:basedOn w:val="8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Grid Table 7 Colorful"/>
    <w:basedOn w:val="8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1 Light"/>
    <w:basedOn w:val="8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2"/>
    <w:basedOn w:val="8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3"/>
    <w:basedOn w:val="8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w:basedOn w:val="8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5 Dark"/>
    <w:basedOn w:val="8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basedOn w:val="8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7 Colorful"/>
    <w:basedOn w:val="8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5" w:customStyle="1">
    <w:name w:val="Footnote Text Char"/>
    <w:uiPriority w:val="99"/>
    <w:qFormat/>
    <w:rPr>
      <w:sz w:val="18"/>
    </w:rPr>
  </w:style>
  <w:style w:type="character" w:styleId="966" w:customStyle="1">
    <w:name w:val="Endnote Text Char"/>
    <w:uiPriority w:val="99"/>
    <w:qFormat/>
    <w:rPr>
      <w:sz w:val="20"/>
    </w:rPr>
  </w:style>
  <w:style w:type="paragraph" w:styleId="967" w:customStyle="1">
    <w:name w:val="TOC Heading"/>
    <w:uiPriority w:val="39"/>
    <w:unhideWhenUsed/>
    <w:qFormat/>
    <w:rPr>
      <w:rFonts w:hint="default" w:ascii="Times New Roman" w:hAnsi="Times New Roman" w:eastAsia="宋体" w:cs="Times New Roman"/>
    </w:rPr>
  </w:style>
  <w:style w:type="paragraph" w:styleId="968" w:customStyle="1">
    <w:name w:val="索引 41"/>
    <w:basedOn w:val="886"/>
    <w:next w:val="886"/>
    <w:uiPriority w:val="0"/>
    <w:qFormat/>
    <w:pPr>
      <w:ind w:left="600"/>
    </w:pPr>
    <w:rPr>
      <w:rFonts w:ascii="Calibri" w:hAnsi="Calibri"/>
      <w:szCs w:val="24"/>
    </w:rPr>
  </w:style>
  <w:style w:type="paragraph" w:styleId="969" w:customStyle="1">
    <w:name w:val="正文文本1"/>
    <w:basedOn w:val="886"/>
    <w:link w:val="1123"/>
    <w:uiPriority w:val="0"/>
    <w:qFormat/>
    <w:rPr>
      <w:rFonts w:ascii="宋体"/>
      <w:sz w:val="28"/>
    </w:rPr>
  </w:style>
  <w:style w:type="character" w:styleId="970" w:customStyle="1">
    <w:name w:val="标题 1 字符"/>
    <w:link w:val="887"/>
    <w:uiPriority w:val="9"/>
    <w:qFormat/>
    <w:rPr>
      <w:rFonts w:ascii="Arial" w:hAnsi="Arial" w:eastAsia="Arial" w:cs="Arial"/>
      <w:sz w:val="40"/>
      <w:szCs w:val="40"/>
    </w:rPr>
  </w:style>
  <w:style w:type="character" w:styleId="971" w:customStyle="1">
    <w:name w:val="标题 2 字符1"/>
    <w:link w:val="888"/>
    <w:uiPriority w:val="9"/>
    <w:qFormat/>
    <w:rPr>
      <w:rFonts w:ascii="Arial" w:hAnsi="Arial" w:eastAsia="Arial" w:cs="Arial"/>
      <w:sz w:val="34"/>
    </w:rPr>
  </w:style>
  <w:style w:type="character" w:styleId="972" w:customStyle="1">
    <w:name w:val="标题 3 字符1"/>
    <w:link w:val="889"/>
    <w:uiPriority w:val="9"/>
    <w:qFormat/>
    <w:rPr>
      <w:rFonts w:ascii="Arial" w:hAnsi="Arial" w:eastAsia="Arial" w:cs="Arial"/>
      <w:sz w:val="30"/>
      <w:szCs w:val="30"/>
    </w:rPr>
  </w:style>
  <w:style w:type="character" w:styleId="973" w:customStyle="1">
    <w:name w:val="标题 4 字符"/>
    <w:link w:val="890"/>
    <w:uiPriority w:val="9"/>
    <w:qFormat/>
    <w:rPr>
      <w:rFonts w:ascii="Arial" w:hAnsi="Arial" w:eastAsia="Arial" w:cs="Arial"/>
      <w:b/>
      <w:bCs/>
      <w:sz w:val="26"/>
      <w:szCs w:val="26"/>
    </w:rPr>
  </w:style>
  <w:style w:type="character" w:styleId="974" w:customStyle="1">
    <w:name w:val="标题 5 字符"/>
    <w:link w:val="891"/>
    <w:uiPriority w:val="9"/>
    <w:qFormat/>
    <w:rPr>
      <w:rFonts w:ascii="Arial" w:hAnsi="Arial" w:eastAsia="Arial" w:cs="Arial"/>
      <w:b/>
      <w:bCs/>
      <w:sz w:val="24"/>
      <w:szCs w:val="24"/>
    </w:rPr>
  </w:style>
  <w:style w:type="character" w:styleId="975" w:customStyle="1">
    <w:name w:val="标题 6 字符"/>
    <w:link w:val="892"/>
    <w:uiPriority w:val="9"/>
    <w:qFormat/>
    <w:rPr>
      <w:rFonts w:ascii="Arial" w:hAnsi="Arial" w:eastAsia="Arial" w:cs="Arial"/>
      <w:b/>
      <w:bCs/>
      <w:sz w:val="22"/>
      <w:szCs w:val="22"/>
    </w:rPr>
  </w:style>
  <w:style w:type="character" w:styleId="976" w:customStyle="1">
    <w:name w:val="标题 7 字符"/>
    <w:link w:val="893"/>
    <w:uiPriority w:val="9"/>
    <w:qFormat/>
    <w:rPr>
      <w:rFonts w:ascii="Arial" w:hAnsi="Arial" w:eastAsia="Arial" w:cs="Arial"/>
      <w:b/>
      <w:bCs/>
      <w:i/>
      <w:iCs/>
      <w:sz w:val="22"/>
      <w:szCs w:val="22"/>
    </w:rPr>
  </w:style>
  <w:style w:type="character" w:styleId="977" w:customStyle="1">
    <w:name w:val="标题 8 字符"/>
    <w:link w:val="894"/>
    <w:uiPriority w:val="9"/>
    <w:qFormat/>
    <w:rPr>
      <w:rFonts w:ascii="Arial" w:hAnsi="Arial" w:eastAsia="Arial" w:cs="Arial"/>
      <w:i/>
      <w:iCs/>
      <w:sz w:val="22"/>
      <w:szCs w:val="22"/>
    </w:rPr>
  </w:style>
  <w:style w:type="character" w:styleId="978" w:customStyle="1">
    <w:name w:val="标题 9 字符"/>
    <w:link w:val="895"/>
    <w:uiPriority w:val="9"/>
    <w:qFormat/>
    <w:rPr>
      <w:rFonts w:ascii="Arial" w:hAnsi="Arial" w:eastAsia="Arial" w:cs="Arial"/>
      <w:i/>
      <w:iCs/>
      <w:sz w:val="21"/>
      <w:szCs w:val="21"/>
    </w:rPr>
  </w:style>
  <w:style w:type="character" w:styleId="979" w:customStyle="1">
    <w:name w:val="标题 字符1"/>
    <w:link w:val="922"/>
    <w:uiPriority w:val="10"/>
    <w:qFormat/>
    <w:rPr>
      <w:sz w:val="48"/>
      <w:szCs w:val="48"/>
    </w:rPr>
  </w:style>
  <w:style w:type="character" w:styleId="980" w:customStyle="1">
    <w:name w:val="副标题 字符"/>
    <w:link w:val="915"/>
    <w:uiPriority w:val="11"/>
    <w:qFormat/>
    <w:rPr>
      <w:sz w:val="24"/>
      <w:szCs w:val="24"/>
    </w:rPr>
  </w:style>
  <w:style w:type="paragraph" w:styleId="981">
    <w:name w:val="Quote"/>
    <w:basedOn w:val="886"/>
    <w:next w:val="886"/>
    <w:link w:val="982"/>
    <w:uiPriority w:val="29"/>
    <w:qFormat/>
    <w:pPr>
      <w:ind w:left="720" w:right="720"/>
    </w:pPr>
    <w:rPr>
      <w:i/>
    </w:rPr>
  </w:style>
  <w:style w:type="character" w:styleId="982" w:customStyle="1">
    <w:name w:val="引用 字符"/>
    <w:link w:val="981"/>
    <w:uiPriority w:val="29"/>
    <w:qFormat/>
    <w:rPr>
      <w:i/>
    </w:rPr>
  </w:style>
  <w:style w:type="paragraph" w:styleId="983">
    <w:name w:val="Intense Quote"/>
    <w:basedOn w:val="886"/>
    <w:next w:val="886"/>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字符"/>
    <w:link w:val="983"/>
    <w:uiPriority w:val="30"/>
    <w:qFormat/>
    <w:rPr>
      <w:i/>
    </w:rPr>
  </w:style>
  <w:style w:type="character" w:styleId="985" w:customStyle="1">
    <w:name w:val="页眉 字符1"/>
    <w:link w:val="912"/>
    <w:uiPriority w:val="99"/>
    <w:qFormat/>
  </w:style>
  <w:style w:type="character" w:styleId="986" w:customStyle="1">
    <w:name w:val="Footer Char"/>
    <w:uiPriority w:val="99"/>
    <w:qFormat/>
  </w:style>
  <w:style w:type="character" w:styleId="987" w:customStyle="1">
    <w:name w:val="页脚 字符2"/>
    <w:link w:val="911"/>
    <w:uiPriority w:val="99"/>
    <w:qFormat/>
  </w:style>
  <w:style w:type="table" w:styleId="9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脚注文本 字符"/>
    <w:link w:val="916"/>
    <w:uiPriority w:val="99"/>
    <w:qFormat/>
    <w:rPr>
      <w:sz w:val="18"/>
    </w:rPr>
  </w:style>
  <w:style w:type="character" w:styleId="1114" w:customStyle="1">
    <w:name w:val="尾注文本 字符"/>
    <w:link w:val="910"/>
    <w:uiPriority w:val="99"/>
    <w:qFormat/>
    <w:rPr>
      <w:sz w:val="20"/>
    </w:rPr>
  </w:style>
  <w:style w:type="paragraph" w:styleId="1115" w:customStyle="1">
    <w:name w:val="TOC 标题1"/>
    <w:uiPriority w:val="39"/>
    <w:unhideWhenUsed/>
    <w:qFormat/>
    <w:rPr>
      <w:rFonts w:hint="default" w:ascii="Times New Roman" w:hAnsi="Times New Roman" w:eastAsia="宋体" w:cs="Times New Roman"/>
      <w:lang w:val="en-US" w:eastAsia="zh-CN" w:bidi="ar-SA"/>
    </w:rPr>
  </w:style>
  <w:style w:type="paragraph" w:styleId="1116" w:customStyle="1">
    <w:name w:val="标题 11"/>
    <w:basedOn w:val="886"/>
    <w:next w:val="886"/>
    <w:uiPriority w:val="0"/>
    <w:qFormat/>
    <w:pPr>
      <w:jc w:val="center"/>
      <w:keepNext/>
      <w:spacing w:line="440" w:lineRule="exact"/>
      <w:outlineLvl w:val="0"/>
    </w:pPr>
    <w:rPr>
      <w:rFonts w:ascii="宋体"/>
      <w:sz w:val="28"/>
    </w:rPr>
  </w:style>
  <w:style w:type="paragraph" w:styleId="1117" w:customStyle="1">
    <w:name w:val="标题 21"/>
    <w:basedOn w:val="886"/>
    <w:next w:val="886"/>
    <w:link w:val="1124"/>
    <w:uiPriority w:val="9"/>
    <w:qFormat/>
    <w:pPr>
      <w:keepLines/>
      <w:keepNext/>
      <w:spacing w:before="260" w:after="260" w:line="416" w:lineRule="auto"/>
      <w:outlineLvl w:val="1"/>
    </w:pPr>
    <w:rPr>
      <w:rFonts w:ascii="Arial" w:hAnsi="Arial" w:eastAsia="黑体"/>
      <w:b/>
      <w:bCs/>
      <w:sz w:val="32"/>
      <w:szCs w:val="32"/>
    </w:rPr>
  </w:style>
  <w:style w:type="paragraph" w:styleId="1118" w:customStyle="1">
    <w:name w:val="标题 31"/>
    <w:basedOn w:val="886"/>
    <w:next w:val="1119"/>
    <w:link w:val="1125"/>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19" w:customStyle="1">
    <w:name w:val="正文缩进1"/>
    <w:basedOn w:val="886"/>
    <w:uiPriority w:val="99"/>
    <w:qFormat/>
    <w:pPr>
      <w:ind w:firstLine="420"/>
    </w:pPr>
    <w:rPr>
      <w:b/>
      <w:sz w:val="24"/>
    </w:rPr>
  </w:style>
  <w:style w:type="paragraph" w:styleId="1120" w:customStyle="1">
    <w:name w:val="标题 41"/>
    <w:basedOn w:val="886"/>
    <w:next w:val="886"/>
    <w:uiPriority w:val="0"/>
    <w:qFormat/>
    <w:pPr>
      <w:keepLines/>
      <w:keepNext/>
      <w:spacing w:before="280" w:after="290" w:line="372" w:lineRule="auto"/>
      <w:outlineLvl w:val="3"/>
    </w:pPr>
    <w:rPr>
      <w:rFonts w:ascii="Arial" w:hAnsi="Arial" w:eastAsia="黑体" w:cs="Arial"/>
      <w:b/>
      <w:bCs/>
      <w:sz w:val="28"/>
      <w:szCs w:val="28"/>
    </w:rPr>
  </w:style>
  <w:style w:type="character" w:styleId="1121" w:customStyle="1">
    <w:name w:val="默认段落字体1"/>
    <w:uiPriority w:val="0"/>
    <w:semiHidden/>
    <w:qFormat/>
    <w:rPr>
      <w:sz w:val="24"/>
    </w:rPr>
  </w:style>
  <w:style w:type="table" w:styleId="1122"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123" w:customStyle="1">
    <w:name w:val="正文文本 字符"/>
    <w:link w:val="969"/>
    <w:uiPriority w:val="0"/>
    <w:qFormat/>
    <w:rPr>
      <w:rFonts w:ascii="宋体" w:eastAsia="宋体"/>
      <w:sz w:val="28"/>
      <w:lang w:val="en-US" w:eastAsia="zh-CN" w:bidi="ar-SA"/>
    </w:rPr>
  </w:style>
  <w:style w:type="character" w:styleId="1124" w:customStyle="1">
    <w:name w:val="标题 2 字符"/>
    <w:link w:val="1117"/>
    <w:uiPriority w:val="9"/>
    <w:qFormat/>
    <w:rPr>
      <w:rFonts w:ascii="Arial" w:hAnsi="Arial" w:eastAsia="黑体"/>
      <w:b/>
      <w:bCs/>
      <w:sz w:val="32"/>
      <w:szCs w:val="32"/>
    </w:rPr>
  </w:style>
  <w:style w:type="character" w:styleId="1125" w:customStyle="1">
    <w:name w:val="标题 3 字符"/>
    <w:link w:val="1118"/>
    <w:uiPriority w:val="9"/>
    <w:qFormat/>
    <w:rPr>
      <w:rFonts w:ascii="仿宋_GB2312" w:eastAsia="仿宋_GB2312"/>
      <w:sz w:val="32"/>
    </w:rPr>
  </w:style>
  <w:style w:type="paragraph" w:styleId="1126" w:customStyle="1">
    <w:name w:val="列表 31"/>
    <w:basedOn w:val="886"/>
    <w:uiPriority w:val="0"/>
    <w:qFormat/>
    <w:pPr>
      <w:contextualSpacing/>
      <w:ind w:left="100" w:hanging="200"/>
    </w:pPr>
  </w:style>
  <w:style w:type="paragraph" w:styleId="1127" w:customStyle="1">
    <w:name w:val="目录 71"/>
    <w:basedOn w:val="886"/>
    <w:next w:val="886"/>
    <w:uiPriority w:val="0"/>
    <w:qFormat/>
    <w:pPr>
      <w:ind w:left="2520"/>
    </w:pPr>
  </w:style>
  <w:style w:type="paragraph" w:styleId="1128" w:customStyle="1">
    <w:name w:val="批注文字1"/>
    <w:basedOn w:val="886"/>
    <w:link w:val="1129"/>
    <w:uiPriority w:val="0"/>
    <w:qFormat/>
    <w:pPr>
      <w:jc w:val="left"/>
    </w:pPr>
  </w:style>
  <w:style w:type="character" w:styleId="1129" w:customStyle="1">
    <w:name w:val="批注文字 字符"/>
    <w:link w:val="1128"/>
    <w:uiPriority w:val="0"/>
    <w:qFormat/>
    <w:rPr>
      <w:sz w:val="21"/>
    </w:rPr>
  </w:style>
  <w:style w:type="paragraph" w:styleId="1130" w:customStyle="1">
    <w:name w:val="称呼1"/>
    <w:basedOn w:val="886"/>
    <w:next w:val="886"/>
    <w:uiPriority w:val="0"/>
    <w:qFormat/>
    <w:pPr>
      <w:jc w:val="left"/>
      <w:widowControl/>
    </w:pPr>
    <w:rPr>
      <w:sz w:val="24"/>
    </w:rPr>
  </w:style>
  <w:style w:type="paragraph" w:styleId="1131" w:customStyle="1">
    <w:name w:val="正文文本缩进1"/>
    <w:basedOn w:val="886"/>
    <w:uiPriority w:val="0"/>
    <w:qFormat/>
    <w:pPr>
      <w:ind w:firstLine="420"/>
      <w:spacing w:line="360" w:lineRule="auto"/>
    </w:pPr>
    <w:rPr>
      <w:rFonts w:ascii="宋体"/>
      <w:sz w:val="24"/>
    </w:rPr>
  </w:style>
  <w:style w:type="paragraph" w:styleId="1132" w:customStyle="1">
    <w:name w:val="列表 21"/>
    <w:basedOn w:val="886"/>
    <w:uiPriority w:val="0"/>
    <w:qFormat/>
    <w:pPr>
      <w:ind w:left="100" w:hanging="200"/>
    </w:pPr>
  </w:style>
  <w:style w:type="paragraph" w:styleId="1133" w:customStyle="1">
    <w:name w:val="目录 51"/>
    <w:basedOn w:val="886"/>
    <w:next w:val="886"/>
    <w:uiPriority w:val="0"/>
    <w:qFormat/>
    <w:pPr>
      <w:ind w:left="1680"/>
    </w:pPr>
  </w:style>
  <w:style w:type="paragraph" w:styleId="1134" w:customStyle="1">
    <w:name w:val="目录 31"/>
    <w:basedOn w:val="886"/>
    <w:next w:val="886"/>
    <w:uiPriority w:val="39"/>
    <w:qFormat/>
    <w:pPr>
      <w:ind w:left="840"/>
    </w:pPr>
  </w:style>
  <w:style w:type="paragraph" w:styleId="1135" w:customStyle="1">
    <w:name w:val="纯文本1"/>
    <w:basedOn w:val="886"/>
    <w:link w:val="1136"/>
    <w:uiPriority w:val="0"/>
    <w:qFormat/>
    <w:rPr>
      <w:rFonts w:ascii="宋体" w:hAnsi="Courier New"/>
    </w:rPr>
  </w:style>
  <w:style w:type="character" w:styleId="1136" w:customStyle="1">
    <w:name w:val="纯文本 字符"/>
    <w:link w:val="1135"/>
    <w:uiPriority w:val="0"/>
    <w:qFormat/>
    <w:rPr>
      <w:rFonts w:ascii="宋体" w:hAnsi="Courier New" w:eastAsia="宋体"/>
      <w:sz w:val="21"/>
      <w:lang w:val="en-US" w:eastAsia="zh-CN" w:bidi="ar-SA"/>
    </w:rPr>
  </w:style>
  <w:style w:type="paragraph" w:styleId="1137" w:customStyle="1">
    <w:name w:val="目录 81"/>
    <w:basedOn w:val="886"/>
    <w:next w:val="886"/>
    <w:uiPriority w:val="0"/>
    <w:qFormat/>
    <w:pPr>
      <w:ind w:left="2940"/>
    </w:pPr>
  </w:style>
  <w:style w:type="paragraph" w:styleId="1138" w:customStyle="1">
    <w:name w:val="日期1"/>
    <w:basedOn w:val="886"/>
    <w:next w:val="886"/>
    <w:link w:val="1139"/>
    <w:uiPriority w:val="0"/>
    <w:qFormat/>
    <w:rPr>
      <w:rFonts w:ascii="宋体"/>
    </w:rPr>
  </w:style>
  <w:style w:type="character" w:styleId="1139" w:customStyle="1">
    <w:name w:val="日期 字符"/>
    <w:link w:val="1138"/>
    <w:uiPriority w:val="0"/>
    <w:qFormat/>
    <w:rPr>
      <w:rFonts w:ascii="宋体"/>
      <w:sz w:val="21"/>
    </w:rPr>
  </w:style>
  <w:style w:type="paragraph" w:styleId="1140" w:customStyle="1">
    <w:name w:val="正文文本缩进 21"/>
    <w:basedOn w:val="886"/>
    <w:uiPriority w:val="0"/>
    <w:qFormat/>
    <w:pPr>
      <w:ind w:firstLine="525"/>
      <w:spacing w:line="420" w:lineRule="exact"/>
    </w:pPr>
    <w:rPr>
      <w:rFonts w:ascii="宋体"/>
    </w:rPr>
  </w:style>
  <w:style w:type="paragraph" w:styleId="1141" w:customStyle="1">
    <w:name w:val="批注框文本1"/>
    <w:basedOn w:val="886"/>
    <w:link w:val="1142"/>
    <w:uiPriority w:val="99"/>
    <w:qFormat/>
    <w:rPr>
      <w:sz w:val="18"/>
      <w:szCs w:val="18"/>
    </w:rPr>
  </w:style>
  <w:style w:type="character" w:styleId="1142" w:customStyle="1">
    <w:name w:val="批注框文本 字符"/>
    <w:link w:val="1141"/>
    <w:uiPriority w:val="99"/>
    <w:qFormat/>
    <w:rPr>
      <w:sz w:val="18"/>
      <w:szCs w:val="18"/>
    </w:rPr>
  </w:style>
  <w:style w:type="paragraph" w:styleId="1143" w:customStyle="1">
    <w:name w:val="页脚1"/>
    <w:basedOn w:val="886"/>
    <w:link w:val="1144"/>
    <w:uiPriority w:val="99"/>
    <w:qFormat/>
    <w:pPr>
      <w:jc w:val="left"/>
      <w:tabs>
        <w:tab w:val="center" w:pos="4153" w:leader="none"/>
        <w:tab w:val="right" w:pos="8306" w:leader="none"/>
      </w:tabs>
    </w:pPr>
    <w:rPr>
      <w:sz w:val="18"/>
    </w:rPr>
  </w:style>
  <w:style w:type="character" w:styleId="1144" w:customStyle="1">
    <w:name w:val="页脚 字符1"/>
    <w:link w:val="1143"/>
    <w:uiPriority w:val="99"/>
    <w:qFormat/>
    <w:rPr>
      <w:sz w:val="18"/>
    </w:rPr>
  </w:style>
  <w:style w:type="paragraph" w:styleId="1145" w:customStyle="1">
    <w:name w:val="页眉1"/>
    <w:basedOn w:val="886"/>
    <w:link w:val="1146"/>
    <w:uiPriority w:val="99"/>
    <w:qFormat/>
    <w:pPr>
      <w:jc w:val="center"/>
      <w:tabs>
        <w:tab w:val="center" w:pos="4153" w:leader="none"/>
        <w:tab w:val="right" w:pos="8306" w:leader="none"/>
      </w:tabs>
      <w:pBdr>
        <w:bottom w:val="single" w:color="000000" w:sz="6" w:space="1"/>
      </w:pBdr>
    </w:pPr>
    <w:rPr>
      <w:sz w:val="18"/>
    </w:rPr>
  </w:style>
  <w:style w:type="character" w:styleId="1146" w:customStyle="1">
    <w:name w:val="页眉 字符"/>
    <w:link w:val="1145"/>
    <w:uiPriority w:val="99"/>
    <w:qFormat/>
    <w:rPr>
      <w:sz w:val="18"/>
    </w:rPr>
  </w:style>
  <w:style w:type="paragraph" w:styleId="1147" w:customStyle="1">
    <w:name w:val="目录 11"/>
    <w:basedOn w:val="886"/>
    <w:next w:val="886"/>
    <w:uiPriority w:val="39"/>
    <w:qFormat/>
  </w:style>
  <w:style w:type="paragraph" w:styleId="1148" w:customStyle="1">
    <w:name w:val="目录 41"/>
    <w:basedOn w:val="886"/>
    <w:next w:val="886"/>
    <w:uiPriority w:val="0"/>
    <w:qFormat/>
    <w:pPr>
      <w:ind w:left="1260"/>
    </w:pPr>
  </w:style>
  <w:style w:type="paragraph" w:styleId="1149" w:customStyle="1">
    <w:name w:val="目录 61"/>
    <w:basedOn w:val="886"/>
    <w:next w:val="886"/>
    <w:uiPriority w:val="0"/>
    <w:qFormat/>
    <w:pPr>
      <w:ind w:left="2100"/>
    </w:pPr>
  </w:style>
  <w:style w:type="paragraph" w:styleId="1150" w:customStyle="1">
    <w:name w:val="正文文本缩进 31"/>
    <w:basedOn w:val="886"/>
    <w:uiPriority w:val="0"/>
    <w:qFormat/>
    <w:pPr>
      <w:ind w:firstLine="841"/>
    </w:pPr>
    <w:rPr>
      <w:rFonts w:eastAsia="华文新魏"/>
      <w:b/>
      <w:bCs/>
      <w:sz w:val="84"/>
    </w:rPr>
  </w:style>
  <w:style w:type="paragraph" w:styleId="1151" w:customStyle="1">
    <w:name w:val="目录 21"/>
    <w:basedOn w:val="886"/>
    <w:next w:val="886"/>
    <w:uiPriority w:val="39"/>
    <w:qFormat/>
    <w:pPr>
      <w:ind w:left="420"/>
    </w:pPr>
  </w:style>
  <w:style w:type="paragraph" w:styleId="1152" w:customStyle="1">
    <w:name w:val="目录 91"/>
    <w:basedOn w:val="886"/>
    <w:next w:val="886"/>
    <w:uiPriority w:val="0"/>
    <w:qFormat/>
    <w:pPr>
      <w:ind w:left="3360"/>
    </w:pPr>
  </w:style>
  <w:style w:type="paragraph" w:styleId="1153" w:customStyle="1">
    <w:name w:val="信息标题1"/>
    <w:basedOn w:val="88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54" w:customStyle="1">
    <w:name w:val="HTML 预设格式1"/>
    <w:basedOn w:val="8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55" w:customStyle="1">
    <w:name w:val="普通(网站)1"/>
    <w:basedOn w:val="88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56" w:customStyle="1">
    <w:name w:val="标题1"/>
    <w:basedOn w:val="886"/>
    <w:next w:val="886"/>
    <w:link w:val="1157"/>
    <w:uiPriority w:val="0"/>
    <w:qFormat/>
    <w:pPr>
      <w:jc w:val="center"/>
    </w:pPr>
    <w:rPr>
      <w:sz w:val="30"/>
      <w:szCs w:val="24"/>
    </w:rPr>
  </w:style>
  <w:style w:type="character" w:styleId="1157" w:customStyle="1">
    <w:name w:val="标题 字符"/>
    <w:link w:val="1156"/>
    <w:uiPriority w:val="0"/>
    <w:qFormat/>
    <w:rPr>
      <w:sz w:val="30"/>
      <w:szCs w:val="24"/>
    </w:rPr>
  </w:style>
  <w:style w:type="paragraph" w:styleId="1158" w:customStyle="1">
    <w:name w:val="批注主题1"/>
    <w:basedOn w:val="1128"/>
    <w:next w:val="1128"/>
    <w:link w:val="1159"/>
    <w:uiPriority w:val="0"/>
    <w:qFormat/>
    <w:rPr>
      <w:b/>
      <w:bCs/>
    </w:rPr>
  </w:style>
  <w:style w:type="character" w:styleId="1159" w:customStyle="1">
    <w:name w:val="批注主题 字符"/>
    <w:link w:val="1158"/>
    <w:uiPriority w:val="0"/>
    <w:qFormat/>
    <w:rPr>
      <w:b/>
      <w:bCs/>
      <w:sz w:val="21"/>
    </w:rPr>
  </w:style>
  <w:style w:type="paragraph" w:styleId="1160" w:customStyle="1">
    <w:name w:val="正文首行缩进1"/>
    <w:basedOn w:val="969"/>
    <w:link w:val="1161"/>
    <w:uiPriority w:val="0"/>
    <w:qFormat/>
    <w:pPr>
      <w:ind w:firstLine="420"/>
      <w:spacing w:line="360" w:lineRule="auto"/>
    </w:pPr>
    <w:rPr>
      <w:rFonts w:ascii="Times New Roman"/>
      <w:szCs w:val="21"/>
    </w:rPr>
  </w:style>
  <w:style w:type="character" w:styleId="1161" w:customStyle="1">
    <w:name w:val="正文文本首行缩进 字符"/>
    <w:link w:val="1160"/>
    <w:uiPriority w:val="0"/>
    <w:qFormat/>
    <w:rPr>
      <w:sz w:val="28"/>
      <w:szCs w:val="21"/>
    </w:rPr>
  </w:style>
  <w:style w:type="paragraph" w:styleId="1162" w:customStyle="1">
    <w:name w:val="正文首行缩进 21"/>
    <w:basedOn w:val="1131"/>
    <w:uiPriority w:val="0"/>
    <w:qFormat/>
    <w:rPr>
      <w:rFonts w:hAnsi="Calibri"/>
      <w:szCs w:val="22"/>
      <w:u w:val="single"/>
    </w:rPr>
  </w:style>
  <w:style w:type="table" w:styleId="1163" w:customStyle="1">
    <w:name w:val="网格型1"/>
    <w:basedOn w:val="1122"/>
    <w:uiPriority w:val="59"/>
    <w:qFormat/>
    <w:tblPr>
      <w:tblCellMar>
        <w:left w:w="0" w:type="dxa"/>
        <w:top w:w="0" w:type="dxa"/>
        <w:right w:w="0" w:type="dxa"/>
        <w:bottom w:w="0" w:type="dxa"/>
      </w:tblCellMar>
    </w:tblPr>
  </w:style>
  <w:style w:type="character" w:styleId="1164" w:customStyle="1">
    <w:name w:val="要点1"/>
    <w:uiPriority w:val="0"/>
    <w:qFormat/>
    <w:rPr>
      <w:b/>
      <w:bCs/>
    </w:rPr>
  </w:style>
  <w:style w:type="character" w:styleId="1165" w:customStyle="1">
    <w:name w:val="页码1"/>
    <w:uiPriority w:val="99"/>
    <w:qFormat/>
  </w:style>
  <w:style w:type="character" w:styleId="1166" w:customStyle="1">
    <w:name w:val="已访问的超链接1"/>
    <w:uiPriority w:val="0"/>
    <w:qFormat/>
    <w:rPr>
      <w:color w:val="000000"/>
      <w:sz w:val="18"/>
      <w:szCs w:val="18"/>
      <w:u w:val="none"/>
    </w:rPr>
  </w:style>
  <w:style w:type="character" w:styleId="1167" w:customStyle="1">
    <w:name w:val="强调1"/>
    <w:uiPriority w:val="0"/>
    <w:qFormat/>
    <w:rPr>
      <w:i/>
    </w:rPr>
  </w:style>
  <w:style w:type="character" w:styleId="1168" w:customStyle="1">
    <w:name w:val="超链接1"/>
    <w:uiPriority w:val="99"/>
    <w:qFormat/>
    <w:rPr>
      <w:color w:val="000000"/>
      <w:sz w:val="18"/>
      <w:szCs w:val="18"/>
      <w:u w:val="none"/>
    </w:rPr>
  </w:style>
  <w:style w:type="character" w:styleId="1169" w:customStyle="1">
    <w:name w:val="批注引用1"/>
    <w:uiPriority w:val="0"/>
    <w:qFormat/>
    <w:rPr>
      <w:sz w:val="21"/>
      <w:szCs w:val="21"/>
    </w:rPr>
  </w:style>
  <w:style w:type="character" w:styleId="1170" w:customStyle="1">
    <w:name w:val="font91"/>
    <w:uiPriority w:val="0"/>
    <w:qFormat/>
    <w:rPr>
      <w:rFonts w:ascii="Calibri" w:hAnsi="Calibri" w:cs="Calibri"/>
      <w:color w:val="000000"/>
      <w:sz w:val="21"/>
      <w:szCs w:val="21"/>
      <w:u w:val="none"/>
    </w:rPr>
  </w:style>
  <w:style w:type="character" w:styleId="1171" w:customStyle="1">
    <w:name w:val="style21"/>
    <w:uiPriority w:val="0"/>
    <w:qFormat/>
    <w:rPr>
      <w:sz w:val="18"/>
      <w:szCs w:val="18"/>
    </w:rPr>
  </w:style>
  <w:style w:type="character" w:styleId="1172" w:customStyle="1">
    <w:name w:val="font01"/>
    <w:uiPriority w:val="0"/>
    <w:qFormat/>
    <w:rPr>
      <w:rFonts w:ascii="幼圆" w:hAnsi="幼圆" w:eastAsia="幼圆" w:cs="幼圆"/>
      <w:b/>
      <w:color w:val="000000"/>
      <w:sz w:val="22"/>
      <w:szCs w:val="22"/>
      <w:u w:val="none"/>
    </w:rPr>
  </w:style>
  <w:style w:type="character" w:styleId="1173" w:customStyle="1">
    <w:name w:val="List Paragraph Char"/>
    <w:link w:val="1174"/>
    <w:uiPriority w:val="0"/>
    <w:qFormat/>
    <w:rPr>
      <w:rFonts w:ascii="Calibri" w:hAnsi="Calibri"/>
      <w:sz w:val="21"/>
      <w:szCs w:val="22"/>
    </w:rPr>
  </w:style>
  <w:style w:type="paragraph" w:styleId="1174" w:customStyle="1">
    <w:name w:val="List Paragraph2"/>
    <w:basedOn w:val="886"/>
    <w:link w:val="1173"/>
    <w:uiPriority w:val="0"/>
    <w:qFormat/>
    <w:pPr>
      <w:ind w:firstLine="420"/>
    </w:pPr>
    <w:rPr>
      <w:rFonts w:ascii="Calibri" w:hAnsi="Calibri"/>
      <w:szCs w:val="22"/>
    </w:rPr>
  </w:style>
  <w:style w:type="character" w:styleId="1175" w:customStyle="1">
    <w:name w:val="font11"/>
    <w:uiPriority w:val="0"/>
    <w:qFormat/>
    <w:rPr>
      <w:rFonts w:ascii="幼圆" w:hAnsi="幼圆" w:eastAsia="幼圆" w:cs="幼圆"/>
      <w:color w:val="000000"/>
      <w:sz w:val="22"/>
      <w:szCs w:val="22"/>
      <w:u w:val="none"/>
    </w:rPr>
  </w:style>
  <w:style w:type="character" w:styleId="1176" w:customStyle="1">
    <w:name w:val="Table Sub Section Char"/>
    <w:link w:val="1177"/>
    <w:uiPriority w:val="0"/>
    <w:qFormat/>
    <w:rPr>
      <w:rFonts w:ascii="Arial" w:hAnsi="Arial"/>
      <w:b/>
      <w:color w:val="0f0f0f"/>
      <w:lang w:eastAsia="en-US"/>
    </w:rPr>
  </w:style>
  <w:style w:type="paragraph" w:styleId="1177" w:customStyle="1">
    <w:name w:val="Table Sub Section"/>
    <w:basedOn w:val="886"/>
    <w:link w:val="1176"/>
    <w:uiPriority w:val="0"/>
    <w:qFormat/>
    <w:pPr>
      <w:jc w:val="left"/>
      <w:keepNext/>
      <w:spacing w:before="160" w:after="160" w:line="276" w:lineRule="auto"/>
      <w:widowControl/>
    </w:pPr>
    <w:rPr>
      <w:rFonts w:ascii="Arial" w:hAnsi="Arial"/>
      <w:b/>
      <w:color w:val="0f0f0f"/>
      <w:sz w:val="20"/>
      <w:lang w:eastAsia="en-US"/>
    </w:rPr>
  </w:style>
  <w:style w:type="character" w:styleId="1178" w:customStyle="1">
    <w:name w:val="页脚 字符"/>
    <w:uiPriority w:val="99"/>
    <w:qFormat/>
  </w:style>
  <w:style w:type="character" w:styleId="1179" w:customStyle="1">
    <w:name w:val="not([class*=suffix])"/>
    <w:uiPriority w:val="0"/>
    <w:qFormat/>
    <w:rPr>
      <w:sz w:val="19"/>
      <w:szCs w:val="19"/>
    </w:rPr>
  </w:style>
  <w:style w:type="character" w:styleId="1180" w:customStyle="1">
    <w:name w:val="not([class*=suffix])1"/>
    <w:uiPriority w:val="0"/>
    <w:qFormat/>
  </w:style>
  <w:style w:type="character" w:styleId="1181" w:customStyle="1">
    <w:name w:val="font21"/>
    <w:uiPriority w:val="0"/>
    <w:qFormat/>
    <w:rPr>
      <w:rFonts w:hint="eastAsia" w:ascii="宋体" w:hAnsi="宋体" w:eastAsia="宋体" w:cs="宋体"/>
      <w:color w:val="000000"/>
      <w:sz w:val="20"/>
      <w:szCs w:val="20"/>
      <w:u w:val="none"/>
    </w:rPr>
  </w:style>
  <w:style w:type="character" w:styleId="1182" w:customStyle="1">
    <w:name w:val="font31"/>
    <w:uiPriority w:val="0"/>
    <w:qFormat/>
    <w:rPr>
      <w:rFonts w:hint="eastAsia" w:ascii="宋体" w:hAnsi="宋体" w:eastAsia="宋体" w:cs="宋体"/>
      <w:color w:val="000000"/>
      <w:sz w:val="20"/>
      <w:szCs w:val="20"/>
      <w:u w:val="none"/>
    </w:rPr>
  </w:style>
  <w:style w:type="character" w:styleId="1183" w:customStyle="1">
    <w:name w:val="彩色列表字符"/>
    <w:link w:val="1184"/>
    <w:uiPriority w:val="0"/>
    <w:qFormat/>
    <w:rPr>
      <w:rFonts w:ascii="Calibri" w:hAnsi="Calibri"/>
      <w:sz w:val="21"/>
      <w:szCs w:val="22"/>
    </w:rPr>
  </w:style>
  <w:style w:type="paragraph" w:styleId="1184" w:customStyle="1">
    <w:name w:val="彩色列表1"/>
    <w:basedOn w:val="886"/>
    <w:link w:val="1183"/>
    <w:uiPriority w:val="0"/>
    <w:qFormat/>
    <w:pPr>
      <w:ind w:firstLine="420"/>
    </w:pPr>
    <w:rPr>
      <w:rFonts w:ascii="Calibri" w:hAnsi="Calibri"/>
      <w:szCs w:val="22"/>
    </w:rPr>
  </w:style>
  <w:style w:type="character" w:styleId="1185" w:customStyle="1">
    <w:name w:val="标准文本 Char"/>
    <w:link w:val="1186"/>
    <w:uiPriority w:val="0"/>
    <w:qFormat/>
    <w:rPr>
      <w:rFonts w:ascii="宋体" w:hAnsi="宋体" w:eastAsia="宋体" w:cs="宋体"/>
      <w:sz w:val="21"/>
      <w:szCs w:val="21"/>
      <w:lang w:val="en-US" w:eastAsia="zh-CN" w:bidi="ar-SA"/>
    </w:rPr>
  </w:style>
  <w:style w:type="paragraph" w:styleId="1186" w:customStyle="1">
    <w:name w:val="标准文本"/>
    <w:basedOn w:val="886"/>
    <w:link w:val="1185"/>
    <w:uiPriority w:val="0"/>
    <w:qFormat/>
    <w:pPr>
      <w:ind w:firstLine="420"/>
      <w:spacing w:line="300" w:lineRule="auto"/>
    </w:pPr>
    <w:rPr>
      <w:rFonts w:ascii="宋体" w:hAnsi="宋体" w:cs="宋体"/>
      <w:szCs w:val="21"/>
    </w:rPr>
  </w:style>
  <w:style w:type="character" w:styleId="1187" w:customStyle="1">
    <w:name w:val="apple-style-span"/>
    <w:uiPriority w:val="0"/>
    <w:qFormat/>
  </w:style>
  <w:style w:type="character" w:styleId="1188" w:customStyle="1">
    <w:name w:val="mark"/>
    <w:uiPriority w:val="0"/>
    <w:qFormat/>
  </w:style>
  <w:style w:type="character" w:styleId="1189" w:customStyle="1">
    <w:name w:val="c lh15"/>
    <w:uiPriority w:val="0"/>
    <w:qFormat/>
  </w:style>
  <w:style w:type="character" w:styleId="1190" w:customStyle="1">
    <w:name w:val="font51"/>
    <w:uiPriority w:val="0"/>
    <w:qFormat/>
    <w:rPr>
      <w:rFonts w:ascii="Arial" w:hAnsi="Arial" w:cs="Arial"/>
      <w:color w:val="000000"/>
      <w:sz w:val="22"/>
      <w:szCs w:val="22"/>
      <w:u w:val="none"/>
    </w:rPr>
  </w:style>
  <w:style w:type="paragraph" w:styleId="1191" w:customStyle="1">
    <w:name w:val="列表段落1"/>
    <w:basedOn w:val="886"/>
    <w:uiPriority w:val="99"/>
    <w:qFormat/>
    <w:pPr>
      <w:ind w:firstLine="420"/>
    </w:pPr>
    <w:rPr>
      <w:rFonts w:ascii="Calibri" w:hAnsi="Calibri"/>
      <w:szCs w:val="22"/>
    </w:rPr>
  </w:style>
  <w:style w:type="paragraph" w:styleId="1192" w:customStyle="1">
    <w:name w:val="Char Char Char"/>
    <w:basedOn w:val="886"/>
    <w:uiPriority w:val="0"/>
    <w:qFormat/>
    <w:pPr>
      <w:jc w:val="center"/>
      <w:spacing w:line="400" w:lineRule="exact"/>
      <w:widowControl/>
    </w:pPr>
    <w:rPr>
      <w:szCs w:val="24"/>
    </w:rPr>
  </w:style>
  <w:style w:type="paragraph" w:styleId="1193" w:customStyle="1">
    <w:name w:val="077-正文格式"/>
    <w:basedOn w:val="886"/>
    <w:uiPriority w:val="0"/>
    <w:qFormat/>
    <w:pPr>
      <w:ind w:firstLine="480"/>
      <w:spacing w:line="360" w:lineRule="auto"/>
    </w:pPr>
    <w:rPr>
      <w:rFonts w:ascii="宋体" w:cs="宋体"/>
      <w:sz w:val="24"/>
    </w:rPr>
  </w:style>
  <w:style w:type="paragraph" w:styleId="1194" w:customStyle="1">
    <w:name w:val="简单回函地址"/>
    <w:basedOn w:val="886"/>
    <w:uiPriority w:val="0"/>
    <w:qFormat/>
    <w:rPr>
      <w:szCs w:val="24"/>
    </w:rPr>
  </w:style>
  <w:style w:type="paragraph" w:styleId="1195">
    <w:name w:val="No Spacing"/>
    <w:uiPriority w:val="0"/>
    <w:qFormat/>
    <w:rPr>
      <w:rFonts w:hint="default" w:ascii="Calibri" w:hAnsi="Calibri" w:eastAsia="宋体" w:cs="Times New Roman"/>
      <w:sz w:val="22"/>
      <w:szCs w:val="22"/>
      <w:lang w:val="en-US" w:eastAsia="zh-CN" w:bidi="ar-SA"/>
    </w:rPr>
  </w:style>
  <w:style w:type="paragraph" w:styleId="1196" w:customStyle="1">
    <w:name w:val="p0"/>
    <w:basedOn w:val="886"/>
    <w:uiPriority w:val="0"/>
    <w:qFormat/>
    <w:pPr>
      <w:ind w:firstLine="420"/>
      <w:jc w:val="left"/>
      <w:widowControl/>
    </w:pPr>
    <w:rPr>
      <w:sz w:val="20"/>
    </w:rPr>
  </w:style>
  <w:style w:type="paragraph" w:styleId="1197" w:customStyle="1">
    <w:name w:val="正文1"/>
    <w:basedOn w:val="886"/>
    <w:uiPriority w:val="0"/>
    <w:qFormat/>
    <w:pPr>
      <w:jc w:val="left"/>
      <w:spacing w:after="200" w:line="300" w:lineRule="atLeast"/>
      <w:widowControl/>
    </w:pPr>
    <w:rPr>
      <w:rFonts w:ascii="Calibri" w:hAnsi="Calibri" w:cs="宋体"/>
      <w:sz w:val="22"/>
      <w:szCs w:val="22"/>
    </w:rPr>
  </w:style>
  <w:style w:type="paragraph" w:styleId="1198" w:customStyle="1">
    <w:name w:val="List Paragraph1"/>
    <w:basedOn w:val="886"/>
    <w:uiPriority w:val="99"/>
    <w:qFormat/>
    <w:pPr>
      <w:ind w:firstLine="420"/>
      <w:jc w:val="left"/>
      <w:spacing w:line="300" w:lineRule="auto"/>
    </w:pPr>
    <w:rPr>
      <w:szCs w:val="22"/>
    </w:rPr>
  </w:style>
  <w:style w:type="paragraph" w:styleId="1199" w:customStyle="1">
    <w:name w:val="Char Char"/>
    <w:basedOn w:val="886"/>
    <w:uiPriority w:val="0"/>
    <w:qFormat/>
    <w:pPr>
      <w:ind w:left="360" w:hanging="360"/>
    </w:pPr>
    <w:rPr>
      <w:sz w:val="24"/>
      <w:szCs w:val="24"/>
    </w:rPr>
  </w:style>
  <w:style w:type="paragraph" w:styleId="120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201" w:customStyle="1">
    <w:name w:val="首行缩进"/>
    <w:basedOn w:val="886"/>
    <w:uiPriority w:val="99"/>
    <w:qFormat/>
    <w:pPr>
      <w:ind w:firstLine="480"/>
      <w:spacing w:line="360" w:lineRule="auto"/>
    </w:pPr>
    <w:rPr>
      <w:szCs w:val="24"/>
    </w:rPr>
  </w:style>
  <w:style w:type="paragraph" w:styleId="1202" w:customStyle="1">
    <w:name w:val="Char Char Char Char Char Char Char"/>
    <w:basedOn w:val="886"/>
    <w:uiPriority w:val="0"/>
    <w:qFormat/>
    <w:pPr>
      <w:ind w:left="432" w:hanging="432"/>
      <w:jc w:val="center"/>
      <w:tabs>
        <w:tab w:val="left" w:pos="432" w:leader="none"/>
      </w:tabs>
    </w:pPr>
    <w:rPr>
      <w:rFonts w:ascii="仿宋_GB2312" w:hAnsi="Tahoma" w:eastAsia="仿宋_GB2312"/>
      <w:sz w:val="24"/>
      <w:szCs w:val="24"/>
    </w:rPr>
  </w:style>
  <w:style w:type="paragraph" w:styleId="1203" w:customStyle="1">
    <w:name w:val="_Style 1"/>
    <w:basedOn w:val="886"/>
    <w:uiPriority w:val="99"/>
    <w:qFormat/>
    <w:pPr>
      <w:ind w:firstLine="420"/>
    </w:pPr>
    <w:rPr>
      <w:rFonts w:ascii="Calibri" w:hAnsi="Calibri"/>
      <w:szCs w:val="22"/>
    </w:rPr>
  </w:style>
  <w:style w:type="paragraph" w:styleId="1204" w:customStyle="1">
    <w:name w:val="Char"/>
    <w:basedOn w:val="886"/>
    <w:uiPriority w:val="0"/>
    <w:qFormat/>
    <w:pPr>
      <w:tabs>
        <w:tab w:val="left" w:pos="360" w:leader="none"/>
      </w:tabs>
    </w:pPr>
    <w:rPr>
      <w:sz w:val="24"/>
    </w:rPr>
  </w:style>
  <w:style w:type="paragraph" w:styleId="1205" w:customStyle="1">
    <w:name w:val="段"/>
    <w:next w:val="886"/>
    <w:uiPriority w:val="0"/>
    <w:qFormat/>
    <w:pPr>
      <w:ind w:firstLine="200"/>
      <w:jc w:val="both"/>
    </w:pPr>
    <w:rPr>
      <w:rFonts w:hint="default" w:ascii="宋体" w:hAnsi="Calibri" w:eastAsia="宋体" w:cs="Times New Roman"/>
      <w:sz w:val="21"/>
      <w:szCs w:val="22"/>
      <w:lang w:val="en-US" w:eastAsia="zh-CN" w:bidi="ar-SA"/>
    </w:rPr>
  </w:style>
  <w:style w:type="paragraph" w:styleId="1206" w:customStyle="1">
    <w:name w:val="列出段落11"/>
    <w:basedOn w:val="886"/>
    <w:uiPriority w:val="34"/>
    <w:qFormat/>
    <w:pPr>
      <w:ind w:firstLine="420"/>
    </w:pPr>
  </w:style>
  <w:style w:type="paragraph" w:styleId="1207" w:customStyle="1">
    <w:name w:val="Char Char Char Char Char Char Char1"/>
    <w:basedOn w:val="886"/>
    <w:uiPriority w:val="0"/>
    <w:semiHidden/>
    <w:qFormat/>
    <w:rPr>
      <w:rFonts w:ascii="Tahoma" w:hAnsi="Tahoma" w:cs="仿宋_GB2312"/>
      <w:sz w:val="24"/>
      <w:szCs w:val="28"/>
    </w:rPr>
  </w:style>
  <w:style w:type="paragraph" w:styleId="1208" w:customStyle="1">
    <w:name w:val="_Style 3"/>
    <w:basedOn w:val="886"/>
    <w:uiPriority w:val="34"/>
    <w:qFormat/>
    <w:pPr>
      <w:ind w:firstLine="420"/>
    </w:pPr>
    <w:rPr>
      <w:rFonts w:ascii="Calibri" w:hAnsi="Calibri"/>
      <w:szCs w:val="22"/>
    </w:rPr>
  </w:style>
  <w:style w:type="paragraph" w:styleId="1209" w:customStyle="1">
    <w:name w:val="一级"/>
    <w:basedOn w:val="886"/>
    <w:uiPriority w:val="0"/>
    <w:qFormat/>
    <w:pPr>
      <w:numPr>
        <w:ilvl w:val="0"/>
        <w:numId w:val="1"/>
      </w:numPr>
      <w:spacing w:line="360" w:lineRule="auto"/>
      <w:outlineLvl w:val="0"/>
    </w:pPr>
    <w:rPr>
      <w:b/>
      <w:sz w:val="32"/>
      <w:szCs w:val="32"/>
    </w:rPr>
  </w:style>
  <w:style w:type="paragraph" w:styleId="1210"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1" w:customStyle="1">
    <w:name w:val="B正文"/>
    <w:basedOn w:val="886"/>
    <w:uiPriority w:val="0"/>
    <w:qFormat/>
    <w:pPr>
      <w:ind w:firstLine="560"/>
      <w:spacing w:line="500" w:lineRule="exact"/>
    </w:pPr>
    <w:rPr>
      <w:sz w:val="28"/>
      <w:szCs w:val="24"/>
    </w:rPr>
  </w:style>
  <w:style w:type="paragraph" w:styleId="1212"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213" w:customStyle="1">
    <w:name w:val="yiv1658056056msonormal"/>
    <w:basedOn w:val="886"/>
    <w:uiPriority w:val="99"/>
    <w:qFormat/>
    <w:pPr>
      <w:jc w:val="left"/>
      <w:spacing w:before="100" w:beforeAutospacing="1" w:after="100" w:afterAutospacing="1"/>
      <w:widowControl/>
    </w:pPr>
    <w:rPr>
      <w:rFonts w:ascii="宋体" w:hAnsi="宋体" w:cs="宋体"/>
      <w:sz w:val="24"/>
      <w:szCs w:val="24"/>
    </w:rPr>
  </w:style>
  <w:style w:type="paragraph" w:styleId="1214" w:customStyle="1">
    <w:name w:val="正文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215" w:customStyle="1">
    <w:name w:val="列出段落1"/>
    <w:basedOn w:val="886"/>
    <w:uiPriority w:val="34"/>
    <w:qFormat/>
    <w:pPr>
      <w:ind w:firstLine="420"/>
    </w:pPr>
    <w:rPr>
      <w:rFonts w:ascii="Calibri" w:hAnsi="Calibri"/>
      <w:szCs w:val="22"/>
    </w:rPr>
  </w:style>
  <w:style w:type="paragraph" w:styleId="1216">
    <w:name w:val="List Paragraph"/>
    <w:basedOn w:val="886"/>
    <w:uiPriority w:val="0"/>
    <w:qFormat/>
    <w:pPr>
      <w:ind w:firstLine="420"/>
      <w:jc w:val="left"/>
      <w:spacing w:after="200"/>
      <w:widowControl/>
    </w:pPr>
    <w:rPr>
      <w:rFonts w:ascii="Tahoma" w:hAnsi="Tahoma" w:eastAsia="微软雅黑"/>
      <w:sz w:val="22"/>
      <w:szCs w:val="22"/>
    </w:rPr>
  </w:style>
  <w:style w:type="paragraph" w:styleId="1217" w:customStyle="1">
    <w:name w:val="样式 首行缩进:  2 字符"/>
    <w:basedOn w:val="886"/>
    <w:uiPriority w:val="0"/>
    <w:qFormat/>
    <w:pPr>
      <w:ind w:firstLine="200"/>
      <w:spacing w:line="400" w:lineRule="exact"/>
    </w:pPr>
    <w:rPr>
      <w:rFonts w:cs="宋体"/>
      <w:sz w:val="24"/>
      <w:szCs w:val="24"/>
    </w:rPr>
  </w:style>
  <w:style w:type="paragraph" w:styleId="1218" w:customStyle="1">
    <w:name w:val="修订1"/>
    <w:uiPriority w:val="99"/>
    <w:unhideWhenUsed/>
    <w:qFormat/>
    <w:rPr>
      <w:rFonts w:hint="default" w:ascii="Times New Roman" w:hAnsi="Times New Roman" w:eastAsia="宋体" w:cs="Times New Roman"/>
      <w:sz w:val="21"/>
      <w:lang w:val="en-US" w:eastAsia="zh-CN" w:bidi="ar-SA"/>
    </w:rPr>
  </w:style>
  <w:style w:type="paragraph" w:styleId="1219" w:customStyle="1">
    <w:name w:val="_Style 2"/>
    <w:uiPriority w:val="1"/>
    <w:qFormat/>
    <w:rPr>
      <w:rFonts w:hint="default" w:ascii="Calibri" w:hAnsi="Calibri" w:eastAsia="宋体" w:cs="Arial"/>
      <w:sz w:val="22"/>
      <w:szCs w:val="22"/>
      <w:lang w:val="en-AU" w:eastAsia="en-US" w:bidi="ar-SA"/>
    </w:rPr>
  </w:style>
  <w:style w:type="paragraph" w:styleId="1220" w:customStyle="1">
    <w:name w:val="彩色列表 - 强调文字颜色 11"/>
    <w:basedOn w:val="886"/>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221"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222" w:customStyle="1">
    <w:name w:val="Normal1"/>
    <w:basedOn w:val="886"/>
    <w:uiPriority w:val="0"/>
    <w:qFormat/>
    <w:pPr>
      <w:jc w:val="left"/>
      <w:spacing w:after="200" w:line="300" w:lineRule="atLeast"/>
      <w:widowControl/>
    </w:pPr>
    <w:rPr>
      <w:rFonts w:ascii="Calibri" w:hAnsi="Calibri" w:cs="宋体"/>
      <w:sz w:val="22"/>
      <w:szCs w:val="22"/>
    </w:rPr>
  </w:style>
  <w:style w:type="character" w:styleId="1223" w:customStyle="1">
    <w:name w:val="font71"/>
    <w:uiPriority w:val="0"/>
    <w:qFormat/>
    <w:rPr>
      <w:rFonts w:hint="eastAsia" w:ascii="宋体" w:hAnsi="宋体" w:eastAsia="宋体" w:cs="宋体"/>
      <w:color w:val="000000"/>
      <w:sz w:val="24"/>
      <w:szCs w:val="24"/>
      <w:u w:val="none"/>
    </w:rPr>
  </w:style>
  <w:style w:type="character" w:styleId="1224" w:customStyle="1">
    <w:name w:val="font61"/>
    <w:uiPriority w:val="0"/>
    <w:qFormat/>
    <w:rPr>
      <w:rFonts w:hint="eastAsia" w:ascii="宋体" w:hAnsi="宋体" w:eastAsia="宋体" w:cs="宋体"/>
      <w:color w:val="000000"/>
      <w:sz w:val="15"/>
      <w:szCs w:val="15"/>
      <w:u w:val="none"/>
    </w:rPr>
  </w:style>
  <w:style w:type="paragraph" w:styleId="122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26" w:customStyle="1">
    <w:name w:val="_Style 6"/>
    <w:basedOn w:val="886"/>
    <w:uiPriority w:val="34"/>
    <w:qFormat/>
    <w:pPr>
      <w:ind w:firstLine="420"/>
    </w:pPr>
    <w:rPr>
      <w:szCs w:val="24"/>
    </w:rPr>
  </w:style>
  <w:style w:type="character" w:styleId="1227" w:customStyle="1">
    <w:name w:val="NormalCharacter"/>
    <w:uiPriority w:val="0"/>
    <w:semiHidden/>
    <w:qFormat/>
  </w:style>
  <w:style w:type="numbering" w:styleId="9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6</cp:revision>
  <dcterms:created xsi:type="dcterms:W3CDTF">2023-11-14T02:36:00Z</dcterms:created>
  <dcterms:modified xsi:type="dcterms:W3CDTF">2026-07-08T09:00:46Z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C2F0AE592D864430B1E560EAE2189649_12</vt:lpwstr>
  </property>
  <property fmtid="{D5CDD505-2E9C-101B-9397-08002B2CF9AE}" pid="4" name="KSOTemplateDocerSaveRecord">
    <vt:lpwstr>eyJoZGlkIjoiMDgzM2JjOTYzZjVkZjI3NDFmYmZmZDgxMjU4NThiNzEiLCJ1c2VySWQiOiIzMDYyODI0MDcifQ==</vt:lpwstr>
  </property>
</Properties>
</file>