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F2E48ED">
      <w:pPr>
        <w:jc w:val="center"/>
        <w:rPr>
          <w:rFonts w:hint="eastAsia" w:ascii="宋体" w:hAnsi="宋体"/>
          <w:b/>
          <w:color w:val="auto"/>
          <w:sz w:val="30"/>
          <w:szCs w:val="30"/>
        </w:rPr>
      </w:pPr>
      <w:r>
        <w:rPr>
          <w:rFonts w:hint="eastAsia" w:ascii="宋体" w:hAnsi="宋体"/>
          <w:b/>
          <w:color w:val="auto"/>
          <w:sz w:val="30"/>
          <w:szCs w:val="30"/>
        </w:rPr>
        <w:t>丹阳市中医院新院家具采购项目-变更内容</w:t>
      </w:r>
    </w:p>
    <w:p w14:paraId="668FF7B4">
      <w:pPr>
        <w:jc w:val="left"/>
        <w:rPr>
          <w:rFonts w:ascii="宋体" w:hAnsi="宋体"/>
          <w:b/>
          <w:color w:val="auto"/>
          <w:sz w:val="24"/>
          <w:szCs w:val="24"/>
        </w:rPr>
      </w:pPr>
    </w:p>
    <w:p w14:paraId="000C9CCA">
      <w:pPr>
        <w:jc w:val="left"/>
        <w:rPr>
          <w:rFonts w:hint="default" w:ascii="宋体" w:hAnsi="宋体" w:eastAsiaTheme="minorEastAsia"/>
          <w:b/>
          <w:color w:val="auto"/>
          <w:sz w:val="24"/>
          <w:szCs w:val="24"/>
          <w:lang w:val="en-US" w:eastAsia="zh-CN"/>
        </w:rPr>
      </w:pPr>
      <w:r>
        <w:rPr>
          <w:rFonts w:hint="eastAsia" w:ascii="宋体" w:hAnsi="宋体"/>
          <w:b/>
          <w:color w:val="auto"/>
          <w:sz w:val="24"/>
          <w:szCs w:val="24"/>
          <w:lang w:val="en-US" w:eastAsia="zh-CN"/>
        </w:rPr>
        <w:t>一、变更内容</w:t>
      </w:r>
    </w:p>
    <w:p w14:paraId="61F791AA">
      <w:pPr>
        <w:jc w:val="left"/>
        <w:rPr>
          <w:rFonts w:ascii="宋体" w:hAnsi="宋体"/>
          <w:b/>
          <w:color w:val="auto"/>
          <w:sz w:val="24"/>
          <w:szCs w:val="24"/>
        </w:rPr>
      </w:pPr>
    </w:p>
    <w:tbl>
      <w:tblPr>
        <w:tblStyle w:val="5"/>
        <w:tblW w:w="604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9"/>
        <w:gridCol w:w="1652"/>
        <w:gridCol w:w="3728"/>
        <w:gridCol w:w="3703"/>
        <w:gridCol w:w="555"/>
      </w:tblGrid>
      <w:tr w14:paraId="4BE4EE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324" w:type="pct"/>
            <w:vAlign w:val="center"/>
          </w:tcPr>
          <w:p w14:paraId="3DFF40BE">
            <w:pPr>
              <w:spacing w:line="288" w:lineRule="auto"/>
              <w:jc w:val="center"/>
              <w:rPr>
                <w:rFonts w:cs="宋体" w:asciiTheme="minorEastAsia" w:hAnsiTheme="minorEastAsia"/>
                <w:b/>
                <w:bCs/>
                <w:color w:val="auto"/>
                <w:kern w:val="0"/>
                <w:sz w:val="20"/>
                <w:szCs w:val="21"/>
                <w:highlight w:val="none"/>
              </w:rPr>
            </w:pPr>
            <w:r>
              <w:rPr>
                <w:rFonts w:hint="eastAsia" w:asciiTheme="minorEastAsia" w:hAnsiTheme="minorEastAsia"/>
                <w:b/>
                <w:bCs/>
                <w:color w:val="auto"/>
                <w:kern w:val="0"/>
                <w:sz w:val="20"/>
                <w:szCs w:val="21"/>
                <w:highlight w:val="none"/>
              </w:rPr>
              <w:t>序号</w:t>
            </w:r>
          </w:p>
        </w:tc>
        <w:tc>
          <w:tcPr>
            <w:tcW w:w="801" w:type="pct"/>
            <w:vAlign w:val="center"/>
          </w:tcPr>
          <w:p w14:paraId="7A29B53F">
            <w:pPr>
              <w:spacing w:line="288" w:lineRule="auto"/>
              <w:jc w:val="center"/>
              <w:rPr>
                <w:rFonts w:cs="宋体" w:asciiTheme="minorEastAsia" w:hAnsiTheme="minorEastAsia"/>
                <w:b/>
                <w:bCs/>
                <w:color w:val="auto"/>
                <w:kern w:val="0"/>
                <w:sz w:val="20"/>
                <w:szCs w:val="21"/>
                <w:highlight w:val="none"/>
              </w:rPr>
            </w:pPr>
            <w:r>
              <w:rPr>
                <w:rFonts w:hint="eastAsia" w:asciiTheme="minorEastAsia" w:hAnsiTheme="minorEastAsia"/>
                <w:b/>
                <w:bCs/>
                <w:color w:val="auto"/>
                <w:kern w:val="0"/>
                <w:sz w:val="20"/>
                <w:szCs w:val="21"/>
                <w:highlight w:val="none"/>
              </w:rPr>
              <w:t>更正项</w:t>
            </w:r>
          </w:p>
        </w:tc>
        <w:tc>
          <w:tcPr>
            <w:tcW w:w="1808" w:type="pct"/>
            <w:vAlign w:val="center"/>
          </w:tcPr>
          <w:p w14:paraId="427243A5">
            <w:pPr>
              <w:spacing w:line="288" w:lineRule="auto"/>
              <w:jc w:val="center"/>
              <w:rPr>
                <w:rFonts w:cs="宋体" w:asciiTheme="minorEastAsia" w:hAnsiTheme="minorEastAsia"/>
                <w:b/>
                <w:bCs/>
                <w:color w:val="auto"/>
                <w:kern w:val="0"/>
                <w:sz w:val="20"/>
                <w:szCs w:val="21"/>
                <w:highlight w:val="none"/>
              </w:rPr>
            </w:pPr>
            <w:r>
              <w:rPr>
                <w:rFonts w:hint="eastAsia" w:asciiTheme="minorEastAsia" w:hAnsiTheme="minorEastAsia"/>
                <w:b/>
                <w:bCs/>
                <w:color w:val="auto"/>
                <w:kern w:val="0"/>
                <w:sz w:val="20"/>
                <w:szCs w:val="21"/>
                <w:highlight w:val="none"/>
              </w:rPr>
              <w:t>更正前内容</w:t>
            </w:r>
          </w:p>
        </w:tc>
        <w:tc>
          <w:tcPr>
            <w:tcW w:w="1796" w:type="pct"/>
            <w:vAlign w:val="center"/>
          </w:tcPr>
          <w:p w14:paraId="1569CFBC">
            <w:pPr>
              <w:spacing w:line="288" w:lineRule="auto"/>
              <w:jc w:val="center"/>
              <w:rPr>
                <w:rFonts w:cs="宋体" w:asciiTheme="minorEastAsia" w:hAnsiTheme="minorEastAsia"/>
                <w:b/>
                <w:bCs/>
                <w:color w:val="auto"/>
                <w:kern w:val="0"/>
                <w:sz w:val="20"/>
                <w:szCs w:val="21"/>
                <w:highlight w:val="none"/>
              </w:rPr>
            </w:pPr>
            <w:r>
              <w:rPr>
                <w:rFonts w:hint="eastAsia" w:asciiTheme="minorEastAsia" w:hAnsiTheme="minorEastAsia"/>
                <w:b/>
                <w:bCs/>
                <w:color w:val="auto"/>
                <w:kern w:val="0"/>
                <w:sz w:val="20"/>
                <w:szCs w:val="21"/>
                <w:highlight w:val="none"/>
              </w:rPr>
              <w:t>更正后内容</w:t>
            </w:r>
          </w:p>
        </w:tc>
        <w:tc>
          <w:tcPr>
            <w:tcW w:w="269" w:type="pct"/>
            <w:vAlign w:val="center"/>
          </w:tcPr>
          <w:p w14:paraId="0E5D9844">
            <w:pPr>
              <w:spacing w:line="288" w:lineRule="auto"/>
              <w:jc w:val="center"/>
              <w:rPr>
                <w:rFonts w:cs="宋体" w:asciiTheme="minorEastAsia" w:hAnsiTheme="minorEastAsia"/>
                <w:b/>
                <w:bCs/>
                <w:color w:val="auto"/>
                <w:kern w:val="0"/>
                <w:sz w:val="20"/>
                <w:szCs w:val="21"/>
                <w:highlight w:val="none"/>
              </w:rPr>
            </w:pPr>
            <w:r>
              <w:rPr>
                <w:rFonts w:hint="eastAsia" w:asciiTheme="minorEastAsia" w:hAnsiTheme="minorEastAsia"/>
                <w:b/>
                <w:bCs/>
                <w:color w:val="auto"/>
                <w:kern w:val="0"/>
                <w:sz w:val="20"/>
                <w:szCs w:val="21"/>
                <w:highlight w:val="none"/>
              </w:rPr>
              <w:t>备注</w:t>
            </w:r>
          </w:p>
        </w:tc>
      </w:tr>
      <w:tr w14:paraId="1728A8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324" w:type="pct"/>
            <w:vAlign w:val="center"/>
          </w:tcPr>
          <w:p w14:paraId="56334E85">
            <w:pPr>
              <w:spacing w:line="288" w:lineRule="auto"/>
              <w:jc w:val="center"/>
              <w:rPr>
                <w:rFonts w:hint="eastAsia" w:ascii="宋体" w:hAnsi="宋体" w:eastAsia="宋体" w:cs="宋体"/>
                <w:color w:val="auto"/>
                <w:kern w:val="0"/>
                <w:sz w:val="20"/>
                <w:szCs w:val="21"/>
                <w:highlight w:val="none"/>
              </w:rPr>
            </w:pPr>
            <w:r>
              <w:rPr>
                <w:rFonts w:hint="eastAsia" w:ascii="宋体" w:hAnsi="宋体" w:eastAsia="宋体" w:cs="宋体"/>
                <w:color w:val="auto"/>
                <w:kern w:val="0"/>
                <w:sz w:val="20"/>
                <w:szCs w:val="21"/>
                <w:highlight w:val="none"/>
                <w:lang w:val="en-US" w:eastAsia="zh-CN"/>
              </w:rPr>
              <w:t>1</w:t>
            </w:r>
          </w:p>
        </w:tc>
        <w:tc>
          <w:tcPr>
            <w:tcW w:w="801" w:type="pct"/>
            <w:vAlign w:val="center"/>
          </w:tcPr>
          <w:p w14:paraId="43657080">
            <w:pPr>
              <w:pStyle w:val="9"/>
              <w:numPr>
                <w:ilvl w:val="0"/>
                <w:numId w:val="0"/>
              </w:numPr>
              <w:spacing w:line="360" w:lineRule="auto"/>
              <w:ind w:left="0" w:leftChars="0" w:firstLine="0" w:firstLineChars="0"/>
              <w:rPr>
                <w:rFonts w:hint="eastAsia" w:ascii="宋体" w:hAnsi="宋体" w:cs="宋体"/>
                <w:bCs/>
                <w:color w:val="auto"/>
                <w:kern w:val="0"/>
                <w:sz w:val="24"/>
                <w:szCs w:val="24"/>
                <w:highlight w:val="none"/>
                <w:lang w:eastAsia="zh-CN"/>
              </w:rPr>
            </w:pPr>
            <w:r>
              <w:rPr>
                <w:rFonts w:hint="eastAsia" w:ascii="宋体" w:hAnsi="宋体" w:cs="宋体"/>
                <w:bCs/>
                <w:color w:val="auto"/>
                <w:kern w:val="0"/>
                <w:sz w:val="24"/>
                <w:szCs w:val="24"/>
                <w:highlight w:val="none"/>
                <w:lang w:eastAsia="zh-CN"/>
              </w:rPr>
              <w:t>采购</w:t>
            </w:r>
            <w:r>
              <w:rPr>
                <w:rFonts w:hint="eastAsia" w:ascii="宋体" w:hAnsi="宋体" w:cs="宋体"/>
                <w:bCs/>
                <w:color w:val="auto"/>
                <w:kern w:val="0"/>
                <w:sz w:val="24"/>
                <w:szCs w:val="24"/>
                <w:highlight w:val="none"/>
              </w:rPr>
              <w:t>文件</w:t>
            </w:r>
            <w:r>
              <w:rPr>
                <w:rFonts w:hint="eastAsia" w:ascii="宋体" w:hAnsi="宋体" w:cs="宋体"/>
                <w:bCs/>
                <w:color w:val="auto"/>
                <w:kern w:val="0"/>
                <w:sz w:val="24"/>
                <w:szCs w:val="24"/>
                <w:highlight w:val="none"/>
                <w:lang w:eastAsia="zh-CN"/>
              </w:rPr>
              <w:t>“第二部分 投标人须知”</w:t>
            </w:r>
            <w:r>
              <w:rPr>
                <w:rFonts w:hint="eastAsia" w:ascii="宋体" w:hAnsi="宋体" w:cs="宋体"/>
                <w:bCs/>
                <w:color w:val="auto"/>
                <w:kern w:val="0"/>
                <w:sz w:val="24"/>
                <w:szCs w:val="24"/>
                <w:highlight w:val="none"/>
                <w:lang w:val="en-US" w:eastAsia="zh-CN"/>
              </w:rPr>
              <w:t>-“前附表”-“6 样品”</w:t>
            </w:r>
          </w:p>
        </w:tc>
        <w:tc>
          <w:tcPr>
            <w:tcW w:w="1808" w:type="pct"/>
            <w:vAlign w:val="center"/>
          </w:tcPr>
          <w:p w14:paraId="215E83C0">
            <w:pPr>
              <w:keepNext/>
              <w:tabs>
                <w:tab w:val="left" w:pos="432"/>
              </w:tabs>
              <w:jc w:val="left"/>
              <w:outlineLvl w:val="0"/>
              <w:rPr>
                <w:rFonts w:hint="eastAsia" w:ascii="宋体" w:hAnsi="宋体" w:eastAsia="宋体" w:cs="宋体"/>
                <w:color w:val="auto"/>
                <w:kern w:val="0"/>
                <w:sz w:val="24"/>
                <w:szCs w:val="24"/>
                <w:highlight w:val="none"/>
                <w:lang w:val="zh-CN" w:bidi="zh-CN"/>
              </w:rPr>
            </w:pPr>
            <w:r>
              <w:rPr>
                <w:rFonts w:hint="eastAsia" w:ascii="宋体" w:hAnsi="宋体" w:eastAsia="宋体" w:cs="宋体"/>
                <w:color w:val="auto"/>
                <w:kern w:val="0"/>
                <w:sz w:val="24"/>
                <w:szCs w:val="24"/>
                <w:highlight w:val="none"/>
                <w:lang w:val="zh-CN" w:bidi="zh-CN"/>
              </w:rPr>
              <w:t>（5）提供样品的时间：2026年8月1</w:t>
            </w:r>
            <w:r>
              <w:rPr>
                <w:rFonts w:hint="eastAsia" w:ascii="宋体" w:hAnsi="宋体" w:eastAsia="宋体" w:cs="宋体"/>
                <w:color w:val="auto"/>
                <w:kern w:val="0"/>
                <w:sz w:val="24"/>
                <w:szCs w:val="24"/>
                <w:highlight w:val="none"/>
                <w:lang w:val="en-US" w:bidi="zh-CN"/>
              </w:rPr>
              <w:t>0</w:t>
            </w:r>
            <w:r>
              <w:rPr>
                <w:rFonts w:hint="eastAsia" w:ascii="宋体" w:hAnsi="宋体" w:eastAsia="宋体" w:cs="宋体"/>
                <w:color w:val="auto"/>
                <w:kern w:val="0"/>
                <w:sz w:val="24"/>
                <w:szCs w:val="24"/>
                <w:highlight w:val="none"/>
                <w:lang w:val="zh-CN" w:bidi="zh-CN"/>
              </w:rPr>
              <w:t>日9:00-17:00；地点：丹阳市开发区兰陵路88号4楼418室；联系人：王东，联系电话：0511-86906230 。请投标人在上述时间内提供样品并按规定位置安装完毕。超过截止时间的，采购人或采购代理机构将不予接收及安装，并将清场并封闭样品现场。</w:t>
            </w:r>
          </w:p>
        </w:tc>
        <w:tc>
          <w:tcPr>
            <w:tcW w:w="1796" w:type="pct"/>
            <w:vAlign w:val="center"/>
          </w:tcPr>
          <w:p w14:paraId="38C2D566">
            <w:pPr>
              <w:keepNext/>
              <w:tabs>
                <w:tab w:val="left" w:pos="432"/>
              </w:tabs>
              <w:jc w:val="left"/>
              <w:outlineLvl w:val="0"/>
              <w:rPr>
                <w:rFonts w:hint="eastAsia" w:ascii="宋体" w:hAnsi="宋体" w:eastAsia="宋体" w:cs="宋体"/>
                <w:color w:val="auto"/>
                <w:kern w:val="0"/>
                <w:sz w:val="24"/>
                <w:szCs w:val="24"/>
                <w:highlight w:val="none"/>
                <w:lang w:val="en-US" w:eastAsia="zh-CN" w:bidi="zh-CN"/>
              </w:rPr>
            </w:pPr>
            <w:r>
              <w:rPr>
                <w:rFonts w:hint="eastAsia" w:ascii="宋体" w:hAnsi="宋体" w:eastAsia="宋体" w:cs="宋体"/>
                <w:color w:val="auto"/>
                <w:kern w:val="0"/>
                <w:sz w:val="24"/>
                <w:szCs w:val="24"/>
                <w:highlight w:val="none"/>
                <w:lang w:val="zh-CN" w:bidi="zh-CN"/>
              </w:rPr>
              <w:t>（5）提供样品的时间：2026年8月11日9:00-17:00；地点：丹阳市开发区兰陵路88号4楼418室；联系人：王东，联系电话：0511-86906230 。请投标人在上述时间内提供样品并按规定位置安装完毕。超过截止时间的，采购人或采购代理机构将不予接收及安装，并将清场并封闭样品现场。</w:t>
            </w:r>
          </w:p>
        </w:tc>
        <w:tc>
          <w:tcPr>
            <w:tcW w:w="269" w:type="pct"/>
            <w:vAlign w:val="center"/>
          </w:tcPr>
          <w:p w14:paraId="1775DB7A">
            <w:pPr>
              <w:spacing w:line="288" w:lineRule="auto"/>
              <w:jc w:val="center"/>
              <w:rPr>
                <w:rFonts w:ascii="宋体" w:hAnsi="宋体" w:cs="宋体"/>
                <w:bCs/>
                <w:color w:val="auto"/>
                <w:kern w:val="0"/>
                <w:sz w:val="24"/>
                <w:szCs w:val="24"/>
                <w:highlight w:val="none"/>
              </w:rPr>
            </w:pPr>
          </w:p>
        </w:tc>
      </w:tr>
      <w:tr w14:paraId="416EF0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324" w:type="pct"/>
            <w:vAlign w:val="center"/>
          </w:tcPr>
          <w:p w14:paraId="09913925">
            <w:pPr>
              <w:spacing w:line="288" w:lineRule="auto"/>
              <w:jc w:val="center"/>
              <w:rPr>
                <w:rFonts w:hint="eastAsia" w:ascii="宋体" w:hAnsi="宋体" w:eastAsia="宋体" w:cs="宋体"/>
                <w:color w:val="auto"/>
                <w:kern w:val="0"/>
                <w:sz w:val="20"/>
                <w:szCs w:val="21"/>
                <w:highlight w:val="none"/>
                <w:lang w:eastAsia="zh-CN"/>
              </w:rPr>
            </w:pPr>
            <w:r>
              <w:rPr>
                <w:rFonts w:hint="eastAsia" w:ascii="宋体" w:hAnsi="宋体" w:eastAsia="宋体" w:cs="宋体"/>
                <w:color w:val="auto"/>
                <w:kern w:val="0"/>
                <w:sz w:val="20"/>
                <w:szCs w:val="21"/>
                <w:highlight w:val="none"/>
                <w:lang w:val="en-US" w:eastAsia="zh-CN"/>
              </w:rPr>
              <w:t>2</w:t>
            </w:r>
          </w:p>
        </w:tc>
        <w:tc>
          <w:tcPr>
            <w:tcW w:w="801" w:type="pct"/>
            <w:vAlign w:val="center"/>
          </w:tcPr>
          <w:p w14:paraId="594310E4">
            <w:pPr>
              <w:pStyle w:val="9"/>
              <w:numPr>
                <w:ilvl w:val="0"/>
                <w:numId w:val="0"/>
              </w:numPr>
              <w:spacing w:line="360" w:lineRule="auto"/>
              <w:rPr>
                <w:rFonts w:hint="eastAsia" w:ascii="宋体" w:hAnsi="宋体" w:cs="宋体" w:eastAsiaTheme="minorEastAsia"/>
                <w:bCs/>
                <w:color w:val="auto"/>
                <w:kern w:val="0"/>
                <w:sz w:val="24"/>
                <w:szCs w:val="24"/>
                <w:highlight w:val="none"/>
                <w:lang w:eastAsia="zh-CN"/>
              </w:rPr>
            </w:pPr>
            <w:r>
              <w:rPr>
                <w:rFonts w:hint="eastAsia" w:ascii="宋体" w:hAnsi="宋体" w:cs="宋体"/>
                <w:bCs/>
                <w:color w:val="auto"/>
                <w:kern w:val="0"/>
                <w:sz w:val="24"/>
                <w:szCs w:val="24"/>
                <w:highlight w:val="none"/>
                <w:lang w:eastAsia="zh-CN"/>
              </w:rPr>
              <w:t>采购</w:t>
            </w:r>
            <w:r>
              <w:rPr>
                <w:rFonts w:hint="eastAsia" w:ascii="宋体" w:hAnsi="宋体" w:cs="宋体"/>
                <w:bCs/>
                <w:color w:val="auto"/>
                <w:kern w:val="0"/>
                <w:sz w:val="24"/>
                <w:szCs w:val="24"/>
                <w:highlight w:val="none"/>
              </w:rPr>
              <w:t>文件</w:t>
            </w:r>
            <w:r>
              <w:rPr>
                <w:rFonts w:hint="eastAsia" w:ascii="宋体" w:hAnsi="宋体" w:cs="宋体"/>
                <w:bCs/>
                <w:color w:val="auto"/>
                <w:kern w:val="0"/>
                <w:sz w:val="24"/>
                <w:szCs w:val="24"/>
                <w:highlight w:val="none"/>
                <w:lang w:eastAsia="zh-CN"/>
              </w:rPr>
              <w:t>“第四部分 采购需求”</w:t>
            </w:r>
            <w:r>
              <w:rPr>
                <w:rFonts w:hint="eastAsia" w:ascii="宋体" w:hAnsi="宋体" w:cs="宋体"/>
                <w:bCs/>
                <w:color w:val="auto"/>
                <w:kern w:val="0"/>
                <w:sz w:val="24"/>
                <w:szCs w:val="24"/>
                <w:highlight w:val="none"/>
                <w:lang w:val="en-US" w:eastAsia="zh-CN"/>
              </w:rPr>
              <w:t>-</w:t>
            </w:r>
            <w:r>
              <w:rPr>
                <w:rFonts w:hint="eastAsia" w:ascii="宋体" w:hAnsi="宋体" w:cs="宋体"/>
                <w:bCs/>
                <w:color w:val="auto"/>
                <w:kern w:val="0"/>
                <w:sz w:val="24"/>
                <w:szCs w:val="24"/>
                <w:highlight w:val="none"/>
                <w:lang w:eastAsia="zh-CN"/>
              </w:rPr>
              <w:t>“四、</w:t>
            </w:r>
            <w:r>
              <w:rPr>
                <w:rFonts w:hint="eastAsia" w:ascii="宋体" w:hAnsi="宋体" w:cs="宋体"/>
                <w:color w:val="auto"/>
                <w:sz w:val="24"/>
                <w:highlight w:val="none"/>
              </w:rPr>
              <w:t>服务要求</w:t>
            </w:r>
            <w:r>
              <w:rPr>
                <w:rFonts w:hint="eastAsia" w:ascii="宋体" w:hAnsi="宋体" w:cs="宋体"/>
                <w:bCs/>
                <w:color w:val="auto"/>
                <w:kern w:val="0"/>
                <w:sz w:val="24"/>
                <w:szCs w:val="24"/>
                <w:highlight w:val="none"/>
                <w:lang w:eastAsia="zh-CN"/>
              </w:rPr>
              <w:t>”</w:t>
            </w:r>
          </w:p>
        </w:tc>
        <w:tc>
          <w:tcPr>
            <w:tcW w:w="1808" w:type="pct"/>
            <w:vAlign w:val="center"/>
          </w:tcPr>
          <w:p w14:paraId="4CF68187">
            <w:pPr>
              <w:keepNext/>
              <w:tabs>
                <w:tab w:val="left" w:pos="432"/>
              </w:tabs>
              <w:jc w:val="left"/>
              <w:outlineLvl w:val="0"/>
              <w:rPr>
                <w:rFonts w:ascii="宋体" w:hAnsi="宋体" w:eastAsia="宋体" w:cs="宋体"/>
                <w:color w:val="auto"/>
                <w:kern w:val="0"/>
                <w:sz w:val="24"/>
                <w:szCs w:val="24"/>
                <w:highlight w:val="none"/>
                <w:lang w:val="zh-CN" w:bidi="zh-CN"/>
              </w:rPr>
            </w:pPr>
            <w:r>
              <w:rPr>
                <w:rFonts w:hint="eastAsia" w:ascii="宋体" w:hAnsi="宋体" w:eastAsia="宋体" w:cs="宋体"/>
                <w:color w:val="auto"/>
                <w:kern w:val="0"/>
                <w:sz w:val="24"/>
                <w:szCs w:val="24"/>
                <w:highlight w:val="none"/>
                <w:lang w:val="zh-CN" w:bidi="zh-CN"/>
              </w:rPr>
              <w:t>4.采购清单中所有产品尺寸不得偏差±5mm以上，采购清单中产品材质的用料不得出现偏离，采购清单中材质的厚度及壁厚的参数不可负偏离，否则均视为无效投标。</w:t>
            </w:r>
          </w:p>
        </w:tc>
        <w:tc>
          <w:tcPr>
            <w:tcW w:w="1796" w:type="pct"/>
            <w:vAlign w:val="center"/>
          </w:tcPr>
          <w:p w14:paraId="2C4F28C4">
            <w:pPr>
              <w:keepNext/>
              <w:tabs>
                <w:tab w:val="left" w:pos="432"/>
              </w:tabs>
              <w:jc w:val="left"/>
              <w:outlineLvl w:val="0"/>
              <w:rPr>
                <w:rFonts w:ascii="宋体" w:hAnsi="宋体" w:eastAsia="宋体" w:cs="宋体"/>
                <w:color w:val="auto"/>
                <w:kern w:val="0"/>
                <w:sz w:val="24"/>
                <w:szCs w:val="24"/>
                <w:highlight w:val="none"/>
                <w:lang w:val="zh-CN" w:bidi="zh-CN"/>
              </w:rPr>
            </w:pPr>
            <w:r>
              <w:rPr>
                <w:rFonts w:hint="eastAsia" w:ascii="宋体" w:hAnsi="宋体" w:eastAsia="宋体" w:cs="宋体"/>
                <w:color w:val="auto"/>
                <w:kern w:val="0"/>
                <w:sz w:val="24"/>
                <w:szCs w:val="24"/>
                <w:highlight w:val="none"/>
                <w:lang w:val="en-US" w:eastAsia="zh-CN" w:bidi="zh-CN"/>
              </w:rPr>
              <w:t>4.采购清单中产品材质的用料不得出现偏离，采购清单中材质的厚度及壁厚的参数不可负偏离，否则均视为无效投标。</w:t>
            </w:r>
            <w:r>
              <w:rPr>
                <w:rFonts w:hint="eastAsia" w:ascii="宋体" w:hAnsi="宋体" w:eastAsia="宋体" w:cs="宋体"/>
                <w:color w:val="auto"/>
                <w:kern w:val="0"/>
                <w:sz w:val="24"/>
                <w:szCs w:val="24"/>
                <w:highlight w:val="none"/>
                <w:lang w:val="en-US" w:eastAsia="zh-CN" w:bidi="zh-CN"/>
              </w:rPr>
              <w:br w:type="textWrapping"/>
            </w:r>
          </w:p>
        </w:tc>
        <w:tc>
          <w:tcPr>
            <w:tcW w:w="269" w:type="pct"/>
            <w:vAlign w:val="center"/>
          </w:tcPr>
          <w:p w14:paraId="743AED7C">
            <w:pPr>
              <w:spacing w:line="288" w:lineRule="auto"/>
              <w:jc w:val="center"/>
              <w:rPr>
                <w:rFonts w:ascii="宋体" w:hAnsi="宋体" w:cs="宋体"/>
                <w:bCs/>
                <w:color w:val="auto"/>
                <w:kern w:val="0"/>
                <w:sz w:val="24"/>
                <w:szCs w:val="24"/>
                <w:highlight w:val="none"/>
              </w:rPr>
            </w:pPr>
          </w:p>
        </w:tc>
      </w:tr>
      <w:tr w14:paraId="1665AB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324" w:type="pct"/>
            <w:vAlign w:val="center"/>
          </w:tcPr>
          <w:p w14:paraId="1BA6D270">
            <w:pPr>
              <w:spacing w:line="288" w:lineRule="auto"/>
              <w:jc w:val="center"/>
              <w:rPr>
                <w:rFonts w:hint="eastAsia" w:ascii="宋体" w:hAnsi="宋体" w:eastAsia="宋体" w:cs="宋体"/>
                <w:color w:val="auto"/>
                <w:kern w:val="0"/>
                <w:sz w:val="20"/>
                <w:szCs w:val="21"/>
                <w:highlight w:val="none"/>
                <w:lang w:val="en-US" w:eastAsia="zh-CN"/>
              </w:rPr>
            </w:pPr>
            <w:r>
              <w:rPr>
                <w:rFonts w:hint="eastAsia" w:ascii="宋体" w:hAnsi="宋体" w:eastAsia="宋体" w:cs="宋体"/>
                <w:color w:val="auto"/>
                <w:kern w:val="0"/>
                <w:sz w:val="20"/>
                <w:szCs w:val="21"/>
                <w:highlight w:val="none"/>
                <w:lang w:val="en-US" w:eastAsia="zh-CN"/>
              </w:rPr>
              <w:t>3</w:t>
            </w:r>
          </w:p>
        </w:tc>
        <w:tc>
          <w:tcPr>
            <w:tcW w:w="801" w:type="pct"/>
            <w:vAlign w:val="center"/>
          </w:tcPr>
          <w:p w14:paraId="4905F370">
            <w:pPr>
              <w:pStyle w:val="9"/>
              <w:numPr>
                <w:ilvl w:val="0"/>
                <w:numId w:val="0"/>
              </w:numPr>
              <w:spacing w:line="360" w:lineRule="auto"/>
              <w:rPr>
                <w:rFonts w:hint="eastAsia" w:ascii="宋体" w:hAnsi="宋体" w:cs="宋体"/>
                <w:bCs/>
                <w:color w:val="auto"/>
                <w:kern w:val="0"/>
                <w:sz w:val="24"/>
                <w:szCs w:val="24"/>
                <w:highlight w:val="none"/>
                <w:lang w:eastAsia="zh-CN"/>
              </w:rPr>
            </w:pPr>
            <w:r>
              <w:rPr>
                <w:rFonts w:hint="eastAsia" w:ascii="宋体" w:hAnsi="宋体" w:cs="宋体"/>
                <w:bCs/>
                <w:color w:val="auto"/>
                <w:kern w:val="0"/>
                <w:sz w:val="24"/>
                <w:szCs w:val="24"/>
                <w:highlight w:val="none"/>
                <w:lang w:eastAsia="zh-CN"/>
              </w:rPr>
              <w:t>采购</w:t>
            </w:r>
            <w:r>
              <w:rPr>
                <w:rFonts w:hint="eastAsia" w:ascii="宋体" w:hAnsi="宋体" w:cs="宋体"/>
                <w:bCs/>
                <w:color w:val="auto"/>
                <w:kern w:val="0"/>
                <w:sz w:val="24"/>
                <w:szCs w:val="24"/>
                <w:highlight w:val="none"/>
              </w:rPr>
              <w:t>文件</w:t>
            </w:r>
            <w:r>
              <w:rPr>
                <w:rFonts w:hint="eastAsia" w:ascii="宋体" w:hAnsi="宋体" w:cs="宋体"/>
                <w:bCs/>
                <w:color w:val="auto"/>
                <w:kern w:val="0"/>
                <w:sz w:val="24"/>
                <w:szCs w:val="24"/>
                <w:highlight w:val="none"/>
                <w:lang w:eastAsia="zh-CN"/>
              </w:rPr>
              <w:t>“第四部分 采购需求”</w:t>
            </w:r>
            <w:r>
              <w:rPr>
                <w:rFonts w:hint="eastAsia" w:ascii="宋体" w:hAnsi="宋体" w:cs="宋体"/>
                <w:bCs/>
                <w:color w:val="auto"/>
                <w:kern w:val="0"/>
                <w:sz w:val="24"/>
                <w:szCs w:val="24"/>
                <w:highlight w:val="none"/>
                <w:lang w:val="en-US" w:eastAsia="zh-CN"/>
              </w:rPr>
              <w:t>-</w:t>
            </w:r>
            <w:r>
              <w:rPr>
                <w:rFonts w:hint="eastAsia" w:ascii="宋体" w:hAnsi="宋体" w:cs="宋体"/>
                <w:bCs/>
                <w:color w:val="auto"/>
                <w:kern w:val="0"/>
                <w:sz w:val="24"/>
                <w:szCs w:val="24"/>
                <w:highlight w:val="none"/>
                <w:lang w:eastAsia="zh-CN"/>
              </w:rPr>
              <w:t>“七.供货及验收要求”</w:t>
            </w:r>
          </w:p>
        </w:tc>
        <w:tc>
          <w:tcPr>
            <w:tcW w:w="1808" w:type="pct"/>
            <w:vAlign w:val="center"/>
          </w:tcPr>
          <w:p w14:paraId="546012D5">
            <w:pPr>
              <w:keepNext/>
              <w:tabs>
                <w:tab w:val="left" w:pos="432"/>
              </w:tabs>
              <w:jc w:val="left"/>
              <w:outlineLvl w:val="0"/>
              <w:rPr>
                <w:rFonts w:hint="eastAsia" w:ascii="宋体" w:hAnsi="宋体" w:eastAsia="宋体" w:cs="宋体"/>
                <w:color w:val="auto"/>
                <w:kern w:val="0"/>
                <w:sz w:val="24"/>
                <w:szCs w:val="24"/>
                <w:highlight w:val="none"/>
                <w:lang w:val="zh-CN" w:bidi="zh-CN"/>
              </w:rPr>
            </w:pPr>
            <w:r>
              <w:rPr>
                <w:rFonts w:hint="eastAsia" w:ascii="宋体" w:hAnsi="宋体" w:eastAsia="宋体" w:cs="宋体"/>
                <w:color w:val="auto"/>
                <w:kern w:val="0"/>
                <w:sz w:val="24"/>
                <w:szCs w:val="24"/>
                <w:highlight w:val="none"/>
                <w:lang w:val="zh-CN" w:bidi="zh-CN"/>
              </w:rPr>
              <w:t>1.中标人应保证其货物在正确安装、正常使用和保养条件下，在其使用寿命内能正常使用。在货物安装竣工验收合格后的质量保证期内，应对由于家具的设计和制造或材料的缺陷而产生的故障负全责。应保证家具所用主要原材料均需为国家法规及行业规范允许使用并符合环保要求的材料，采购需求清单中主要原材料如：电解钢板、刨花板、皮革、海绵、网布等均需通过阻燃等级检测或燃烧性能检测；</w:t>
            </w:r>
          </w:p>
        </w:tc>
        <w:tc>
          <w:tcPr>
            <w:tcW w:w="1796" w:type="pct"/>
            <w:vAlign w:val="center"/>
          </w:tcPr>
          <w:p w14:paraId="480C072E">
            <w:pPr>
              <w:keepNext/>
              <w:tabs>
                <w:tab w:val="left" w:pos="432"/>
              </w:tabs>
              <w:jc w:val="left"/>
              <w:outlineLvl w:val="0"/>
              <w:rPr>
                <w:rFonts w:hint="eastAsia" w:ascii="宋体" w:hAnsi="宋体" w:eastAsia="宋体" w:cs="宋体"/>
                <w:color w:val="auto"/>
                <w:kern w:val="0"/>
                <w:sz w:val="24"/>
                <w:szCs w:val="24"/>
                <w:highlight w:val="none"/>
                <w:lang w:val="en-US" w:eastAsia="zh-CN" w:bidi="zh-CN"/>
              </w:rPr>
            </w:pPr>
            <w:r>
              <w:rPr>
                <w:rFonts w:hint="eastAsia" w:ascii="宋体" w:hAnsi="宋体" w:eastAsia="宋体" w:cs="宋体"/>
                <w:color w:val="auto"/>
                <w:kern w:val="0"/>
                <w:sz w:val="24"/>
                <w:szCs w:val="24"/>
                <w:highlight w:val="none"/>
                <w:lang w:val="en-US" w:eastAsia="zh-CN" w:bidi="zh-CN"/>
              </w:rPr>
              <w:t>1.中标人应保证其货物在正确安装、正常使用和保养条件下，在其使用寿命内能正常使用。在货物安装竣工验收合格后的质量保证期内，应对由于家具的设计和制造或材料的缺陷而产生的故障负全责。应保证家具所用主要原材料均需为国家法规及行业规范允许使用并符合环保要求的材料，采购需求清单中主要原材料如：电解钢板、刨花板、皮革、海绵、网布等均需通过阻燃等级检测或燃烧性能检测；主要五金配件如：铰链、导轨以及主要金属如：电解钢板、304不锈钢、钢管、钢脚等需达到如下要求：经过≥200小时乙酸盐雾试验后，镀（涂）层本身的耐腐蚀等级≥9级，镀（涂）层对基体的保护等级≥9级；医用皮革和人造石需通过防霉测试。</w:t>
            </w:r>
          </w:p>
        </w:tc>
        <w:tc>
          <w:tcPr>
            <w:tcW w:w="269" w:type="pct"/>
            <w:vAlign w:val="center"/>
          </w:tcPr>
          <w:p w14:paraId="01BA49D9">
            <w:pPr>
              <w:spacing w:line="288" w:lineRule="auto"/>
              <w:jc w:val="center"/>
              <w:rPr>
                <w:rFonts w:ascii="宋体" w:hAnsi="宋体" w:cs="宋体"/>
                <w:bCs/>
                <w:color w:val="auto"/>
                <w:kern w:val="0"/>
                <w:sz w:val="24"/>
                <w:szCs w:val="24"/>
                <w:highlight w:val="none"/>
              </w:rPr>
            </w:pPr>
          </w:p>
        </w:tc>
      </w:tr>
      <w:tr w14:paraId="0AC180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324" w:type="pct"/>
            <w:vAlign w:val="center"/>
          </w:tcPr>
          <w:p w14:paraId="26F99FA0">
            <w:pPr>
              <w:spacing w:line="288" w:lineRule="auto"/>
              <w:jc w:val="center"/>
              <w:rPr>
                <w:rFonts w:hint="eastAsia" w:ascii="宋体" w:hAnsi="宋体" w:eastAsia="宋体" w:cs="宋体"/>
                <w:color w:val="auto"/>
                <w:kern w:val="0"/>
                <w:sz w:val="20"/>
                <w:szCs w:val="21"/>
                <w:highlight w:val="none"/>
                <w:lang w:val="en-US" w:eastAsia="zh-CN"/>
              </w:rPr>
            </w:pPr>
            <w:r>
              <w:rPr>
                <w:rFonts w:hint="eastAsia" w:ascii="宋体" w:hAnsi="宋体" w:eastAsia="宋体" w:cs="宋体"/>
                <w:color w:val="auto"/>
                <w:kern w:val="0"/>
                <w:sz w:val="20"/>
                <w:szCs w:val="21"/>
                <w:highlight w:val="none"/>
                <w:lang w:val="en-US" w:eastAsia="zh-CN"/>
              </w:rPr>
              <w:t>4</w:t>
            </w:r>
          </w:p>
        </w:tc>
        <w:tc>
          <w:tcPr>
            <w:tcW w:w="801" w:type="pct"/>
            <w:vAlign w:val="center"/>
          </w:tcPr>
          <w:p w14:paraId="1F9D82A2">
            <w:pPr>
              <w:pStyle w:val="9"/>
              <w:numPr>
                <w:ilvl w:val="0"/>
                <w:numId w:val="0"/>
              </w:numPr>
              <w:spacing w:line="360" w:lineRule="auto"/>
              <w:rPr>
                <w:rFonts w:hint="default" w:ascii="宋体" w:hAnsi="宋体" w:cs="宋体"/>
                <w:bCs/>
                <w:color w:val="auto"/>
                <w:kern w:val="0"/>
                <w:sz w:val="24"/>
                <w:szCs w:val="24"/>
                <w:highlight w:val="none"/>
                <w:lang w:val="en-US" w:eastAsia="zh-CN"/>
              </w:rPr>
            </w:pPr>
            <w:r>
              <w:rPr>
                <w:rFonts w:hint="eastAsia" w:ascii="宋体" w:hAnsi="宋体" w:cs="宋体"/>
                <w:bCs/>
                <w:color w:val="auto"/>
                <w:kern w:val="0"/>
                <w:sz w:val="24"/>
                <w:szCs w:val="24"/>
                <w:highlight w:val="none"/>
                <w:lang w:eastAsia="zh-CN"/>
              </w:rPr>
              <w:t>采购</w:t>
            </w:r>
            <w:r>
              <w:rPr>
                <w:rFonts w:hint="eastAsia" w:ascii="宋体" w:hAnsi="宋体" w:cs="宋体"/>
                <w:bCs/>
                <w:color w:val="auto"/>
                <w:kern w:val="0"/>
                <w:sz w:val="24"/>
                <w:szCs w:val="24"/>
                <w:highlight w:val="none"/>
              </w:rPr>
              <w:t>文件</w:t>
            </w:r>
            <w:r>
              <w:rPr>
                <w:rFonts w:hint="eastAsia" w:ascii="宋体" w:hAnsi="宋体" w:cs="宋体"/>
                <w:bCs/>
                <w:color w:val="auto"/>
                <w:kern w:val="0"/>
                <w:sz w:val="24"/>
                <w:szCs w:val="24"/>
                <w:highlight w:val="none"/>
                <w:lang w:eastAsia="zh-CN"/>
              </w:rPr>
              <w:t>“附件：采购清单（采购包1）（标记“○”的产品参与本标段工艺方案评价）”</w:t>
            </w:r>
            <w:r>
              <w:rPr>
                <w:rFonts w:hint="eastAsia" w:ascii="宋体" w:hAnsi="宋体" w:cs="宋体"/>
                <w:bCs/>
                <w:color w:val="auto"/>
                <w:kern w:val="0"/>
                <w:sz w:val="24"/>
                <w:szCs w:val="24"/>
                <w:highlight w:val="none"/>
                <w:lang w:val="en-US" w:eastAsia="zh-CN"/>
              </w:rPr>
              <w:t>-</w:t>
            </w:r>
            <w:r>
              <w:rPr>
                <w:rFonts w:hint="eastAsia" w:ascii="宋体" w:hAnsi="宋体" w:cs="宋体"/>
                <w:bCs/>
                <w:color w:val="auto"/>
                <w:kern w:val="0"/>
                <w:sz w:val="24"/>
                <w:szCs w:val="24"/>
                <w:highlight w:val="none"/>
                <w:lang w:eastAsia="zh-CN"/>
              </w:rPr>
              <w:t>“</w:t>
            </w:r>
            <w:r>
              <w:rPr>
                <w:rFonts w:hint="eastAsia" w:ascii="宋体" w:hAnsi="宋体" w:cs="宋体"/>
                <w:bCs/>
                <w:color w:val="auto"/>
                <w:kern w:val="0"/>
                <w:sz w:val="24"/>
                <w:szCs w:val="24"/>
                <w:highlight w:val="none"/>
                <w:lang w:val="en-US" w:eastAsia="zh-CN"/>
              </w:rPr>
              <w:t>24 专家诊断桌○</w:t>
            </w:r>
            <w:r>
              <w:rPr>
                <w:rFonts w:hint="eastAsia" w:ascii="宋体" w:hAnsi="宋体" w:cs="宋体"/>
                <w:bCs/>
                <w:color w:val="auto"/>
                <w:kern w:val="0"/>
                <w:sz w:val="24"/>
                <w:szCs w:val="24"/>
                <w:highlight w:val="none"/>
                <w:lang w:eastAsia="zh-CN"/>
              </w:rPr>
              <w:t>”</w:t>
            </w:r>
            <w:r>
              <w:rPr>
                <w:rFonts w:hint="eastAsia" w:ascii="宋体" w:hAnsi="宋体" w:cs="宋体"/>
                <w:bCs/>
                <w:color w:val="auto"/>
                <w:kern w:val="0"/>
                <w:sz w:val="24"/>
                <w:szCs w:val="24"/>
                <w:highlight w:val="none"/>
                <w:lang w:val="en-US" w:eastAsia="zh-CN"/>
              </w:rPr>
              <w:t>-“描述”</w:t>
            </w:r>
          </w:p>
        </w:tc>
        <w:tc>
          <w:tcPr>
            <w:tcW w:w="1808" w:type="pct"/>
            <w:vAlign w:val="center"/>
          </w:tcPr>
          <w:p w14:paraId="0C1BFF91">
            <w:pPr>
              <w:keepNext/>
              <w:tabs>
                <w:tab w:val="left" w:pos="432"/>
              </w:tabs>
              <w:jc w:val="left"/>
              <w:outlineLvl w:val="0"/>
              <w:rPr>
                <w:rFonts w:hint="eastAsia" w:ascii="宋体" w:hAnsi="宋体" w:eastAsia="宋体" w:cs="宋体"/>
                <w:color w:val="auto"/>
                <w:kern w:val="0"/>
                <w:sz w:val="24"/>
                <w:szCs w:val="24"/>
                <w:highlight w:val="none"/>
                <w:lang w:val="zh-CN" w:bidi="zh-CN"/>
              </w:rPr>
            </w:pPr>
            <w:r>
              <w:rPr>
                <w:rFonts w:hint="eastAsia" w:ascii="宋体" w:hAnsi="宋体" w:eastAsia="宋体" w:cs="宋体"/>
                <w:color w:val="auto"/>
                <w:kern w:val="0"/>
                <w:sz w:val="24"/>
                <w:szCs w:val="24"/>
                <w:highlight w:val="none"/>
                <w:lang w:val="zh-CN" w:bidi="zh-CN"/>
              </w:rPr>
              <w:t xml:space="preserve">5、五金配置：304不锈钢缓冲门铰（铰链）、三节导轨、锁具、拉手、连接件等；                                                             </w:t>
            </w:r>
          </w:p>
        </w:tc>
        <w:tc>
          <w:tcPr>
            <w:tcW w:w="1796" w:type="pct"/>
            <w:vAlign w:val="center"/>
          </w:tcPr>
          <w:p w14:paraId="5127D9C3">
            <w:pPr>
              <w:keepNext/>
              <w:tabs>
                <w:tab w:val="left" w:pos="432"/>
              </w:tabs>
              <w:jc w:val="left"/>
              <w:outlineLvl w:val="0"/>
              <w:rPr>
                <w:rFonts w:hint="eastAsia" w:ascii="宋体" w:hAnsi="宋体" w:eastAsia="宋体" w:cs="宋体"/>
                <w:color w:val="auto"/>
                <w:kern w:val="0"/>
                <w:sz w:val="24"/>
                <w:szCs w:val="24"/>
                <w:highlight w:val="none"/>
                <w:lang w:val="en-US" w:eastAsia="zh-CN" w:bidi="zh-CN"/>
              </w:rPr>
            </w:pPr>
            <w:r>
              <w:rPr>
                <w:rFonts w:hint="eastAsia" w:ascii="宋体" w:hAnsi="宋体" w:eastAsia="宋体" w:cs="宋体"/>
                <w:color w:val="auto"/>
                <w:kern w:val="0"/>
                <w:sz w:val="24"/>
                <w:szCs w:val="24"/>
                <w:highlight w:val="none"/>
                <w:lang w:val="en-US" w:eastAsia="zh-CN" w:bidi="zh-CN"/>
              </w:rPr>
              <w:t xml:space="preserve">5、五金配置：304不锈钢缓冲门铰（铰链）、三节导轨、拉手、连接件等；                                                             </w:t>
            </w:r>
          </w:p>
        </w:tc>
        <w:tc>
          <w:tcPr>
            <w:tcW w:w="269" w:type="pct"/>
            <w:vAlign w:val="center"/>
          </w:tcPr>
          <w:p w14:paraId="3D7692C0">
            <w:pPr>
              <w:spacing w:line="288" w:lineRule="auto"/>
              <w:jc w:val="center"/>
              <w:rPr>
                <w:rFonts w:ascii="宋体" w:hAnsi="宋体" w:cs="宋体"/>
                <w:bCs/>
                <w:color w:val="auto"/>
                <w:kern w:val="0"/>
                <w:sz w:val="24"/>
                <w:szCs w:val="24"/>
                <w:highlight w:val="none"/>
              </w:rPr>
            </w:pPr>
          </w:p>
        </w:tc>
      </w:tr>
      <w:tr w14:paraId="2D171D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324" w:type="pct"/>
            <w:vAlign w:val="center"/>
          </w:tcPr>
          <w:p w14:paraId="17E56053">
            <w:pPr>
              <w:spacing w:line="288" w:lineRule="auto"/>
              <w:jc w:val="center"/>
              <w:rPr>
                <w:rFonts w:hint="eastAsia" w:ascii="宋体" w:hAnsi="宋体" w:eastAsia="宋体" w:cs="宋体"/>
                <w:color w:val="auto"/>
                <w:kern w:val="0"/>
                <w:sz w:val="20"/>
                <w:szCs w:val="21"/>
                <w:highlight w:val="none"/>
                <w:lang w:val="en-US" w:eastAsia="zh-CN"/>
              </w:rPr>
            </w:pPr>
            <w:r>
              <w:rPr>
                <w:rFonts w:hint="eastAsia" w:ascii="宋体" w:hAnsi="宋体" w:eastAsia="宋体" w:cs="宋体"/>
                <w:color w:val="auto"/>
                <w:kern w:val="0"/>
                <w:sz w:val="20"/>
                <w:szCs w:val="21"/>
                <w:highlight w:val="none"/>
                <w:lang w:val="en-US" w:eastAsia="zh-CN"/>
              </w:rPr>
              <w:t>5</w:t>
            </w:r>
          </w:p>
        </w:tc>
        <w:tc>
          <w:tcPr>
            <w:tcW w:w="801" w:type="pct"/>
            <w:vAlign w:val="center"/>
          </w:tcPr>
          <w:p w14:paraId="6076FA39">
            <w:pPr>
              <w:pStyle w:val="9"/>
              <w:numPr>
                <w:ilvl w:val="0"/>
                <w:numId w:val="0"/>
              </w:numPr>
              <w:spacing w:line="360" w:lineRule="auto"/>
              <w:rPr>
                <w:rFonts w:hint="eastAsia" w:ascii="宋体" w:hAnsi="宋体" w:cs="宋体"/>
                <w:bCs/>
                <w:color w:val="auto"/>
                <w:kern w:val="0"/>
                <w:sz w:val="24"/>
                <w:szCs w:val="24"/>
                <w:highlight w:val="none"/>
                <w:lang w:eastAsia="zh-CN"/>
              </w:rPr>
            </w:pPr>
            <w:r>
              <w:rPr>
                <w:rFonts w:hint="eastAsia" w:ascii="宋体" w:hAnsi="宋体" w:cs="宋体"/>
                <w:bCs/>
                <w:color w:val="auto"/>
                <w:kern w:val="0"/>
                <w:sz w:val="24"/>
                <w:szCs w:val="24"/>
                <w:highlight w:val="none"/>
                <w:lang w:eastAsia="zh-CN"/>
              </w:rPr>
              <w:t>采购</w:t>
            </w:r>
            <w:r>
              <w:rPr>
                <w:rFonts w:hint="eastAsia" w:ascii="宋体" w:hAnsi="宋体" w:cs="宋体"/>
                <w:bCs/>
                <w:color w:val="auto"/>
                <w:kern w:val="0"/>
                <w:sz w:val="24"/>
                <w:szCs w:val="24"/>
                <w:highlight w:val="none"/>
              </w:rPr>
              <w:t>文件</w:t>
            </w:r>
            <w:r>
              <w:rPr>
                <w:rFonts w:hint="eastAsia" w:ascii="宋体" w:hAnsi="宋体" w:cs="宋体"/>
                <w:bCs/>
                <w:color w:val="auto"/>
                <w:kern w:val="0"/>
                <w:sz w:val="24"/>
                <w:szCs w:val="24"/>
                <w:highlight w:val="none"/>
                <w:lang w:eastAsia="zh-CN"/>
              </w:rPr>
              <w:t>“附件：采购清单（采购包1）（标记“○”的产品参与本标段工艺方案评价）”</w:t>
            </w:r>
            <w:r>
              <w:rPr>
                <w:rFonts w:hint="eastAsia" w:ascii="宋体" w:hAnsi="宋体" w:cs="宋体"/>
                <w:bCs/>
                <w:color w:val="auto"/>
                <w:kern w:val="0"/>
                <w:sz w:val="24"/>
                <w:szCs w:val="24"/>
                <w:highlight w:val="none"/>
                <w:lang w:val="en-US" w:eastAsia="zh-CN"/>
              </w:rPr>
              <w:t>-</w:t>
            </w:r>
            <w:r>
              <w:rPr>
                <w:rFonts w:hint="eastAsia" w:ascii="宋体" w:hAnsi="宋体" w:cs="宋体"/>
                <w:bCs/>
                <w:color w:val="auto"/>
                <w:kern w:val="0"/>
                <w:sz w:val="24"/>
                <w:szCs w:val="24"/>
                <w:highlight w:val="none"/>
                <w:lang w:eastAsia="zh-CN"/>
              </w:rPr>
              <w:t>“</w:t>
            </w:r>
            <w:r>
              <w:rPr>
                <w:rFonts w:hint="eastAsia" w:ascii="宋体" w:hAnsi="宋体" w:cs="宋体"/>
                <w:bCs/>
                <w:color w:val="auto"/>
                <w:kern w:val="0"/>
                <w:sz w:val="24"/>
                <w:szCs w:val="24"/>
                <w:highlight w:val="none"/>
                <w:lang w:val="en-US" w:eastAsia="zh-CN"/>
              </w:rPr>
              <w:t>25 诊断桌</w:t>
            </w:r>
            <w:r>
              <w:rPr>
                <w:rFonts w:hint="eastAsia" w:ascii="宋体" w:hAnsi="宋体" w:cs="宋体"/>
                <w:bCs/>
                <w:color w:val="auto"/>
                <w:kern w:val="0"/>
                <w:sz w:val="24"/>
                <w:szCs w:val="24"/>
                <w:highlight w:val="none"/>
                <w:lang w:eastAsia="zh-CN"/>
              </w:rPr>
              <w:t>”</w:t>
            </w:r>
            <w:r>
              <w:rPr>
                <w:rFonts w:hint="eastAsia" w:ascii="宋体" w:hAnsi="宋体" w:cs="宋体"/>
                <w:bCs/>
                <w:color w:val="auto"/>
                <w:kern w:val="0"/>
                <w:sz w:val="24"/>
                <w:szCs w:val="24"/>
                <w:highlight w:val="none"/>
                <w:lang w:val="en-US" w:eastAsia="zh-CN"/>
              </w:rPr>
              <w:t>-“描述”</w:t>
            </w:r>
          </w:p>
        </w:tc>
        <w:tc>
          <w:tcPr>
            <w:tcW w:w="1808" w:type="pct"/>
            <w:vAlign w:val="center"/>
          </w:tcPr>
          <w:p w14:paraId="3759CF8B">
            <w:pPr>
              <w:keepNext/>
              <w:tabs>
                <w:tab w:val="left" w:pos="432"/>
              </w:tabs>
              <w:jc w:val="left"/>
              <w:outlineLvl w:val="0"/>
              <w:rPr>
                <w:rFonts w:hint="eastAsia" w:ascii="宋体" w:hAnsi="宋体" w:eastAsia="宋体" w:cs="宋体"/>
                <w:color w:val="auto"/>
                <w:kern w:val="0"/>
                <w:sz w:val="24"/>
                <w:szCs w:val="24"/>
                <w:highlight w:val="none"/>
                <w:lang w:val="zh-CN" w:bidi="zh-CN"/>
              </w:rPr>
            </w:pPr>
            <w:r>
              <w:rPr>
                <w:rFonts w:hint="eastAsia" w:ascii="宋体" w:hAnsi="宋体" w:eastAsia="宋体" w:cs="宋体"/>
                <w:color w:val="auto"/>
                <w:kern w:val="0"/>
                <w:sz w:val="24"/>
                <w:szCs w:val="24"/>
                <w:highlight w:val="none"/>
                <w:lang w:val="zh-CN" w:bidi="zh-CN"/>
              </w:rPr>
              <w:t xml:space="preserve">4、五金配置：304不锈钢缓冲门铰（铰链）、三节导轨、锁具、拉手、连接件等；                                                  </w:t>
            </w:r>
          </w:p>
        </w:tc>
        <w:tc>
          <w:tcPr>
            <w:tcW w:w="1796" w:type="pct"/>
            <w:vAlign w:val="center"/>
          </w:tcPr>
          <w:p w14:paraId="3FFDF238">
            <w:pPr>
              <w:keepNext/>
              <w:tabs>
                <w:tab w:val="left" w:pos="432"/>
              </w:tabs>
              <w:jc w:val="left"/>
              <w:outlineLvl w:val="0"/>
              <w:rPr>
                <w:rFonts w:hint="eastAsia" w:ascii="宋体" w:hAnsi="宋体" w:eastAsia="宋体" w:cs="宋体"/>
                <w:color w:val="auto"/>
                <w:kern w:val="0"/>
                <w:sz w:val="24"/>
                <w:szCs w:val="24"/>
                <w:highlight w:val="none"/>
                <w:lang w:val="en-US" w:eastAsia="zh-CN" w:bidi="zh-CN"/>
              </w:rPr>
            </w:pPr>
            <w:r>
              <w:rPr>
                <w:rFonts w:hint="eastAsia" w:ascii="宋体" w:hAnsi="宋体" w:eastAsia="宋体" w:cs="宋体"/>
                <w:color w:val="auto"/>
                <w:kern w:val="0"/>
                <w:sz w:val="24"/>
                <w:szCs w:val="24"/>
                <w:highlight w:val="none"/>
                <w:lang w:val="en-US" w:eastAsia="zh-CN" w:bidi="zh-CN"/>
              </w:rPr>
              <w:t xml:space="preserve">4、五金配置：304不锈钢缓冲门铰（铰链）、三节导轨、拉手、连接件等；                                                    </w:t>
            </w:r>
          </w:p>
        </w:tc>
        <w:tc>
          <w:tcPr>
            <w:tcW w:w="269" w:type="pct"/>
            <w:vAlign w:val="center"/>
          </w:tcPr>
          <w:p w14:paraId="54B8115B">
            <w:pPr>
              <w:spacing w:line="288" w:lineRule="auto"/>
              <w:jc w:val="center"/>
              <w:rPr>
                <w:rFonts w:ascii="宋体" w:hAnsi="宋体" w:cs="宋体"/>
                <w:bCs/>
                <w:color w:val="auto"/>
                <w:kern w:val="0"/>
                <w:sz w:val="24"/>
                <w:szCs w:val="24"/>
                <w:highlight w:val="none"/>
              </w:rPr>
            </w:pPr>
          </w:p>
        </w:tc>
      </w:tr>
      <w:tr w14:paraId="5DC8C5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324" w:type="pct"/>
            <w:vAlign w:val="center"/>
          </w:tcPr>
          <w:p w14:paraId="4EEAE6A0">
            <w:pPr>
              <w:spacing w:line="288" w:lineRule="auto"/>
              <w:jc w:val="center"/>
              <w:rPr>
                <w:rFonts w:hint="eastAsia" w:ascii="宋体" w:hAnsi="宋体" w:eastAsia="宋体" w:cs="宋体"/>
                <w:color w:val="auto"/>
                <w:kern w:val="0"/>
                <w:sz w:val="20"/>
                <w:szCs w:val="21"/>
                <w:highlight w:val="none"/>
                <w:lang w:val="en-US" w:eastAsia="zh-CN"/>
              </w:rPr>
            </w:pPr>
            <w:r>
              <w:rPr>
                <w:rFonts w:hint="eastAsia" w:ascii="宋体" w:hAnsi="宋体" w:eastAsia="宋体" w:cs="宋体"/>
                <w:color w:val="auto"/>
                <w:kern w:val="0"/>
                <w:sz w:val="20"/>
                <w:szCs w:val="21"/>
                <w:highlight w:val="none"/>
                <w:lang w:val="en-US" w:eastAsia="zh-CN"/>
              </w:rPr>
              <w:t>6</w:t>
            </w:r>
          </w:p>
        </w:tc>
        <w:tc>
          <w:tcPr>
            <w:tcW w:w="801" w:type="pct"/>
            <w:vAlign w:val="center"/>
          </w:tcPr>
          <w:p w14:paraId="0EC2C804">
            <w:pPr>
              <w:pStyle w:val="9"/>
              <w:numPr>
                <w:ilvl w:val="0"/>
                <w:numId w:val="0"/>
              </w:numPr>
              <w:spacing w:line="360" w:lineRule="auto"/>
              <w:rPr>
                <w:rFonts w:hint="eastAsia" w:ascii="宋体" w:hAnsi="宋体" w:cs="宋体"/>
                <w:bCs/>
                <w:color w:val="auto"/>
                <w:kern w:val="0"/>
                <w:sz w:val="24"/>
                <w:szCs w:val="24"/>
                <w:highlight w:val="none"/>
                <w:lang w:eastAsia="zh-CN"/>
              </w:rPr>
            </w:pPr>
            <w:r>
              <w:rPr>
                <w:rFonts w:hint="eastAsia" w:ascii="宋体" w:hAnsi="宋体" w:cs="宋体"/>
                <w:bCs/>
                <w:color w:val="auto"/>
                <w:kern w:val="0"/>
                <w:sz w:val="24"/>
                <w:szCs w:val="24"/>
                <w:highlight w:val="none"/>
                <w:lang w:eastAsia="zh-CN"/>
              </w:rPr>
              <w:t>采购</w:t>
            </w:r>
            <w:r>
              <w:rPr>
                <w:rFonts w:hint="eastAsia" w:ascii="宋体" w:hAnsi="宋体" w:cs="宋体"/>
                <w:bCs/>
                <w:color w:val="auto"/>
                <w:kern w:val="0"/>
                <w:sz w:val="24"/>
                <w:szCs w:val="24"/>
                <w:highlight w:val="none"/>
              </w:rPr>
              <w:t>文件</w:t>
            </w:r>
            <w:r>
              <w:rPr>
                <w:rFonts w:hint="eastAsia" w:ascii="宋体" w:hAnsi="宋体" w:cs="宋体"/>
                <w:bCs/>
                <w:color w:val="auto"/>
                <w:kern w:val="0"/>
                <w:sz w:val="24"/>
                <w:szCs w:val="24"/>
                <w:highlight w:val="none"/>
                <w:lang w:eastAsia="zh-CN"/>
              </w:rPr>
              <w:t>“附件：采购清单（采购包1）（标记“○”的产品参与本标段工艺方案评价）”</w:t>
            </w:r>
            <w:r>
              <w:rPr>
                <w:rFonts w:hint="eastAsia" w:ascii="宋体" w:hAnsi="宋体" w:cs="宋体"/>
                <w:bCs/>
                <w:color w:val="auto"/>
                <w:kern w:val="0"/>
                <w:sz w:val="24"/>
                <w:szCs w:val="24"/>
                <w:highlight w:val="none"/>
                <w:lang w:val="en-US" w:eastAsia="zh-CN"/>
              </w:rPr>
              <w:t>-</w:t>
            </w:r>
            <w:r>
              <w:rPr>
                <w:rFonts w:hint="eastAsia" w:ascii="宋体" w:hAnsi="宋体" w:cs="宋体"/>
                <w:bCs/>
                <w:color w:val="auto"/>
                <w:kern w:val="0"/>
                <w:sz w:val="24"/>
                <w:szCs w:val="24"/>
                <w:highlight w:val="none"/>
                <w:lang w:eastAsia="zh-CN"/>
              </w:rPr>
              <w:t>“</w:t>
            </w:r>
            <w:r>
              <w:rPr>
                <w:rFonts w:hint="eastAsia" w:ascii="宋体" w:hAnsi="宋体" w:cs="宋体"/>
                <w:bCs/>
                <w:color w:val="auto"/>
                <w:kern w:val="0"/>
                <w:sz w:val="24"/>
                <w:szCs w:val="24"/>
                <w:highlight w:val="none"/>
                <w:lang w:val="en-US" w:eastAsia="zh-CN"/>
              </w:rPr>
              <w:t>26 中医诊桌○</w:t>
            </w:r>
            <w:r>
              <w:rPr>
                <w:rFonts w:hint="eastAsia" w:ascii="宋体" w:hAnsi="宋体" w:cs="宋体"/>
                <w:bCs/>
                <w:color w:val="auto"/>
                <w:kern w:val="0"/>
                <w:sz w:val="24"/>
                <w:szCs w:val="24"/>
                <w:highlight w:val="none"/>
                <w:lang w:eastAsia="zh-CN"/>
              </w:rPr>
              <w:t>”</w:t>
            </w:r>
            <w:r>
              <w:rPr>
                <w:rFonts w:hint="eastAsia" w:ascii="宋体" w:hAnsi="宋体" w:cs="宋体"/>
                <w:bCs/>
                <w:color w:val="auto"/>
                <w:kern w:val="0"/>
                <w:sz w:val="24"/>
                <w:szCs w:val="24"/>
                <w:highlight w:val="none"/>
                <w:lang w:val="en-US" w:eastAsia="zh-CN"/>
              </w:rPr>
              <w:t>-“描述”</w:t>
            </w:r>
          </w:p>
        </w:tc>
        <w:tc>
          <w:tcPr>
            <w:tcW w:w="1808" w:type="pct"/>
            <w:vAlign w:val="center"/>
          </w:tcPr>
          <w:p w14:paraId="4E3BD770">
            <w:pPr>
              <w:keepNext/>
              <w:tabs>
                <w:tab w:val="left" w:pos="432"/>
              </w:tabs>
              <w:jc w:val="left"/>
              <w:outlineLvl w:val="0"/>
              <w:rPr>
                <w:rFonts w:hint="eastAsia" w:ascii="宋体" w:hAnsi="宋体" w:eastAsia="宋体" w:cs="宋体"/>
                <w:color w:val="auto"/>
                <w:kern w:val="0"/>
                <w:sz w:val="24"/>
                <w:szCs w:val="24"/>
                <w:highlight w:val="none"/>
                <w:lang w:val="zh-CN" w:bidi="zh-CN"/>
              </w:rPr>
            </w:pPr>
            <w:r>
              <w:rPr>
                <w:rFonts w:hint="eastAsia" w:ascii="宋体" w:hAnsi="宋体" w:eastAsia="宋体" w:cs="宋体"/>
                <w:color w:val="auto"/>
                <w:kern w:val="0"/>
                <w:sz w:val="24"/>
                <w:szCs w:val="24"/>
                <w:highlight w:val="none"/>
                <w:lang w:val="zh-CN" w:bidi="zh-CN"/>
              </w:rPr>
              <w:t>4、五金配置：三节导轨、锁具、拉手、连接件等；</w:t>
            </w:r>
          </w:p>
          <w:p w14:paraId="59187427">
            <w:pPr>
              <w:keepNext/>
              <w:tabs>
                <w:tab w:val="left" w:pos="432"/>
              </w:tabs>
              <w:jc w:val="left"/>
              <w:outlineLvl w:val="0"/>
              <w:rPr>
                <w:rFonts w:hint="eastAsia" w:ascii="宋体" w:hAnsi="宋体" w:eastAsia="宋体" w:cs="宋体"/>
                <w:color w:val="auto"/>
                <w:kern w:val="0"/>
                <w:sz w:val="24"/>
                <w:szCs w:val="24"/>
                <w:highlight w:val="none"/>
                <w:lang w:val="zh-CN" w:bidi="zh-CN"/>
              </w:rPr>
            </w:pPr>
          </w:p>
        </w:tc>
        <w:tc>
          <w:tcPr>
            <w:tcW w:w="1796" w:type="pct"/>
            <w:vAlign w:val="center"/>
          </w:tcPr>
          <w:p w14:paraId="29352E67">
            <w:pPr>
              <w:keepNext/>
              <w:tabs>
                <w:tab w:val="left" w:pos="432"/>
              </w:tabs>
              <w:jc w:val="left"/>
              <w:outlineLvl w:val="0"/>
              <w:rPr>
                <w:rFonts w:hint="eastAsia" w:ascii="宋体" w:hAnsi="宋体" w:eastAsia="宋体" w:cs="宋体"/>
                <w:color w:val="auto"/>
                <w:kern w:val="0"/>
                <w:sz w:val="24"/>
                <w:szCs w:val="24"/>
                <w:highlight w:val="none"/>
                <w:lang w:val="en-US" w:eastAsia="zh-CN" w:bidi="zh-CN"/>
              </w:rPr>
            </w:pPr>
            <w:r>
              <w:rPr>
                <w:rFonts w:hint="eastAsia" w:ascii="宋体" w:hAnsi="宋体" w:eastAsia="宋体" w:cs="宋体"/>
                <w:color w:val="auto"/>
                <w:kern w:val="0"/>
                <w:sz w:val="24"/>
                <w:szCs w:val="24"/>
                <w:highlight w:val="none"/>
                <w:lang w:val="en-US" w:eastAsia="zh-CN" w:bidi="zh-CN"/>
              </w:rPr>
              <w:t>4、五金配置：三节导轨、拉手、连接件等；</w:t>
            </w:r>
          </w:p>
        </w:tc>
        <w:tc>
          <w:tcPr>
            <w:tcW w:w="269" w:type="pct"/>
            <w:vAlign w:val="center"/>
          </w:tcPr>
          <w:p w14:paraId="19891DB0">
            <w:pPr>
              <w:spacing w:line="288" w:lineRule="auto"/>
              <w:jc w:val="center"/>
              <w:rPr>
                <w:rFonts w:ascii="宋体" w:hAnsi="宋体" w:cs="宋体"/>
                <w:bCs/>
                <w:color w:val="auto"/>
                <w:kern w:val="0"/>
                <w:sz w:val="24"/>
                <w:szCs w:val="24"/>
                <w:highlight w:val="none"/>
              </w:rPr>
            </w:pPr>
          </w:p>
        </w:tc>
      </w:tr>
      <w:tr w14:paraId="601AF3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324" w:type="pct"/>
            <w:vAlign w:val="center"/>
          </w:tcPr>
          <w:p w14:paraId="069FEDF5">
            <w:pPr>
              <w:spacing w:line="288" w:lineRule="auto"/>
              <w:jc w:val="center"/>
              <w:rPr>
                <w:rFonts w:hint="eastAsia" w:ascii="宋体" w:hAnsi="宋体" w:eastAsia="宋体" w:cs="宋体"/>
                <w:color w:val="auto"/>
                <w:kern w:val="0"/>
                <w:sz w:val="20"/>
                <w:szCs w:val="21"/>
                <w:highlight w:val="none"/>
                <w:lang w:val="en-US" w:eastAsia="zh-CN"/>
              </w:rPr>
            </w:pPr>
            <w:r>
              <w:rPr>
                <w:rFonts w:hint="eastAsia" w:ascii="宋体" w:hAnsi="宋体" w:eastAsia="宋体" w:cs="宋体"/>
                <w:color w:val="auto"/>
                <w:kern w:val="0"/>
                <w:sz w:val="20"/>
                <w:szCs w:val="21"/>
                <w:highlight w:val="none"/>
                <w:lang w:val="en-US" w:eastAsia="zh-CN"/>
              </w:rPr>
              <w:t>7</w:t>
            </w:r>
          </w:p>
        </w:tc>
        <w:tc>
          <w:tcPr>
            <w:tcW w:w="801" w:type="pct"/>
            <w:vAlign w:val="center"/>
          </w:tcPr>
          <w:p w14:paraId="54A1052D">
            <w:pPr>
              <w:pStyle w:val="9"/>
              <w:numPr>
                <w:ilvl w:val="0"/>
                <w:numId w:val="0"/>
              </w:numPr>
              <w:spacing w:line="360" w:lineRule="auto"/>
              <w:rPr>
                <w:rFonts w:hint="default" w:ascii="宋体" w:hAnsi="宋体" w:cs="宋体"/>
                <w:bCs/>
                <w:color w:val="auto"/>
                <w:kern w:val="0"/>
                <w:sz w:val="24"/>
                <w:szCs w:val="24"/>
                <w:highlight w:val="none"/>
                <w:lang w:val="en-US" w:eastAsia="zh-CN"/>
              </w:rPr>
            </w:pPr>
            <w:r>
              <w:rPr>
                <w:rFonts w:hint="eastAsia" w:ascii="宋体" w:hAnsi="宋体" w:cs="宋体"/>
                <w:bCs/>
                <w:color w:val="auto"/>
                <w:kern w:val="0"/>
                <w:sz w:val="24"/>
                <w:szCs w:val="24"/>
                <w:highlight w:val="none"/>
                <w:lang w:eastAsia="zh-CN"/>
              </w:rPr>
              <w:t>采购</w:t>
            </w:r>
            <w:r>
              <w:rPr>
                <w:rFonts w:hint="eastAsia" w:ascii="宋体" w:hAnsi="宋体" w:cs="宋体"/>
                <w:bCs/>
                <w:color w:val="auto"/>
                <w:kern w:val="0"/>
                <w:sz w:val="24"/>
                <w:szCs w:val="24"/>
                <w:highlight w:val="none"/>
              </w:rPr>
              <w:t>文件</w:t>
            </w:r>
            <w:r>
              <w:rPr>
                <w:rFonts w:hint="eastAsia" w:ascii="宋体" w:hAnsi="宋体" w:cs="宋体"/>
                <w:bCs/>
                <w:color w:val="auto"/>
                <w:kern w:val="0"/>
                <w:sz w:val="24"/>
                <w:szCs w:val="24"/>
                <w:highlight w:val="none"/>
                <w:lang w:eastAsia="zh-CN"/>
              </w:rPr>
              <w:t>“附件：采购清单（采购包</w:t>
            </w:r>
            <w:r>
              <w:rPr>
                <w:rFonts w:hint="eastAsia" w:ascii="宋体" w:hAnsi="宋体" w:cs="宋体"/>
                <w:bCs/>
                <w:color w:val="auto"/>
                <w:kern w:val="0"/>
                <w:sz w:val="24"/>
                <w:szCs w:val="24"/>
                <w:highlight w:val="none"/>
                <w:lang w:val="en-US" w:eastAsia="zh-CN"/>
              </w:rPr>
              <w:t>2</w:t>
            </w:r>
            <w:r>
              <w:rPr>
                <w:rFonts w:hint="eastAsia" w:ascii="宋体" w:hAnsi="宋体" w:cs="宋体"/>
                <w:bCs/>
                <w:color w:val="auto"/>
                <w:kern w:val="0"/>
                <w:sz w:val="24"/>
                <w:szCs w:val="24"/>
                <w:highlight w:val="none"/>
                <w:lang w:eastAsia="zh-CN"/>
              </w:rPr>
              <w:t>）（标记“○”的产品参与本标段工艺方案评价）”</w:t>
            </w:r>
            <w:r>
              <w:rPr>
                <w:rFonts w:hint="eastAsia" w:ascii="宋体" w:hAnsi="宋体" w:cs="宋体"/>
                <w:bCs/>
                <w:color w:val="auto"/>
                <w:kern w:val="0"/>
                <w:sz w:val="24"/>
                <w:szCs w:val="24"/>
                <w:highlight w:val="none"/>
                <w:lang w:val="en-US" w:eastAsia="zh-CN"/>
              </w:rPr>
              <w:t>-</w:t>
            </w:r>
            <w:r>
              <w:rPr>
                <w:rFonts w:hint="eastAsia" w:ascii="宋体" w:hAnsi="宋体" w:cs="宋体"/>
                <w:bCs/>
                <w:color w:val="auto"/>
                <w:kern w:val="0"/>
                <w:sz w:val="24"/>
                <w:szCs w:val="24"/>
                <w:highlight w:val="none"/>
                <w:lang w:eastAsia="zh-CN"/>
              </w:rPr>
              <w:t>“</w:t>
            </w:r>
            <w:r>
              <w:rPr>
                <w:rFonts w:hint="eastAsia" w:ascii="宋体" w:hAnsi="宋体" w:cs="宋体"/>
                <w:bCs/>
                <w:color w:val="auto"/>
                <w:kern w:val="0"/>
                <w:sz w:val="24"/>
                <w:szCs w:val="24"/>
                <w:highlight w:val="none"/>
                <w:lang w:val="en-US" w:eastAsia="zh-CN"/>
              </w:rPr>
              <w:t>40 礼堂椅</w:t>
            </w:r>
            <w:r>
              <w:rPr>
                <w:rFonts w:hint="eastAsia" w:ascii="宋体" w:hAnsi="宋体" w:cs="宋体"/>
                <w:bCs/>
                <w:color w:val="auto"/>
                <w:kern w:val="0"/>
                <w:sz w:val="24"/>
                <w:szCs w:val="24"/>
                <w:highlight w:val="none"/>
                <w:lang w:eastAsia="zh-CN"/>
              </w:rPr>
              <w:t>”</w:t>
            </w:r>
            <w:r>
              <w:rPr>
                <w:rFonts w:hint="eastAsia" w:ascii="宋体" w:hAnsi="宋体" w:cs="宋体"/>
                <w:bCs/>
                <w:color w:val="auto"/>
                <w:kern w:val="0"/>
                <w:sz w:val="24"/>
                <w:szCs w:val="24"/>
                <w:highlight w:val="none"/>
                <w:lang w:val="en-US" w:eastAsia="zh-CN"/>
              </w:rPr>
              <w:t>-“描述”</w:t>
            </w:r>
          </w:p>
        </w:tc>
        <w:tc>
          <w:tcPr>
            <w:tcW w:w="1808" w:type="pct"/>
            <w:vAlign w:val="center"/>
          </w:tcPr>
          <w:p w14:paraId="3A15563E">
            <w:pPr>
              <w:keepNext/>
              <w:tabs>
                <w:tab w:val="left" w:pos="432"/>
              </w:tabs>
              <w:jc w:val="left"/>
              <w:outlineLvl w:val="0"/>
              <w:rPr>
                <w:rFonts w:hint="eastAsia" w:ascii="宋体" w:hAnsi="宋体" w:eastAsia="宋体" w:cs="宋体"/>
                <w:color w:val="auto"/>
                <w:kern w:val="0"/>
                <w:sz w:val="24"/>
                <w:szCs w:val="24"/>
                <w:highlight w:val="none"/>
                <w:lang w:val="zh-CN" w:bidi="zh-CN"/>
              </w:rPr>
            </w:pPr>
            <w:r>
              <w:rPr>
                <w:rFonts w:hint="eastAsia" w:ascii="宋体" w:hAnsi="宋体" w:eastAsia="宋体" w:cs="宋体"/>
                <w:color w:val="auto"/>
                <w:kern w:val="0"/>
                <w:sz w:val="24"/>
                <w:szCs w:val="24"/>
                <w:highlight w:val="none"/>
                <w:lang w:val="zh-CN" w:bidi="zh-CN"/>
              </w:rPr>
              <w:t>1、背包：采用环保高密度高回弹异形定型海绵，规格：：宽470mm*高690mm*厚80-110mm</w:t>
            </w:r>
          </w:p>
          <w:p w14:paraId="0FEF3D25">
            <w:pPr>
              <w:keepNext/>
              <w:tabs>
                <w:tab w:val="left" w:pos="432"/>
              </w:tabs>
              <w:jc w:val="left"/>
              <w:outlineLvl w:val="0"/>
              <w:rPr>
                <w:rFonts w:hint="eastAsia" w:ascii="宋体" w:hAnsi="宋体" w:eastAsia="宋体" w:cs="宋体"/>
                <w:color w:val="auto"/>
                <w:kern w:val="0"/>
                <w:sz w:val="24"/>
                <w:szCs w:val="24"/>
                <w:highlight w:val="none"/>
                <w:lang w:val="zh-CN" w:bidi="zh-CN"/>
              </w:rPr>
            </w:pPr>
            <w:r>
              <w:rPr>
                <w:rFonts w:hint="eastAsia" w:ascii="宋体" w:hAnsi="宋体" w:eastAsia="宋体" w:cs="宋体"/>
                <w:color w:val="auto"/>
                <w:kern w:val="0"/>
                <w:sz w:val="24"/>
                <w:szCs w:val="24"/>
                <w:highlight w:val="none"/>
                <w:lang w:val="zh-CN" w:bidi="zh-CN"/>
              </w:rPr>
              <w:t>2、座包：采用环保高密度高回弹异形定型海绵，座绵内置≥1.5mm加厚钢架，采用黑色无纺布作隔层，座包不易变形，持久耐用；规格：长500*宽460*厚140-160mm</w:t>
            </w:r>
          </w:p>
          <w:p w14:paraId="757EE4DE">
            <w:pPr>
              <w:keepNext/>
              <w:tabs>
                <w:tab w:val="left" w:pos="432"/>
              </w:tabs>
              <w:jc w:val="left"/>
              <w:outlineLvl w:val="0"/>
              <w:rPr>
                <w:rFonts w:hint="eastAsia" w:ascii="宋体" w:hAnsi="宋体" w:eastAsia="宋体" w:cs="宋体"/>
                <w:color w:val="auto"/>
                <w:kern w:val="0"/>
                <w:sz w:val="24"/>
                <w:szCs w:val="24"/>
                <w:highlight w:val="none"/>
                <w:lang w:val="zh-CN" w:bidi="zh-CN"/>
              </w:rPr>
            </w:pPr>
            <w:r>
              <w:rPr>
                <w:rFonts w:hint="eastAsia" w:ascii="宋体" w:hAnsi="宋体" w:eastAsia="宋体" w:cs="宋体"/>
                <w:color w:val="auto"/>
                <w:kern w:val="0"/>
                <w:sz w:val="24"/>
                <w:szCs w:val="24"/>
                <w:highlight w:val="none"/>
                <w:lang w:val="zh-CN" w:bidi="zh-CN"/>
              </w:rPr>
              <w:t>5、扶手：扶手框架采用钢结构设计，钢制框架选用≥2.0mm冷轧钢板经模具冲压、机械手焊接成型，需结构牢固，扶手框用改善声学效能的中空结构设计，两侧用外覆薄棉及布料的装饰板装饰。扶手骨架尺寸448*410*65mm宽。</w:t>
            </w:r>
          </w:p>
          <w:p w14:paraId="0B73A8C2">
            <w:pPr>
              <w:keepNext/>
              <w:tabs>
                <w:tab w:val="left" w:pos="432"/>
              </w:tabs>
              <w:jc w:val="left"/>
              <w:outlineLvl w:val="0"/>
              <w:rPr>
                <w:rFonts w:hint="eastAsia" w:ascii="宋体" w:hAnsi="宋体" w:eastAsia="宋体" w:cs="宋体"/>
                <w:color w:val="auto"/>
                <w:kern w:val="0"/>
                <w:sz w:val="24"/>
                <w:szCs w:val="24"/>
                <w:highlight w:val="none"/>
                <w:lang w:val="zh-CN" w:bidi="zh-CN"/>
              </w:rPr>
            </w:pPr>
            <w:r>
              <w:rPr>
                <w:rFonts w:hint="eastAsia" w:ascii="宋体" w:hAnsi="宋体" w:eastAsia="宋体" w:cs="宋体"/>
                <w:color w:val="auto"/>
                <w:kern w:val="0"/>
                <w:sz w:val="24"/>
                <w:szCs w:val="24"/>
                <w:highlight w:val="none"/>
                <w:lang w:val="zh-CN" w:bidi="zh-CN"/>
              </w:rPr>
              <w:t>6、写字板：写字板支撑板和支撑杆材质均采用冷轧钢压铸成型，通过焊接连为一体，四周做加强筋处理，使其更加美观且承重能力更强。写字板面板尺寸：265mm*232mm*15mm。写字板面材质为高密度中纤板四周采用PVC注塑封边。写字板向上倾斜保证书写舒适自然状态，打开与回收功能顺畅。</w:t>
            </w:r>
          </w:p>
          <w:p w14:paraId="48EBB46C">
            <w:pPr>
              <w:keepNext/>
              <w:tabs>
                <w:tab w:val="left" w:pos="432"/>
              </w:tabs>
              <w:jc w:val="left"/>
              <w:outlineLvl w:val="0"/>
              <w:rPr>
                <w:rFonts w:hint="eastAsia" w:ascii="宋体" w:hAnsi="宋体" w:eastAsia="宋体" w:cs="宋体"/>
                <w:color w:val="auto"/>
                <w:kern w:val="0"/>
                <w:sz w:val="24"/>
                <w:szCs w:val="24"/>
                <w:highlight w:val="none"/>
                <w:lang w:val="zh-CN" w:bidi="zh-CN"/>
              </w:rPr>
            </w:pPr>
            <w:r>
              <w:rPr>
                <w:rFonts w:hint="eastAsia" w:ascii="宋体" w:hAnsi="宋体" w:eastAsia="宋体" w:cs="宋体"/>
                <w:color w:val="auto"/>
                <w:kern w:val="0"/>
                <w:sz w:val="24"/>
                <w:szCs w:val="24"/>
                <w:highlight w:val="none"/>
                <w:lang w:val="zh-CN" w:bidi="zh-CN"/>
              </w:rPr>
              <w:t>7、椅脚：采用优质铝合金压铸，脚架与扶手框连接安装，脚架尺寸：长359mm，宽70mm，高151~202mm，底部地面安装孔孔距≥300mm；扶手侧板采用优质密度板覆薄棉外包布装饰，隐藏式地爆螺丝，外带地胶盖。</w:t>
            </w:r>
          </w:p>
        </w:tc>
        <w:tc>
          <w:tcPr>
            <w:tcW w:w="1796" w:type="pct"/>
            <w:vAlign w:val="center"/>
          </w:tcPr>
          <w:p w14:paraId="12DE93EE">
            <w:pPr>
              <w:keepNext/>
              <w:tabs>
                <w:tab w:val="left" w:pos="432"/>
              </w:tabs>
              <w:jc w:val="left"/>
              <w:outlineLvl w:val="0"/>
              <w:rPr>
                <w:rFonts w:hint="eastAsia" w:ascii="宋体" w:hAnsi="宋体" w:eastAsia="宋体" w:cs="宋体"/>
                <w:color w:val="auto"/>
                <w:kern w:val="0"/>
                <w:sz w:val="24"/>
                <w:szCs w:val="24"/>
                <w:highlight w:val="none"/>
                <w:lang w:val="zh-CN" w:bidi="zh-CN"/>
              </w:rPr>
            </w:pPr>
            <w:r>
              <w:rPr>
                <w:rFonts w:hint="eastAsia" w:ascii="宋体" w:hAnsi="宋体" w:eastAsia="宋体" w:cs="宋体"/>
                <w:color w:val="auto"/>
                <w:kern w:val="0"/>
                <w:sz w:val="24"/>
                <w:szCs w:val="24"/>
                <w:highlight w:val="none"/>
                <w:lang w:val="zh-CN" w:bidi="zh-CN"/>
              </w:rPr>
              <w:t>1、</w:t>
            </w:r>
            <w:r>
              <w:rPr>
                <w:rFonts w:hint="eastAsia" w:ascii="宋体" w:hAnsi="宋体" w:eastAsia="宋体" w:cs="宋体"/>
                <w:color w:val="auto"/>
                <w:kern w:val="0"/>
                <w:sz w:val="24"/>
                <w:szCs w:val="24"/>
                <w:highlight w:val="none"/>
                <w:lang w:val="en-US" w:eastAsia="zh-CN" w:bidi="zh-CN"/>
              </w:rPr>
              <w:t>背包</w:t>
            </w:r>
            <w:r>
              <w:rPr>
                <w:rFonts w:hint="eastAsia" w:ascii="宋体" w:hAnsi="宋体" w:eastAsia="宋体" w:cs="宋体"/>
                <w:color w:val="auto"/>
                <w:kern w:val="0"/>
                <w:sz w:val="24"/>
                <w:szCs w:val="24"/>
                <w:highlight w:val="none"/>
                <w:lang w:val="zh-CN" w:bidi="zh-CN"/>
              </w:rPr>
              <w:t>：采用环保高密度高回弹</w:t>
            </w:r>
            <w:r>
              <w:rPr>
                <w:rFonts w:hint="eastAsia" w:ascii="宋体" w:hAnsi="宋体" w:eastAsia="宋体" w:cs="宋体"/>
                <w:color w:val="auto"/>
                <w:kern w:val="0"/>
                <w:sz w:val="24"/>
                <w:szCs w:val="24"/>
                <w:highlight w:val="none"/>
                <w:lang w:val="en-US" w:eastAsia="zh-CN" w:bidi="zh-CN"/>
              </w:rPr>
              <w:t>异形</w:t>
            </w:r>
            <w:r>
              <w:rPr>
                <w:rFonts w:hint="eastAsia" w:ascii="宋体" w:hAnsi="宋体" w:eastAsia="宋体" w:cs="宋体"/>
                <w:color w:val="auto"/>
                <w:kern w:val="0"/>
                <w:sz w:val="24"/>
                <w:szCs w:val="24"/>
                <w:highlight w:val="none"/>
                <w:lang w:val="zh-CN" w:bidi="zh-CN"/>
              </w:rPr>
              <w:t>定型海绵，规格</w:t>
            </w:r>
            <w:r>
              <w:rPr>
                <w:rFonts w:hint="eastAsia" w:ascii="宋体" w:hAnsi="宋体" w:eastAsia="宋体" w:cs="宋体"/>
                <w:color w:val="auto"/>
                <w:kern w:val="0"/>
                <w:sz w:val="24"/>
                <w:szCs w:val="24"/>
                <w:highlight w:val="none"/>
                <w:lang w:val="en-US" w:eastAsia="zh-CN" w:bidi="zh-CN"/>
              </w:rPr>
              <w:t>≥</w:t>
            </w:r>
            <w:r>
              <w:rPr>
                <w:rFonts w:hint="eastAsia" w:ascii="宋体" w:hAnsi="宋体" w:eastAsia="宋体" w:cs="宋体"/>
                <w:color w:val="auto"/>
                <w:kern w:val="0"/>
                <w:sz w:val="24"/>
                <w:szCs w:val="24"/>
                <w:highlight w:val="none"/>
                <w:lang w:val="zh-CN" w:bidi="zh-CN"/>
              </w:rPr>
              <w:t>宽470mm*高690mm*厚</w:t>
            </w:r>
            <w:r>
              <w:rPr>
                <w:rFonts w:hint="eastAsia" w:ascii="宋体" w:hAnsi="宋体" w:eastAsia="宋体" w:cs="宋体"/>
                <w:color w:val="auto"/>
                <w:kern w:val="0"/>
                <w:sz w:val="24"/>
                <w:szCs w:val="24"/>
                <w:highlight w:val="none"/>
                <w:lang w:val="en-US" w:eastAsia="zh-CN" w:bidi="zh-CN"/>
              </w:rPr>
              <w:t>50</w:t>
            </w:r>
            <w:r>
              <w:rPr>
                <w:rFonts w:hint="eastAsia" w:ascii="宋体" w:hAnsi="宋体" w:eastAsia="宋体" w:cs="宋体"/>
                <w:color w:val="auto"/>
                <w:kern w:val="0"/>
                <w:sz w:val="24"/>
                <w:szCs w:val="24"/>
                <w:highlight w:val="none"/>
                <w:lang w:val="zh-CN" w:bidi="zh-CN"/>
              </w:rPr>
              <w:t>mm</w:t>
            </w:r>
          </w:p>
          <w:p w14:paraId="64433612">
            <w:pPr>
              <w:keepNext/>
              <w:tabs>
                <w:tab w:val="left" w:pos="432"/>
              </w:tabs>
              <w:jc w:val="left"/>
              <w:outlineLvl w:val="0"/>
              <w:rPr>
                <w:rFonts w:hint="eastAsia" w:ascii="宋体" w:hAnsi="宋体" w:eastAsia="宋体" w:cs="宋体"/>
                <w:color w:val="auto"/>
                <w:kern w:val="0"/>
                <w:sz w:val="24"/>
                <w:szCs w:val="24"/>
                <w:highlight w:val="none"/>
                <w:lang w:val="zh-CN" w:bidi="zh-CN"/>
              </w:rPr>
            </w:pPr>
            <w:r>
              <w:rPr>
                <w:rFonts w:hint="eastAsia" w:ascii="宋体" w:hAnsi="宋体" w:eastAsia="宋体" w:cs="宋体"/>
                <w:color w:val="auto"/>
                <w:kern w:val="0"/>
                <w:sz w:val="24"/>
                <w:szCs w:val="24"/>
                <w:highlight w:val="none"/>
                <w:lang w:val="zh-CN" w:bidi="zh-CN"/>
              </w:rPr>
              <w:t>2、座</w:t>
            </w:r>
            <w:r>
              <w:rPr>
                <w:rFonts w:hint="eastAsia" w:ascii="宋体" w:hAnsi="宋体" w:eastAsia="宋体" w:cs="宋体"/>
                <w:color w:val="auto"/>
                <w:kern w:val="0"/>
                <w:sz w:val="24"/>
                <w:szCs w:val="24"/>
                <w:highlight w:val="none"/>
                <w:lang w:val="en-US" w:eastAsia="zh-CN" w:bidi="zh-CN"/>
              </w:rPr>
              <w:t>包</w:t>
            </w:r>
            <w:r>
              <w:rPr>
                <w:rFonts w:hint="eastAsia" w:ascii="宋体" w:hAnsi="宋体" w:eastAsia="宋体" w:cs="宋体"/>
                <w:color w:val="auto"/>
                <w:kern w:val="0"/>
                <w:sz w:val="24"/>
                <w:szCs w:val="24"/>
                <w:highlight w:val="none"/>
                <w:lang w:val="zh-CN" w:bidi="zh-CN"/>
              </w:rPr>
              <w:t>：采用环保高密度高回弹</w:t>
            </w:r>
            <w:r>
              <w:rPr>
                <w:rFonts w:hint="eastAsia" w:ascii="宋体" w:hAnsi="宋体" w:eastAsia="宋体" w:cs="宋体"/>
                <w:color w:val="auto"/>
                <w:kern w:val="0"/>
                <w:sz w:val="24"/>
                <w:szCs w:val="24"/>
                <w:highlight w:val="none"/>
                <w:lang w:val="en-US" w:eastAsia="zh-CN" w:bidi="zh-CN"/>
              </w:rPr>
              <w:t>异形</w:t>
            </w:r>
            <w:r>
              <w:rPr>
                <w:rFonts w:hint="eastAsia" w:ascii="宋体" w:hAnsi="宋体" w:eastAsia="宋体" w:cs="宋体"/>
                <w:color w:val="auto"/>
                <w:kern w:val="0"/>
                <w:sz w:val="24"/>
                <w:szCs w:val="24"/>
                <w:highlight w:val="none"/>
                <w:lang w:val="zh-CN" w:bidi="zh-CN"/>
              </w:rPr>
              <w:t>定型海绵，座绵内置≥1.5mm加厚钢架，采用黑色无纺布作隔层，座包不易变形，持久耐用；规格</w:t>
            </w:r>
            <w:r>
              <w:rPr>
                <w:rFonts w:hint="eastAsia" w:ascii="宋体" w:hAnsi="宋体" w:eastAsia="宋体" w:cs="宋体"/>
                <w:color w:val="auto"/>
                <w:kern w:val="0"/>
                <w:sz w:val="24"/>
                <w:szCs w:val="24"/>
                <w:highlight w:val="none"/>
                <w:lang w:val="en-US" w:eastAsia="zh-CN" w:bidi="zh-CN"/>
              </w:rPr>
              <w:t>≥</w:t>
            </w:r>
            <w:r>
              <w:rPr>
                <w:rFonts w:hint="eastAsia" w:ascii="宋体" w:hAnsi="宋体" w:eastAsia="宋体" w:cs="宋体"/>
                <w:color w:val="auto"/>
                <w:kern w:val="0"/>
                <w:sz w:val="24"/>
                <w:szCs w:val="24"/>
                <w:highlight w:val="none"/>
                <w:lang w:val="zh-CN" w:bidi="zh-CN"/>
              </w:rPr>
              <w:t>长500*宽460*</w:t>
            </w:r>
            <w:r>
              <w:rPr>
                <w:rFonts w:hint="eastAsia" w:ascii="宋体" w:hAnsi="宋体" w:eastAsia="宋体" w:cs="宋体"/>
                <w:color w:val="auto"/>
                <w:kern w:val="0"/>
                <w:sz w:val="24"/>
                <w:szCs w:val="24"/>
                <w:highlight w:val="none"/>
                <w:lang w:val="en-US" w:eastAsia="zh-CN" w:bidi="zh-CN"/>
              </w:rPr>
              <w:t>厚100</w:t>
            </w:r>
            <w:r>
              <w:rPr>
                <w:rFonts w:hint="eastAsia" w:ascii="宋体" w:hAnsi="宋体" w:eastAsia="宋体" w:cs="宋体"/>
                <w:color w:val="auto"/>
                <w:kern w:val="0"/>
                <w:sz w:val="24"/>
                <w:szCs w:val="24"/>
                <w:highlight w:val="none"/>
                <w:lang w:val="zh-CN" w:bidi="zh-CN"/>
              </w:rPr>
              <w:t>mm</w:t>
            </w:r>
          </w:p>
          <w:p w14:paraId="04EBB71B">
            <w:pPr>
              <w:keepNext/>
              <w:tabs>
                <w:tab w:val="left" w:pos="432"/>
              </w:tabs>
              <w:jc w:val="left"/>
              <w:outlineLvl w:val="0"/>
              <w:rPr>
                <w:rFonts w:hint="eastAsia" w:ascii="宋体" w:hAnsi="宋体" w:eastAsia="宋体" w:cs="宋体"/>
                <w:color w:val="auto"/>
                <w:kern w:val="0"/>
                <w:sz w:val="24"/>
                <w:szCs w:val="24"/>
                <w:highlight w:val="none"/>
                <w:lang w:val="zh-CN" w:bidi="zh-CN"/>
              </w:rPr>
            </w:pPr>
            <w:r>
              <w:rPr>
                <w:rFonts w:hint="eastAsia" w:ascii="宋体" w:hAnsi="宋体" w:eastAsia="宋体" w:cs="宋体"/>
                <w:color w:val="auto"/>
                <w:kern w:val="0"/>
                <w:sz w:val="24"/>
                <w:szCs w:val="24"/>
                <w:highlight w:val="none"/>
                <w:lang w:val="zh-CN" w:bidi="zh-CN"/>
              </w:rPr>
              <w:t>5、扶手：扶手框架采用钢结构设计，钢制框架选用≥2.0mm冷轧钢板经模具冲压、机械手焊接成型，需结构牢固，扶手框用改善声学效能的中空结构设计，两侧用外覆薄棉及布料的装饰板装饰。扶手骨架尺寸</w:t>
            </w:r>
            <w:r>
              <w:rPr>
                <w:rFonts w:hint="eastAsia" w:ascii="宋体" w:hAnsi="宋体" w:eastAsia="宋体" w:cs="宋体"/>
                <w:color w:val="auto"/>
                <w:kern w:val="0"/>
                <w:sz w:val="24"/>
                <w:szCs w:val="24"/>
                <w:highlight w:val="none"/>
                <w:lang w:val="en-US" w:eastAsia="zh-CN" w:bidi="zh-CN"/>
              </w:rPr>
              <w:t>≥</w:t>
            </w:r>
            <w:r>
              <w:rPr>
                <w:rFonts w:hint="eastAsia" w:ascii="宋体" w:hAnsi="宋体" w:eastAsia="宋体" w:cs="宋体"/>
                <w:color w:val="auto"/>
                <w:kern w:val="0"/>
                <w:sz w:val="24"/>
                <w:szCs w:val="24"/>
                <w:highlight w:val="none"/>
                <w:lang w:val="zh-CN" w:bidi="zh-CN"/>
              </w:rPr>
              <w:t>448*410*65mm宽。</w:t>
            </w:r>
          </w:p>
          <w:p w14:paraId="4DD5469B">
            <w:pPr>
              <w:keepNext/>
              <w:tabs>
                <w:tab w:val="left" w:pos="432"/>
              </w:tabs>
              <w:jc w:val="left"/>
              <w:outlineLvl w:val="0"/>
              <w:rPr>
                <w:rFonts w:hint="eastAsia" w:ascii="宋体" w:hAnsi="宋体" w:eastAsia="宋体" w:cs="宋体"/>
                <w:color w:val="auto"/>
                <w:kern w:val="0"/>
                <w:sz w:val="24"/>
                <w:szCs w:val="24"/>
                <w:highlight w:val="none"/>
                <w:lang w:val="zh-CN" w:bidi="zh-CN"/>
              </w:rPr>
            </w:pPr>
            <w:r>
              <w:rPr>
                <w:rFonts w:hint="eastAsia" w:ascii="宋体" w:hAnsi="宋体" w:eastAsia="宋体" w:cs="宋体"/>
                <w:color w:val="auto"/>
                <w:kern w:val="0"/>
                <w:sz w:val="24"/>
                <w:szCs w:val="24"/>
                <w:highlight w:val="none"/>
                <w:lang w:val="zh-CN" w:bidi="zh-CN"/>
              </w:rPr>
              <w:t>6、写字板：写字板支撑板和支撑杆材质均采用冷轧钢压铸成型，通过焊接连为一体，四周做加强筋处理，使其更加美观且承重能力更强。写字板面板尺寸</w:t>
            </w:r>
            <w:r>
              <w:rPr>
                <w:rFonts w:hint="eastAsia" w:ascii="宋体" w:hAnsi="宋体" w:eastAsia="宋体" w:cs="宋体"/>
                <w:color w:val="auto"/>
                <w:kern w:val="0"/>
                <w:sz w:val="24"/>
                <w:szCs w:val="24"/>
                <w:highlight w:val="none"/>
                <w:lang w:val="en-US" w:eastAsia="zh-CN" w:bidi="zh-CN"/>
              </w:rPr>
              <w:t>≥</w:t>
            </w:r>
            <w:r>
              <w:rPr>
                <w:rFonts w:hint="eastAsia" w:ascii="宋体" w:hAnsi="宋体" w:eastAsia="宋体" w:cs="宋体"/>
                <w:color w:val="auto"/>
                <w:kern w:val="0"/>
                <w:sz w:val="24"/>
                <w:szCs w:val="24"/>
                <w:highlight w:val="none"/>
                <w:lang w:val="zh-CN" w:bidi="zh-CN"/>
              </w:rPr>
              <w:t>265mm*232mm*15mm。写字板面材质为高密度中纤板四周采用PVC注塑封边。写字板向上倾斜保证书写舒适自然状态，打开与回收功能顺畅。</w:t>
            </w:r>
          </w:p>
          <w:p w14:paraId="58964605">
            <w:pPr>
              <w:keepNext/>
              <w:tabs>
                <w:tab w:val="left" w:pos="432"/>
              </w:tabs>
              <w:jc w:val="left"/>
              <w:outlineLvl w:val="0"/>
              <w:rPr>
                <w:rFonts w:hint="eastAsia" w:ascii="宋体" w:hAnsi="宋体" w:eastAsia="宋体" w:cs="宋体"/>
                <w:color w:val="auto"/>
                <w:kern w:val="0"/>
                <w:sz w:val="24"/>
                <w:szCs w:val="24"/>
                <w:highlight w:val="none"/>
                <w:lang w:val="zh-CN" w:bidi="zh-CN"/>
              </w:rPr>
            </w:pPr>
            <w:r>
              <w:rPr>
                <w:rFonts w:hint="eastAsia" w:ascii="宋体" w:hAnsi="宋体" w:eastAsia="宋体" w:cs="宋体"/>
                <w:color w:val="auto"/>
                <w:kern w:val="0"/>
                <w:sz w:val="24"/>
                <w:szCs w:val="24"/>
                <w:highlight w:val="none"/>
                <w:lang w:val="zh-CN" w:bidi="zh-CN"/>
              </w:rPr>
              <w:t>7、椅脚：采用优质铝合金压铸，脚架与扶手框连接安装，脚架尺寸：长</w:t>
            </w:r>
            <w:r>
              <w:rPr>
                <w:rFonts w:hint="eastAsia" w:ascii="宋体" w:hAnsi="宋体" w:eastAsia="宋体" w:cs="宋体"/>
                <w:color w:val="auto"/>
                <w:kern w:val="0"/>
                <w:sz w:val="24"/>
                <w:szCs w:val="24"/>
                <w:highlight w:val="none"/>
                <w:lang w:val="en-US" w:eastAsia="zh-CN" w:bidi="zh-CN"/>
              </w:rPr>
              <w:t>≥</w:t>
            </w:r>
            <w:r>
              <w:rPr>
                <w:rFonts w:hint="eastAsia" w:ascii="宋体" w:hAnsi="宋体" w:eastAsia="宋体" w:cs="宋体"/>
                <w:color w:val="auto"/>
                <w:kern w:val="0"/>
                <w:sz w:val="24"/>
                <w:szCs w:val="24"/>
                <w:highlight w:val="none"/>
                <w:lang w:val="zh-CN" w:bidi="zh-CN"/>
              </w:rPr>
              <w:t>359mm，宽</w:t>
            </w:r>
            <w:r>
              <w:rPr>
                <w:rFonts w:hint="eastAsia" w:ascii="宋体" w:hAnsi="宋体" w:eastAsia="宋体" w:cs="宋体"/>
                <w:color w:val="auto"/>
                <w:kern w:val="0"/>
                <w:sz w:val="24"/>
                <w:szCs w:val="24"/>
                <w:highlight w:val="none"/>
                <w:lang w:val="en-US" w:eastAsia="zh-CN" w:bidi="zh-CN"/>
              </w:rPr>
              <w:t>≥</w:t>
            </w:r>
            <w:r>
              <w:rPr>
                <w:rFonts w:hint="eastAsia" w:ascii="宋体" w:hAnsi="宋体" w:eastAsia="宋体" w:cs="宋体"/>
                <w:color w:val="auto"/>
                <w:kern w:val="0"/>
                <w:sz w:val="24"/>
                <w:szCs w:val="24"/>
                <w:highlight w:val="none"/>
                <w:lang w:val="zh-CN" w:bidi="zh-CN"/>
              </w:rPr>
              <w:t>70mm，高151~202mm，底部地面安装孔孔距≥300mm；扶手侧板采用优质密度板覆薄棉外包布装饰，隐藏式地爆螺丝，外带地胶盖。</w:t>
            </w:r>
          </w:p>
          <w:p w14:paraId="18206436">
            <w:pPr>
              <w:keepNext/>
              <w:tabs>
                <w:tab w:val="left" w:pos="432"/>
              </w:tabs>
              <w:jc w:val="left"/>
              <w:outlineLvl w:val="0"/>
              <w:rPr>
                <w:rFonts w:hint="eastAsia" w:ascii="宋体" w:hAnsi="宋体" w:eastAsia="宋体" w:cs="宋体"/>
                <w:color w:val="auto"/>
                <w:kern w:val="0"/>
                <w:sz w:val="24"/>
                <w:szCs w:val="24"/>
                <w:highlight w:val="none"/>
                <w:lang w:val="en-US" w:eastAsia="zh-CN" w:bidi="zh-CN"/>
              </w:rPr>
            </w:pPr>
          </w:p>
        </w:tc>
        <w:tc>
          <w:tcPr>
            <w:tcW w:w="269" w:type="pct"/>
            <w:vAlign w:val="center"/>
          </w:tcPr>
          <w:p w14:paraId="1F301664">
            <w:pPr>
              <w:spacing w:line="288" w:lineRule="auto"/>
              <w:jc w:val="center"/>
              <w:rPr>
                <w:rFonts w:ascii="宋体" w:hAnsi="宋体" w:cs="宋体"/>
                <w:bCs/>
                <w:color w:val="auto"/>
                <w:kern w:val="0"/>
                <w:sz w:val="24"/>
                <w:szCs w:val="24"/>
                <w:highlight w:val="none"/>
              </w:rPr>
            </w:pPr>
          </w:p>
        </w:tc>
      </w:tr>
      <w:tr w14:paraId="06442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324" w:type="pct"/>
            <w:vAlign w:val="center"/>
          </w:tcPr>
          <w:p w14:paraId="12D18770">
            <w:pPr>
              <w:spacing w:line="288" w:lineRule="auto"/>
              <w:jc w:val="center"/>
              <w:rPr>
                <w:rFonts w:hint="eastAsia" w:ascii="宋体" w:hAnsi="宋体" w:eastAsia="宋体" w:cs="宋体"/>
                <w:color w:val="auto"/>
                <w:kern w:val="0"/>
                <w:sz w:val="20"/>
                <w:szCs w:val="21"/>
                <w:highlight w:val="none"/>
                <w:lang w:val="en-US" w:eastAsia="zh-CN"/>
              </w:rPr>
            </w:pPr>
            <w:r>
              <w:rPr>
                <w:rFonts w:hint="eastAsia" w:ascii="宋体" w:hAnsi="宋体" w:eastAsia="宋体" w:cs="宋体"/>
                <w:color w:val="auto"/>
                <w:kern w:val="0"/>
                <w:sz w:val="20"/>
                <w:szCs w:val="21"/>
                <w:highlight w:val="none"/>
                <w:lang w:val="en-US" w:eastAsia="zh-CN"/>
              </w:rPr>
              <w:t>8</w:t>
            </w:r>
          </w:p>
        </w:tc>
        <w:tc>
          <w:tcPr>
            <w:tcW w:w="801" w:type="pct"/>
            <w:vAlign w:val="center"/>
          </w:tcPr>
          <w:p w14:paraId="051B0930">
            <w:pPr>
              <w:pStyle w:val="9"/>
              <w:numPr>
                <w:ilvl w:val="0"/>
                <w:numId w:val="0"/>
              </w:numPr>
              <w:spacing w:line="360" w:lineRule="auto"/>
              <w:rPr>
                <w:rFonts w:hint="eastAsia" w:ascii="宋体" w:hAnsi="宋体" w:cs="宋体"/>
                <w:bCs/>
                <w:color w:val="auto"/>
                <w:kern w:val="0"/>
                <w:sz w:val="24"/>
                <w:szCs w:val="24"/>
                <w:highlight w:val="none"/>
                <w:lang w:eastAsia="zh-CN"/>
              </w:rPr>
            </w:pPr>
            <w:r>
              <w:rPr>
                <w:rFonts w:hint="eastAsia" w:ascii="宋体" w:hAnsi="宋体" w:cs="宋体"/>
                <w:bCs/>
                <w:color w:val="auto"/>
                <w:kern w:val="0"/>
                <w:sz w:val="24"/>
                <w:szCs w:val="24"/>
                <w:highlight w:val="none"/>
                <w:lang w:eastAsia="zh-CN"/>
              </w:rPr>
              <w:t>采购</w:t>
            </w:r>
            <w:r>
              <w:rPr>
                <w:rFonts w:hint="eastAsia" w:ascii="宋体" w:hAnsi="宋体" w:cs="宋体"/>
                <w:bCs/>
                <w:color w:val="auto"/>
                <w:kern w:val="0"/>
                <w:sz w:val="24"/>
                <w:szCs w:val="24"/>
                <w:highlight w:val="none"/>
              </w:rPr>
              <w:t>文件</w:t>
            </w:r>
            <w:r>
              <w:rPr>
                <w:rFonts w:hint="eastAsia" w:ascii="宋体" w:hAnsi="宋体" w:cs="宋体"/>
                <w:bCs/>
                <w:color w:val="auto"/>
                <w:kern w:val="0"/>
                <w:sz w:val="24"/>
                <w:szCs w:val="24"/>
                <w:highlight w:val="none"/>
                <w:lang w:eastAsia="zh-CN"/>
              </w:rPr>
              <w:t>“附件：采购清单（采购包</w:t>
            </w:r>
            <w:r>
              <w:rPr>
                <w:rFonts w:hint="eastAsia" w:ascii="宋体" w:hAnsi="宋体" w:cs="宋体"/>
                <w:bCs/>
                <w:color w:val="auto"/>
                <w:kern w:val="0"/>
                <w:sz w:val="24"/>
                <w:szCs w:val="24"/>
                <w:highlight w:val="none"/>
                <w:lang w:val="en-US" w:eastAsia="zh-CN"/>
              </w:rPr>
              <w:t>2</w:t>
            </w:r>
            <w:r>
              <w:rPr>
                <w:rFonts w:hint="eastAsia" w:ascii="宋体" w:hAnsi="宋体" w:cs="宋体"/>
                <w:bCs/>
                <w:color w:val="auto"/>
                <w:kern w:val="0"/>
                <w:sz w:val="24"/>
                <w:szCs w:val="24"/>
                <w:highlight w:val="none"/>
                <w:lang w:eastAsia="zh-CN"/>
              </w:rPr>
              <w:t>）（标记“○”的产品参与本标段工艺方案评价）”</w:t>
            </w:r>
            <w:r>
              <w:rPr>
                <w:rFonts w:hint="eastAsia" w:ascii="宋体" w:hAnsi="宋体" w:cs="宋体"/>
                <w:bCs/>
                <w:color w:val="auto"/>
                <w:kern w:val="0"/>
                <w:sz w:val="24"/>
                <w:szCs w:val="24"/>
                <w:highlight w:val="none"/>
                <w:lang w:val="en-US" w:eastAsia="zh-CN"/>
              </w:rPr>
              <w:t>-</w:t>
            </w:r>
            <w:r>
              <w:rPr>
                <w:rFonts w:hint="eastAsia" w:ascii="宋体" w:hAnsi="宋体" w:cs="宋体"/>
                <w:bCs/>
                <w:color w:val="auto"/>
                <w:kern w:val="0"/>
                <w:sz w:val="24"/>
                <w:szCs w:val="24"/>
                <w:highlight w:val="none"/>
                <w:lang w:eastAsia="zh-CN"/>
              </w:rPr>
              <w:t>“</w:t>
            </w:r>
            <w:r>
              <w:rPr>
                <w:rFonts w:hint="eastAsia" w:ascii="宋体" w:hAnsi="宋体" w:cs="宋体"/>
                <w:bCs/>
                <w:color w:val="auto"/>
                <w:kern w:val="0"/>
                <w:sz w:val="24"/>
                <w:szCs w:val="24"/>
                <w:highlight w:val="none"/>
                <w:lang w:val="en-US" w:eastAsia="zh-CN"/>
              </w:rPr>
              <w:t>41 值班床</w:t>
            </w:r>
            <w:r>
              <w:rPr>
                <w:rFonts w:hint="eastAsia" w:ascii="宋体" w:hAnsi="宋体" w:cs="宋体"/>
                <w:bCs/>
                <w:color w:val="auto"/>
                <w:kern w:val="0"/>
                <w:sz w:val="24"/>
                <w:szCs w:val="24"/>
                <w:highlight w:val="none"/>
                <w:lang w:eastAsia="zh-CN"/>
              </w:rPr>
              <w:t>”</w:t>
            </w:r>
            <w:r>
              <w:rPr>
                <w:rFonts w:hint="eastAsia" w:ascii="宋体" w:hAnsi="宋体" w:cs="宋体"/>
                <w:bCs/>
                <w:color w:val="auto"/>
                <w:kern w:val="0"/>
                <w:sz w:val="24"/>
                <w:szCs w:val="24"/>
                <w:highlight w:val="none"/>
                <w:lang w:val="en-US" w:eastAsia="zh-CN"/>
              </w:rPr>
              <w:t>-“描述”</w:t>
            </w:r>
          </w:p>
        </w:tc>
        <w:tc>
          <w:tcPr>
            <w:tcW w:w="1808" w:type="pct"/>
            <w:vAlign w:val="center"/>
          </w:tcPr>
          <w:p w14:paraId="21E75FFC">
            <w:pPr>
              <w:keepNext/>
              <w:tabs>
                <w:tab w:val="left" w:pos="432"/>
              </w:tabs>
              <w:jc w:val="left"/>
              <w:outlineLvl w:val="0"/>
              <w:rPr>
                <w:rFonts w:hint="eastAsia" w:ascii="宋体" w:hAnsi="宋体" w:eastAsia="宋体" w:cs="宋体"/>
                <w:color w:val="auto"/>
                <w:kern w:val="0"/>
                <w:sz w:val="24"/>
                <w:szCs w:val="24"/>
                <w:highlight w:val="none"/>
                <w:lang w:val="zh-CN" w:bidi="zh-CN"/>
              </w:rPr>
            </w:pPr>
            <w:r>
              <w:rPr>
                <w:rFonts w:hint="eastAsia" w:ascii="宋体" w:hAnsi="宋体" w:eastAsia="宋体" w:cs="宋体"/>
                <w:color w:val="auto"/>
                <w:kern w:val="0"/>
                <w:sz w:val="24"/>
                <w:szCs w:val="24"/>
                <w:highlight w:val="none"/>
                <w:lang w:val="zh-CN" w:bidi="zh-CN"/>
              </w:rPr>
              <w:t>6.侧护栏规格：侧护栏采用中空吹塑工艺，表面皮纹处理造型美观，材料为HDPE 高密度聚乙烯。长*宽*厚度最大尺寸要求：长度≥745mm，高度≥315mm，厚度为30±2mm。挡头具有6个透气平椭圆孔，4个小的透气孔和2个大的透气孔。小透气孔的尺寸≥19*95mm，大透气孔的尺寸≥30*180 mm。在挡头的左右两侧均有一次成型的警示线和刻度线，以确保符合国家标准的要求。挡头采用预埋2个M6螺母，以保证与立柱的连接可靠，底部凸起两个圆柱嵌入短横梁，以保证侧护栏整体稳固；</w:t>
            </w:r>
          </w:p>
        </w:tc>
        <w:tc>
          <w:tcPr>
            <w:tcW w:w="1796" w:type="pct"/>
            <w:vAlign w:val="center"/>
          </w:tcPr>
          <w:p w14:paraId="610ABC5A">
            <w:pPr>
              <w:keepNext/>
              <w:tabs>
                <w:tab w:val="left" w:pos="432"/>
              </w:tabs>
              <w:jc w:val="left"/>
              <w:outlineLvl w:val="0"/>
              <w:rPr>
                <w:rFonts w:hint="eastAsia" w:ascii="宋体" w:hAnsi="宋体" w:eastAsia="宋体" w:cs="宋体"/>
                <w:color w:val="auto"/>
                <w:kern w:val="0"/>
                <w:sz w:val="24"/>
                <w:szCs w:val="24"/>
                <w:highlight w:val="none"/>
                <w:lang w:val="en-US" w:eastAsia="zh-CN" w:bidi="zh-CN"/>
              </w:rPr>
            </w:pPr>
            <w:r>
              <w:rPr>
                <w:rFonts w:hint="eastAsia" w:ascii="宋体" w:hAnsi="宋体" w:eastAsia="宋体" w:cs="宋体"/>
                <w:color w:val="auto"/>
                <w:kern w:val="0"/>
                <w:sz w:val="24"/>
                <w:szCs w:val="24"/>
                <w:highlight w:val="none"/>
                <w:lang w:val="en-US" w:eastAsia="zh-CN" w:bidi="zh-CN"/>
              </w:rPr>
              <w:t>6.侧护栏规格：侧护栏采用中空吹塑工艺，表面皮纹处理造型美观，材料为HDPE 高密度聚乙烯。长*宽*厚度最大尺寸要求：长度≥745mm，高度≥315mm，厚度为30±2mm。在挡头的左右两侧均有一次成型的警示线和刻度线，以确保符合国家标准的要求。挡头采用预埋2个M6螺母，以保证与立柱的连接可靠，底部凸起两个圆柱嵌入短横梁，以保证侧护栏整体稳固；</w:t>
            </w:r>
          </w:p>
        </w:tc>
        <w:tc>
          <w:tcPr>
            <w:tcW w:w="269" w:type="pct"/>
            <w:vAlign w:val="center"/>
          </w:tcPr>
          <w:p w14:paraId="6C6BAA21">
            <w:pPr>
              <w:spacing w:line="288" w:lineRule="auto"/>
              <w:jc w:val="center"/>
              <w:rPr>
                <w:rFonts w:ascii="宋体" w:hAnsi="宋体" w:cs="宋体"/>
                <w:bCs/>
                <w:color w:val="auto"/>
                <w:kern w:val="0"/>
                <w:sz w:val="24"/>
                <w:szCs w:val="24"/>
                <w:highlight w:val="none"/>
              </w:rPr>
            </w:pPr>
          </w:p>
        </w:tc>
      </w:tr>
      <w:tr w14:paraId="1D379F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324" w:type="pct"/>
            <w:vAlign w:val="center"/>
          </w:tcPr>
          <w:p w14:paraId="6C1FC868">
            <w:pPr>
              <w:spacing w:line="288" w:lineRule="auto"/>
              <w:jc w:val="center"/>
              <w:rPr>
                <w:rFonts w:hint="eastAsia" w:ascii="宋体" w:hAnsi="宋体" w:eastAsia="宋体" w:cs="宋体"/>
                <w:color w:val="auto"/>
                <w:kern w:val="0"/>
                <w:sz w:val="20"/>
                <w:szCs w:val="21"/>
                <w:highlight w:val="none"/>
                <w:lang w:val="en-US" w:eastAsia="zh-CN"/>
              </w:rPr>
            </w:pPr>
            <w:r>
              <w:rPr>
                <w:rFonts w:hint="eastAsia" w:ascii="宋体" w:hAnsi="宋体" w:eastAsia="宋体" w:cs="宋体"/>
                <w:color w:val="auto"/>
                <w:kern w:val="0"/>
                <w:sz w:val="20"/>
                <w:szCs w:val="21"/>
                <w:highlight w:val="none"/>
                <w:lang w:val="en-US" w:eastAsia="zh-CN"/>
              </w:rPr>
              <w:t>9</w:t>
            </w:r>
          </w:p>
        </w:tc>
        <w:tc>
          <w:tcPr>
            <w:tcW w:w="801" w:type="pct"/>
            <w:vAlign w:val="center"/>
          </w:tcPr>
          <w:p w14:paraId="7FE84238">
            <w:pPr>
              <w:pStyle w:val="9"/>
              <w:numPr>
                <w:ilvl w:val="0"/>
                <w:numId w:val="0"/>
              </w:numPr>
              <w:spacing w:line="360" w:lineRule="auto"/>
              <w:rPr>
                <w:rFonts w:hint="default" w:ascii="宋体" w:hAnsi="宋体" w:cs="宋体"/>
                <w:bCs/>
                <w:color w:val="auto"/>
                <w:kern w:val="0"/>
                <w:sz w:val="24"/>
                <w:szCs w:val="24"/>
                <w:highlight w:val="none"/>
                <w:lang w:val="en-US" w:eastAsia="zh-CN"/>
              </w:rPr>
            </w:pPr>
            <w:r>
              <w:rPr>
                <w:rFonts w:hint="eastAsia" w:ascii="宋体" w:hAnsi="宋体" w:cs="宋体"/>
                <w:bCs/>
                <w:color w:val="auto"/>
                <w:kern w:val="0"/>
                <w:sz w:val="24"/>
                <w:szCs w:val="24"/>
                <w:highlight w:val="none"/>
                <w:lang w:eastAsia="zh-CN"/>
              </w:rPr>
              <w:t>采购</w:t>
            </w:r>
            <w:r>
              <w:rPr>
                <w:rFonts w:hint="eastAsia" w:ascii="宋体" w:hAnsi="宋体" w:cs="宋体"/>
                <w:bCs/>
                <w:color w:val="auto"/>
                <w:kern w:val="0"/>
                <w:sz w:val="24"/>
                <w:szCs w:val="24"/>
                <w:highlight w:val="none"/>
              </w:rPr>
              <w:t>文件</w:t>
            </w:r>
            <w:r>
              <w:rPr>
                <w:rFonts w:hint="eastAsia" w:ascii="宋体" w:hAnsi="宋体" w:cs="宋体"/>
                <w:bCs/>
                <w:color w:val="auto"/>
                <w:kern w:val="0"/>
                <w:sz w:val="24"/>
                <w:szCs w:val="24"/>
                <w:highlight w:val="none"/>
                <w:lang w:eastAsia="zh-CN"/>
              </w:rPr>
              <w:t>“第四部分 采购需求”</w:t>
            </w:r>
            <w:r>
              <w:rPr>
                <w:rFonts w:hint="eastAsia" w:ascii="宋体" w:hAnsi="宋体" w:cs="宋体"/>
                <w:bCs/>
                <w:color w:val="auto"/>
                <w:kern w:val="0"/>
                <w:sz w:val="24"/>
                <w:szCs w:val="24"/>
                <w:highlight w:val="none"/>
                <w:lang w:val="en-US" w:eastAsia="zh-CN"/>
              </w:rPr>
              <w:t>-</w:t>
            </w:r>
            <w:r>
              <w:rPr>
                <w:rFonts w:hint="eastAsia" w:ascii="宋体" w:hAnsi="宋体" w:cs="宋体"/>
                <w:bCs/>
                <w:color w:val="auto"/>
                <w:kern w:val="0"/>
                <w:sz w:val="24"/>
                <w:szCs w:val="24"/>
                <w:highlight w:val="none"/>
                <w:lang w:eastAsia="zh-CN"/>
              </w:rPr>
              <w:t>“十、检测报告”</w:t>
            </w:r>
            <w:r>
              <w:rPr>
                <w:rFonts w:hint="eastAsia" w:ascii="宋体" w:hAnsi="宋体" w:cs="宋体"/>
                <w:bCs/>
                <w:color w:val="auto"/>
                <w:kern w:val="0"/>
                <w:sz w:val="24"/>
                <w:szCs w:val="24"/>
                <w:highlight w:val="none"/>
                <w:lang w:val="en-US" w:eastAsia="zh-CN"/>
              </w:rPr>
              <w:t>-“10.1采购包1”-“（一）成品检测报告”</w:t>
            </w:r>
          </w:p>
        </w:tc>
        <w:tc>
          <w:tcPr>
            <w:tcW w:w="1808" w:type="pct"/>
            <w:vAlign w:val="center"/>
          </w:tcPr>
          <w:p w14:paraId="245E48C0">
            <w:pPr>
              <w:keepNext/>
              <w:tabs>
                <w:tab w:val="left" w:pos="432"/>
              </w:tabs>
              <w:jc w:val="left"/>
              <w:outlineLvl w:val="0"/>
              <w:rPr>
                <w:rFonts w:hint="eastAsia" w:ascii="宋体" w:hAnsi="宋体" w:eastAsia="宋体" w:cs="宋体"/>
                <w:color w:val="auto"/>
                <w:kern w:val="0"/>
                <w:sz w:val="24"/>
                <w:szCs w:val="24"/>
                <w:highlight w:val="none"/>
                <w:lang w:val="zh-CN" w:bidi="zh-CN"/>
              </w:rPr>
            </w:pPr>
            <w:r>
              <w:rPr>
                <w:rFonts w:hint="eastAsia" w:ascii="宋体" w:hAnsi="宋体" w:eastAsia="宋体" w:cs="宋体"/>
                <w:color w:val="auto"/>
                <w:kern w:val="0"/>
                <w:sz w:val="24"/>
                <w:szCs w:val="24"/>
                <w:highlight w:val="none"/>
                <w:lang w:val="zh-CN" w:bidi="zh-CN"/>
              </w:rPr>
              <w:t>(1)提供医用治疗柜的检验（或检测）报告，报告中需包含：</w:t>
            </w:r>
          </w:p>
          <w:p w14:paraId="3535E7FF">
            <w:pPr>
              <w:keepNext/>
              <w:tabs>
                <w:tab w:val="left" w:pos="432"/>
              </w:tabs>
              <w:jc w:val="left"/>
              <w:outlineLvl w:val="0"/>
              <w:rPr>
                <w:rFonts w:hint="eastAsia" w:ascii="宋体" w:hAnsi="宋体" w:eastAsia="宋体" w:cs="宋体"/>
                <w:color w:val="auto"/>
                <w:kern w:val="0"/>
                <w:sz w:val="24"/>
                <w:szCs w:val="24"/>
                <w:highlight w:val="none"/>
                <w:lang w:val="zh-CN" w:bidi="zh-CN"/>
              </w:rPr>
            </w:pPr>
            <w:r>
              <w:rPr>
                <w:rFonts w:hint="eastAsia" w:ascii="宋体" w:hAnsi="宋体" w:eastAsia="宋体" w:cs="宋体"/>
                <w:color w:val="auto"/>
                <w:kern w:val="0"/>
                <w:sz w:val="24"/>
                <w:szCs w:val="24"/>
                <w:highlight w:val="none"/>
                <w:lang w:val="zh-CN" w:bidi="zh-CN"/>
              </w:rPr>
              <w:t>①依据符合GB/T 3075-2021《金属材料疲劳试验轴向力控制方法》标准，疲劳测试≥10万次：试样未断裂；</w:t>
            </w:r>
          </w:p>
          <w:p w14:paraId="5434DCFA">
            <w:pPr>
              <w:keepNext/>
              <w:tabs>
                <w:tab w:val="left" w:pos="432"/>
              </w:tabs>
              <w:jc w:val="left"/>
              <w:outlineLvl w:val="0"/>
              <w:rPr>
                <w:rFonts w:hint="eastAsia" w:ascii="宋体" w:hAnsi="宋体" w:eastAsia="宋体" w:cs="宋体"/>
                <w:color w:val="auto"/>
                <w:kern w:val="0"/>
                <w:sz w:val="24"/>
                <w:szCs w:val="24"/>
                <w:highlight w:val="none"/>
                <w:lang w:val="zh-CN" w:bidi="zh-CN"/>
              </w:rPr>
            </w:pPr>
            <w:r>
              <w:rPr>
                <w:rFonts w:hint="eastAsia" w:ascii="宋体" w:hAnsi="宋体" w:eastAsia="宋体" w:cs="宋体"/>
                <w:color w:val="auto"/>
                <w:kern w:val="0"/>
                <w:sz w:val="24"/>
                <w:szCs w:val="24"/>
                <w:highlight w:val="none"/>
                <w:lang w:val="zh-CN" w:bidi="zh-CN"/>
              </w:rPr>
              <w:t>②依据符合GB/T 26696-2011《家具用高分子材料台面板》标准，耐香烟灼烧≥1级；耐酸碱≥1级；耐高温≥1级；吸水率≤0.5%；弯曲强度≥30MPa；</w:t>
            </w:r>
          </w:p>
          <w:p w14:paraId="682FE72D">
            <w:pPr>
              <w:keepNext/>
              <w:tabs>
                <w:tab w:val="left" w:pos="432"/>
              </w:tabs>
              <w:jc w:val="left"/>
              <w:outlineLvl w:val="0"/>
              <w:rPr>
                <w:rFonts w:hint="eastAsia" w:ascii="宋体" w:hAnsi="宋体" w:eastAsia="宋体" w:cs="宋体"/>
                <w:color w:val="auto"/>
                <w:kern w:val="0"/>
                <w:sz w:val="24"/>
                <w:szCs w:val="24"/>
                <w:highlight w:val="none"/>
                <w:lang w:val="zh-CN" w:bidi="zh-CN"/>
              </w:rPr>
            </w:pPr>
            <w:r>
              <w:rPr>
                <w:rFonts w:hint="eastAsia" w:ascii="宋体" w:hAnsi="宋体" w:eastAsia="宋体" w:cs="宋体"/>
                <w:color w:val="auto"/>
                <w:kern w:val="0"/>
                <w:sz w:val="24"/>
                <w:szCs w:val="24"/>
                <w:highlight w:val="none"/>
                <w:lang w:val="zh-CN" w:bidi="zh-CN"/>
              </w:rPr>
              <w:t>③依据符合GB/T 228.1-2021《金属材料拉伸试验第1部分:室温试验方法》标准，力学性能抗拉强度≥450MPa;上屈服强度≥350MPa;断后伸长率≥30%；</w:t>
            </w:r>
          </w:p>
          <w:p w14:paraId="5CFF2EF5">
            <w:pPr>
              <w:keepNext/>
              <w:tabs>
                <w:tab w:val="left" w:pos="432"/>
              </w:tabs>
              <w:jc w:val="left"/>
              <w:outlineLvl w:val="0"/>
              <w:rPr>
                <w:rFonts w:hint="eastAsia" w:ascii="宋体" w:hAnsi="宋体" w:eastAsia="宋体" w:cs="宋体"/>
                <w:color w:val="auto"/>
                <w:kern w:val="0"/>
                <w:sz w:val="24"/>
                <w:szCs w:val="24"/>
                <w:highlight w:val="none"/>
                <w:lang w:val="zh-CN" w:bidi="zh-CN"/>
              </w:rPr>
            </w:pPr>
            <w:r>
              <w:rPr>
                <w:rFonts w:hint="eastAsia" w:ascii="宋体" w:hAnsi="宋体" w:eastAsia="宋体" w:cs="宋体"/>
                <w:color w:val="auto"/>
                <w:kern w:val="0"/>
                <w:sz w:val="24"/>
                <w:szCs w:val="24"/>
                <w:highlight w:val="none"/>
                <w:lang w:val="zh-CN" w:bidi="zh-CN"/>
              </w:rPr>
              <w:t>④依据符合GB/T 3325-2024《金属家具通用技术条件》标准，理化性能:硬度≥3H。通过基本结构安全；底脚着地平稳性≤2.0mm;通过柜架类结构强度试验、开门试验、稳定性试验；</w:t>
            </w:r>
          </w:p>
          <w:p w14:paraId="4112D3CD">
            <w:pPr>
              <w:keepNext/>
              <w:tabs>
                <w:tab w:val="left" w:pos="432"/>
              </w:tabs>
              <w:jc w:val="left"/>
              <w:outlineLvl w:val="0"/>
              <w:rPr>
                <w:rFonts w:hint="eastAsia" w:ascii="宋体" w:hAnsi="宋体" w:eastAsia="宋体" w:cs="宋体"/>
                <w:color w:val="auto"/>
                <w:kern w:val="0"/>
                <w:sz w:val="24"/>
                <w:szCs w:val="24"/>
                <w:highlight w:val="none"/>
                <w:lang w:val="zh-CN" w:bidi="zh-CN"/>
              </w:rPr>
            </w:pPr>
            <w:r>
              <w:rPr>
                <w:rFonts w:hint="eastAsia" w:ascii="宋体" w:hAnsi="宋体" w:eastAsia="宋体" w:cs="宋体"/>
                <w:color w:val="auto"/>
                <w:kern w:val="0"/>
                <w:sz w:val="24"/>
                <w:szCs w:val="24"/>
                <w:highlight w:val="none"/>
                <w:lang w:val="zh-CN" w:bidi="zh-CN"/>
              </w:rPr>
              <w:t>⑤依据符合QB/T 4371-2012《家具抗菌性能的评价》标准；通过抗细菌性能检测至少包含大肠埃希氏菌（大肠杆菌）、肺炎克雷伯氏菌等任意5种菌类，抗细菌率或抑菌率均≥99%；</w:t>
            </w:r>
          </w:p>
          <w:p w14:paraId="63091A49">
            <w:pPr>
              <w:keepNext/>
              <w:tabs>
                <w:tab w:val="left" w:pos="432"/>
              </w:tabs>
              <w:jc w:val="left"/>
              <w:outlineLvl w:val="0"/>
              <w:rPr>
                <w:rFonts w:hint="eastAsia" w:ascii="宋体" w:hAnsi="宋体" w:eastAsia="宋体" w:cs="宋体"/>
                <w:color w:val="auto"/>
                <w:kern w:val="0"/>
                <w:sz w:val="24"/>
                <w:szCs w:val="24"/>
                <w:highlight w:val="none"/>
                <w:lang w:val="zh-CN" w:bidi="zh-CN"/>
              </w:rPr>
            </w:pPr>
            <w:r>
              <w:rPr>
                <w:rFonts w:hint="eastAsia" w:ascii="宋体" w:hAnsi="宋体" w:eastAsia="宋体" w:cs="宋体"/>
                <w:color w:val="auto"/>
                <w:kern w:val="0"/>
                <w:sz w:val="24"/>
                <w:szCs w:val="24"/>
                <w:highlight w:val="none"/>
                <w:lang w:val="zh-CN" w:bidi="zh-CN"/>
              </w:rPr>
              <w:t>⑥依据符合GB/T 21604-2022《化学品急性皮肤刺激性/腐蚀性试验方法》标准；通过急性皮肤刺激性/腐蚀性试验检测；</w:t>
            </w:r>
          </w:p>
        </w:tc>
        <w:tc>
          <w:tcPr>
            <w:tcW w:w="1796" w:type="pct"/>
            <w:vAlign w:val="center"/>
          </w:tcPr>
          <w:p w14:paraId="6FC8F514">
            <w:pPr>
              <w:keepNext/>
              <w:tabs>
                <w:tab w:val="left" w:pos="432"/>
              </w:tabs>
              <w:jc w:val="left"/>
              <w:outlineLvl w:val="0"/>
              <w:rPr>
                <w:rFonts w:hint="eastAsia" w:ascii="宋体" w:hAnsi="宋体" w:eastAsia="宋体" w:cs="宋体"/>
                <w:color w:val="auto"/>
                <w:kern w:val="0"/>
                <w:sz w:val="24"/>
                <w:szCs w:val="24"/>
                <w:highlight w:val="none"/>
                <w:lang w:val="en-US" w:eastAsia="zh-CN" w:bidi="zh-CN"/>
              </w:rPr>
            </w:pPr>
            <w:r>
              <w:rPr>
                <w:rFonts w:hint="eastAsia" w:ascii="宋体" w:hAnsi="宋体" w:eastAsia="宋体" w:cs="宋体"/>
                <w:color w:val="auto"/>
                <w:kern w:val="0"/>
                <w:sz w:val="24"/>
                <w:szCs w:val="24"/>
                <w:highlight w:val="none"/>
                <w:lang w:val="en-US" w:eastAsia="zh-CN" w:bidi="zh-CN"/>
              </w:rPr>
              <w:t>(1)提供医用治疗柜的检验（或检测）报告，报告中需包含：</w:t>
            </w:r>
          </w:p>
          <w:p w14:paraId="06D7A250">
            <w:pPr>
              <w:keepNext/>
              <w:tabs>
                <w:tab w:val="left" w:pos="432"/>
              </w:tabs>
              <w:jc w:val="left"/>
              <w:outlineLvl w:val="0"/>
              <w:rPr>
                <w:rFonts w:hint="eastAsia" w:ascii="宋体" w:hAnsi="宋体" w:eastAsia="宋体" w:cs="宋体"/>
                <w:color w:val="auto"/>
                <w:kern w:val="0"/>
                <w:sz w:val="24"/>
                <w:szCs w:val="24"/>
                <w:highlight w:val="none"/>
                <w:lang w:val="en-US" w:eastAsia="zh-CN" w:bidi="zh-CN"/>
              </w:rPr>
            </w:pPr>
            <w:r>
              <w:rPr>
                <w:rFonts w:hint="eastAsia" w:ascii="宋体" w:hAnsi="宋体" w:eastAsia="宋体" w:cs="宋体"/>
                <w:color w:val="auto"/>
                <w:kern w:val="0"/>
                <w:sz w:val="24"/>
                <w:szCs w:val="24"/>
                <w:highlight w:val="none"/>
                <w:lang w:val="en-US" w:eastAsia="zh-CN" w:bidi="zh-CN"/>
              </w:rPr>
              <w:t>①依据符合GB/T 26696-2011《家具用高分子材料台面板》标准，耐香烟灼烧≥1级；耐酸碱≥1级；耐高温≥1级；吸水率≤0.5%；弯曲强度≥30MPa；</w:t>
            </w:r>
          </w:p>
          <w:p w14:paraId="32D914D9">
            <w:pPr>
              <w:keepNext/>
              <w:tabs>
                <w:tab w:val="left" w:pos="432"/>
              </w:tabs>
              <w:jc w:val="left"/>
              <w:outlineLvl w:val="0"/>
              <w:rPr>
                <w:rFonts w:hint="eastAsia" w:ascii="宋体" w:hAnsi="宋体" w:eastAsia="宋体" w:cs="宋体"/>
                <w:color w:val="auto"/>
                <w:kern w:val="0"/>
                <w:sz w:val="24"/>
                <w:szCs w:val="24"/>
                <w:highlight w:val="none"/>
                <w:lang w:val="en-US" w:eastAsia="zh-CN" w:bidi="zh-CN"/>
              </w:rPr>
            </w:pPr>
            <w:r>
              <w:rPr>
                <w:rFonts w:hint="eastAsia" w:ascii="宋体" w:hAnsi="宋体" w:eastAsia="宋体" w:cs="宋体"/>
                <w:color w:val="auto"/>
                <w:kern w:val="0"/>
                <w:sz w:val="24"/>
                <w:szCs w:val="24"/>
                <w:highlight w:val="none"/>
                <w:lang w:val="en-US" w:eastAsia="zh-CN" w:bidi="zh-CN"/>
              </w:rPr>
              <w:t>②依据符合GB/T 3325-2024《金属家具通用技术条件》标准，理化性能:硬度≥3H。通过基本结构安全；底脚着地平稳性≤2.0mm;通过柜架类结构强度试验、开门试验、稳定性试验；</w:t>
            </w:r>
          </w:p>
          <w:p w14:paraId="666EC32B">
            <w:pPr>
              <w:keepNext/>
              <w:tabs>
                <w:tab w:val="left" w:pos="432"/>
              </w:tabs>
              <w:jc w:val="left"/>
              <w:outlineLvl w:val="0"/>
              <w:rPr>
                <w:rFonts w:hint="eastAsia" w:ascii="宋体" w:hAnsi="宋体" w:eastAsia="宋体" w:cs="宋体"/>
                <w:color w:val="auto"/>
                <w:kern w:val="0"/>
                <w:sz w:val="24"/>
                <w:szCs w:val="24"/>
                <w:highlight w:val="none"/>
                <w:lang w:val="en-US" w:eastAsia="zh-CN" w:bidi="zh-CN"/>
              </w:rPr>
            </w:pPr>
            <w:r>
              <w:rPr>
                <w:rFonts w:hint="eastAsia" w:ascii="宋体" w:hAnsi="宋体" w:eastAsia="宋体" w:cs="宋体"/>
                <w:color w:val="auto"/>
                <w:kern w:val="0"/>
                <w:sz w:val="24"/>
                <w:szCs w:val="24"/>
                <w:highlight w:val="none"/>
                <w:lang w:val="en-US" w:eastAsia="zh-CN" w:bidi="zh-CN"/>
              </w:rPr>
              <w:t>③依据符合QB/T 4371-2012《家具抗菌性能的评价》标准；通过抗细菌性能检测至少包含大肠埃希氏菌（大肠杆菌）、肺炎克雷伯氏菌等任意5种菌类，抗细菌率或抑菌率均≥99%；</w:t>
            </w:r>
          </w:p>
        </w:tc>
        <w:tc>
          <w:tcPr>
            <w:tcW w:w="269" w:type="pct"/>
            <w:vAlign w:val="center"/>
          </w:tcPr>
          <w:p w14:paraId="689364D8">
            <w:pPr>
              <w:spacing w:line="288" w:lineRule="auto"/>
              <w:jc w:val="center"/>
              <w:rPr>
                <w:rFonts w:hint="eastAsia" w:ascii="宋体" w:hAnsi="宋体" w:cs="宋体" w:eastAsiaTheme="minorEastAsia"/>
                <w:bCs/>
                <w:color w:val="auto"/>
                <w:kern w:val="0"/>
                <w:sz w:val="24"/>
                <w:szCs w:val="24"/>
                <w:highlight w:val="none"/>
                <w:lang w:eastAsia="zh-CN"/>
              </w:rPr>
            </w:pPr>
            <w:r>
              <w:rPr>
                <w:rFonts w:hint="eastAsia" w:ascii="宋体" w:hAnsi="宋体" w:cs="宋体"/>
                <w:bCs/>
                <w:color w:val="auto"/>
                <w:kern w:val="0"/>
                <w:sz w:val="24"/>
                <w:szCs w:val="24"/>
                <w:highlight w:val="none"/>
              </w:rPr>
              <w:t>检验报告和评分办法同步</w:t>
            </w:r>
            <w:r>
              <w:rPr>
                <w:rFonts w:hint="eastAsia" w:ascii="宋体" w:hAnsi="宋体" w:cs="宋体"/>
                <w:bCs/>
                <w:color w:val="auto"/>
                <w:kern w:val="0"/>
                <w:sz w:val="24"/>
                <w:szCs w:val="24"/>
                <w:highlight w:val="none"/>
                <w:lang w:eastAsia="zh-CN"/>
              </w:rPr>
              <w:t>更正</w:t>
            </w:r>
          </w:p>
        </w:tc>
      </w:tr>
      <w:tr w14:paraId="05FAE4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324" w:type="pct"/>
            <w:vAlign w:val="center"/>
          </w:tcPr>
          <w:p w14:paraId="480BFD80">
            <w:pPr>
              <w:spacing w:line="288" w:lineRule="auto"/>
              <w:jc w:val="center"/>
              <w:rPr>
                <w:rFonts w:hint="eastAsia" w:ascii="宋体" w:hAnsi="宋体" w:eastAsia="宋体" w:cs="宋体"/>
                <w:color w:val="auto"/>
                <w:kern w:val="0"/>
                <w:sz w:val="20"/>
                <w:szCs w:val="21"/>
                <w:highlight w:val="none"/>
              </w:rPr>
            </w:pPr>
          </w:p>
        </w:tc>
        <w:tc>
          <w:tcPr>
            <w:tcW w:w="801" w:type="pct"/>
            <w:vAlign w:val="center"/>
          </w:tcPr>
          <w:p w14:paraId="4325530D">
            <w:pPr>
              <w:pStyle w:val="9"/>
              <w:numPr>
                <w:ilvl w:val="0"/>
                <w:numId w:val="0"/>
              </w:numPr>
              <w:spacing w:line="360" w:lineRule="auto"/>
              <w:rPr>
                <w:rFonts w:hint="eastAsia" w:ascii="宋体" w:hAnsi="宋体" w:cs="宋体"/>
                <w:bCs/>
                <w:color w:val="auto"/>
                <w:kern w:val="0"/>
                <w:sz w:val="24"/>
                <w:szCs w:val="24"/>
                <w:highlight w:val="none"/>
                <w:lang w:eastAsia="zh-CN"/>
              </w:rPr>
            </w:pPr>
          </w:p>
        </w:tc>
        <w:tc>
          <w:tcPr>
            <w:tcW w:w="1808" w:type="pct"/>
            <w:vAlign w:val="center"/>
          </w:tcPr>
          <w:p w14:paraId="1EC5A94D">
            <w:pPr>
              <w:keepNext/>
              <w:tabs>
                <w:tab w:val="left" w:pos="432"/>
              </w:tabs>
              <w:jc w:val="left"/>
              <w:outlineLvl w:val="0"/>
              <w:rPr>
                <w:rFonts w:hint="eastAsia" w:ascii="宋体" w:hAnsi="宋体" w:eastAsia="宋体" w:cs="宋体"/>
                <w:color w:val="auto"/>
                <w:kern w:val="0"/>
                <w:sz w:val="24"/>
                <w:szCs w:val="24"/>
                <w:highlight w:val="none"/>
                <w:lang w:val="zh-CN" w:bidi="zh-CN"/>
              </w:rPr>
            </w:pPr>
            <w:r>
              <w:rPr>
                <w:rFonts w:hint="eastAsia" w:ascii="宋体" w:hAnsi="宋体" w:eastAsia="宋体" w:cs="宋体"/>
                <w:color w:val="auto"/>
                <w:kern w:val="0"/>
                <w:sz w:val="24"/>
                <w:szCs w:val="24"/>
                <w:highlight w:val="none"/>
                <w:lang w:val="zh-CN" w:bidi="zh-CN"/>
              </w:rPr>
              <w:t>(2)提供医用处置柜的检验（或检测）报告，报告中需包含：</w:t>
            </w:r>
          </w:p>
          <w:p w14:paraId="2E0485E5">
            <w:pPr>
              <w:keepNext/>
              <w:tabs>
                <w:tab w:val="left" w:pos="432"/>
              </w:tabs>
              <w:jc w:val="left"/>
              <w:outlineLvl w:val="0"/>
              <w:rPr>
                <w:rFonts w:hint="eastAsia" w:ascii="宋体" w:hAnsi="宋体" w:eastAsia="宋体" w:cs="宋体"/>
                <w:color w:val="auto"/>
                <w:kern w:val="0"/>
                <w:sz w:val="24"/>
                <w:szCs w:val="24"/>
                <w:highlight w:val="none"/>
                <w:lang w:val="zh-CN" w:bidi="zh-CN"/>
              </w:rPr>
            </w:pPr>
            <w:r>
              <w:rPr>
                <w:rFonts w:hint="eastAsia" w:ascii="宋体" w:hAnsi="宋体" w:eastAsia="宋体" w:cs="宋体"/>
                <w:color w:val="auto"/>
                <w:kern w:val="0"/>
                <w:sz w:val="24"/>
                <w:szCs w:val="24"/>
                <w:highlight w:val="none"/>
                <w:lang w:val="zh-CN" w:bidi="zh-CN"/>
              </w:rPr>
              <w:t>①依据符合GB/T 3075-2021《金属材料疲劳试验轴向力控制方法》标准，疲劳测试≥10万次：试样未断裂；</w:t>
            </w:r>
          </w:p>
          <w:p w14:paraId="2D5BEAD6">
            <w:pPr>
              <w:keepNext/>
              <w:tabs>
                <w:tab w:val="left" w:pos="432"/>
              </w:tabs>
              <w:jc w:val="left"/>
              <w:outlineLvl w:val="0"/>
              <w:rPr>
                <w:rFonts w:hint="eastAsia" w:ascii="宋体" w:hAnsi="宋体" w:eastAsia="宋体" w:cs="宋体"/>
                <w:color w:val="auto"/>
                <w:kern w:val="0"/>
                <w:sz w:val="24"/>
                <w:szCs w:val="24"/>
                <w:highlight w:val="none"/>
                <w:lang w:val="zh-CN" w:bidi="zh-CN"/>
              </w:rPr>
            </w:pPr>
            <w:r>
              <w:rPr>
                <w:rFonts w:hint="eastAsia" w:ascii="宋体" w:hAnsi="宋体" w:eastAsia="宋体" w:cs="宋体"/>
                <w:color w:val="auto"/>
                <w:kern w:val="0"/>
                <w:sz w:val="24"/>
                <w:szCs w:val="24"/>
                <w:highlight w:val="none"/>
                <w:lang w:val="zh-CN" w:bidi="zh-CN"/>
              </w:rPr>
              <w:t>②依据符合GB/T 26696-2011《家具用高分子材料台面板》标准，耐香烟灼烧≥1级；耐酸碱≥1级；耐高温≥1级；吸水率≤0.5%；弯曲强度≥30MPa；</w:t>
            </w:r>
          </w:p>
          <w:p w14:paraId="0A60B181">
            <w:pPr>
              <w:keepNext/>
              <w:tabs>
                <w:tab w:val="left" w:pos="432"/>
              </w:tabs>
              <w:jc w:val="left"/>
              <w:outlineLvl w:val="0"/>
              <w:rPr>
                <w:rFonts w:hint="eastAsia" w:ascii="宋体" w:hAnsi="宋体" w:eastAsia="宋体" w:cs="宋体"/>
                <w:color w:val="auto"/>
                <w:kern w:val="0"/>
                <w:sz w:val="24"/>
                <w:szCs w:val="24"/>
                <w:highlight w:val="none"/>
                <w:lang w:val="zh-CN" w:bidi="zh-CN"/>
              </w:rPr>
            </w:pPr>
            <w:r>
              <w:rPr>
                <w:rFonts w:hint="eastAsia" w:ascii="宋体" w:hAnsi="宋体" w:eastAsia="宋体" w:cs="宋体"/>
                <w:color w:val="auto"/>
                <w:kern w:val="0"/>
                <w:sz w:val="24"/>
                <w:szCs w:val="24"/>
                <w:highlight w:val="none"/>
                <w:lang w:val="zh-CN" w:bidi="zh-CN"/>
              </w:rPr>
              <w:t>③依据符合GB/T 228.1-2021《金属材料拉伸试验第1部分:室温试验方法》标准，力学性能抗拉强度≥450MPa;上屈服强度≥350MPa;断后伸长率≥30%；</w:t>
            </w:r>
          </w:p>
          <w:p w14:paraId="37ACA507">
            <w:pPr>
              <w:keepNext/>
              <w:tabs>
                <w:tab w:val="left" w:pos="432"/>
              </w:tabs>
              <w:jc w:val="left"/>
              <w:outlineLvl w:val="0"/>
              <w:rPr>
                <w:rFonts w:hint="eastAsia" w:ascii="宋体" w:hAnsi="宋体" w:eastAsia="宋体" w:cs="宋体"/>
                <w:color w:val="auto"/>
                <w:kern w:val="0"/>
                <w:sz w:val="24"/>
                <w:szCs w:val="24"/>
                <w:highlight w:val="none"/>
                <w:lang w:val="zh-CN" w:bidi="zh-CN"/>
              </w:rPr>
            </w:pPr>
            <w:r>
              <w:rPr>
                <w:rFonts w:hint="eastAsia" w:ascii="宋体" w:hAnsi="宋体" w:eastAsia="宋体" w:cs="宋体"/>
                <w:color w:val="auto"/>
                <w:kern w:val="0"/>
                <w:sz w:val="24"/>
                <w:szCs w:val="24"/>
                <w:highlight w:val="none"/>
                <w:lang w:val="zh-CN" w:bidi="zh-CN"/>
              </w:rPr>
              <w:t>④依据符合GB/T3325-2024《金属家具通用技术条件》标准，理化性能:硬度≥3H。通过基本结构安全；底脚着地平稳性≤2.0mm;通过柜架类结构强度试验、开门试验、稳定性试验；</w:t>
            </w:r>
          </w:p>
          <w:p w14:paraId="243DAA89">
            <w:pPr>
              <w:keepNext/>
              <w:tabs>
                <w:tab w:val="left" w:pos="432"/>
              </w:tabs>
              <w:jc w:val="left"/>
              <w:outlineLvl w:val="0"/>
              <w:rPr>
                <w:rFonts w:hint="eastAsia" w:ascii="宋体" w:hAnsi="宋体" w:eastAsia="宋体" w:cs="宋体"/>
                <w:color w:val="auto"/>
                <w:kern w:val="0"/>
                <w:sz w:val="24"/>
                <w:szCs w:val="24"/>
                <w:highlight w:val="none"/>
                <w:lang w:val="zh-CN" w:bidi="zh-CN"/>
              </w:rPr>
            </w:pPr>
            <w:r>
              <w:rPr>
                <w:rFonts w:hint="eastAsia" w:ascii="宋体" w:hAnsi="宋体" w:eastAsia="宋体" w:cs="宋体"/>
                <w:color w:val="auto"/>
                <w:kern w:val="0"/>
                <w:sz w:val="24"/>
                <w:szCs w:val="24"/>
                <w:highlight w:val="none"/>
                <w:lang w:val="zh-CN" w:bidi="zh-CN"/>
              </w:rPr>
              <w:t>⑤依据符合QB/T 4371-2012《家具抗菌性能的评价》标准；通过抗细菌性能检测至少包含大肠埃希氏菌（大肠杆菌）、肺炎克雷伯氏菌等任意5种菌类，抗细菌率或抑菌率均≥99%；</w:t>
            </w:r>
          </w:p>
          <w:p w14:paraId="6B444BF0">
            <w:pPr>
              <w:keepNext/>
              <w:tabs>
                <w:tab w:val="left" w:pos="432"/>
              </w:tabs>
              <w:jc w:val="left"/>
              <w:outlineLvl w:val="0"/>
              <w:rPr>
                <w:rFonts w:hint="eastAsia" w:ascii="宋体" w:hAnsi="宋体" w:eastAsia="宋体" w:cs="宋体"/>
                <w:color w:val="auto"/>
                <w:kern w:val="0"/>
                <w:sz w:val="24"/>
                <w:szCs w:val="24"/>
                <w:highlight w:val="none"/>
                <w:lang w:val="zh-CN" w:bidi="zh-CN"/>
              </w:rPr>
            </w:pPr>
            <w:r>
              <w:rPr>
                <w:rFonts w:hint="eastAsia" w:ascii="宋体" w:hAnsi="宋体" w:eastAsia="宋体" w:cs="宋体"/>
                <w:color w:val="auto"/>
                <w:kern w:val="0"/>
                <w:sz w:val="24"/>
                <w:szCs w:val="24"/>
                <w:highlight w:val="none"/>
                <w:lang w:val="zh-CN" w:bidi="zh-CN"/>
              </w:rPr>
              <w:t>⑥依据符合GB/T 21604-2022《化学品急性皮肤刺激性/腐蚀性试验方法》标准；通过急性皮肤刺激性/腐蚀性试验检测；</w:t>
            </w:r>
          </w:p>
        </w:tc>
        <w:tc>
          <w:tcPr>
            <w:tcW w:w="1796" w:type="pct"/>
            <w:vAlign w:val="center"/>
          </w:tcPr>
          <w:p w14:paraId="0286D56E">
            <w:pPr>
              <w:keepNext/>
              <w:tabs>
                <w:tab w:val="left" w:pos="432"/>
              </w:tabs>
              <w:jc w:val="left"/>
              <w:outlineLvl w:val="0"/>
              <w:rPr>
                <w:rFonts w:hint="eastAsia" w:ascii="宋体" w:hAnsi="宋体" w:eastAsia="宋体" w:cs="宋体"/>
                <w:color w:val="auto"/>
                <w:kern w:val="0"/>
                <w:sz w:val="24"/>
                <w:szCs w:val="24"/>
                <w:highlight w:val="none"/>
                <w:lang w:val="en-US" w:eastAsia="zh-CN" w:bidi="zh-CN"/>
              </w:rPr>
            </w:pPr>
            <w:r>
              <w:rPr>
                <w:rFonts w:hint="eastAsia" w:ascii="宋体" w:hAnsi="宋体" w:eastAsia="宋体" w:cs="宋体"/>
                <w:color w:val="auto"/>
                <w:kern w:val="0"/>
                <w:sz w:val="24"/>
                <w:szCs w:val="24"/>
                <w:highlight w:val="none"/>
                <w:lang w:val="en-US" w:eastAsia="zh-CN" w:bidi="zh-CN"/>
              </w:rPr>
              <w:t>(2)提供医用处置柜的检验（或检测）报告，报告中需包含：</w:t>
            </w:r>
          </w:p>
          <w:p w14:paraId="0153CEA9">
            <w:pPr>
              <w:keepNext/>
              <w:tabs>
                <w:tab w:val="left" w:pos="432"/>
              </w:tabs>
              <w:jc w:val="left"/>
              <w:outlineLvl w:val="0"/>
              <w:rPr>
                <w:rFonts w:hint="eastAsia" w:ascii="宋体" w:hAnsi="宋体" w:eastAsia="宋体" w:cs="宋体"/>
                <w:color w:val="auto"/>
                <w:kern w:val="0"/>
                <w:sz w:val="24"/>
                <w:szCs w:val="24"/>
                <w:highlight w:val="none"/>
                <w:lang w:val="en-US" w:eastAsia="zh-CN" w:bidi="zh-CN"/>
              </w:rPr>
            </w:pPr>
            <w:r>
              <w:rPr>
                <w:rFonts w:hint="eastAsia" w:ascii="宋体" w:hAnsi="宋体" w:eastAsia="宋体" w:cs="宋体"/>
                <w:color w:val="auto"/>
                <w:kern w:val="0"/>
                <w:sz w:val="24"/>
                <w:szCs w:val="24"/>
                <w:highlight w:val="none"/>
                <w:lang w:val="en-US" w:eastAsia="zh-CN" w:bidi="zh-CN"/>
              </w:rPr>
              <w:t>①依据符合GB/T 26696-2011《家具用高分子材料台面板》标准，耐香烟灼烧≥1级；耐酸碱≥1级；耐高温≥1级；吸水率≤0.5%；弯曲强度≥30MPa；</w:t>
            </w:r>
          </w:p>
          <w:p w14:paraId="321E5145">
            <w:pPr>
              <w:keepNext/>
              <w:tabs>
                <w:tab w:val="left" w:pos="432"/>
              </w:tabs>
              <w:jc w:val="left"/>
              <w:outlineLvl w:val="0"/>
              <w:rPr>
                <w:rFonts w:hint="eastAsia" w:ascii="宋体" w:hAnsi="宋体" w:eastAsia="宋体" w:cs="宋体"/>
                <w:color w:val="auto"/>
                <w:kern w:val="0"/>
                <w:sz w:val="24"/>
                <w:szCs w:val="24"/>
                <w:highlight w:val="none"/>
                <w:lang w:val="en-US" w:eastAsia="zh-CN" w:bidi="zh-CN"/>
              </w:rPr>
            </w:pPr>
            <w:r>
              <w:rPr>
                <w:rFonts w:hint="eastAsia" w:ascii="宋体" w:hAnsi="宋体" w:eastAsia="宋体" w:cs="宋体"/>
                <w:color w:val="auto"/>
                <w:kern w:val="0"/>
                <w:sz w:val="24"/>
                <w:szCs w:val="24"/>
                <w:highlight w:val="none"/>
                <w:lang w:val="en-US" w:eastAsia="zh-CN" w:bidi="zh-CN"/>
              </w:rPr>
              <w:t>②依据符合GB/T3325-2024《金属家具通用技术条件》标准，理化性能:硬度≥3H。通过基本结构安全；底脚着地平稳性≤2.0mm;通过柜架类结构强度试验、开门试验、稳定性试验；</w:t>
            </w:r>
          </w:p>
          <w:p w14:paraId="6FCE695E">
            <w:pPr>
              <w:keepNext/>
              <w:tabs>
                <w:tab w:val="left" w:pos="432"/>
              </w:tabs>
              <w:jc w:val="left"/>
              <w:outlineLvl w:val="0"/>
              <w:rPr>
                <w:rFonts w:hint="eastAsia" w:ascii="宋体" w:hAnsi="宋体" w:eastAsia="宋体" w:cs="宋体"/>
                <w:color w:val="auto"/>
                <w:kern w:val="0"/>
                <w:sz w:val="24"/>
                <w:szCs w:val="24"/>
                <w:highlight w:val="none"/>
                <w:lang w:val="en-US" w:eastAsia="zh-CN" w:bidi="zh-CN"/>
              </w:rPr>
            </w:pPr>
            <w:r>
              <w:rPr>
                <w:rFonts w:hint="eastAsia" w:ascii="宋体" w:hAnsi="宋体" w:eastAsia="宋体" w:cs="宋体"/>
                <w:color w:val="auto"/>
                <w:kern w:val="0"/>
                <w:sz w:val="24"/>
                <w:szCs w:val="24"/>
                <w:highlight w:val="none"/>
                <w:lang w:val="en-US" w:eastAsia="zh-CN" w:bidi="zh-CN"/>
              </w:rPr>
              <w:t>③据符合QB/T 4371-2012《家具抗菌性能的评价》标准；通过抗细菌性能检测至少包含大肠埃希氏菌（大肠杆菌）、肺炎克雷伯氏菌等任意5种菌类，抗细菌率或抑菌率均≥99%；</w:t>
            </w:r>
          </w:p>
        </w:tc>
        <w:tc>
          <w:tcPr>
            <w:tcW w:w="269" w:type="pct"/>
            <w:vAlign w:val="center"/>
          </w:tcPr>
          <w:p w14:paraId="1D7D64DD">
            <w:pPr>
              <w:spacing w:line="288" w:lineRule="auto"/>
              <w:jc w:val="center"/>
              <w:rPr>
                <w:rFonts w:ascii="宋体" w:hAnsi="宋体" w:cs="宋体"/>
                <w:bCs/>
                <w:color w:val="auto"/>
                <w:kern w:val="0"/>
                <w:sz w:val="24"/>
                <w:szCs w:val="24"/>
                <w:highlight w:val="none"/>
              </w:rPr>
            </w:pPr>
          </w:p>
        </w:tc>
      </w:tr>
      <w:tr w14:paraId="1F68E1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324" w:type="pct"/>
            <w:vAlign w:val="center"/>
          </w:tcPr>
          <w:p w14:paraId="640A5AD9">
            <w:pPr>
              <w:spacing w:line="288" w:lineRule="auto"/>
              <w:jc w:val="center"/>
              <w:rPr>
                <w:rFonts w:hint="eastAsia" w:ascii="宋体" w:hAnsi="宋体" w:eastAsia="宋体" w:cs="宋体"/>
                <w:color w:val="auto"/>
                <w:kern w:val="0"/>
                <w:sz w:val="20"/>
                <w:szCs w:val="21"/>
                <w:highlight w:val="none"/>
              </w:rPr>
            </w:pPr>
          </w:p>
        </w:tc>
        <w:tc>
          <w:tcPr>
            <w:tcW w:w="801" w:type="pct"/>
            <w:vAlign w:val="center"/>
          </w:tcPr>
          <w:p w14:paraId="6331C230">
            <w:pPr>
              <w:pStyle w:val="9"/>
              <w:numPr>
                <w:ilvl w:val="0"/>
                <w:numId w:val="0"/>
              </w:numPr>
              <w:spacing w:line="360" w:lineRule="auto"/>
              <w:rPr>
                <w:rFonts w:hint="eastAsia" w:ascii="宋体" w:hAnsi="宋体" w:cs="宋体"/>
                <w:bCs/>
                <w:color w:val="auto"/>
                <w:kern w:val="0"/>
                <w:sz w:val="24"/>
                <w:szCs w:val="24"/>
                <w:highlight w:val="none"/>
                <w:lang w:eastAsia="zh-CN"/>
              </w:rPr>
            </w:pPr>
          </w:p>
        </w:tc>
        <w:tc>
          <w:tcPr>
            <w:tcW w:w="1808" w:type="pct"/>
            <w:vAlign w:val="center"/>
          </w:tcPr>
          <w:p w14:paraId="7F03D241">
            <w:pPr>
              <w:keepNext/>
              <w:tabs>
                <w:tab w:val="left" w:pos="432"/>
              </w:tabs>
              <w:jc w:val="left"/>
              <w:outlineLvl w:val="0"/>
              <w:rPr>
                <w:rFonts w:hint="eastAsia" w:ascii="宋体" w:hAnsi="宋体" w:eastAsia="宋体" w:cs="宋体"/>
                <w:color w:val="auto"/>
                <w:kern w:val="0"/>
                <w:sz w:val="24"/>
                <w:szCs w:val="24"/>
                <w:highlight w:val="none"/>
                <w:lang w:val="zh-CN" w:bidi="zh-CN"/>
              </w:rPr>
            </w:pPr>
            <w:r>
              <w:rPr>
                <w:rFonts w:hint="eastAsia" w:ascii="宋体" w:hAnsi="宋体" w:eastAsia="宋体" w:cs="宋体"/>
                <w:color w:val="auto"/>
                <w:kern w:val="0"/>
                <w:sz w:val="24"/>
                <w:szCs w:val="24"/>
                <w:highlight w:val="none"/>
                <w:lang w:val="zh-CN" w:bidi="zh-CN"/>
              </w:rPr>
              <w:t>(3)提供医用配餐柜的检验（或检测）报告，报告中需包含：</w:t>
            </w:r>
          </w:p>
          <w:p w14:paraId="4FAF16F1">
            <w:pPr>
              <w:keepNext/>
              <w:tabs>
                <w:tab w:val="left" w:pos="432"/>
              </w:tabs>
              <w:jc w:val="left"/>
              <w:outlineLvl w:val="0"/>
              <w:rPr>
                <w:rFonts w:hint="eastAsia" w:ascii="宋体" w:hAnsi="宋体" w:eastAsia="宋体" w:cs="宋体"/>
                <w:color w:val="auto"/>
                <w:kern w:val="0"/>
                <w:sz w:val="24"/>
                <w:szCs w:val="24"/>
                <w:highlight w:val="none"/>
                <w:lang w:val="zh-CN" w:bidi="zh-CN"/>
              </w:rPr>
            </w:pPr>
            <w:r>
              <w:rPr>
                <w:rFonts w:hint="eastAsia" w:ascii="宋体" w:hAnsi="宋体" w:eastAsia="宋体" w:cs="宋体"/>
                <w:color w:val="auto"/>
                <w:kern w:val="0"/>
                <w:sz w:val="24"/>
                <w:szCs w:val="24"/>
                <w:highlight w:val="none"/>
                <w:lang w:val="zh-CN" w:bidi="zh-CN"/>
              </w:rPr>
              <w:t>①依据符合GB/T 3075-2021《金属材料疲劳试验轴向力控制方法》标准，疲劳测试≥10万次：试样未断裂；</w:t>
            </w:r>
          </w:p>
          <w:p w14:paraId="44C4B1E6">
            <w:pPr>
              <w:keepNext/>
              <w:tabs>
                <w:tab w:val="left" w:pos="432"/>
              </w:tabs>
              <w:jc w:val="left"/>
              <w:outlineLvl w:val="0"/>
              <w:rPr>
                <w:rFonts w:hint="eastAsia" w:ascii="宋体" w:hAnsi="宋体" w:eastAsia="宋体" w:cs="宋体"/>
                <w:color w:val="auto"/>
                <w:kern w:val="0"/>
                <w:sz w:val="24"/>
                <w:szCs w:val="24"/>
                <w:highlight w:val="none"/>
                <w:lang w:val="zh-CN" w:bidi="zh-CN"/>
              </w:rPr>
            </w:pPr>
            <w:r>
              <w:rPr>
                <w:rFonts w:hint="eastAsia" w:ascii="宋体" w:hAnsi="宋体" w:eastAsia="宋体" w:cs="宋体"/>
                <w:color w:val="auto"/>
                <w:kern w:val="0"/>
                <w:sz w:val="24"/>
                <w:szCs w:val="24"/>
                <w:highlight w:val="none"/>
                <w:lang w:val="zh-CN" w:bidi="zh-CN"/>
              </w:rPr>
              <w:t>②依据符合GB/T 26696-2011《家具用高分子材料台面板》标准，耐香烟灼烧≥1级；耐酸碱≥1级；耐高温≥1级；吸水率≤0.5%；弯曲强度≥30MPa；</w:t>
            </w:r>
          </w:p>
          <w:p w14:paraId="578E0383">
            <w:pPr>
              <w:keepNext/>
              <w:tabs>
                <w:tab w:val="left" w:pos="432"/>
              </w:tabs>
              <w:jc w:val="left"/>
              <w:outlineLvl w:val="0"/>
              <w:rPr>
                <w:rFonts w:hint="eastAsia" w:ascii="宋体" w:hAnsi="宋体" w:eastAsia="宋体" w:cs="宋体"/>
                <w:color w:val="auto"/>
                <w:kern w:val="0"/>
                <w:sz w:val="24"/>
                <w:szCs w:val="24"/>
                <w:highlight w:val="none"/>
                <w:lang w:val="zh-CN" w:bidi="zh-CN"/>
              </w:rPr>
            </w:pPr>
            <w:r>
              <w:rPr>
                <w:rFonts w:hint="eastAsia" w:ascii="宋体" w:hAnsi="宋体" w:eastAsia="宋体" w:cs="宋体"/>
                <w:color w:val="auto"/>
                <w:kern w:val="0"/>
                <w:sz w:val="24"/>
                <w:szCs w:val="24"/>
                <w:highlight w:val="none"/>
                <w:lang w:val="zh-CN" w:bidi="zh-CN"/>
              </w:rPr>
              <w:t>③依据符合GB/T 228.1-2021《金属材料拉伸试验第1部分:室温试验方法》标准，力学性能抗拉强度≥450MPa;上屈服强度≥350MPa;断后伸长率≥30%；</w:t>
            </w:r>
          </w:p>
          <w:p w14:paraId="72DDDDA6">
            <w:pPr>
              <w:keepNext/>
              <w:tabs>
                <w:tab w:val="left" w:pos="432"/>
              </w:tabs>
              <w:jc w:val="left"/>
              <w:outlineLvl w:val="0"/>
              <w:rPr>
                <w:rFonts w:hint="eastAsia" w:ascii="宋体" w:hAnsi="宋体" w:eastAsia="宋体" w:cs="宋体"/>
                <w:color w:val="auto"/>
                <w:kern w:val="0"/>
                <w:sz w:val="24"/>
                <w:szCs w:val="24"/>
                <w:highlight w:val="none"/>
                <w:lang w:val="zh-CN" w:bidi="zh-CN"/>
              </w:rPr>
            </w:pPr>
            <w:r>
              <w:rPr>
                <w:rFonts w:hint="eastAsia" w:ascii="宋体" w:hAnsi="宋体" w:eastAsia="宋体" w:cs="宋体"/>
                <w:color w:val="auto"/>
                <w:kern w:val="0"/>
                <w:sz w:val="24"/>
                <w:szCs w:val="24"/>
                <w:highlight w:val="none"/>
                <w:lang w:val="zh-CN" w:bidi="zh-CN"/>
              </w:rPr>
              <w:t>④依据符合GB/T3325-2024《金属家具通用技术条件》标准，理化性能:硬度≥3H。通过基本结构安全；底脚着地平稳性≤2.0mm;通过柜架类结构强度试验、开门试验、稳定性试验；</w:t>
            </w:r>
          </w:p>
          <w:p w14:paraId="72D7CFEF">
            <w:pPr>
              <w:keepNext/>
              <w:tabs>
                <w:tab w:val="left" w:pos="432"/>
              </w:tabs>
              <w:jc w:val="left"/>
              <w:outlineLvl w:val="0"/>
              <w:rPr>
                <w:rFonts w:hint="eastAsia" w:ascii="宋体" w:hAnsi="宋体" w:eastAsia="宋体" w:cs="宋体"/>
                <w:color w:val="auto"/>
                <w:kern w:val="0"/>
                <w:sz w:val="24"/>
                <w:szCs w:val="24"/>
                <w:highlight w:val="none"/>
                <w:lang w:val="zh-CN" w:bidi="zh-CN"/>
              </w:rPr>
            </w:pPr>
            <w:r>
              <w:rPr>
                <w:rFonts w:hint="eastAsia" w:ascii="宋体" w:hAnsi="宋体" w:eastAsia="宋体" w:cs="宋体"/>
                <w:color w:val="auto"/>
                <w:kern w:val="0"/>
                <w:sz w:val="24"/>
                <w:szCs w:val="24"/>
                <w:highlight w:val="none"/>
                <w:lang w:val="zh-CN" w:bidi="zh-CN"/>
              </w:rPr>
              <w:t>⑤依据符合QB/T 4371-2012《家具抗菌性能的评价》标准；通过抗细菌性能检测至少包含大肠埃希氏菌（大肠杆菌）、肺炎克雷伯氏菌等任意5种菌类，抗细菌率或抑菌率均≥99%；</w:t>
            </w:r>
          </w:p>
          <w:p w14:paraId="7926A96F">
            <w:pPr>
              <w:keepNext/>
              <w:tabs>
                <w:tab w:val="left" w:pos="432"/>
              </w:tabs>
              <w:jc w:val="left"/>
              <w:outlineLvl w:val="0"/>
              <w:rPr>
                <w:rFonts w:hint="eastAsia" w:ascii="宋体" w:hAnsi="宋体" w:eastAsia="宋体" w:cs="宋体"/>
                <w:color w:val="auto"/>
                <w:kern w:val="0"/>
                <w:sz w:val="24"/>
                <w:szCs w:val="24"/>
                <w:highlight w:val="none"/>
                <w:lang w:val="zh-CN" w:bidi="zh-CN"/>
              </w:rPr>
            </w:pPr>
            <w:r>
              <w:rPr>
                <w:rFonts w:hint="eastAsia" w:ascii="宋体" w:hAnsi="宋体" w:eastAsia="宋体" w:cs="宋体"/>
                <w:color w:val="auto"/>
                <w:kern w:val="0"/>
                <w:sz w:val="24"/>
                <w:szCs w:val="24"/>
                <w:highlight w:val="none"/>
                <w:lang w:val="zh-CN" w:bidi="zh-CN"/>
              </w:rPr>
              <w:t>⑥依据符合GB/T 21604-2022《化学品急性皮肤刺激性/腐蚀性试验方法》标准；通过急性皮肤刺激性/腐蚀性试验检测；</w:t>
            </w:r>
          </w:p>
        </w:tc>
        <w:tc>
          <w:tcPr>
            <w:tcW w:w="1796" w:type="pct"/>
            <w:vAlign w:val="center"/>
          </w:tcPr>
          <w:p w14:paraId="46621F59">
            <w:pPr>
              <w:keepNext/>
              <w:tabs>
                <w:tab w:val="left" w:pos="432"/>
              </w:tabs>
              <w:jc w:val="left"/>
              <w:outlineLvl w:val="0"/>
              <w:rPr>
                <w:rFonts w:hint="eastAsia" w:ascii="宋体" w:hAnsi="宋体" w:eastAsia="宋体" w:cs="宋体"/>
                <w:color w:val="auto"/>
                <w:kern w:val="0"/>
                <w:sz w:val="24"/>
                <w:szCs w:val="24"/>
                <w:highlight w:val="none"/>
                <w:lang w:val="en-US" w:eastAsia="zh-CN" w:bidi="zh-CN"/>
              </w:rPr>
            </w:pPr>
            <w:r>
              <w:rPr>
                <w:rFonts w:hint="eastAsia" w:ascii="宋体" w:hAnsi="宋体" w:eastAsia="宋体" w:cs="宋体"/>
                <w:color w:val="auto"/>
                <w:kern w:val="0"/>
                <w:sz w:val="24"/>
                <w:szCs w:val="24"/>
                <w:highlight w:val="none"/>
                <w:lang w:val="en-US" w:eastAsia="zh-CN" w:bidi="zh-CN"/>
              </w:rPr>
              <w:t>(3)提供医用配餐柜的检验（或检测）报告，报告中需包含：</w:t>
            </w:r>
          </w:p>
          <w:p w14:paraId="178187C5">
            <w:pPr>
              <w:keepNext/>
              <w:tabs>
                <w:tab w:val="left" w:pos="432"/>
              </w:tabs>
              <w:jc w:val="left"/>
              <w:outlineLvl w:val="0"/>
              <w:rPr>
                <w:rFonts w:hint="eastAsia" w:ascii="宋体" w:hAnsi="宋体" w:eastAsia="宋体" w:cs="宋体"/>
                <w:color w:val="auto"/>
                <w:kern w:val="0"/>
                <w:sz w:val="24"/>
                <w:szCs w:val="24"/>
                <w:highlight w:val="none"/>
                <w:lang w:val="en-US" w:eastAsia="zh-CN" w:bidi="zh-CN"/>
              </w:rPr>
            </w:pPr>
            <w:r>
              <w:rPr>
                <w:rFonts w:hint="eastAsia" w:ascii="宋体" w:hAnsi="宋体" w:eastAsia="宋体" w:cs="宋体"/>
                <w:color w:val="auto"/>
                <w:kern w:val="0"/>
                <w:sz w:val="24"/>
                <w:szCs w:val="24"/>
                <w:highlight w:val="none"/>
                <w:lang w:val="en-US" w:eastAsia="zh-CN" w:bidi="zh-CN"/>
              </w:rPr>
              <w:t>①依据符合GB/T 26696-2011《家具用高分子材料台面板》标准，耐香烟灼烧≥1级；耐酸碱≥1级；耐高温≥1级；吸水率≤0.5%；弯曲强度≥30MPa；</w:t>
            </w:r>
          </w:p>
          <w:p w14:paraId="1DFA1607">
            <w:pPr>
              <w:keepNext/>
              <w:tabs>
                <w:tab w:val="left" w:pos="432"/>
              </w:tabs>
              <w:jc w:val="left"/>
              <w:outlineLvl w:val="0"/>
              <w:rPr>
                <w:rFonts w:hint="eastAsia" w:ascii="宋体" w:hAnsi="宋体" w:eastAsia="宋体" w:cs="宋体"/>
                <w:color w:val="auto"/>
                <w:kern w:val="0"/>
                <w:sz w:val="24"/>
                <w:szCs w:val="24"/>
                <w:highlight w:val="none"/>
                <w:lang w:val="en-US" w:eastAsia="zh-CN" w:bidi="zh-CN"/>
              </w:rPr>
            </w:pPr>
            <w:r>
              <w:rPr>
                <w:rFonts w:hint="eastAsia" w:ascii="宋体" w:hAnsi="宋体" w:eastAsia="宋体" w:cs="宋体"/>
                <w:color w:val="auto"/>
                <w:kern w:val="0"/>
                <w:sz w:val="24"/>
                <w:szCs w:val="24"/>
                <w:highlight w:val="none"/>
                <w:lang w:val="en-US" w:eastAsia="zh-CN" w:bidi="zh-CN"/>
              </w:rPr>
              <w:t>②依据符合GB/T3325-2024《金属家具通用技术条件》标准，理化性能:硬度≥3H。通过基本结构安全；底脚着地平稳性≤2.0mm;通过柜架类结构强度试验、开门试验、稳定性试验；</w:t>
            </w:r>
          </w:p>
          <w:p w14:paraId="3EC1045A">
            <w:pPr>
              <w:keepNext/>
              <w:tabs>
                <w:tab w:val="left" w:pos="432"/>
              </w:tabs>
              <w:jc w:val="left"/>
              <w:outlineLvl w:val="0"/>
              <w:rPr>
                <w:rFonts w:hint="eastAsia" w:ascii="宋体" w:hAnsi="宋体" w:eastAsia="宋体" w:cs="宋体"/>
                <w:color w:val="auto"/>
                <w:kern w:val="0"/>
                <w:sz w:val="24"/>
                <w:szCs w:val="24"/>
                <w:highlight w:val="none"/>
                <w:lang w:val="en-US" w:eastAsia="zh-CN" w:bidi="zh-CN"/>
              </w:rPr>
            </w:pPr>
            <w:r>
              <w:rPr>
                <w:rFonts w:hint="eastAsia" w:ascii="宋体" w:hAnsi="宋体" w:eastAsia="宋体" w:cs="宋体"/>
                <w:color w:val="auto"/>
                <w:kern w:val="0"/>
                <w:sz w:val="24"/>
                <w:szCs w:val="24"/>
                <w:highlight w:val="none"/>
                <w:lang w:val="en-US" w:eastAsia="zh-CN" w:bidi="zh-CN"/>
              </w:rPr>
              <w:t>③依据符合QB/T 4371-2012《家具抗菌性能的评价》标准；通过抗细菌性能检测至少包含大肠埃希氏菌（大肠杆菌）、肺炎克雷伯氏菌等任意5种菌类，抗细菌率或抑菌率均≥99%；</w:t>
            </w:r>
          </w:p>
        </w:tc>
        <w:tc>
          <w:tcPr>
            <w:tcW w:w="269" w:type="pct"/>
            <w:vAlign w:val="center"/>
          </w:tcPr>
          <w:p w14:paraId="1239EF1C">
            <w:pPr>
              <w:spacing w:line="288" w:lineRule="auto"/>
              <w:jc w:val="center"/>
              <w:rPr>
                <w:rFonts w:ascii="宋体" w:hAnsi="宋体" w:cs="宋体"/>
                <w:bCs/>
                <w:color w:val="auto"/>
                <w:kern w:val="0"/>
                <w:sz w:val="24"/>
                <w:szCs w:val="24"/>
                <w:highlight w:val="none"/>
              </w:rPr>
            </w:pPr>
          </w:p>
        </w:tc>
      </w:tr>
      <w:tr w14:paraId="2360A1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324" w:type="pct"/>
            <w:vAlign w:val="center"/>
          </w:tcPr>
          <w:p w14:paraId="630064FC">
            <w:pPr>
              <w:spacing w:line="288" w:lineRule="auto"/>
              <w:jc w:val="center"/>
              <w:rPr>
                <w:rFonts w:hint="eastAsia" w:ascii="宋体" w:hAnsi="宋体" w:eastAsia="宋体" w:cs="宋体"/>
                <w:color w:val="auto"/>
                <w:kern w:val="0"/>
                <w:sz w:val="20"/>
                <w:szCs w:val="21"/>
                <w:highlight w:val="none"/>
              </w:rPr>
            </w:pPr>
          </w:p>
        </w:tc>
        <w:tc>
          <w:tcPr>
            <w:tcW w:w="801" w:type="pct"/>
            <w:vAlign w:val="center"/>
          </w:tcPr>
          <w:p w14:paraId="7C3130B9">
            <w:pPr>
              <w:pStyle w:val="9"/>
              <w:numPr>
                <w:ilvl w:val="0"/>
                <w:numId w:val="0"/>
              </w:numPr>
              <w:spacing w:line="360" w:lineRule="auto"/>
              <w:rPr>
                <w:rFonts w:hint="eastAsia" w:ascii="宋体" w:hAnsi="宋体" w:cs="宋体"/>
                <w:bCs/>
                <w:color w:val="auto"/>
                <w:kern w:val="0"/>
                <w:sz w:val="24"/>
                <w:szCs w:val="24"/>
                <w:highlight w:val="none"/>
                <w:lang w:eastAsia="zh-CN"/>
              </w:rPr>
            </w:pPr>
          </w:p>
        </w:tc>
        <w:tc>
          <w:tcPr>
            <w:tcW w:w="1808" w:type="pct"/>
            <w:vAlign w:val="center"/>
          </w:tcPr>
          <w:p w14:paraId="3CB4EBB5">
            <w:pPr>
              <w:keepNext/>
              <w:tabs>
                <w:tab w:val="left" w:pos="432"/>
              </w:tabs>
              <w:jc w:val="left"/>
              <w:outlineLvl w:val="0"/>
              <w:rPr>
                <w:rFonts w:hint="eastAsia" w:ascii="宋体" w:hAnsi="宋体" w:eastAsia="宋体" w:cs="宋体"/>
                <w:color w:val="auto"/>
                <w:kern w:val="0"/>
                <w:sz w:val="24"/>
                <w:szCs w:val="24"/>
                <w:highlight w:val="none"/>
                <w:lang w:val="zh-CN" w:bidi="zh-CN"/>
              </w:rPr>
            </w:pPr>
            <w:r>
              <w:rPr>
                <w:rFonts w:hint="eastAsia" w:ascii="宋体" w:hAnsi="宋体" w:eastAsia="宋体" w:cs="宋体"/>
                <w:color w:val="auto"/>
                <w:kern w:val="0"/>
                <w:sz w:val="24"/>
                <w:szCs w:val="24"/>
                <w:highlight w:val="none"/>
                <w:lang w:val="zh-CN" w:bidi="zh-CN"/>
              </w:rPr>
              <w:t>(4)提供洗婴台的检验（或检测）报告，报告中需包含：</w:t>
            </w:r>
          </w:p>
          <w:p w14:paraId="29ABD22F">
            <w:pPr>
              <w:keepNext/>
              <w:tabs>
                <w:tab w:val="left" w:pos="432"/>
              </w:tabs>
              <w:jc w:val="left"/>
              <w:outlineLvl w:val="0"/>
              <w:rPr>
                <w:rFonts w:hint="eastAsia" w:ascii="宋体" w:hAnsi="宋体" w:eastAsia="宋体" w:cs="宋体"/>
                <w:color w:val="auto"/>
                <w:kern w:val="0"/>
                <w:sz w:val="24"/>
                <w:szCs w:val="24"/>
                <w:highlight w:val="none"/>
                <w:lang w:val="zh-CN" w:bidi="zh-CN"/>
              </w:rPr>
            </w:pPr>
            <w:r>
              <w:rPr>
                <w:rFonts w:hint="eastAsia" w:ascii="宋体" w:hAnsi="宋体" w:eastAsia="宋体" w:cs="宋体"/>
                <w:color w:val="auto"/>
                <w:kern w:val="0"/>
                <w:sz w:val="24"/>
                <w:szCs w:val="24"/>
                <w:highlight w:val="none"/>
                <w:lang w:val="zh-CN" w:bidi="zh-CN"/>
              </w:rPr>
              <w:t>①依据符合GB/T3075-2021《金属材料疲劳试验轴向力控制方法》标准；经≥10万次疲劳试验后，部件未发生开裂。</w:t>
            </w:r>
          </w:p>
          <w:p w14:paraId="30354913">
            <w:pPr>
              <w:keepNext/>
              <w:tabs>
                <w:tab w:val="left" w:pos="432"/>
              </w:tabs>
              <w:jc w:val="left"/>
              <w:outlineLvl w:val="0"/>
              <w:rPr>
                <w:rFonts w:hint="eastAsia" w:ascii="宋体" w:hAnsi="宋体" w:eastAsia="宋体" w:cs="宋体"/>
                <w:color w:val="auto"/>
                <w:kern w:val="0"/>
                <w:sz w:val="24"/>
                <w:szCs w:val="24"/>
                <w:highlight w:val="none"/>
                <w:lang w:val="zh-CN" w:bidi="zh-CN"/>
              </w:rPr>
            </w:pPr>
            <w:r>
              <w:rPr>
                <w:rFonts w:hint="eastAsia" w:ascii="宋体" w:hAnsi="宋体" w:eastAsia="宋体" w:cs="宋体"/>
                <w:color w:val="auto"/>
                <w:kern w:val="0"/>
                <w:sz w:val="24"/>
                <w:szCs w:val="24"/>
                <w:highlight w:val="none"/>
                <w:lang w:val="zh-CN" w:bidi="zh-CN"/>
              </w:rPr>
              <w:t>②依据符合GB/T 26696-2011《家具用高分子材料台面板》标准；通过耐香烟灼烧≥1级；抗球冲击无裂纹或破损；耐酸碱≥1级；耐高温≥1级；通过耐沸水检测；吸水率≤0.25%；</w:t>
            </w:r>
          </w:p>
          <w:p w14:paraId="297F525F">
            <w:pPr>
              <w:keepNext/>
              <w:tabs>
                <w:tab w:val="left" w:pos="432"/>
              </w:tabs>
              <w:jc w:val="left"/>
              <w:outlineLvl w:val="0"/>
              <w:rPr>
                <w:rFonts w:hint="eastAsia" w:ascii="宋体" w:hAnsi="宋体" w:eastAsia="宋体" w:cs="宋体"/>
                <w:color w:val="auto"/>
                <w:kern w:val="0"/>
                <w:sz w:val="24"/>
                <w:szCs w:val="24"/>
                <w:highlight w:val="none"/>
                <w:lang w:val="zh-CN" w:bidi="zh-CN"/>
              </w:rPr>
            </w:pPr>
            <w:r>
              <w:rPr>
                <w:rFonts w:hint="eastAsia" w:ascii="宋体" w:hAnsi="宋体" w:eastAsia="宋体" w:cs="宋体"/>
                <w:color w:val="auto"/>
                <w:kern w:val="0"/>
                <w:sz w:val="24"/>
                <w:szCs w:val="24"/>
                <w:highlight w:val="none"/>
                <w:lang w:val="zh-CN" w:bidi="zh-CN"/>
              </w:rPr>
              <w:t>③依据符合GB/T3325-2024《金属家具通用技术条件》标准；形状和位置公差底脚着地平稳性≤2.0mm；通过基本结构安全检测；通过柜架类结构强度试验、开门试验、稳定性试验；</w:t>
            </w:r>
          </w:p>
          <w:p w14:paraId="6F2563B4">
            <w:pPr>
              <w:keepNext/>
              <w:tabs>
                <w:tab w:val="left" w:pos="432"/>
              </w:tabs>
              <w:jc w:val="left"/>
              <w:outlineLvl w:val="0"/>
              <w:rPr>
                <w:rFonts w:hint="eastAsia" w:ascii="宋体" w:hAnsi="宋体" w:eastAsia="宋体" w:cs="宋体"/>
                <w:color w:val="auto"/>
                <w:kern w:val="0"/>
                <w:sz w:val="24"/>
                <w:szCs w:val="24"/>
                <w:highlight w:val="none"/>
                <w:lang w:val="zh-CN" w:bidi="zh-CN"/>
              </w:rPr>
            </w:pPr>
            <w:r>
              <w:rPr>
                <w:rFonts w:hint="eastAsia" w:ascii="宋体" w:hAnsi="宋体" w:eastAsia="宋体" w:cs="宋体"/>
                <w:color w:val="auto"/>
                <w:kern w:val="0"/>
                <w:sz w:val="24"/>
                <w:szCs w:val="24"/>
                <w:highlight w:val="none"/>
                <w:lang w:val="zh-CN" w:bidi="zh-CN"/>
              </w:rPr>
              <w:t>④依据符合QB/T4371-2012《家具抗菌性能的评价》标准；通过抗细菌性能检测至少包含大肠埃希氏菌（大肠杆菌）、肺炎克雷伯氏菌等任意5种菌类，抗细菌率或抑菌率均≥99%；　</w:t>
            </w:r>
          </w:p>
          <w:p w14:paraId="311A03DB">
            <w:pPr>
              <w:keepNext/>
              <w:tabs>
                <w:tab w:val="left" w:pos="432"/>
              </w:tabs>
              <w:jc w:val="left"/>
              <w:outlineLvl w:val="0"/>
              <w:rPr>
                <w:rFonts w:hint="eastAsia" w:ascii="宋体" w:hAnsi="宋体" w:eastAsia="宋体" w:cs="宋体"/>
                <w:color w:val="auto"/>
                <w:kern w:val="0"/>
                <w:sz w:val="24"/>
                <w:szCs w:val="24"/>
                <w:highlight w:val="none"/>
                <w:lang w:val="zh-CN" w:bidi="zh-CN"/>
              </w:rPr>
            </w:pPr>
            <w:r>
              <w:rPr>
                <w:rFonts w:hint="eastAsia" w:ascii="宋体" w:hAnsi="宋体" w:eastAsia="宋体" w:cs="宋体"/>
                <w:color w:val="auto"/>
                <w:kern w:val="0"/>
                <w:sz w:val="24"/>
                <w:szCs w:val="24"/>
                <w:highlight w:val="none"/>
                <w:lang w:val="zh-CN" w:bidi="zh-CN"/>
              </w:rPr>
              <w:t>⑤依据符合GB/T21604-2022《化学品急性皮肤刺激性/腐蚀性试验方法》标准；通过急性皮肤刺激性/腐蚀性试验检测；</w:t>
            </w:r>
          </w:p>
        </w:tc>
        <w:tc>
          <w:tcPr>
            <w:tcW w:w="1796" w:type="pct"/>
            <w:vAlign w:val="center"/>
          </w:tcPr>
          <w:p w14:paraId="4DE2B3D0">
            <w:pPr>
              <w:keepNext/>
              <w:tabs>
                <w:tab w:val="left" w:pos="432"/>
              </w:tabs>
              <w:jc w:val="left"/>
              <w:outlineLvl w:val="0"/>
              <w:rPr>
                <w:rFonts w:hint="eastAsia" w:ascii="宋体" w:hAnsi="宋体" w:eastAsia="宋体" w:cs="宋体"/>
                <w:color w:val="auto"/>
                <w:kern w:val="0"/>
                <w:sz w:val="24"/>
                <w:szCs w:val="24"/>
                <w:highlight w:val="none"/>
                <w:lang w:val="en-US" w:eastAsia="zh-CN" w:bidi="zh-CN"/>
              </w:rPr>
            </w:pPr>
            <w:r>
              <w:rPr>
                <w:rFonts w:hint="eastAsia" w:ascii="宋体" w:hAnsi="宋体" w:eastAsia="宋体" w:cs="宋体"/>
                <w:color w:val="auto"/>
                <w:kern w:val="0"/>
                <w:sz w:val="24"/>
                <w:szCs w:val="24"/>
                <w:highlight w:val="none"/>
                <w:lang w:val="en-US" w:eastAsia="zh-CN" w:bidi="zh-CN"/>
              </w:rPr>
              <w:t>(4)提供洗婴台的检验（或检测）报告，报告中需包含：</w:t>
            </w:r>
          </w:p>
          <w:p w14:paraId="6C0CB17B">
            <w:pPr>
              <w:keepNext/>
              <w:tabs>
                <w:tab w:val="left" w:pos="432"/>
              </w:tabs>
              <w:jc w:val="left"/>
              <w:outlineLvl w:val="0"/>
              <w:rPr>
                <w:rFonts w:hint="eastAsia" w:ascii="宋体" w:hAnsi="宋体" w:eastAsia="宋体" w:cs="宋体"/>
                <w:color w:val="auto"/>
                <w:kern w:val="0"/>
                <w:sz w:val="24"/>
                <w:szCs w:val="24"/>
                <w:highlight w:val="none"/>
                <w:lang w:val="en-US" w:eastAsia="zh-CN" w:bidi="zh-CN"/>
              </w:rPr>
            </w:pPr>
            <w:r>
              <w:rPr>
                <w:rFonts w:hint="eastAsia" w:ascii="宋体" w:hAnsi="宋体" w:eastAsia="宋体" w:cs="宋体"/>
                <w:color w:val="auto"/>
                <w:kern w:val="0"/>
                <w:sz w:val="24"/>
                <w:szCs w:val="24"/>
                <w:highlight w:val="none"/>
                <w:lang w:val="en-US" w:eastAsia="zh-CN" w:bidi="zh-CN"/>
              </w:rPr>
              <w:t>①依据符合GB/T 26696-2011《家具用高分子材料台面板》标准；通过耐香烟灼烧≥1级；抗球冲击无裂纹或破损；耐酸碱≥1级；耐高温≥1级；通过耐沸水检测；吸水率≤0.25%；</w:t>
            </w:r>
          </w:p>
          <w:p w14:paraId="071D9231">
            <w:pPr>
              <w:keepNext/>
              <w:tabs>
                <w:tab w:val="left" w:pos="432"/>
              </w:tabs>
              <w:jc w:val="left"/>
              <w:outlineLvl w:val="0"/>
              <w:rPr>
                <w:rFonts w:hint="eastAsia" w:ascii="宋体" w:hAnsi="宋体" w:eastAsia="宋体" w:cs="宋体"/>
                <w:color w:val="auto"/>
                <w:kern w:val="0"/>
                <w:sz w:val="24"/>
                <w:szCs w:val="24"/>
                <w:highlight w:val="none"/>
                <w:lang w:val="en-US" w:eastAsia="zh-CN" w:bidi="zh-CN"/>
              </w:rPr>
            </w:pPr>
            <w:r>
              <w:rPr>
                <w:rFonts w:hint="eastAsia" w:ascii="宋体" w:hAnsi="宋体" w:eastAsia="宋体" w:cs="宋体"/>
                <w:color w:val="auto"/>
                <w:kern w:val="0"/>
                <w:sz w:val="24"/>
                <w:szCs w:val="24"/>
                <w:highlight w:val="none"/>
                <w:lang w:val="en-US" w:eastAsia="zh-CN" w:bidi="zh-CN"/>
              </w:rPr>
              <w:t>②依据符合GB/T3325-2024《金属家具通用技术条件》标准；形状和位置公差底脚着地平稳性≤2.0mm；通过基本结构安全检测；通过柜架类结构强度试验、开门试验、稳定性试验；</w:t>
            </w:r>
          </w:p>
          <w:p w14:paraId="7D6CAF7A">
            <w:pPr>
              <w:keepNext/>
              <w:tabs>
                <w:tab w:val="left" w:pos="432"/>
              </w:tabs>
              <w:jc w:val="left"/>
              <w:outlineLvl w:val="0"/>
              <w:rPr>
                <w:rFonts w:hint="eastAsia" w:ascii="宋体" w:hAnsi="宋体" w:eastAsia="宋体" w:cs="宋体"/>
                <w:color w:val="auto"/>
                <w:kern w:val="0"/>
                <w:sz w:val="24"/>
                <w:szCs w:val="24"/>
                <w:highlight w:val="none"/>
                <w:lang w:val="en-US" w:eastAsia="zh-CN" w:bidi="zh-CN"/>
              </w:rPr>
            </w:pPr>
            <w:r>
              <w:rPr>
                <w:rFonts w:hint="eastAsia" w:ascii="宋体" w:hAnsi="宋体" w:eastAsia="宋体" w:cs="宋体"/>
                <w:color w:val="auto"/>
                <w:kern w:val="0"/>
                <w:sz w:val="24"/>
                <w:szCs w:val="24"/>
                <w:highlight w:val="none"/>
                <w:lang w:val="en-US" w:eastAsia="zh-CN" w:bidi="zh-CN"/>
              </w:rPr>
              <w:t>③依据符合QB/T4371-2012《家具抗菌性能的评价》标准；通过抗细菌性能检测至少包含大肠埃希氏菌（大肠杆菌）、肺炎克雷伯氏菌等任意5种菌类，抗细菌率或抑菌率均≥99%；　</w:t>
            </w:r>
          </w:p>
        </w:tc>
        <w:tc>
          <w:tcPr>
            <w:tcW w:w="269" w:type="pct"/>
            <w:vAlign w:val="center"/>
          </w:tcPr>
          <w:p w14:paraId="6AA5FF95">
            <w:pPr>
              <w:spacing w:line="288" w:lineRule="auto"/>
              <w:jc w:val="center"/>
              <w:rPr>
                <w:rFonts w:ascii="宋体" w:hAnsi="宋体" w:cs="宋体"/>
                <w:bCs/>
                <w:color w:val="auto"/>
                <w:kern w:val="0"/>
                <w:sz w:val="24"/>
                <w:szCs w:val="24"/>
                <w:highlight w:val="none"/>
              </w:rPr>
            </w:pPr>
          </w:p>
        </w:tc>
      </w:tr>
      <w:tr w14:paraId="5A9790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324" w:type="pct"/>
            <w:vAlign w:val="center"/>
          </w:tcPr>
          <w:p w14:paraId="4CA1ADC1">
            <w:pPr>
              <w:spacing w:line="288" w:lineRule="auto"/>
              <w:jc w:val="center"/>
              <w:rPr>
                <w:rFonts w:hint="eastAsia" w:ascii="宋体" w:hAnsi="宋体" w:eastAsia="宋体" w:cs="宋体"/>
                <w:color w:val="auto"/>
                <w:kern w:val="0"/>
                <w:sz w:val="20"/>
                <w:szCs w:val="21"/>
                <w:highlight w:val="none"/>
              </w:rPr>
            </w:pPr>
          </w:p>
        </w:tc>
        <w:tc>
          <w:tcPr>
            <w:tcW w:w="801" w:type="pct"/>
            <w:vAlign w:val="center"/>
          </w:tcPr>
          <w:p w14:paraId="4F66BDF1">
            <w:pPr>
              <w:pStyle w:val="9"/>
              <w:numPr>
                <w:ilvl w:val="0"/>
                <w:numId w:val="0"/>
              </w:numPr>
              <w:spacing w:line="360" w:lineRule="auto"/>
              <w:rPr>
                <w:rFonts w:hint="eastAsia" w:ascii="宋体" w:hAnsi="宋体" w:cs="宋体"/>
                <w:bCs/>
                <w:color w:val="auto"/>
                <w:kern w:val="0"/>
                <w:sz w:val="24"/>
                <w:szCs w:val="24"/>
                <w:highlight w:val="none"/>
                <w:lang w:eastAsia="zh-CN"/>
              </w:rPr>
            </w:pPr>
          </w:p>
        </w:tc>
        <w:tc>
          <w:tcPr>
            <w:tcW w:w="1808" w:type="pct"/>
            <w:vAlign w:val="center"/>
          </w:tcPr>
          <w:p w14:paraId="46ED5434">
            <w:pPr>
              <w:keepNext/>
              <w:tabs>
                <w:tab w:val="left" w:pos="432"/>
              </w:tabs>
              <w:jc w:val="left"/>
              <w:outlineLvl w:val="0"/>
              <w:rPr>
                <w:rFonts w:hint="eastAsia" w:ascii="宋体" w:hAnsi="宋体" w:eastAsia="宋体" w:cs="宋体"/>
                <w:color w:val="auto"/>
                <w:kern w:val="0"/>
                <w:sz w:val="24"/>
                <w:szCs w:val="24"/>
                <w:highlight w:val="none"/>
                <w:lang w:val="zh-CN" w:bidi="zh-CN"/>
              </w:rPr>
            </w:pPr>
            <w:r>
              <w:rPr>
                <w:rFonts w:hint="eastAsia" w:ascii="宋体" w:hAnsi="宋体" w:eastAsia="宋体" w:cs="宋体"/>
                <w:color w:val="auto"/>
                <w:kern w:val="0"/>
                <w:sz w:val="24"/>
                <w:szCs w:val="24"/>
                <w:highlight w:val="none"/>
                <w:lang w:val="zh-CN" w:bidi="zh-CN"/>
              </w:rPr>
              <w:t>(5)提供医用水盆柜的检验（或检测）报告，报告中需包含：</w:t>
            </w:r>
          </w:p>
          <w:p w14:paraId="63A0CC47">
            <w:pPr>
              <w:keepNext/>
              <w:tabs>
                <w:tab w:val="left" w:pos="432"/>
              </w:tabs>
              <w:jc w:val="left"/>
              <w:outlineLvl w:val="0"/>
              <w:rPr>
                <w:rFonts w:hint="eastAsia" w:ascii="宋体" w:hAnsi="宋体" w:eastAsia="宋体" w:cs="宋体"/>
                <w:color w:val="auto"/>
                <w:kern w:val="0"/>
                <w:sz w:val="24"/>
                <w:szCs w:val="24"/>
                <w:highlight w:val="none"/>
                <w:lang w:val="zh-CN" w:bidi="zh-CN"/>
              </w:rPr>
            </w:pPr>
            <w:r>
              <w:rPr>
                <w:rFonts w:hint="eastAsia" w:ascii="宋体" w:hAnsi="宋体" w:eastAsia="宋体" w:cs="宋体"/>
                <w:color w:val="auto"/>
                <w:kern w:val="0"/>
                <w:sz w:val="24"/>
                <w:szCs w:val="24"/>
                <w:highlight w:val="none"/>
                <w:lang w:val="zh-CN" w:bidi="zh-CN"/>
              </w:rPr>
              <w:t>①依据符合QB/T 3832-1999《轻工产品金属镀层腐蚀试验结果的评价》、QB/T 3827-1999《轻工产品金属镀层和化学处理层的耐腐蚀试验方法乙酸盐雾试验(ASS)法》标准；乙酸盐雾试验≥200h;镀（涂）层对基体的保护等级≥9级；镀（涂）层本身耐腐蚀等级≥9级；</w:t>
            </w:r>
          </w:p>
          <w:p w14:paraId="32FF12D8">
            <w:pPr>
              <w:keepNext/>
              <w:tabs>
                <w:tab w:val="left" w:pos="432"/>
              </w:tabs>
              <w:jc w:val="left"/>
              <w:outlineLvl w:val="0"/>
              <w:rPr>
                <w:rFonts w:hint="eastAsia" w:ascii="宋体" w:hAnsi="宋体" w:eastAsia="宋体" w:cs="宋体"/>
                <w:color w:val="auto"/>
                <w:kern w:val="0"/>
                <w:sz w:val="24"/>
                <w:szCs w:val="24"/>
                <w:highlight w:val="none"/>
                <w:lang w:val="zh-CN" w:bidi="zh-CN"/>
              </w:rPr>
            </w:pPr>
            <w:r>
              <w:rPr>
                <w:rFonts w:hint="eastAsia" w:ascii="宋体" w:hAnsi="宋体" w:eastAsia="宋体" w:cs="宋体"/>
                <w:color w:val="auto"/>
                <w:kern w:val="0"/>
                <w:sz w:val="24"/>
                <w:szCs w:val="24"/>
                <w:highlight w:val="none"/>
                <w:lang w:val="zh-CN" w:bidi="zh-CN"/>
              </w:rPr>
              <w:t>②依据符合QB/T4371-2012《家具抗菌性能的评价》标准；通过抗细菌性能检测至少包含大肠埃希氏菌（大肠杆菌）、肺炎克雷伯氏菌等任意5种菌类，抗细菌率或抑菌率均≥99%　</w:t>
            </w:r>
          </w:p>
        </w:tc>
        <w:tc>
          <w:tcPr>
            <w:tcW w:w="1796" w:type="pct"/>
            <w:vAlign w:val="center"/>
          </w:tcPr>
          <w:p w14:paraId="2A93B8A3">
            <w:pPr>
              <w:keepNext/>
              <w:tabs>
                <w:tab w:val="left" w:pos="432"/>
              </w:tabs>
              <w:jc w:val="left"/>
              <w:outlineLvl w:val="0"/>
              <w:rPr>
                <w:rFonts w:hint="eastAsia" w:ascii="宋体" w:hAnsi="宋体" w:eastAsia="宋体" w:cs="宋体"/>
                <w:color w:val="auto"/>
                <w:kern w:val="0"/>
                <w:sz w:val="24"/>
                <w:szCs w:val="24"/>
                <w:highlight w:val="none"/>
                <w:lang w:val="en-US" w:eastAsia="zh-CN" w:bidi="zh-CN"/>
              </w:rPr>
            </w:pPr>
            <w:r>
              <w:rPr>
                <w:rFonts w:hint="eastAsia" w:ascii="宋体" w:hAnsi="宋体" w:eastAsia="宋体" w:cs="宋体"/>
                <w:color w:val="auto"/>
                <w:kern w:val="0"/>
                <w:sz w:val="24"/>
                <w:szCs w:val="24"/>
                <w:highlight w:val="none"/>
                <w:lang w:val="en-US" w:eastAsia="zh-CN" w:bidi="zh-CN"/>
              </w:rPr>
              <w:t>(5)提供医用水盆柜的检验（或检测）报告，报告中需包含：</w:t>
            </w:r>
          </w:p>
          <w:p w14:paraId="435EFAC3">
            <w:pPr>
              <w:keepNext/>
              <w:tabs>
                <w:tab w:val="left" w:pos="432"/>
              </w:tabs>
              <w:jc w:val="left"/>
              <w:outlineLvl w:val="0"/>
              <w:rPr>
                <w:rFonts w:hint="eastAsia" w:ascii="宋体" w:hAnsi="宋体" w:eastAsia="宋体" w:cs="宋体"/>
                <w:color w:val="auto"/>
                <w:kern w:val="0"/>
                <w:sz w:val="24"/>
                <w:szCs w:val="24"/>
                <w:highlight w:val="none"/>
                <w:lang w:val="en-US" w:eastAsia="zh-CN" w:bidi="zh-CN"/>
              </w:rPr>
            </w:pPr>
            <w:r>
              <w:rPr>
                <w:rFonts w:hint="eastAsia" w:ascii="宋体" w:hAnsi="宋体" w:eastAsia="宋体" w:cs="宋体"/>
                <w:color w:val="auto"/>
                <w:kern w:val="0"/>
                <w:sz w:val="24"/>
                <w:szCs w:val="24"/>
                <w:highlight w:val="none"/>
                <w:lang w:val="en-US" w:eastAsia="zh-CN" w:bidi="zh-CN"/>
              </w:rPr>
              <w:t>①依据符合QB/T4371-2012《家具抗菌性能的评价》标准；通过抗细菌性能检测至少包含大肠埃希氏菌（大肠杆菌）、肺炎克雷伯氏菌等任意5种菌类，抗细菌率或抑菌率均≥99%　</w:t>
            </w:r>
          </w:p>
        </w:tc>
        <w:tc>
          <w:tcPr>
            <w:tcW w:w="269" w:type="pct"/>
            <w:vAlign w:val="center"/>
          </w:tcPr>
          <w:p w14:paraId="74094D06">
            <w:pPr>
              <w:spacing w:line="288" w:lineRule="auto"/>
              <w:jc w:val="center"/>
              <w:rPr>
                <w:rFonts w:ascii="宋体" w:hAnsi="宋体" w:cs="宋体"/>
                <w:bCs/>
                <w:color w:val="auto"/>
                <w:kern w:val="0"/>
                <w:sz w:val="24"/>
                <w:szCs w:val="24"/>
                <w:highlight w:val="none"/>
              </w:rPr>
            </w:pPr>
          </w:p>
        </w:tc>
      </w:tr>
      <w:tr w14:paraId="75CF88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324" w:type="pct"/>
            <w:vAlign w:val="center"/>
          </w:tcPr>
          <w:p w14:paraId="4D8D4595">
            <w:pPr>
              <w:spacing w:line="288" w:lineRule="auto"/>
              <w:jc w:val="center"/>
              <w:rPr>
                <w:rFonts w:hint="eastAsia" w:ascii="宋体" w:hAnsi="宋体" w:eastAsia="宋体" w:cs="宋体"/>
                <w:color w:val="auto"/>
                <w:kern w:val="0"/>
                <w:sz w:val="20"/>
                <w:szCs w:val="21"/>
                <w:highlight w:val="none"/>
              </w:rPr>
            </w:pPr>
          </w:p>
        </w:tc>
        <w:tc>
          <w:tcPr>
            <w:tcW w:w="801" w:type="pct"/>
            <w:vAlign w:val="center"/>
          </w:tcPr>
          <w:p w14:paraId="22832327">
            <w:pPr>
              <w:pStyle w:val="9"/>
              <w:numPr>
                <w:ilvl w:val="0"/>
                <w:numId w:val="0"/>
              </w:numPr>
              <w:spacing w:line="360" w:lineRule="auto"/>
              <w:rPr>
                <w:rFonts w:hint="eastAsia" w:ascii="宋体" w:hAnsi="宋体" w:cs="宋体"/>
                <w:bCs/>
                <w:color w:val="auto"/>
                <w:kern w:val="0"/>
                <w:sz w:val="24"/>
                <w:szCs w:val="24"/>
                <w:highlight w:val="none"/>
                <w:lang w:eastAsia="zh-CN"/>
              </w:rPr>
            </w:pPr>
          </w:p>
        </w:tc>
        <w:tc>
          <w:tcPr>
            <w:tcW w:w="1808" w:type="pct"/>
            <w:vAlign w:val="center"/>
          </w:tcPr>
          <w:p w14:paraId="3138DBE3">
            <w:pPr>
              <w:keepNext/>
              <w:tabs>
                <w:tab w:val="left" w:pos="432"/>
              </w:tabs>
              <w:jc w:val="left"/>
              <w:outlineLvl w:val="0"/>
              <w:rPr>
                <w:rFonts w:hint="eastAsia" w:ascii="宋体" w:hAnsi="宋体" w:eastAsia="宋体" w:cs="宋体"/>
                <w:color w:val="auto"/>
                <w:kern w:val="0"/>
                <w:sz w:val="24"/>
                <w:szCs w:val="24"/>
                <w:highlight w:val="none"/>
                <w:lang w:val="zh-CN" w:bidi="zh-CN"/>
              </w:rPr>
            </w:pPr>
            <w:r>
              <w:rPr>
                <w:rFonts w:hint="eastAsia" w:ascii="宋体" w:hAnsi="宋体" w:eastAsia="宋体" w:cs="宋体"/>
                <w:color w:val="auto"/>
                <w:kern w:val="0"/>
                <w:sz w:val="24"/>
                <w:szCs w:val="24"/>
                <w:highlight w:val="none"/>
                <w:lang w:val="zh-CN" w:bidi="zh-CN"/>
              </w:rPr>
              <w:t>(6)提供药柜的检验（或检测）报告，报告中需包含：</w:t>
            </w:r>
          </w:p>
          <w:p w14:paraId="224190F1">
            <w:pPr>
              <w:keepNext/>
              <w:tabs>
                <w:tab w:val="left" w:pos="432"/>
              </w:tabs>
              <w:jc w:val="left"/>
              <w:outlineLvl w:val="0"/>
              <w:rPr>
                <w:rFonts w:hint="eastAsia" w:ascii="宋体" w:hAnsi="宋体" w:eastAsia="宋体" w:cs="宋体"/>
                <w:color w:val="auto"/>
                <w:kern w:val="0"/>
                <w:sz w:val="24"/>
                <w:szCs w:val="24"/>
                <w:highlight w:val="none"/>
                <w:lang w:val="zh-CN" w:bidi="zh-CN"/>
              </w:rPr>
            </w:pPr>
            <w:r>
              <w:rPr>
                <w:rFonts w:hint="eastAsia" w:ascii="宋体" w:hAnsi="宋体" w:eastAsia="宋体" w:cs="宋体"/>
                <w:color w:val="auto"/>
                <w:kern w:val="0"/>
                <w:sz w:val="24"/>
                <w:szCs w:val="24"/>
                <w:highlight w:val="none"/>
                <w:lang w:val="zh-CN" w:bidi="zh-CN"/>
              </w:rPr>
              <w:t>①依据符合GB/T 3075-2021《金属材料疲劳试验轴向力控制方法》标准，疲劳测试≥10万次：试样未断裂；</w:t>
            </w:r>
          </w:p>
          <w:p w14:paraId="38FC1396">
            <w:pPr>
              <w:keepNext/>
              <w:tabs>
                <w:tab w:val="left" w:pos="432"/>
              </w:tabs>
              <w:jc w:val="left"/>
              <w:outlineLvl w:val="0"/>
              <w:rPr>
                <w:rFonts w:hint="eastAsia" w:ascii="宋体" w:hAnsi="宋体" w:eastAsia="宋体" w:cs="宋体"/>
                <w:color w:val="auto"/>
                <w:kern w:val="0"/>
                <w:sz w:val="24"/>
                <w:szCs w:val="24"/>
                <w:highlight w:val="none"/>
                <w:lang w:val="zh-CN" w:bidi="zh-CN"/>
              </w:rPr>
            </w:pPr>
            <w:r>
              <w:rPr>
                <w:rFonts w:hint="eastAsia" w:ascii="宋体" w:hAnsi="宋体" w:eastAsia="宋体" w:cs="宋体"/>
                <w:color w:val="auto"/>
                <w:kern w:val="0"/>
                <w:sz w:val="24"/>
                <w:szCs w:val="24"/>
                <w:highlight w:val="none"/>
                <w:lang w:val="zh-CN" w:bidi="zh-CN"/>
              </w:rPr>
              <w:t>②依据符合GB/T 228.1-2021《金属材料拉伸试验第1部分:室温试验方法》标准，力学性能抗拉强度≥450MPa;上屈服强度≥350MPa;断后伸长率≥30%；</w:t>
            </w:r>
          </w:p>
          <w:p w14:paraId="457DF9AA">
            <w:pPr>
              <w:keepNext/>
              <w:tabs>
                <w:tab w:val="left" w:pos="432"/>
              </w:tabs>
              <w:jc w:val="left"/>
              <w:outlineLvl w:val="0"/>
              <w:rPr>
                <w:rFonts w:hint="eastAsia" w:ascii="宋体" w:hAnsi="宋体" w:eastAsia="宋体" w:cs="宋体"/>
                <w:color w:val="auto"/>
                <w:kern w:val="0"/>
                <w:sz w:val="24"/>
                <w:szCs w:val="24"/>
                <w:highlight w:val="none"/>
                <w:lang w:val="zh-CN" w:bidi="zh-CN"/>
              </w:rPr>
            </w:pPr>
            <w:r>
              <w:rPr>
                <w:rFonts w:hint="eastAsia" w:ascii="宋体" w:hAnsi="宋体" w:eastAsia="宋体" w:cs="宋体"/>
                <w:color w:val="auto"/>
                <w:kern w:val="0"/>
                <w:sz w:val="24"/>
                <w:szCs w:val="24"/>
                <w:highlight w:val="none"/>
                <w:lang w:val="zh-CN" w:bidi="zh-CN"/>
              </w:rPr>
              <w:t>③依据符合GB/T3325-2024《金属家具通用技术条件》标准，理化性能:硬度≥3H；底脚着地平稳性≤2.0mm；通过基本结构安全；通过柜架类结构强度试验、开门试验、稳定性试验；</w:t>
            </w:r>
          </w:p>
          <w:p w14:paraId="6AB863E5">
            <w:pPr>
              <w:keepNext/>
              <w:tabs>
                <w:tab w:val="left" w:pos="432"/>
              </w:tabs>
              <w:jc w:val="left"/>
              <w:outlineLvl w:val="0"/>
              <w:rPr>
                <w:rFonts w:hint="eastAsia" w:ascii="宋体" w:hAnsi="宋体" w:eastAsia="宋体" w:cs="宋体"/>
                <w:color w:val="auto"/>
                <w:kern w:val="0"/>
                <w:sz w:val="24"/>
                <w:szCs w:val="24"/>
                <w:highlight w:val="none"/>
                <w:lang w:val="zh-CN" w:bidi="zh-CN"/>
              </w:rPr>
            </w:pPr>
            <w:r>
              <w:rPr>
                <w:rFonts w:hint="eastAsia" w:ascii="宋体" w:hAnsi="宋体" w:eastAsia="宋体" w:cs="宋体"/>
                <w:color w:val="auto"/>
                <w:kern w:val="0"/>
                <w:sz w:val="24"/>
                <w:szCs w:val="24"/>
                <w:highlight w:val="none"/>
                <w:lang w:val="zh-CN" w:bidi="zh-CN"/>
              </w:rPr>
              <w:t>④依据符合QB/T 4371-2012《家具抗菌性能的评价》标准；通过抗细菌性能检测至少包含大肠埃希氏菌（大肠杆菌）、肺炎克雷伯氏菌等任意5种菌类，抗细菌率或抑菌率均≥99%；</w:t>
            </w:r>
          </w:p>
          <w:p w14:paraId="410D4DA8">
            <w:pPr>
              <w:keepNext/>
              <w:tabs>
                <w:tab w:val="left" w:pos="432"/>
              </w:tabs>
              <w:jc w:val="left"/>
              <w:outlineLvl w:val="0"/>
              <w:rPr>
                <w:rFonts w:hint="eastAsia" w:ascii="宋体" w:hAnsi="宋体" w:eastAsia="宋体" w:cs="宋体"/>
                <w:color w:val="auto"/>
                <w:kern w:val="0"/>
                <w:sz w:val="24"/>
                <w:szCs w:val="24"/>
                <w:highlight w:val="none"/>
                <w:lang w:val="zh-CN" w:bidi="zh-CN"/>
              </w:rPr>
            </w:pPr>
            <w:r>
              <w:rPr>
                <w:rFonts w:hint="eastAsia" w:ascii="宋体" w:hAnsi="宋体" w:eastAsia="宋体" w:cs="宋体"/>
                <w:color w:val="auto"/>
                <w:kern w:val="0"/>
                <w:sz w:val="24"/>
                <w:szCs w:val="24"/>
                <w:highlight w:val="none"/>
                <w:lang w:val="zh-CN" w:bidi="zh-CN"/>
              </w:rPr>
              <w:t>⑤依据符合GB/T21604-2022《化学品急性皮肤刺激性/腐蚀性试验方法》标准；通过急性皮肤刺激性/腐蚀性试验检测；</w:t>
            </w:r>
          </w:p>
        </w:tc>
        <w:tc>
          <w:tcPr>
            <w:tcW w:w="1796" w:type="pct"/>
            <w:vAlign w:val="center"/>
          </w:tcPr>
          <w:p w14:paraId="5D65F0F3">
            <w:pPr>
              <w:keepNext/>
              <w:tabs>
                <w:tab w:val="left" w:pos="432"/>
              </w:tabs>
              <w:jc w:val="left"/>
              <w:outlineLvl w:val="0"/>
              <w:rPr>
                <w:rFonts w:hint="eastAsia" w:ascii="宋体" w:hAnsi="宋体" w:eastAsia="宋体" w:cs="宋体"/>
                <w:color w:val="auto"/>
                <w:kern w:val="0"/>
                <w:sz w:val="24"/>
                <w:szCs w:val="24"/>
                <w:highlight w:val="none"/>
                <w:lang w:val="en-US" w:eastAsia="zh-CN" w:bidi="zh-CN"/>
              </w:rPr>
            </w:pPr>
            <w:r>
              <w:rPr>
                <w:rFonts w:hint="eastAsia" w:ascii="宋体" w:hAnsi="宋体" w:eastAsia="宋体" w:cs="宋体"/>
                <w:color w:val="auto"/>
                <w:kern w:val="0"/>
                <w:sz w:val="24"/>
                <w:szCs w:val="24"/>
                <w:highlight w:val="none"/>
                <w:lang w:val="en-US" w:eastAsia="zh-CN" w:bidi="zh-CN"/>
              </w:rPr>
              <w:t>(6)提供药柜的检验（或检测）报告，报告中需包含：</w:t>
            </w:r>
          </w:p>
          <w:p w14:paraId="008FBC4F">
            <w:pPr>
              <w:keepNext/>
              <w:tabs>
                <w:tab w:val="left" w:pos="432"/>
              </w:tabs>
              <w:jc w:val="left"/>
              <w:outlineLvl w:val="0"/>
              <w:rPr>
                <w:rFonts w:hint="eastAsia" w:ascii="宋体" w:hAnsi="宋体" w:eastAsia="宋体" w:cs="宋体"/>
                <w:color w:val="auto"/>
                <w:kern w:val="0"/>
                <w:sz w:val="24"/>
                <w:szCs w:val="24"/>
                <w:highlight w:val="none"/>
                <w:lang w:val="en-US" w:eastAsia="zh-CN" w:bidi="zh-CN"/>
              </w:rPr>
            </w:pPr>
            <w:r>
              <w:rPr>
                <w:rFonts w:hint="eastAsia" w:ascii="宋体" w:hAnsi="宋体" w:eastAsia="宋体" w:cs="宋体"/>
                <w:color w:val="auto"/>
                <w:kern w:val="0"/>
                <w:sz w:val="24"/>
                <w:szCs w:val="24"/>
                <w:highlight w:val="none"/>
                <w:lang w:val="en-US" w:eastAsia="zh-CN" w:bidi="zh-CN"/>
              </w:rPr>
              <w:t>①依据符合GB/T3325-2024《金属家具通用技术条件》标准，理化性能:硬度≥3H；底脚着地平稳性≤2.0mm；通过基本结构安全；通过柜架类结构强度试验、开门试验、稳定性试验；</w:t>
            </w:r>
          </w:p>
          <w:p w14:paraId="4F0EBE6A">
            <w:pPr>
              <w:keepNext/>
              <w:tabs>
                <w:tab w:val="left" w:pos="432"/>
              </w:tabs>
              <w:jc w:val="left"/>
              <w:outlineLvl w:val="0"/>
              <w:rPr>
                <w:rFonts w:hint="eastAsia" w:ascii="宋体" w:hAnsi="宋体" w:eastAsia="宋体" w:cs="宋体"/>
                <w:color w:val="auto"/>
                <w:kern w:val="0"/>
                <w:sz w:val="24"/>
                <w:szCs w:val="24"/>
                <w:highlight w:val="none"/>
                <w:lang w:val="en-US" w:eastAsia="zh-CN" w:bidi="zh-CN"/>
              </w:rPr>
            </w:pPr>
            <w:r>
              <w:rPr>
                <w:rFonts w:hint="eastAsia" w:ascii="宋体" w:hAnsi="宋体" w:eastAsia="宋体" w:cs="宋体"/>
                <w:color w:val="auto"/>
                <w:kern w:val="0"/>
                <w:sz w:val="24"/>
                <w:szCs w:val="24"/>
                <w:highlight w:val="none"/>
                <w:lang w:val="en-US" w:eastAsia="zh-CN" w:bidi="zh-CN"/>
              </w:rPr>
              <w:t>②依据符合QB/T 4371-2012《家具抗菌性能的评价》标准；通过抗细菌性能检测至少包含大肠埃希氏菌（大肠杆菌）、肺炎克雷伯氏菌等任意5种菌类，抗细菌率或抑菌率均≥99%；</w:t>
            </w:r>
          </w:p>
        </w:tc>
        <w:tc>
          <w:tcPr>
            <w:tcW w:w="269" w:type="pct"/>
            <w:vAlign w:val="center"/>
          </w:tcPr>
          <w:p w14:paraId="131F729F">
            <w:pPr>
              <w:spacing w:line="288" w:lineRule="auto"/>
              <w:jc w:val="center"/>
              <w:rPr>
                <w:rFonts w:ascii="宋体" w:hAnsi="宋体" w:cs="宋体"/>
                <w:bCs/>
                <w:color w:val="auto"/>
                <w:kern w:val="0"/>
                <w:sz w:val="24"/>
                <w:szCs w:val="24"/>
                <w:highlight w:val="none"/>
              </w:rPr>
            </w:pPr>
          </w:p>
        </w:tc>
      </w:tr>
      <w:tr w14:paraId="1345DC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324" w:type="pct"/>
            <w:vAlign w:val="center"/>
          </w:tcPr>
          <w:p w14:paraId="650CE3A2">
            <w:pPr>
              <w:spacing w:line="288" w:lineRule="auto"/>
              <w:jc w:val="center"/>
              <w:rPr>
                <w:rFonts w:hint="eastAsia" w:ascii="宋体" w:hAnsi="宋体" w:eastAsia="宋体" w:cs="宋体"/>
                <w:color w:val="auto"/>
                <w:kern w:val="0"/>
                <w:sz w:val="20"/>
                <w:szCs w:val="21"/>
                <w:highlight w:val="none"/>
              </w:rPr>
            </w:pPr>
          </w:p>
        </w:tc>
        <w:tc>
          <w:tcPr>
            <w:tcW w:w="801" w:type="pct"/>
            <w:vAlign w:val="center"/>
          </w:tcPr>
          <w:p w14:paraId="360EAA52">
            <w:pPr>
              <w:pStyle w:val="9"/>
              <w:numPr>
                <w:ilvl w:val="0"/>
                <w:numId w:val="0"/>
              </w:numPr>
              <w:spacing w:line="360" w:lineRule="auto"/>
              <w:rPr>
                <w:rFonts w:hint="eastAsia" w:ascii="宋体" w:hAnsi="宋体" w:cs="宋体"/>
                <w:bCs/>
                <w:color w:val="auto"/>
                <w:kern w:val="0"/>
                <w:sz w:val="24"/>
                <w:szCs w:val="24"/>
                <w:highlight w:val="none"/>
                <w:lang w:eastAsia="zh-CN"/>
              </w:rPr>
            </w:pPr>
          </w:p>
        </w:tc>
        <w:tc>
          <w:tcPr>
            <w:tcW w:w="1808" w:type="pct"/>
            <w:vAlign w:val="center"/>
          </w:tcPr>
          <w:p w14:paraId="32158EAB">
            <w:pPr>
              <w:keepNext/>
              <w:tabs>
                <w:tab w:val="left" w:pos="432"/>
              </w:tabs>
              <w:jc w:val="left"/>
              <w:outlineLvl w:val="0"/>
              <w:rPr>
                <w:rFonts w:hint="eastAsia" w:ascii="宋体" w:hAnsi="宋体" w:eastAsia="宋体" w:cs="宋体"/>
                <w:color w:val="auto"/>
                <w:kern w:val="0"/>
                <w:sz w:val="24"/>
                <w:szCs w:val="24"/>
                <w:highlight w:val="none"/>
                <w:lang w:val="zh-CN" w:bidi="zh-CN"/>
              </w:rPr>
            </w:pPr>
            <w:r>
              <w:rPr>
                <w:rFonts w:hint="eastAsia" w:ascii="宋体" w:hAnsi="宋体" w:eastAsia="宋体" w:cs="宋体"/>
                <w:color w:val="auto"/>
                <w:kern w:val="0"/>
                <w:sz w:val="24"/>
                <w:szCs w:val="24"/>
                <w:highlight w:val="none"/>
                <w:lang w:val="zh-CN" w:bidi="zh-CN"/>
              </w:rPr>
              <w:t>(7)提供医用诊断床（诊床）的检验（或检测）报告，报告中需包含：</w:t>
            </w:r>
          </w:p>
          <w:p w14:paraId="40F2AA0D">
            <w:pPr>
              <w:keepNext/>
              <w:tabs>
                <w:tab w:val="left" w:pos="432"/>
              </w:tabs>
              <w:jc w:val="left"/>
              <w:outlineLvl w:val="0"/>
              <w:rPr>
                <w:rFonts w:hint="eastAsia" w:ascii="宋体" w:hAnsi="宋体" w:eastAsia="宋体" w:cs="宋体"/>
                <w:color w:val="auto"/>
                <w:kern w:val="0"/>
                <w:sz w:val="24"/>
                <w:szCs w:val="24"/>
                <w:highlight w:val="none"/>
                <w:lang w:val="zh-CN" w:bidi="zh-CN"/>
              </w:rPr>
            </w:pPr>
            <w:r>
              <w:rPr>
                <w:rFonts w:hint="eastAsia" w:ascii="宋体" w:hAnsi="宋体" w:eastAsia="宋体" w:cs="宋体"/>
                <w:color w:val="auto"/>
                <w:kern w:val="0"/>
                <w:sz w:val="24"/>
                <w:szCs w:val="24"/>
                <w:highlight w:val="none"/>
                <w:lang w:val="zh-CN" w:bidi="zh-CN"/>
              </w:rPr>
              <w:t>①依据符合GB/T 16799-2018《家具用皮革》标准；游离甲醛≤50mg/kg；</w:t>
            </w:r>
          </w:p>
          <w:p w14:paraId="54A11C2D">
            <w:pPr>
              <w:keepNext/>
              <w:tabs>
                <w:tab w:val="left" w:pos="432"/>
              </w:tabs>
              <w:jc w:val="left"/>
              <w:outlineLvl w:val="0"/>
              <w:rPr>
                <w:rFonts w:hint="eastAsia" w:ascii="宋体" w:hAnsi="宋体" w:eastAsia="宋体" w:cs="宋体"/>
                <w:color w:val="auto"/>
                <w:kern w:val="0"/>
                <w:sz w:val="24"/>
                <w:szCs w:val="24"/>
                <w:highlight w:val="none"/>
                <w:lang w:val="zh-CN" w:bidi="zh-CN"/>
              </w:rPr>
            </w:pPr>
            <w:r>
              <w:rPr>
                <w:rFonts w:hint="eastAsia" w:ascii="宋体" w:hAnsi="宋体" w:eastAsia="宋体" w:cs="宋体"/>
                <w:color w:val="auto"/>
                <w:kern w:val="0"/>
                <w:sz w:val="24"/>
                <w:szCs w:val="24"/>
                <w:highlight w:val="none"/>
                <w:lang w:val="zh-CN" w:bidi="zh-CN"/>
              </w:rPr>
              <w:t>②依据符合QB/T4371-2012《家具抗菌性能的评价》标准；通过抗菌性能检测；</w:t>
            </w:r>
          </w:p>
          <w:p w14:paraId="29AAD736">
            <w:pPr>
              <w:keepNext/>
              <w:tabs>
                <w:tab w:val="left" w:pos="432"/>
              </w:tabs>
              <w:jc w:val="left"/>
              <w:outlineLvl w:val="0"/>
              <w:rPr>
                <w:rFonts w:hint="eastAsia" w:ascii="宋体" w:hAnsi="宋体" w:eastAsia="宋体" w:cs="宋体"/>
                <w:color w:val="auto"/>
                <w:kern w:val="0"/>
                <w:sz w:val="24"/>
                <w:szCs w:val="24"/>
                <w:highlight w:val="none"/>
                <w:lang w:val="zh-CN" w:bidi="zh-CN"/>
              </w:rPr>
            </w:pPr>
            <w:r>
              <w:rPr>
                <w:rFonts w:hint="eastAsia" w:ascii="宋体" w:hAnsi="宋体" w:eastAsia="宋体" w:cs="宋体"/>
                <w:color w:val="auto"/>
                <w:kern w:val="0"/>
                <w:sz w:val="24"/>
                <w:szCs w:val="24"/>
                <w:highlight w:val="none"/>
                <w:lang w:val="zh-CN" w:bidi="zh-CN"/>
              </w:rPr>
              <w:t>③依据符合QB/T 4199-2011《皮革防霉性能测试方法》标准；通过皮革防霉性能检测；</w:t>
            </w:r>
          </w:p>
          <w:p w14:paraId="5D43519D">
            <w:pPr>
              <w:keepNext/>
              <w:tabs>
                <w:tab w:val="left" w:pos="432"/>
              </w:tabs>
              <w:jc w:val="left"/>
              <w:outlineLvl w:val="0"/>
              <w:rPr>
                <w:rFonts w:hint="eastAsia" w:ascii="宋体" w:hAnsi="宋体" w:eastAsia="宋体" w:cs="宋体"/>
                <w:color w:val="auto"/>
                <w:kern w:val="0"/>
                <w:sz w:val="24"/>
                <w:szCs w:val="24"/>
                <w:highlight w:val="none"/>
                <w:lang w:val="zh-CN" w:bidi="zh-CN"/>
              </w:rPr>
            </w:pPr>
            <w:r>
              <w:rPr>
                <w:rFonts w:hint="eastAsia" w:ascii="宋体" w:hAnsi="宋体" w:eastAsia="宋体" w:cs="宋体"/>
                <w:color w:val="auto"/>
                <w:kern w:val="0"/>
                <w:sz w:val="24"/>
                <w:szCs w:val="24"/>
                <w:highlight w:val="none"/>
                <w:lang w:val="zh-CN" w:bidi="zh-CN"/>
              </w:rPr>
              <w:t>④依据符合HG/T 2006-2022《热固性和热塑性粉末涂料》标准；涂膜外观正常；</w:t>
            </w:r>
          </w:p>
        </w:tc>
        <w:tc>
          <w:tcPr>
            <w:tcW w:w="1796" w:type="pct"/>
            <w:vAlign w:val="center"/>
          </w:tcPr>
          <w:p w14:paraId="0703C816">
            <w:pPr>
              <w:keepNext/>
              <w:tabs>
                <w:tab w:val="left" w:pos="432"/>
              </w:tabs>
              <w:jc w:val="left"/>
              <w:outlineLvl w:val="0"/>
              <w:rPr>
                <w:rFonts w:hint="eastAsia" w:ascii="宋体" w:hAnsi="宋体" w:eastAsia="宋体" w:cs="宋体"/>
                <w:color w:val="auto"/>
                <w:kern w:val="0"/>
                <w:sz w:val="24"/>
                <w:szCs w:val="24"/>
                <w:highlight w:val="none"/>
                <w:lang w:val="en-US" w:eastAsia="zh-CN" w:bidi="zh-CN"/>
              </w:rPr>
            </w:pPr>
            <w:r>
              <w:rPr>
                <w:rFonts w:hint="eastAsia" w:ascii="宋体" w:hAnsi="宋体" w:eastAsia="宋体" w:cs="宋体"/>
                <w:color w:val="auto"/>
                <w:kern w:val="0"/>
                <w:sz w:val="24"/>
                <w:szCs w:val="24"/>
                <w:highlight w:val="none"/>
                <w:lang w:val="en-US" w:eastAsia="zh-CN" w:bidi="zh-CN"/>
              </w:rPr>
              <w:t>(7)提供医用诊断床（诊床）的检验（或检测）报告，报告中需包含：</w:t>
            </w:r>
          </w:p>
          <w:p w14:paraId="09E145E4">
            <w:pPr>
              <w:keepNext/>
              <w:tabs>
                <w:tab w:val="left" w:pos="432"/>
              </w:tabs>
              <w:jc w:val="left"/>
              <w:outlineLvl w:val="0"/>
              <w:rPr>
                <w:rFonts w:hint="eastAsia" w:ascii="宋体" w:hAnsi="宋体" w:eastAsia="宋体" w:cs="宋体"/>
                <w:color w:val="auto"/>
                <w:kern w:val="0"/>
                <w:sz w:val="24"/>
                <w:szCs w:val="24"/>
                <w:highlight w:val="none"/>
                <w:lang w:val="en-US" w:eastAsia="zh-CN" w:bidi="zh-CN"/>
              </w:rPr>
            </w:pPr>
            <w:r>
              <w:rPr>
                <w:rFonts w:hint="eastAsia" w:ascii="宋体" w:hAnsi="宋体" w:eastAsia="宋体" w:cs="宋体"/>
                <w:color w:val="auto"/>
                <w:kern w:val="0"/>
                <w:sz w:val="24"/>
                <w:szCs w:val="24"/>
                <w:highlight w:val="none"/>
                <w:lang w:val="en-US" w:eastAsia="zh-CN" w:bidi="zh-CN"/>
              </w:rPr>
              <w:t>①依据符合GB/T 16799-2018《家具用皮革》标准；游离甲醛≤50mg/kg；</w:t>
            </w:r>
          </w:p>
          <w:p w14:paraId="2F2B3561">
            <w:pPr>
              <w:keepNext/>
              <w:tabs>
                <w:tab w:val="left" w:pos="432"/>
              </w:tabs>
              <w:jc w:val="left"/>
              <w:outlineLvl w:val="0"/>
              <w:rPr>
                <w:rFonts w:hint="eastAsia" w:ascii="宋体" w:hAnsi="宋体" w:eastAsia="宋体" w:cs="宋体"/>
                <w:color w:val="auto"/>
                <w:kern w:val="0"/>
                <w:sz w:val="24"/>
                <w:szCs w:val="24"/>
                <w:highlight w:val="none"/>
                <w:lang w:val="en-US" w:eastAsia="zh-CN" w:bidi="zh-CN"/>
              </w:rPr>
            </w:pPr>
            <w:r>
              <w:rPr>
                <w:rFonts w:hint="eastAsia" w:ascii="宋体" w:hAnsi="宋体" w:eastAsia="宋体" w:cs="宋体"/>
                <w:color w:val="auto"/>
                <w:kern w:val="0"/>
                <w:sz w:val="24"/>
                <w:szCs w:val="24"/>
                <w:highlight w:val="none"/>
                <w:lang w:val="en-US" w:eastAsia="zh-CN" w:bidi="zh-CN"/>
              </w:rPr>
              <w:t>②依据符合QB/T4371-2012《家具抗菌性能的评价》标准；通过抗菌性能检测；</w:t>
            </w:r>
          </w:p>
          <w:p w14:paraId="5FBD362D">
            <w:pPr>
              <w:keepNext/>
              <w:tabs>
                <w:tab w:val="left" w:pos="432"/>
              </w:tabs>
              <w:jc w:val="left"/>
              <w:outlineLvl w:val="0"/>
              <w:rPr>
                <w:rFonts w:hint="eastAsia" w:ascii="宋体" w:hAnsi="宋体" w:eastAsia="宋体" w:cs="宋体"/>
                <w:color w:val="auto"/>
                <w:kern w:val="0"/>
                <w:sz w:val="24"/>
                <w:szCs w:val="24"/>
                <w:highlight w:val="none"/>
                <w:lang w:val="en-US" w:eastAsia="zh-CN" w:bidi="zh-CN"/>
              </w:rPr>
            </w:pPr>
            <w:r>
              <w:rPr>
                <w:rFonts w:hint="eastAsia" w:ascii="宋体" w:hAnsi="宋体" w:eastAsia="宋体" w:cs="宋体"/>
                <w:color w:val="auto"/>
                <w:kern w:val="0"/>
                <w:sz w:val="24"/>
                <w:szCs w:val="24"/>
                <w:highlight w:val="none"/>
                <w:lang w:val="en-US" w:eastAsia="zh-CN" w:bidi="zh-CN"/>
              </w:rPr>
              <w:t>③依据符合HG/T 2006-2022《热固性和热塑性粉末涂料》标准；涂膜外观正常；</w:t>
            </w:r>
          </w:p>
        </w:tc>
        <w:tc>
          <w:tcPr>
            <w:tcW w:w="269" w:type="pct"/>
            <w:vAlign w:val="center"/>
          </w:tcPr>
          <w:p w14:paraId="5C494A01">
            <w:pPr>
              <w:spacing w:line="288" w:lineRule="auto"/>
              <w:jc w:val="center"/>
              <w:rPr>
                <w:rFonts w:ascii="宋体" w:hAnsi="宋体" w:cs="宋体"/>
                <w:bCs/>
                <w:color w:val="auto"/>
                <w:kern w:val="0"/>
                <w:sz w:val="24"/>
                <w:szCs w:val="24"/>
                <w:highlight w:val="none"/>
              </w:rPr>
            </w:pPr>
          </w:p>
        </w:tc>
      </w:tr>
      <w:tr w14:paraId="10CA84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324" w:type="pct"/>
            <w:vAlign w:val="center"/>
          </w:tcPr>
          <w:p w14:paraId="34B98D17">
            <w:pPr>
              <w:spacing w:line="288" w:lineRule="auto"/>
              <w:jc w:val="center"/>
              <w:rPr>
                <w:rFonts w:hint="eastAsia" w:ascii="宋体" w:hAnsi="宋体" w:eastAsia="宋体" w:cs="宋体"/>
                <w:color w:val="auto"/>
                <w:kern w:val="0"/>
                <w:sz w:val="20"/>
                <w:szCs w:val="21"/>
                <w:highlight w:val="none"/>
              </w:rPr>
            </w:pPr>
          </w:p>
        </w:tc>
        <w:tc>
          <w:tcPr>
            <w:tcW w:w="801" w:type="pct"/>
            <w:vAlign w:val="center"/>
          </w:tcPr>
          <w:p w14:paraId="667A8990">
            <w:pPr>
              <w:pStyle w:val="9"/>
              <w:numPr>
                <w:ilvl w:val="0"/>
                <w:numId w:val="0"/>
              </w:numPr>
              <w:spacing w:line="360" w:lineRule="auto"/>
              <w:rPr>
                <w:rFonts w:hint="eastAsia" w:ascii="宋体" w:hAnsi="宋体" w:cs="宋体"/>
                <w:bCs/>
                <w:color w:val="auto"/>
                <w:kern w:val="0"/>
                <w:sz w:val="24"/>
                <w:szCs w:val="24"/>
                <w:highlight w:val="none"/>
                <w:lang w:eastAsia="zh-CN"/>
              </w:rPr>
            </w:pPr>
          </w:p>
        </w:tc>
        <w:tc>
          <w:tcPr>
            <w:tcW w:w="1808" w:type="pct"/>
            <w:vAlign w:val="center"/>
          </w:tcPr>
          <w:p w14:paraId="65A64E20">
            <w:pPr>
              <w:keepNext/>
              <w:tabs>
                <w:tab w:val="left" w:pos="432"/>
              </w:tabs>
              <w:jc w:val="left"/>
              <w:outlineLvl w:val="0"/>
              <w:rPr>
                <w:rFonts w:hint="eastAsia" w:ascii="宋体" w:hAnsi="宋体" w:eastAsia="宋体" w:cs="宋体"/>
                <w:color w:val="auto"/>
                <w:kern w:val="0"/>
                <w:sz w:val="24"/>
                <w:szCs w:val="24"/>
                <w:highlight w:val="none"/>
                <w:lang w:val="zh-CN" w:bidi="zh-CN"/>
              </w:rPr>
            </w:pPr>
            <w:r>
              <w:rPr>
                <w:rFonts w:hint="eastAsia" w:ascii="宋体" w:hAnsi="宋体" w:eastAsia="宋体" w:cs="宋体"/>
                <w:color w:val="auto"/>
                <w:kern w:val="0"/>
                <w:sz w:val="24"/>
                <w:szCs w:val="24"/>
                <w:highlight w:val="none"/>
                <w:lang w:val="zh-CN" w:bidi="zh-CN"/>
              </w:rPr>
              <w:t>(14)提供候诊椅（等候椅）的检验（或检测）报告，报告中需包含：</w:t>
            </w:r>
          </w:p>
          <w:p w14:paraId="42B341DA">
            <w:pPr>
              <w:keepNext/>
              <w:tabs>
                <w:tab w:val="left" w:pos="432"/>
              </w:tabs>
              <w:jc w:val="left"/>
              <w:outlineLvl w:val="0"/>
              <w:rPr>
                <w:rFonts w:hint="eastAsia" w:ascii="宋体" w:hAnsi="宋体" w:eastAsia="宋体" w:cs="宋体"/>
                <w:color w:val="auto"/>
                <w:kern w:val="0"/>
                <w:sz w:val="24"/>
                <w:szCs w:val="24"/>
                <w:highlight w:val="none"/>
                <w:lang w:val="zh-CN" w:bidi="zh-CN"/>
              </w:rPr>
            </w:pPr>
            <w:r>
              <w:rPr>
                <w:rFonts w:hint="eastAsia" w:ascii="宋体" w:hAnsi="宋体" w:eastAsia="宋体" w:cs="宋体"/>
                <w:color w:val="auto"/>
                <w:kern w:val="0"/>
                <w:sz w:val="24"/>
                <w:szCs w:val="24"/>
                <w:highlight w:val="none"/>
                <w:lang w:val="zh-CN" w:bidi="zh-CN"/>
              </w:rPr>
              <w:t>①依据符合GB/T 35607-2024《绿色产品评价家具》标准；甲醛释放量≤0.035mg/m³；</w:t>
            </w:r>
          </w:p>
          <w:p w14:paraId="5628F071">
            <w:pPr>
              <w:keepNext/>
              <w:tabs>
                <w:tab w:val="left" w:pos="432"/>
              </w:tabs>
              <w:jc w:val="left"/>
              <w:outlineLvl w:val="0"/>
              <w:rPr>
                <w:rFonts w:hint="eastAsia" w:ascii="宋体" w:hAnsi="宋体" w:eastAsia="宋体" w:cs="宋体"/>
                <w:color w:val="auto"/>
                <w:kern w:val="0"/>
                <w:sz w:val="24"/>
                <w:szCs w:val="24"/>
                <w:highlight w:val="none"/>
                <w:lang w:val="zh-CN" w:bidi="zh-CN"/>
              </w:rPr>
            </w:pPr>
            <w:r>
              <w:rPr>
                <w:rFonts w:hint="eastAsia" w:ascii="宋体" w:hAnsi="宋体" w:eastAsia="宋体" w:cs="宋体"/>
                <w:color w:val="auto"/>
                <w:kern w:val="0"/>
                <w:sz w:val="24"/>
                <w:szCs w:val="24"/>
                <w:highlight w:val="none"/>
                <w:lang w:val="zh-CN" w:bidi="zh-CN"/>
              </w:rPr>
              <w:t>②依据符合GB/T 11345-2023《焊缝无损检测 超声检测 技术、检测等级和评定》标准；焊缝无损等级检测；</w:t>
            </w:r>
          </w:p>
        </w:tc>
        <w:tc>
          <w:tcPr>
            <w:tcW w:w="1796" w:type="pct"/>
            <w:vAlign w:val="center"/>
          </w:tcPr>
          <w:p w14:paraId="3C2B25BD">
            <w:pPr>
              <w:keepNext/>
              <w:tabs>
                <w:tab w:val="left" w:pos="432"/>
              </w:tabs>
              <w:jc w:val="left"/>
              <w:outlineLvl w:val="0"/>
              <w:rPr>
                <w:rFonts w:hint="eastAsia" w:ascii="宋体" w:hAnsi="宋体" w:eastAsia="宋体" w:cs="宋体"/>
                <w:color w:val="auto"/>
                <w:kern w:val="0"/>
                <w:sz w:val="24"/>
                <w:szCs w:val="24"/>
                <w:highlight w:val="none"/>
                <w:lang w:val="en-US" w:eastAsia="zh-CN" w:bidi="zh-CN"/>
              </w:rPr>
            </w:pPr>
            <w:r>
              <w:rPr>
                <w:rFonts w:hint="eastAsia" w:ascii="宋体" w:hAnsi="宋体" w:eastAsia="宋体" w:cs="宋体"/>
                <w:color w:val="auto"/>
                <w:kern w:val="0"/>
                <w:sz w:val="24"/>
                <w:szCs w:val="24"/>
                <w:highlight w:val="none"/>
                <w:lang w:val="en-US" w:eastAsia="zh-CN" w:bidi="zh-CN"/>
              </w:rPr>
              <w:t>(14)提供候诊椅（等候椅）的检验（或检测）报告，报告中需包含：</w:t>
            </w:r>
          </w:p>
          <w:p w14:paraId="0AD867E6">
            <w:pPr>
              <w:keepNext/>
              <w:tabs>
                <w:tab w:val="left" w:pos="432"/>
              </w:tabs>
              <w:jc w:val="left"/>
              <w:outlineLvl w:val="0"/>
              <w:rPr>
                <w:rFonts w:hint="eastAsia" w:ascii="宋体" w:hAnsi="宋体" w:eastAsia="宋体" w:cs="宋体"/>
                <w:color w:val="auto"/>
                <w:kern w:val="0"/>
                <w:sz w:val="24"/>
                <w:szCs w:val="24"/>
                <w:highlight w:val="none"/>
                <w:lang w:val="en-US" w:eastAsia="zh-CN" w:bidi="zh-CN"/>
              </w:rPr>
            </w:pPr>
            <w:r>
              <w:rPr>
                <w:rFonts w:hint="eastAsia" w:ascii="宋体" w:hAnsi="宋体" w:eastAsia="宋体" w:cs="宋体"/>
                <w:color w:val="auto"/>
                <w:kern w:val="0"/>
                <w:sz w:val="24"/>
                <w:szCs w:val="24"/>
                <w:highlight w:val="none"/>
                <w:lang w:val="en-US" w:eastAsia="zh-CN" w:bidi="zh-CN"/>
              </w:rPr>
              <w:t>①依据符合GB/T 35607-2024《绿色产品评价家具》标准；甲醛释放量≤0.035mg/m³；</w:t>
            </w:r>
          </w:p>
        </w:tc>
        <w:tc>
          <w:tcPr>
            <w:tcW w:w="269" w:type="pct"/>
            <w:vAlign w:val="center"/>
          </w:tcPr>
          <w:p w14:paraId="4DC7C3F1">
            <w:pPr>
              <w:spacing w:line="288" w:lineRule="auto"/>
              <w:jc w:val="center"/>
              <w:rPr>
                <w:rFonts w:ascii="宋体" w:hAnsi="宋体" w:cs="宋体"/>
                <w:bCs/>
                <w:color w:val="auto"/>
                <w:kern w:val="0"/>
                <w:sz w:val="24"/>
                <w:szCs w:val="24"/>
                <w:highlight w:val="none"/>
              </w:rPr>
            </w:pPr>
          </w:p>
        </w:tc>
      </w:tr>
      <w:tr w14:paraId="6FC81E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324" w:type="pct"/>
            <w:vAlign w:val="center"/>
          </w:tcPr>
          <w:p w14:paraId="4497BF7B">
            <w:pPr>
              <w:spacing w:line="288" w:lineRule="auto"/>
              <w:jc w:val="center"/>
              <w:rPr>
                <w:rFonts w:hint="default" w:ascii="宋体" w:hAnsi="宋体" w:eastAsia="宋体" w:cs="宋体"/>
                <w:color w:val="auto"/>
                <w:kern w:val="0"/>
                <w:sz w:val="20"/>
                <w:szCs w:val="21"/>
                <w:highlight w:val="none"/>
                <w:lang w:val="en-US" w:eastAsia="zh-CN"/>
              </w:rPr>
            </w:pPr>
            <w:r>
              <w:rPr>
                <w:rFonts w:hint="eastAsia" w:ascii="宋体" w:hAnsi="宋体" w:eastAsia="宋体" w:cs="宋体"/>
                <w:color w:val="auto"/>
                <w:kern w:val="0"/>
                <w:sz w:val="20"/>
                <w:szCs w:val="21"/>
                <w:highlight w:val="none"/>
                <w:lang w:val="en-US" w:eastAsia="zh-CN"/>
              </w:rPr>
              <w:t>10</w:t>
            </w:r>
          </w:p>
        </w:tc>
        <w:tc>
          <w:tcPr>
            <w:tcW w:w="801" w:type="pct"/>
            <w:vAlign w:val="center"/>
          </w:tcPr>
          <w:p w14:paraId="66E3D6E5">
            <w:pPr>
              <w:pStyle w:val="9"/>
              <w:numPr>
                <w:ilvl w:val="0"/>
                <w:numId w:val="0"/>
              </w:numPr>
              <w:spacing w:line="360" w:lineRule="auto"/>
              <w:rPr>
                <w:rFonts w:hint="eastAsia" w:ascii="宋体" w:hAnsi="宋体" w:cs="宋体"/>
                <w:bCs/>
                <w:color w:val="auto"/>
                <w:kern w:val="0"/>
                <w:sz w:val="24"/>
                <w:szCs w:val="24"/>
                <w:highlight w:val="none"/>
                <w:lang w:eastAsia="zh-CN"/>
              </w:rPr>
            </w:pPr>
            <w:r>
              <w:rPr>
                <w:rFonts w:hint="eastAsia" w:ascii="宋体" w:hAnsi="宋体" w:cs="宋体"/>
                <w:bCs/>
                <w:color w:val="auto"/>
                <w:kern w:val="0"/>
                <w:sz w:val="24"/>
                <w:szCs w:val="24"/>
                <w:highlight w:val="none"/>
                <w:lang w:eastAsia="zh-CN"/>
              </w:rPr>
              <w:t>采购文件“第四部分 采购需求”-“十、检测报告”-“10.1采购包1”-“（二）原材料检测报告”</w:t>
            </w:r>
          </w:p>
        </w:tc>
        <w:tc>
          <w:tcPr>
            <w:tcW w:w="1808" w:type="pct"/>
            <w:vAlign w:val="center"/>
          </w:tcPr>
          <w:p w14:paraId="07D1E47E">
            <w:pPr>
              <w:keepNext/>
              <w:tabs>
                <w:tab w:val="left" w:pos="432"/>
              </w:tabs>
              <w:jc w:val="left"/>
              <w:outlineLvl w:val="0"/>
              <w:rPr>
                <w:rFonts w:hint="eastAsia" w:ascii="宋体" w:hAnsi="宋体" w:eastAsia="宋体" w:cs="宋体"/>
                <w:color w:val="auto"/>
                <w:kern w:val="0"/>
                <w:sz w:val="24"/>
                <w:szCs w:val="24"/>
                <w:highlight w:val="none"/>
                <w:lang w:val="zh-CN" w:bidi="zh-CN"/>
              </w:rPr>
            </w:pPr>
            <w:r>
              <w:rPr>
                <w:rFonts w:hint="eastAsia" w:ascii="宋体" w:hAnsi="宋体" w:eastAsia="宋体" w:cs="宋体"/>
                <w:color w:val="auto"/>
                <w:kern w:val="0"/>
                <w:sz w:val="24"/>
                <w:szCs w:val="24"/>
                <w:highlight w:val="none"/>
                <w:lang w:val="zh-CN" w:bidi="zh-CN"/>
              </w:rPr>
              <w:t>(1)提供人造石的检验（或检测）报告，报告中需包含：</w:t>
            </w:r>
          </w:p>
          <w:p w14:paraId="6C53EFF6">
            <w:pPr>
              <w:keepNext/>
              <w:tabs>
                <w:tab w:val="left" w:pos="432"/>
              </w:tabs>
              <w:jc w:val="left"/>
              <w:outlineLvl w:val="0"/>
              <w:rPr>
                <w:rFonts w:hint="eastAsia" w:ascii="宋体" w:hAnsi="宋体" w:eastAsia="宋体" w:cs="宋体"/>
                <w:color w:val="auto"/>
                <w:kern w:val="0"/>
                <w:sz w:val="24"/>
                <w:szCs w:val="24"/>
                <w:highlight w:val="none"/>
                <w:lang w:val="zh-CN" w:bidi="zh-CN"/>
              </w:rPr>
            </w:pPr>
            <w:r>
              <w:rPr>
                <w:rFonts w:hint="eastAsia" w:ascii="宋体" w:hAnsi="宋体" w:eastAsia="宋体" w:cs="宋体"/>
                <w:color w:val="auto"/>
                <w:kern w:val="0"/>
                <w:sz w:val="24"/>
                <w:szCs w:val="24"/>
                <w:highlight w:val="none"/>
                <w:lang w:val="zh-CN" w:bidi="zh-CN"/>
              </w:rPr>
              <w:t>①依据符合JC/T 908-2013《人造石》标准；实体面材PMMA类:A级不小于70；荷载变形和冲击韧性实体面材冲击韧性不小于5.0kJ/m²，耐污染性耐污值总和：≤50；最大污迹深度：≤0.10mm;</w:t>
            </w:r>
          </w:p>
          <w:p w14:paraId="44F76496">
            <w:pPr>
              <w:keepNext/>
              <w:tabs>
                <w:tab w:val="left" w:pos="432"/>
              </w:tabs>
              <w:jc w:val="left"/>
              <w:outlineLvl w:val="0"/>
              <w:rPr>
                <w:rFonts w:hint="eastAsia" w:ascii="宋体" w:hAnsi="宋体" w:eastAsia="宋体" w:cs="宋体"/>
                <w:color w:val="auto"/>
                <w:kern w:val="0"/>
                <w:sz w:val="24"/>
                <w:szCs w:val="24"/>
                <w:highlight w:val="none"/>
                <w:lang w:val="zh-CN" w:bidi="zh-CN"/>
              </w:rPr>
            </w:pPr>
            <w:r>
              <w:rPr>
                <w:rFonts w:hint="eastAsia" w:ascii="宋体" w:hAnsi="宋体" w:eastAsia="宋体" w:cs="宋体"/>
                <w:color w:val="auto"/>
                <w:kern w:val="0"/>
                <w:sz w:val="24"/>
                <w:szCs w:val="24"/>
                <w:highlight w:val="none"/>
                <w:lang w:val="zh-CN" w:bidi="zh-CN"/>
              </w:rPr>
              <w:t>②依据符合GB/T 24128-2018《塑料塑料防霉剂的防霉效果评估》标准；试验霉种至少包含：桔青霉等5种及以上霉类，长霉级别不低于 0 级；</w:t>
            </w:r>
          </w:p>
          <w:p w14:paraId="6F0C8BA9">
            <w:pPr>
              <w:keepNext/>
              <w:tabs>
                <w:tab w:val="left" w:pos="432"/>
              </w:tabs>
              <w:jc w:val="left"/>
              <w:outlineLvl w:val="0"/>
              <w:rPr>
                <w:rFonts w:hint="eastAsia" w:ascii="宋体" w:hAnsi="宋体" w:eastAsia="宋体" w:cs="宋体"/>
                <w:color w:val="auto"/>
                <w:kern w:val="0"/>
                <w:sz w:val="24"/>
                <w:szCs w:val="24"/>
                <w:highlight w:val="none"/>
                <w:lang w:val="zh-CN" w:bidi="zh-CN"/>
              </w:rPr>
            </w:pPr>
            <w:r>
              <w:rPr>
                <w:rFonts w:hint="eastAsia" w:ascii="宋体" w:hAnsi="宋体" w:eastAsia="宋体" w:cs="宋体"/>
                <w:color w:val="auto"/>
                <w:kern w:val="0"/>
                <w:sz w:val="24"/>
                <w:szCs w:val="24"/>
                <w:highlight w:val="none"/>
                <w:lang w:val="zh-CN" w:bidi="zh-CN"/>
              </w:rPr>
              <w:t>③依据符合GB/T 31402-2023《塑料和其他无孔材料表面抗菌活性的测定》标准，通过抗细菌性能检测至少包含大肠埃希氏菌（大肠杆菌）等任意5种菌类，抗细菌率或抑菌率均≥99%；</w:t>
            </w:r>
          </w:p>
        </w:tc>
        <w:tc>
          <w:tcPr>
            <w:tcW w:w="1796" w:type="pct"/>
            <w:vAlign w:val="center"/>
          </w:tcPr>
          <w:p w14:paraId="3BE5C81C">
            <w:pPr>
              <w:keepNext/>
              <w:tabs>
                <w:tab w:val="left" w:pos="432"/>
              </w:tabs>
              <w:jc w:val="left"/>
              <w:outlineLvl w:val="0"/>
              <w:rPr>
                <w:rFonts w:hint="eastAsia" w:ascii="宋体" w:hAnsi="宋体" w:eastAsia="宋体" w:cs="宋体"/>
                <w:color w:val="auto"/>
                <w:kern w:val="0"/>
                <w:sz w:val="24"/>
                <w:szCs w:val="24"/>
                <w:highlight w:val="none"/>
                <w:lang w:val="en-US" w:eastAsia="zh-CN" w:bidi="zh-CN"/>
              </w:rPr>
            </w:pPr>
            <w:r>
              <w:rPr>
                <w:rFonts w:hint="eastAsia" w:ascii="宋体" w:hAnsi="宋体" w:eastAsia="宋体" w:cs="宋体"/>
                <w:color w:val="auto"/>
                <w:kern w:val="0"/>
                <w:sz w:val="24"/>
                <w:szCs w:val="24"/>
                <w:highlight w:val="none"/>
                <w:lang w:val="en-US" w:eastAsia="zh-CN" w:bidi="zh-CN"/>
              </w:rPr>
              <w:t>(1)提供人造石的检验（或检测）报告，报告中需包含：</w:t>
            </w:r>
          </w:p>
          <w:p w14:paraId="32C9B34D">
            <w:pPr>
              <w:keepNext/>
              <w:tabs>
                <w:tab w:val="left" w:pos="432"/>
              </w:tabs>
              <w:jc w:val="left"/>
              <w:outlineLvl w:val="0"/>
              <w:rPr>
                <w:rFonts w:hint="eastAsia" w:ascii="宋体" w:hAnsi="宋体" w:eastAsia="宋体" w:cs="宋体"/>
                <w:color w:val="auto"/>
                <w:kern w:val="0"/>
                <w:sz w:val="24"/>
                <w:szCs w:val="24"/>
                <w:highlight w:val="none"/>
                <w:lang w:val="en-US" w:eastAsia="zh-CN" w:bidi="zh-CN"/>
              </w:rPr>
            </w:pPr>
            <w:r>
              <w:rPr>
                <w:rFonts w:hint="eastAsia" w:ascii="宋体" w:hAnsi="宋体" w:eastAsia="宋体" w:cs="宋体"/>
                <w:color w:val="auto"/>
                <w:kern w:val="0"/>
                <w:sz w:val="24"/>
                <w:szCs w:val="24"/>
                <w:highlight w:val="none"/>
                <w:lang w:val="en-US" w:eastAsia="zh-CN" w:bidi="zh-CN"/>
              </w:rPr>
              <w:t>①依据符合JC/T 908-2013《人造石》标准；实体面材PMMA类:A级不小于70；荷载变形和冲击韧性实体面材冲击韧性不小于5.0kJ/m²，耐污染性耐污值总和：≤50；最大污迹深度：≤0.10mm;</w:t>
            </w:r>
          </w:p>
          <w:p w14:paraId="6A25A0D0">
            <w:pPr>
              <w:keepNext/>
              <w:tabs>
                <w:tab w:val="left" w:pos="432"/>
              </w:tabs>
              <w:jc w:val="left"/>
              <w:outlineLvl w:val="0"/>
              <w:rPr>
                <w:rFonts w:hint="eastAsia" w:ascii="宋体" w:hAnsi="宋体" w:eastAsia="宋体" w:cs="宋体"/>
                <w:color w:val="auto"/>
                <w:kern w:val="0"/>
                <w:sz w:val="24"/>
                <w:szCs w:val="24"/>
                <w:highlight w:val="none"/>
                <w:lang w:val="en-US" w:eastAsia="zh-CN" w:bidi="zh-CN"/>
              </w:rPr>
            </w:pPr>
            <w:r>
              <w:rPr>
                <w:rFonts w:hint="eastAsia" w:ascii="宋体" w:hAnsi="宋体" w:eastAsia="宋体" w:cs="宋体"/>
                <w:color w:val="auto"/>
                <w:kern w:val="0"/>
                <w:sz w:val="24"/>
                <w:szCs w:val="24"/>
                <w:highlight w:val="none"/>
                <w:lang w:val="en-US" w:eastAsia="zh-CN" w:bidi="zh-CN"/>
              </w:rPr>
              <w:t>②依据符合GB/T 31402-2023《塑料和其他无孔材料表面抗菌活性的测定》标准，通过抗细菌性能检测至少包含大肠埃希氏菌（大肠杆菌）等任意5种菌类，抗细菌率或抑菌率均≥99%；</w:t>
            </w:r>
          </w:p>
        </w:tc>
        <w:tc>
          <w:tcPr>
            <w:tcW w:w="269" w:type="pct"/>
            <w:vAlign w:val="center"/>
          </w:tcPr>
          <w:p w14:paraId="5093679D">
            <w:pPr>
              <w:spacing w:line="288" w:lineRule="auto"/>
              <w:jc w:val="center"/>
              <w:rPr>
                <w:rFonts w:ascii="宋体" w:hAnsi="宋体" w:cs="宋体"/>
                <w:bCs/>
                <w:color w:val="auto"/>
                <w:kern w:val="0"/>
                <w:sz w:val="24"/>
                <w:szCs w:val="24"/>
                <w:highlight w:val="none"/>
              </w:rPr>
            </w:pPr>
            <w:r>
              <w:rPr>
                <w:rFonts w:hint="eastAsia" w:ascii="宋体" w:hAnsi="宋体" w:cs="宋体"/>
                <w:bCs/>
                <w:color w:val="auto"/>
                <w:kern w:val="0"/>
                <w:sz w:val="24"/>
                <w:szCs w:val="24"/>
                <w:highlight w:val="none"/>
              </w:rPr>
              <w:t>检验报告和评分办法同步</w:t>
            </w:r>
            <w:r>
              <w:rPr>
                <w:rFonts w:hint="eastAsia" w:ascii="宋体" w:hAnsi="宋体" w:cs="宋体"/>
                <w:bCs/>
                <w:color w:val="auto"/>
                <w:kern w:val="0"/>
                <w:sz w:val="24"/>
                <w:szCs w:val="24"/>
                <w:highlight w:val="none"/>
                <w:lang w:eastAsia="zh-CN"/>
              </w:rPr>
              <w:t>更正</w:t>
            </w:r>
          </w:p>
        </w:tc>
      </w:tr>
      <w:tr w14:paraId="199071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324" w:type="pct"/>
            <w:vAlign w:val="center"/>
          </w:tcPr>
          <w:p w14:paraId="1D5578E1">
            <w:pPr>
              <w:spacing w:line="288" w:lineRule="auto"/>
              <w:jc w:val="center"/>
              <w:rPr>
                <w:rFonts w:hint="eastAsia" w:ascii="宋体" w:hAnsi="宋体" w:eastAsia="宋体" w:cs="宋体"/>
                <w:color w:val="auto"/>
                <w:kern w:val="0"/>
                <w:sz w:val="20"/>
                <w:szCs w:val="21"/>
                <w:highlight w:val="none"/>
              </w:rPr>
            </w:pPr>
          </w:p>
        </w:tc>
        <w:tc>
          <w:tcPr>
            <w:tcW w:w="801" w:type="pct"/>
            <w:vAlign w:val="center"/>
          </w:tcPr>
          <w:p w14:paraId="0ABF44BE">
            <w:pPr>
              <w:pStyle w:val="9"/>
              <w:numPr>
                <w:ilvl w:val="0"/>
                <w:numId w:val="0"/>
              </w:numPr>
              <w:spacing w:line="360" w:lineRule="auto"/>
              <w:rPr>
                <w:rFonts w:hint="eastAsia" w:ascii="宋体" w:hAnsi="宋体" w:cs="宋体"/>
                <w:bCs/>
                <w:color w:val="auto"/>
                <w:kern w:val="0"/>
                <w:sz w:val="24"/>
                <w:szCs w:val="24"/>
                <w:highlight w:val="none"/>
                <w:lang w:eastAsia="zh-CN"/>
              </w:rPr>
            </w:pPr>
          </w:p>
        </w:tc>
        <w:tc>
          <w:tcPr>
            <w:tcW w:w="1808" w:type="pct"/>
            <w:vAlign w:val="center"/>
          </w:tcPr>
          <w:p w14:paraId="18B602F3">
            <w:pPr>
              <w:keepNext/>
              <w:tabs>
                <w:tab w:val="left" w:pos="432"/>
              </w:tabs>
              <w:jc w:val="left"/>
              <w:outlineLvl w:val="0"/>
              <w:rPr>
                <w:rFonts w:hint="eastAsia" w:ascii="宋体" w:hAnsi="宋体" w:eastAsia="宋体" w:cs="宋体"/>
                <w:color w:val="auto"/>
                <w:kern w:val="0"/>
                <w:sz w:val="24"/>
                <w:szCs w:val="24"/>
                <w:highlight w:val="none"/>
                <w:lang w:val="zh-CN" w:bidi="zh-CN"/>
              </w:rPr>
            </w:pPr>
            <w:r>
              <w:rPr>
                <w:rFonts w:hint="eastAsia" w:ascii="宋体" w:hAnsi="宋体" w:eastAsia="宋体" w:cs="宋体"/>
                <w:color w:val="auto"/>
                <w:kern w:val="0"/>
                <w:sz w:val="24"/>
                <w:szCs w:val="24"/>
                <w:highlight w:val="none"/>
                <w:lang w:val="zh-CN" w:bidi="zh-CN"/>
              </w:rPr>
              <w:t>(3)提供粉末的检验（或检测）报告，报告中需包含：</w:t>
            </w:r>
          </w:p>
          <w:p w14:paraId="37309505">
            <w:pPr>
              <w:keepNext/>
              <w:tabs>
                <w:tab w:val="left" w:pos="432"/>
              </w:tabs>
              <w:jc w:val="left"/>
              <w:outlineLvl w:val="0"/>
              <w:rPr>
                <w:rFonts w:hint="eastAsia" w:ascii="宋体" w:hAnsi="宋体" w:eastAsia="宋体" w:cs="宋体"/>
                <w:color w:val="auto"/>
                <w:kern w:val="0"/>
                <w:sz w:val="24"/>
                <w:szCs w:val="24"/>
                <w:highlight w:val="none"/>
                <w:lang w:val="zh-CN" w:bidi="zh-CN"/>
              </w:rPr>
            </w:pPr>
            <w:r>
              <w:rPr>
                <w:rFonts w:hint="eastAsia" w:ascii="宋体" w:hAnsi="宋体" w:eastAsia="宋体" w:cs="宋体"/>
                <w:color w:val="auto"/>
                <w:kern w:val="0"/>
                <w:sz w:val="24"/>
                <w:szCs w:val="24"/>
                <w:highlight w:val="none"/>
                <w:lang w:val="zh-CN" w:bidi="zh-CN"/>
              </w:rPr>
              <w:t>①依据符合HG/T 2006-2022《热固性和热塑性粉末涂料》标准；铅笔硬度（内聚破坏中擦伤）≥3H；弯曲试验≤2，涂层无开裂或从底材上剥落；耐湿性（室内用）≥120h无异常，耐沸水性（≥48h）无异常；耐酸性[3%（质量分数）盐酸溶液]≥120h无异常；耐碱性[5%（质量分数）氢氧化钠溶液]室内用≥120h无异常；通过耐人工气候老化性≥120h检测，无粉化、起泡、开裂、剥落等异常现象，杯突试验≥4mm；干附着力≤1级、沸水附着力≤1级、湿附着力≤1级；</w:t>
            </w:r>
          </w:p>
          <w:p w14:paraId="7F1EE912">
            <w:pPr>
              <w:keepNext/>
              <w:tabs>
                <w:tab w:val="left" w:pos="432"/>
              </w:tabs>
              <w:jc w:val="left"/>
              <w:outlineLvl w:val="0"/>
              <w:rPr>
                <w:rFonts w:hint="eastAsia" w:ascii="宋体" w:hAnsi="宋体" w:eastAsia="宋体" w:cs="宋体"/>
                <w:color w:val="auto"/>
                <w:kern w:val="0"/>
                <w:sz w:val="24"/>
                <w:szCs w:val="24"/>
                <w:highlight w:val="none"/>
                <w:lang w:val="zh-CN" w:bidi="zh-CN"/>
              </w:rPr>
            </w:pPr>
            <w:r>
              <w:rPr>
                <w:rFonts w:hint="eastAsia" w:ascii="宋体" w:hAnsi="宋体" w:eastAsia="宋体" w:cs="宋体"/>
                <w:color w:val="auto"/>
                <w:kern w:val="0"/>
                <w:sz w:val="24"/>
                <w:szCs w:val="24"/>
                <w:highlight w:val="none"/>
                <w:lang w:val="zh-CN" w:bidi="zh-CN"/>
              </w:rPr>
              <w:t>②依据符合GB/T 35602-2017《绿色产品评价 涂料》标准；重金属元素含量：铅（Pb）≤15mg/kg；镉（Cd）≤15mg/kg；六价铬（Cr6+）≤15mg/kg；汞（Hg）≤15mg/kg；砷（As）≤15mg/kg；钡（Ba）≤15mg/kg；硒（Se）≤15mg/kg；锑（Sb）≤15mg/kg；钴（Co）≤15mg/kg；</w:t>
            </w:r>
          </w:p>
        </w:tc>
        <w:tc>
          <w:tcPr>
            <w:tcW w:w="1796" w:type="pct"/>
            <w:vAlign w:val="center"/>
          </w:tcPr>
          <w:p w14:paraId="304CF54C">
            <w:pPr>
              <w:keepNext/>
              <w:tabs>
                <w:tab w:val="left" w:pos="432"/>
              </w:tabs>
              <w:jc w:val="left"/>
              <w:outlineLvl w:val="0"/>
              <w:rPr>
                <w:rFonts w:hint="eastAsia" w:ascii="宋体" w:hAnsi="宋体" w:eastAsia="宋体" w:cs="宋体"/>
                <w:color w:val="auto"/>
                <w:kern w:val="0"/>
                <w:sz w:val="24"/>
                <w:szCs w:val="24"/>
                <w:highlight w:val="none"/>
                <w:lang w:val="en-US" w:eastAsia="zh-CN" w:bidi="zh-CN"/>
              </w:rPr>
            </w:pPr>
            <w:r>
              <w:rPr>
                <w:rFonts w:hint="eastAsia" w:ascii="宋体" w:hAnsi="宋体" w:eastAsia="宋体" w:cs="宋体"/>
                <w:color w:val="auto"/>
                <w:kern w:val="0"/>
                <w:sz w:val="24"/>
                <w:szCs w:val="24"/>
                <w:highlight w:val="none"/>
                <w:lang w:val="en-US" w:eastAsia="zh-CN" w:bidi="zh-CN"/>
              </w:rPr>
              <w:t>(3)提供粉末的检验（或检测）报告，报告中需包含：</w:t>
            </w:r>
          </w:p>
          <w:p w14:paraId="2B144570">
            <w:pPr>
              <w:keepNext/>
              <w:tabs>
                <w:tab w:val="left" w:pos="432"/>
              </w:tabs>
              <w:jc w:val="left"/>
              <w:outlineLvl w:val="0"/>
              <w:rPr>
                <w:rFonts w:hint="eastAsia" w:ascii="宋体" w:hAnsi="宋体" w:eastAsia="宋体" w:cs="宋体"/>
                <w:color w:val="auto"/>
                <w:kern w:val="0"/>
                <w:sz w:val="24"/>
                <w:szCs w:val="24"/>
                <w:highlight w:val="none"/>
                <w:lang w:val="en-US" w:eastAsia="zh-CN" w:bidi="zh-CN"/>
              </w:rPr>
            </w:pPr>
            <w:r>
              <w:rPr>
                <w:rFonts w:hint="eastAsia" w:ascii="宋体" w:hAnsi="宋体" w:eastAsia="宋体" w:cs="宋体"/>
                <w:color w:val="auto"/>
                <w:kern w:val="0"/>
                <w:sz w:val="24"/>
                <w:szCs w:val="24"/>
                <w:highlight w:val="none"/>
                <w:lang w:val="en-US" w:eastAsia="zh-CN" w:bidi="zh-CN"/>
              </w:rPr>
              <w:t>①依据符合GB/T 35602-2017《绿色产品评价 涂料》标准；重金属元素含量：铅（Pb）≤15mg/kg；镉（Cd）≤15mg/kg；六价铬（Cr6+）≤15mg/kg；汞（Hg）≤15mg/kg；砷（As）≤15mg/kg；钡（Ba）≤15mg/kg；硒（Se）≤15mg/kg；锑（Sb）≤15mg/kg；钴（Co）≤15mg/kg；</w:t>
            </w:r>
          </w:p>
        </w:tc>
        <w:tc>
          <w:tcPr>
            <w:tcW w:w="269" w:type="pct"/>
            <w:vAlign w:val="center"/>
          </w:tcPr>
          <w:p w14:paraId="7151CAD7">
            <w:pPr>
              <w:spacing w:line="288" w:lineRule="auto"/>
              <w:jc w:val="center"/>
              <w:rPr>
                <w:rFonts w:ascii="宋体" w:hAnsi="宋体" w:cs="宋体"/>
                <w:bCs/>
                <w:color w:val="auto"/>
                <w:kern w:val="0"/>
                <w:sz w:val="24"/>
                <w:szCs w:val="24"/>
                <w:highlight w:val="none"/>
              </w:rPr>
            </w:pPr>
          </w:p>
        </w:tc>
      </w:tr>
      <w:tr w14:paraId="2AF022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324" w:type="pct"/>
            <w:vAlign w:val="center"/>
          </w:tcPr>
          <w:p w14:paraId="60B50D64">
            <w:pPr>
              <w:spacing w:line="288" w:lineRule="auto"/>
              <w:jc w:val="center"/>
              <w:rPr>
                <w:rFonts w:hint="eastAsia" w:ascii="宋体" w:hAnsi="宋体" w:eastAsia="宋体" w:cs="宋体"/>
                <w:color w:val="auto"/>
                <w:kern w:val="0"/>
                <w:sz w:val="20"/>
                <w:szCs w:val="21"/>
                <w:highlight w:val="none"/>
              </w:rPr>
            </w:pPr>
          </w:p>
        </w:tc>
        <w:tc>
          <w:tcPr>
            <w:tcW w:w="801" w:type="pct"/>
            <w:vAlign w:val="center"/>
          </w:tcPr>
          <w:p w14:paraId="6048A2FE">
            <w:pPr>
              <w:pStyle w:val="9"/>
              <w:numPr>
                <w:ilvl w:val="0"/>
                <w:numId w:val="0"/>
              </w:numPr>
              <w:spacing w:line="360" w:lineRule="auto"/>
              <w:rPr>
                <w:rFonts w:hint="eastAsia" w:ascii="宋体" w:hAnsi="宋体" w:cs="宋体"/>
                <w:bCs/>
                <w:color w:val="auto"/>
                <w:kern w:val="0"/>
                <w:sz w:val="24"/>
                <w:szCs w:val="24"/>
                <w:highlight w:val="none"/>
                <w:lang w:eastAsia="zh-CN"/>
              </w:rPr>
            </w:pPr>
          </w:p>
        </w:tc>
        <w:tc>
          <w:tcPr>
            <w:tcW w:w="1808" w:type="pct"/>
            <w:vAlign w:val="center"/>
          </w:tcPr>
          <w:p w14:paraId="1410648E">
            <w:pPr>
              <w:keepNext/>
              <w:tabs>
                <w:tab w:val="left" w:pos="432"/>
              </w:tabs>
              <w:jc w:val="left"/>
              <w:outlineLvl w:val="0"/>
              <w:rPr>
                <w:rFonts w:hint="eastAsia" w:ascii="宋体" w:hAnsi="宋体" w:eastAsia="宋体" w:cs="宋体"/>
                <w:color w:val="auto"/>
                <w:kern w:val="0"/>
                <w:sz w:val="24"/>
                <w:szCs w:val="24"/>
                <w:highlight w:val="none"/>
                <w:lang w:val="zh-CN" w:bidi="zh-CN"/>
              </w:rPr>
            </w:pPr>
            <w:r>
              <w:rPr>
                <w:rFonts w:hint="eastAsia" w:ascii="宋体" w:hAnsi="宋体" w:eastAsia="宋体" w:cs="宋体"/>
                <w:color w:val="auto"/>
                <w:kern w:val="0"/>
                <w:sz w:val="24"/>
                <w:szCs w:val="24"/>
                <w:highlight w:val="none"/>
                <w:lang w:val="zh-CN" w:bidi="zh-CN"/>
              </w:rPr>
              <w:t>(4)提供缓冲门铰（铰链）的检验（或检测）报告，报告中需包含：</w:t>
            </w:r>
          </w:p>
          <w:p w14:paraId="10D3720D">
            <w:pPr>
              <w:keepNext/>
              <w:tabs>
                <w:tab w:val="left" w:pos="432"/>
              </w:tabs>
              <w:jc w:val="left"/>
              <w:outlineLvl w:val="0"/>
              <w:rPr>
                <w:rFonts w:hint="eastAsia" w:ascii="宋体" w:hAnsi="宋体" w:eastAsia="宋体" w:cs="宋体"/>
                <w:color w:val="auto"/>
                <w:kern w:val="0"/>
                <w:sz w:val="24"/>
                <w:szCs w:val="24"/>
                <w:highlight w:val="none"/>
                <w:lang w:val="zh-CN" w:bidi="zh-CN"/>
              </w:rPr>
            </w:pPr>
          </w:p>
          <w:p w14:paraId="49640DB7">
            <w:pPr>
              <w:keepNext/>
              <w:tabs>
                <w:tab w:val="left" w:pos="432"/>
              </w:tabs>
              <w:jc w:val="left"/>
              <w:outlineLvl w:val="0"/>
              <w:rPr>
                <w:rFonts w:hint="eastAsia" w:ascii="宋体" w:hAnsi="宋体" w:eastAsia="宋体" w:cs="宋体"/>
                <w:color w:val="auto"/>
                <w:kern w:val="0"/>
                <w:sz w:val="24"/>
                <w:szCs w:val="24"/>
                <w:highlight w:val="none"/>
                <w:lang w:val="zh-CN" w:bidi="zh-CN"/>
              </w:rPr>
            </w:pPr>
            <w:r>
              <w:rPr>
                <w:rFonts w:hint="eastAsia" w:ascii="宋体" w:hAnsi="宋体" w:eastAsia="宋体" w:cs="宋体"/>
                <w:color w:val="auto"/>
                <w:kern w:val="0"/>
                <w:sz w:val="24"/>
                <w:szCs w:val="24"/>
                <w:highlight w:val="none"/>
                <w:lang w:val="zh-CN" w:bidi="zh-CN"/>
              </w:rPr>
              <w:t>①依据符合QB/T2189-2013《家具五金杯状暗链》标准，通过功能垂直静载荷检测、水平静载荷检测、下沉量不应大于2.0mm;</w:t>
            </w:r>
          </w:p>
          <w:p w14:paraId="2D5F294E">
            <w:pPr>
              <w:keepNext/>
              <w:tabs>
                <w:tab w:val="left" w:pos="432"/>
              </w:tabs>
              <w:jc w:val="left"/>
              <w:outlineLvl w:val="0"/>
              <w:rPr>
                <w:rFonts w:hint="eastAsia" w:ascii="宋体" w:hAnsi="宋体" w:eastAsia="宋体" w:cs="宋体"/>
                <w:color w:val="auto"/>
                <w:kern w:val="0"/>
                <w:sz w:val="24"/>
                <w:szCs w:val="24"/>
                <w:highlight w:val="none"/>
                <w:lang w:val="zh-CN" w:bidi="zh-CN"/>
              </w:rPr>
            </w:pPr>
            <w:r>
              <w:rPr>
                <w:rFonts w:hint="eastAsia" w:ascii="宋体" w:hAnsi="宋体" w:eastAsia="宋体" w:cs="宋体"/>
                <w:color w:val="auto"/>
                <w:kern w:val="0"/>
                <w:sz w:val="24"/>
                <w:szCs w:val="24"/>
                <w:highlight w:val="none"/>
                <w:lang w:val="zh-CN" w:bidi="zh-CN"/>
              </w:rPr>
              <w:t>②依据符合QB/T 3832-1999《轻工产品金属镀层腐蚀试验结果的评价》、QB/T 3827-1999《轻工产品金属镀层和化学处理层的耐腐蚀试验方法乙酸盐雾试验(ASS)法》、GB/T6461-2002《金属基体上金属和其他无机覆盖层经腐蚀试验后的试样和试件的评级》标准；乙酸盐雾试验≥100h;镀（涂）层对基体的保护等级≥9级；镀（涂）层本身耐腐蚀等级≥9级；外观评级≥9级；保护评级≥9级；</w:t>
            </w:r>
          </w:p>
        </w:tc>
        <w:tc>
          <w:tcPr>
            <w:tcW w:w="1796" w:type="pct"/>
            <w:vAlign w:val="center"/>
          </w:tcPr>
          <w:p w14:paraId="29EB4EF1">
            <w:pPr>
              <w:keepNext/>
              <w:tabs>
                <w:tab w:val="left" w:pos="432"/>
              </w:tabs>
              <w:jc w:val="left"/>
              <w:outlineLvl w:val="0"/>
              <w:rPr>
                <w:rFonts w:hint="eastAsia" w:ascii="宋体" w:hAnsi="宋体" w:eastAsia="宋体" w:cs="宋体"/>
                <w:color w:val="auto"/>
                <w:kern w:val="0"/>
                <w:sz w:val="24"/>
                <w:szCs w:val="24"/>
                <w:highlight w:val="none"/>
                <w:lang w:val="en-US" w:eastAsia="zh-CN" w:bidi="zh-CN"/>
              </w:rPr>
            </w:pPr>
            <w:r>
              <w:rPr>
                <w:rFonts w:hint="eastAsia" w:ascii="宋体" w:hAnsi="宋体" w:eastAsia="宋体" w:cs="宋体"/>
                <w:color w:val="auto"/>
                <w:kern w:val="0"/>
                <w:sz w:val="24"/>
                <w:szCs w:val="24"/>
                <w:highlight w:val="none"/>
                <w:lang w:val="en-US" w:eastAsia="zh-CN" w:bidi="zh-CN"/>
              </w:rPr>
              <w:t>(4)提供缓冲门铰（铰链）的检验（或检测）报告，报告中需包含：</w:t>
            </w:r>
          </w:p>
          <w:p w14:paraId="4CFFC24B">
            <w:pPr>
              <w:keepNext/>
              <w:tabs>
                <w:tab w:val="left" w:pos="432"/>
              </w:tabs>
              <w:jc w:val="left"/>
              <w:outlineLvl w:val="0"/>
              <w:rPr>
                <w:rFonts w:hint="eastAsia" w:ascii="宋体" w:hAnsi="宋体" w:eastAsia="宋体" w:cs="宋体"/>
                <w:color w:val="auto"/>
                <w:kern w:val="0"/>
                <w:sz w:val="24"/>
                <w:szCs w:val="24"/>
                <w:highlight w:val="none"/>
                <w:lang w:val="en-US" w:eastAsia="zh-CN" w:bidi="zh-CN"/>
              </w:rPr>
            </w:pPr>
          </w:p>
          <w:p w14:paraId="6D4B6A9E">
            <w:pPr>
              <w:keepNext/>
              <w:tabs>
                <w:tab w:val="left" w:pos="432"/>
              </w:tabs>
              <w:jc w:val="left"/>
              <w:outlineLvl w:val="0"/>
              <w:rPr>
                <w:rFonts w:hint="eastAsia" w:ascii="宋体" w:hAnsi="宋体" w:eastAsia="宋体" w:cs="宋体"/>
                <w:color w:val="auto"/>
                <w:kern w:val="0"/>
                <w:sz w:val="24"/>
                <w:szCs w:val="24"/>
                <w:highlight w:val="none"/>
                <w:lang w:val="en-US" w:eastAsia="zh-CN" w:bidi="zh-CN"/>
              </w:rPr>
            </w:pPr>
            <w:r>
              <w:rPr>
                <w:rFonts w:hint="eastAsia" w:ascii="宋体" w:hAnsi="宋体" w:eastAsia="宋体" w:cs="宋体"/>
                <w:color w:val="auto"/>
                <w:kern w:val="0"/>
                <w:sz w:val="24"/>
                <w:szCs w:val="24"/>
                <w:highlight w:val="none"/>
                <w:lang w:val="en-US" w:eastAsia="zh-CN" w:bidi="zh-CN"/>
              </w:rPr>
              <w:t>①依据符合QB/T2189-2013《家具五金杯状暗链》标准，通过功能垂直静载荷检测、水平静载荷检测、下沉量不应大于2.0mm;</w:t>
            </w:r>
          </w:p>
        </w:tc>
        <w:tc>
          <w:tcPr>
            <w:tcW w:w="269" w:type="pct"/>
            <w:vAlign w:val="center"/>
          </w:tcPr>
          <w:p w14:paraId="7FF1439F">
            <w:pPr>
              <w:spacing w:line="288" w:lineRule="auto"/>
              <w:jc w:val="center"/>
              <w:rPr>
                <w:rFonts w:ascii="宋体" w:hAnsi="宋体" w:cs="宋体"/>
                <w:bCs/>
                <w:color w:val="auto"/>
                <w:kern w:val="0"/>
                <w:sz w:val="24"/>
                <w:szCs w:val="24"/>
                <w:highlight w:val="none"/>
              </w:rPr>
            </w:pPr>
          </w:p>
        </w:tc>
      </w:tr>
      <w:tr w14:paraId="27C457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324" w:type="pct"/>
            <w:vAlign w:val="center"/>
          </w:tcPr>
          <w:p w14:paraId="0BC269AA">
            <w:pPr>
              <w:spacing w:line="288" w:lineRule="auto"/>
              <w:jc w:val="center"/>
              <w:rPr>
                <w:rFonts w:hint="eastAsia" w:ascii="宋体" w:hAnsi="宋体" w:eastAsia="宋体" w:cs="宋体"/>
                <w:color w:val="auto"/>
                <w:kern w:val="0"/>
                <w:sz w:val="20"/>
                <w:szCs w:val="21"/>
                <w:highlight w:val="none"/>
              </w:rPr>
            </w:pPr>
          </w:p>
        </w:tc>
        <w:tc>
          <w:tcPr>
            <w:tcW w:w="801" w:type="pct"/>
            <w:vAlign w:val="center"/>
          </w:tcPr>
          <w:p w14:paraId="48C95397">
            <w:pPr>
              <w:pStyle w:val="9"/>
              <w:numPr>
                <w:ilvl w:val="0"/>
                <w:numId w:val="0"/>
              </w:numPr>
              <w:spacing w:line="360" w:lineRule="auto"/>
              <w:rPr>
                <w:rFonts w:hint="eastAsia" w:ascii="宋体" w:hAnsi="宋体" w:cs="宋体"/>
                <w:bCs/>
                <w:color w:val="auto"/>
                <w:kern w:val="0"/>
                <w:sz w:val="24"/>
                <w:szCs w:val="24"/>
                <w:highlight w:val="none"/>
                <w:lang w:eastAsia="zh-CN"/>
              </w:rPr>
            </w:pPr>
          </w:p>
        </w:tc>
        <w:tc>
          <w:tcPr>
            <w:tcW w:w="1808" w:type="pct"/>
            <w:vAlign w:val="center"/>
          </w:tcPr>
          <w:p w14:paraId="46BADB0C">
            <w:pPr>
              <w:keepNext/>
              <w:tabs>
                <w:tab w:val="left" w:pos="432"/>
              </w:tabs>
              <w:jc w:val="left"/>
              <w:outlineLvl w:val="0"/>
              <w:rPr>
                <w:rFonts w:hint="eastAsia" w:ascii="宋体" w:hAnsi="宋体" w:eastAsia="宋体" w:cs="宋体"/>
                <w:color w:val="auto"/>
                <w:kern w:val="0"/>
                <w:sz w:val="24"/>
                <w:szCs w:val="24"/>
                <w:highlight w:val="none"/>
                <w:lang w:val="zh-CN" w:bidi="zh-CN"/>
              </w:rPr>
            </w:pPr>
            <w:r>
              <w:rPr>
                <w:rFonts w:hint="eastAsia" w:ascii="宋体" w:hAnsi="宋体" w:eastAsia="宋体" w:cs="宋体"/>
                <w:color w:val="auto"/>
                <w:kern w:val="0"/>
                <w:sz w:val="24"/>
                <w:szCs w:val="24"/>
                <w:highlight w:val="none"/>
                <w:lang w:val="zh-CN" w:bidi="zh-CN"/>
              </w:rPr>
              <w:t>(5)提供导轨（路轨）的检验（或检测）报告，报告中需包含：</w:t>
            </w:r>
          </w:p>
          <w:p w14:paraId="680BDEF2">
            <w:pPr>
              <w:keepNext/>
              <w:tabs>
                <w:tab w:val="left" w:pos="432"/>
              </w:tabs>
              <w:jc w:val="left"/>
              <w:outlineLvl w:val="0"/>
              <w:rPr>
                <w:rFonts w:hint="eastAsia" w:ascii="宋体" w:hAnsi="宋体" w:eastAsia="宋体" w:cs="宋体"/>
                <w:color w:val="auto"/>
                <w:kern w:val="0"/>
                <w:sz w:val="24"/>
                <w:szCs w:val="24"/>
                <w:highlight w:val="none"/>
                <w:lang w:val="zh-CN" w:bidi="zh-CN"/>
              </w:rPr>
            </w:pPr>
            <w:r>
              <w:rPr>
                <w:rFonts w:hint="eastAsia" w:ascii="宋体" w:hAnsi="宋体" w:eastAsia="宋体" w:cs="宋体"/>
                <w:color w:val="auto"/>
                <w:kern w:val="0"/>
                <w:sz w:val="24"/>
                <w:szCs w:val="24"/>
                <w:highlight w:val="none"/>
                <w:lang w:val="zh-CN" w:bidi="zh-CN"/>
              </w:rPr>
              <w:t>①依据符合QB/T 2454-2013《家具五金 抽屉导轨》标准;通过功能垂直向下静载荷、水平侧向静载荷、下沉量不超过2%；</w:t>
            </w:r>
          </w:p>
          <w:p w14:paraId="4638FAA2">
            <w:pPr>
              <w:keepNext/>
              <w:tabs>
                <w:tab w:val="left" w:pos="432"/>
              </w:tabs>
              <w:jc w:val="left"/>
              <w:outlineLvl w:val="0"/>
              <w:rPr>
                <w:rFonts w:hint="eastAsia" w:ascii="宋体" w:hAnsi="宋体" w:eastAsia="宋体" w:cs="宋体"/>
                <w:color w:val="auto"/>
                <w:kern w:val="0"/>
                <w:sz w:val="24"/>
                <w:szCs w:val="24"/>
                <w:highlight w:val="none"/>
                <w:lang w:val="zh-CN" w:bidi="zh-CN"/>
              </w:rPr>
            </w:pPr>
            <w:r>
              <w:rPr>
                <w:rFonts w:hint="eastAsia" w:ascii="宋体" w:hAnsi="宋体" w:eastAsia="宋体" w:cs="宋体"/>
                <w:color w:val="auto"/>
                <w:kern w:val="0"/>
                <w:sz w:val="24"/>
                <w:szCs w:val="24"/>
                <w:highlight w:val="none"/>
                <w:lang w:val="zh-CN" w:bidi="zh-CN"/>
              </w:rPr>
              <w:t>②依据符合QB/T 3832-1999《轻工产品金属镀层腐蚀试验结果的评价》、QB/T 3827-1999《轻工产品金属镀层和化学处理层的耐腐蚀试验方法乙酸盐雾试验(ASS)法》、GB/T6461-2002《金属基体上金属和其他无机覆盖层经腐蚀试验后的试样和试件的评级》标准；乙酸盐雾试验≥100h;镀（涂）层对基体的保护等级≥9级；镀（涂）层本身耐腐蚀等级≥9级；外观评级≥9级；保护评级≥9级；</w:t>
            </w:r>
          </w:p>
        </w:tc>
        <w:tc>
          <w:tcPr>
            <w:tcW w:w="1796" w:type="pct"/>
            <w:vAlign w:val="center"/>
          </w:tcPr>
          <w:p w14:paraId="40413E4E">
            <w:pPr>
              <w:keepNext/>
              <w:tabs>
                <w:tab w:val="left" w:pos="432"/>
              </w:tabs>
              <w:jc w:val="left"/>
              <w:outlineLvl w:val="0"/>
              <w:rPr>
                <w:rFonts w:hint="eastAsia" w:ascii="宋体" w:hAnsi="宋体" w:eastAsia="宋体" w:cs="宋体"/>
                <w:color w:val="auto"/>
                <w:kern w:val="0"/>
                <w:sz w:val="24"/>
                <w:szCs w:val="24"/>
                <w:highlight w:val="none"/>
                <w:lang w:val="en-US" w:eastAsia="zh-CN" w:bidi="zh-CN"/>
              </w:rPr>
            </w:pPr>
            <w:r>
              <w:rPr>
                <w:rFonts w:hint="eastAsia" w:ascii="宋体" w:hAnsi="宋体" w:eastAsia="宋体" w:cs="宋体"/>
                <w:color w:val="auto"/>
                <w:kern w:val="0"/>
                <w:sz w:val="24"/>
                <w:szCs w:val="24"/>
                <w:highlight w:val="none"/>
                <w:lang w:val="en-US" w:eastAsia="zh-CN" w:bidi="zh-CN"/>
              </w:rPr>
              <w:t>(5)提供导轨（路轨）的检验（或检测）报告，报告中需包含：</w:t>
            </w:r>
          </w:p>
          <w:p w14:paraId="67919E76">
            <w:pPr>
              <w:keepNext/>
              <w:tabs>
                <w:tab w:val="left" w:pos="432"/>
              </w:tabs>
              <w:jc w:val="left"/>
              <w:outlineLvl w:val="0"/>
              <w:rPr>
                <w:rFonts w:hint="eastAsia" w:ascii="宋体" w:hAnsi="宋体" w:eastAsia="宋体" w:cs="宋体"/>
                <w:color w:val="auto"/>
                <w:kern w:val="0"/>
                <w:sz w:val="24"/>
                <w:szCs w:val="24"/>
                <w:highlight w:val="none"/>
                <w:lang w:val="en-US" w:eastAsia="zh-CN" w:bidi="zh-CN"/>
              </w:rPr>
            </w:pPr>
            <w:r>
              <w:rPr>
                <w:rFonts w:hint="eastAsia" w:ascii="宋体" w:hAnsi="宋体" w:eastAsia="宋体" w:cs="宋体"/>
                <w:color w:val="auto"/>
                <w:kern w:val="0"/>
                <w:sz w:val="24"/>
                <w:szCs w:val="24"/>
                <w:highlight w:val="none"/>
                <w:lang w:val="en-US" w:eastAsia="zh-CN" w:bidi="zh-CN"/>
              </w:rPr>
              <w:t>①依据符合QB/T 2454-2013《家具五金 抽屉导轨》标准;通过功能垂直向下静载荷、水平侧向静载荷、下沉量不超过2%；</w:t>
            </w:r>
          </w:p>
        </w:tc>
        <w:tc>
          <w:tcPr>
            <w:tcW w:w="269" w:type="pct"/>
            <w:vAlign w:val="center"/>
          </w:tcPr>
          <w:p w14:paraId="7471619C">
            <w:pPr>
              <w:spacing w:line="288" w:lineRule="auto"/>
              <w:jc w:val="center"/>
              <w:rPr>
                <w:rFonts w:ascii="宋体" w:hAnsi="宋体" w:cs="宋体"/>
                <w:bCs/>
                <w:color w:val="auto"/>
                <w:kern w:val="0"/>
                <w:sz w:val="24"/>
                <w:szCs w:val="24"/>
                <w:highlight w:val="none"/>
              </w:rPr>
            </w:pPr>
          </w:p>
        </w:tc>
      </w:tr>
      <w:tr w14:paraId="64E573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324" w:type="pct"/>
            <w:vAlign w:val="center"/>
          </w:tcPr>
          <w:p w14:paraId="1C71C78A">
            <w:pPr>
              <w:spacing w:line="288" w:lineRule="auto"/>
              <w:jc w:val="center"/>
              <w:rPr>
                <w:rFonts w:hint="eastAsia" w:ascii="宋体" w:hAnsi="宋体" w:eastAsia="宋体" w:cs="宋体"/>
                <w:color w:val="auto"/>
                <w:kern w:val="0"/>
                <w:sz w:val="20"/>
                <w:szCs w:val="21"/>
                <w:highlight w:val="none"/>
              </w:rPr>
            </w:pPr>
          </w:p>
        </w:tc>
        <w:tc>
          <w:tcPr>
            <w:tcW w:w="801" w:type="pct"/>
            <w:vAlign w:val="center"/>
          </w:tcPr>
          <w:p w14:paraId="1D87CB74">
            <w:pPr>
              <w:pStyle w:val="9"/>
              <w:numPr>
                <w:ilvl w:val="0"/>
                <w:numId w:val="0"/>
              </w:numPr>
              <w:spacing w:line="360" w:lineRule="auto"/>
              <w:rPr>
                <w:rFonts w:hint="eastAsia" w:ascii="宋体" w:hAnsi="宋体" w:cs="宋体"/>
                <w:bCs/>
                <w:color w:val="auto"/>
                <w:kern w:val="0"/>
                <w:sz w:val="24"/>
                <w:szCs w:val="24"/>
                <w:highlight w:val="none"/>
                <w:lang w:eastAsia="zh-CN"/>
              </w:rPr>
            </w:pPr>
          </w:p>
        </w:tc>
        <w:tc>
          <w:tcPr>
            <w:tcW w:w="1808" w:type="pct"/>
            <w:vAlign w:val="center"/>
          </w:tcPr>
          <w:p w14:paraId="448CCC12">
            <w:pPr>
              <w:keepNext/>
              <w:tabs>
                <w:tab w:val="left" w:pos="432"/>
              </w:tabs>
              <w:jc w:val="left"/>
              <w:outlineLvl w:val="0"/>
              <w:rPr>
                <w:rFonts w:hint="eastAsia" w:ascii="宋体" w:hAnsi="宋体" w:eastAsia="宋体" w:cs="宋体"/>
                <w:color w:val="auto"/>
                <w:kern w:val="0"/>
                <w:sz w:val="24"/>
                <w:szCs w:val="24"/>
                <w:highlight w:val="none"/>
                <w:lang w:val="zh-CN" w:bidi="zh-CN"/>
              </w:rPr>
            </w:pPr>
            <w:r>
              <w:rPr>
                <w:rFonts w:hint="eastAsia" w:ascii="宋体" w:hAnsi="宋体" w:eastAsia="宋体" w:cs="宋体"/>
                <w:color w:val="auto"/>
                <w:kern w:val="0"/>
                <w:sz w:val="24"/>
                <w:szCs w:val="24"/>
                <w:highlight w:val="none"/>
                <w:lang w:val="zh-CN" w:bidi="zh-CN"/>
              </w:rPr>
              <w:t>(9)提供皮革的检验（或检测）报告，报告中需包含：</w:t>
            </w:r>
          </w:p>
          <w:p w14:paraId="17B2C307">
            <w:pPr>
              <w:keepNext/>
              <w:tabs>
                <w:tab w:val="left" w:pos="432"/>
              </w:tabs>
              <w:jc w:val="left"/>
              <w:outlineLvl w:val="0"/>
              <w:rPr>
                <w:rFonts w:hint="eastAsia" w:ascii="宋体" w:hAnsi="宋体" w:eastAsia="宋体" w:cs="宋体"/>
                <w:color w:val="auto"/>
                <w:kern w:val="0"/>
                <w:sz w:val="24"/>
                <w:szCs w:val="24"/>
                <w:highlight w:val="none"/>
                <w:lang w:val="zh-CN" w:bidi="zh-CN"/>
              </w:rPr>
            </w:pPr>
            <w:r>
              <w:rPr>
                <w:rFonts w:hint="eastAsia" w:ascii="宋体" w:hAnsi="宋体" w:eastAsia="宋体" w:cs="宋体"/>
                <w:color w:val="auto"/>
                <w:kern w:val="0"/>
                <w:sz w:val="24"/>
                <w:szCs w:val="24"/>
                <w:highlight w:val="none"/>
                <w:lang w:val="zh-CN" w:bidi="zh-CN"/>
              </w:rPr>
              <w:t>①依据符合GB/T 16799-2018《家具用皮革》标准，通过检测：摩擦色牢度（干擦（500次）、湿擦（250次）、碱性汗液（80次））及耐光性均≥5级；涂层粘着牢度≥10N/10mm；通过耐折牢度（50000次）、耐磨性（CS-10，500g，500r）及感官要求检验检测项目；</w:t>
            </w:r>
          </w:p>
          <w:p w14:paraId="1567146F">
            <w:pPr>
              <w:keepNext/>
              <w:tabs>
                <w:tab w:val="left" w:pos="432"/>
              </w:tabs>
              <w:jc w:val="left"/>
              <w:outlineLvl w:val="0"/>
              <w:rPr>
                <w:rFonts w:hint="eastAsia" w:ascii="宋体" w:hAnsi="宋体" w:eastAsia="宋体" w:cs="宋体"/>
                <w:color w:val="auto"/>
                <w:kern w:val="0"/>
                <w:sz w:val="24"/>
                <w:szCs w:val="24"/>
                <w:highlight w:val="none"/>
                <w:lang w:val="zh-CN" w:bidi="zh-CN"/>
              </w:rPr>
            </w:pPr>
            <w:r>
              <w:rPr>
                <w:rFonts w:hint="eastAsia" w:ascii="宋体" w:hAnsi="宋体" w:eastAsia="宋体" w:cs="宋体"/>
                <w:color w:val="auto"/>
                <w:kern w:val="0"/>
                <w:sz w:val="24"/>
                <w:szCs w:val="24"/>
                <w:highlight w:val="none"/>
                <w:lang w:val="zh-CN" w:bidi="zh-CN"/>
              </w:rPr>
              <w:t>②依据符合QB/T 4371-2012《家具抗菌性能的评价》标准，通过抗菌性能检测；</w:t>
            </w:r>
          </w:p>
          <w:p w14:paraId="35627B24">
            <w:pPr>
              <w:keepNext/>
              <w:tabs>
                <w:tab w:val="left" w:pos="432"/>
              </w:tabs>
              <w:jc w:val="left"/>
              <w:outlineLvl w:val="0"/>
              <w:rPr>
                <w:rFonts w:hint="eastAsia" w:ascii="宋体" w:hAnsi="宋体" w:eastAsia="宋体" w:cs="宋体"/>
                <w:color w:val="auto"/>
                <w:kern w:val="0"/>
                <w:sz w:val="24"/>
                <w:szCs w:val="24"/>
                <w:highlight w:val="none"/>
                <w:lang w:val="zh-CN" w:bidi="zh-CN"/>
              </w:rPr>
            </w:pPr>
            <w:r>
              <w:rPr>
                <w:rFonts w:hint="eastAsia" w:ascii="宋体" w:hAnsi="宋体" w:eastAsia="宋体" w:cs="宋体"/>
                <w:color w:val="auto"/>
                <w:kern w:val="0"/>
                <w:sz w:val="24"/>
                <w:szCs w:val="24"/>
                <w:highlight w:val="none"/>
                <w:lang w:val="zh-CN" w:bidi="zh-CN"/>
              </w:rPr>
              <w:t>③依据符合QB/T 4199-2011《皮革 防霉性能测试方法》标准，通过皮革防霉性能检测；</w:t>
            </w:r>
          </w:p>
        </w:tc>
        <w:tc>
          <w:tcPr>
            <w:tcW w:w="1796" w:type="pct"/>
            <w:vAlign w:val="center"/>
          </w:tcPr>
          <w:p w14:paraId="2BE66594">
            <w:pPr>
              <w:keepNext/>
              <w:tabs>
                <w:tab w:val="left" w:pos="432"/>
              </w:tabs>
              <w:jc w:val="left"/>
              <w:outlineLvl w:val="0"/>
              <w:rPr>
                <w:rFonts w:hint="eastAsia" w:ascii="宋体" w:hAnsi="宋体" w:eastAsia="宋体" w:cs="宋体"/>
                <w:color w:val="auto"/>
                <w:kern w:val="0"/>
                <w:sz w:val="24"/>
                <w:szCs w:val="24"/>
                <w:highlight w:val="none"/>
                <w:lang w:val="en-US" w:eastAsia="zh-CN" w:bidi="zh-CN"/>
              </w:rPr>
            </w:pPr>
            <w:r>
              <w:rPr>
                <w:rFonts w:hint="eastAsia" w:ascii="宋体" w:hAnsi="宋体" w:eastAsia="宋体" w:cs="宋体"/>
                <w:color w:val="auto"/>
                <w:kern w:val="0"/>
                <w:sz w:val="24"/>
                <w:szCs w:val="24"/>
                <w:highlight w:val="none"/>
                <w:lang w:val="en-US" w:eastAsia="zh-CN" w:bidi="zh-CN"/>
              </w:rPr>
              <w:t>(9)提供皮革的检验（或检测）报告，报告中需包含：</w:t>
            </w:r>
          </w:p>
          <w:p w14:paraId="652763CB">
            <w:pPr>
              <w:keepNext/>
              <w:tabs>
                <w:tab w:val="left" w:pos="432"/>
              </w:tabs>
              <w:jc w:val="left"/>
              <w:outlineLvl w:val="0"/>
              <w:rPr>
                <w:rFonts w:hint="eastAsia" w:ascii="宋体" w:hAnsi="宋体" w:eastAsia="宋体" w:cs="宋体"/>
                <w:color w:val="auto"/>
                <w:kern w:val="0"/>
                <w:sz w:val="24"/>
                <w:szCs w:val="24"/>
                <w:highlight w:val="none"/>
                <w:lang w:val="en-US" w:eastAsia="zh-CN" w:bidi="zh-CN"/>
              </w:rPr>
            </w:pPr>
            <w:r>
              <w:rPr>
                <w:rFonts w:hint="eastAsia" w:ascii="宋体" w:hAnsi="宋体" w:eastAsia="宋体" w:cs="宋体"/>
                <w:color w:val="auto"/>
                <w:kern w:val="0"/>
                <w:sz w:val="24"/>
                <w:szCs w:val="24"/>
                <w:highlight w:val="none"/>
                <w:lang w:val="en-US" w:eastAsia="zh-CN" w:bidi="zh-CN"/>
              </w:rPr>
              <w:t>①依据符合GB/T 16799-2018《家具用皮革》标准，通过检测：摩擦色牢度（干擦（500次）、湿擦（250次）、碱性汗液（80次））及耐光性均≥5级；涂层粘着牢度≥10N/10mm；通过耐折牢度（50000次）、耐磨性（CS-10，500g，500r）及感官要求检验检测项目；</w:t>
            </w:r>
          </w:p>
          <w:p w14:paraId="5C695E31">
            <w:pPr>
              <w:keepNext/>
              <w:tabs>
                <w:tab w:val="left" w:pos="432"/>
              </w:tabs>
              <w:jc w:val="left"/>
              <w:outlineLvl w:val="0"/>
              <w:rPr>
                <w:rFonts w:hint="eastAsia" w:ascii="宋体" w:hAnsi="宋体" w:eastAsia="宋体" w:cs="宋体"/>
                <w:color w:val="auto"/>
                <w:kern w:val="0"/>
                <w:sz w:val="24"/>
                <w:szCs w:val="24"/>
                <w:highlight w:val="none"/>
                <w:lang w:val="en-US" w:eastAsia="zh-CN" w:bidi="zh-CN"/>
              </w:rPr>
            </w:pPr>
            <w:r>
              <w:rPr>
                <w:rFonts w:hint="eastAsia" w:ascii="宋体" w:hAnsi="宋体" w:eastAsia="宋体" w:cs="宋体"/>
                <w:color w:val="auto"/>
                <w:kern w:val="0"/>
                <w:sz w:val="24"/>
                <w:szCs w:val="24"/>
                <w:highlight w:val="none"/>
                <w:lang w:val="en-US" w:eastAsia="zh-CN" w:bidi="zh-CN"/>
              </w:rPr>
              <w:t>②依据符合QB/T 4371-2012《家具抗菌性能的评价》标准，通过抗菌性能检测；</w:t>
            </w:r>
          </w:p>
        </w:tc>
        <w:tc>
          <w:tcPr>
            <w:tcW w:w="269" w:type="pct"/>
            <w:vAlign w:val="center"/>
          </w:tcPr>
          <w:p w14:paraId="4E49CB20">
            <w:pPr>
              <w:spacing w:line="288" w:lineRule="auto"/>
              <w:jc w:val="center"/>
              <w:rPr>
                <w:rFonts w:ascii="宋体" w:hAnsi="宋体" w:cs="宋体"/>
                <w:bCs/>
                <w:color w:val="auto"/>
                <w:kern w:val="0"/>
                <w:sz w:val="24"/>
                <w:szCs w:val="24"/>
                <w:highlight w:val="none"/>
              </w:rPr>
            </w:pPr>
          </w:p>
        </w:tc>
      </w:tr>
      <w:tr w14:paraId="3FFB5B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324" w:type="pct"/>
            <w:vAlign w:val="center"/>
          </w:tcPr>
          <w:p w14:paraId="4BEC5B6D">
            <w:pPr>
              <w:spacing w:line="288" w:lineRule="auto"/>
              <w:jc w:val="center"/>
              <w:rPr>
                <w:rFonts w:hint="default" w:ascii="宋体" w:hAnsi="宋体" w:eastAsia="宋体" w:cs="宋体"/>
                <w:color w:val="auto"/>
                <w:kern w:val="0"/>
                <w:sz w:val="20"/>
                <w:szCs w:val="21"/>
                <w:highlight w:val="none"/>
                <w:lang w:val="en-US" w:eastAsia="zh-CN"/>
              </w:rPr>
            </w:pPr>
            <w:r>
              <w:rPr>
                <w:rFonts w:hint="eastAsia" w:ascii="宋体" w:hAnsi="宋体" w:eastAsia="宋体" w:cs="宋体"/>
                <w:color w:val="auto"/>
                <w:kern w:val="0"/>
                <w:sz w:val="20"/>
                <w:szCs w:val="21"/>
                <w:highlight w:val="none"/>
                <w:lang w:val="en-US" w:eastAsia="zh-CN"/>
              </w:rPr>
              <w:t>11</w:t>
            </w:r>
          </w:p>
        </w:tc>
        <w:tc>
          <w:tcPr>
            <w:tcW w:w="801" w:type="pct"/>
            <w:vAlign w:val="center"/>
          </w:tcPr>
          <w:p w14:paraId="01A950B4">
            <w:pPr>
              <w:pStyle w:val="9"/>
              <w:numPr>
                <w:ilvl w:val="0"/>
                <w:numId w:val="0"/>
              </w:numPr>
              <w:spacing w:line="360" w:lineRule="auto"/>
              <w:rPr>
                <w:rFonts w:hint="eastAsia" w:ascii="宋体" w:hAnsi="宋体" w:cs="宋体"/>
                <w:bCs/>
                <w:color w:val="auto"/>
                <w:kern w:val="0"/>
                <w:sz w:val="24"/>
                <w:szCs w:val="24"/>
                <w:highlight w:val="none"/>
                <w:lang w:eastAsia="zh-CN"/>
              </w:rPr>
            </w:pPr>
            <w:r>
              <w:rPr>
                <w:rFonts w:hint="eastAsia" w:ascii="宋体" w:hAnsi="宋体" w:cs="宋体"/>
                <w:bCs/>
                <w:color w:val="auto"/>
                <w:kern w:val="0"/>
                <w:sz w:val="24"/>
                <w:szCs w:val="24"/>
                <w:highlight w:val="none"/>
                <w:lang w:eastAsia="zh-CN"/>
              </w:rPr>
              <w:t>采购文件“第四部分 采购需求”-“十、检测报告”-“10.2采购包2”-“（一）成品检测报告”</w:t>
            </w:r>
          </w:p>
        </w:tc>
        <w:tc>
          <w:tcPr>
            <w:tcW w:w="1808" w:type="pct"/>
            <w:vAlign w:val="center"/>
          </w:tcPr>
          <w:p w14:paraId="5B90D5C7">
            <w:pPr>
              <w:keepNext/>
              <w:tabs>
                <w:tab w:val="left" w:pos="432"/>
              </w:tabs>
              <w:jc w:val="left"/>
              <w:outlineLvl w:val="0"/>
              <w:rPr>
                <w:rFonts w:hint="eastAsia" w:ascii="宋体" w:hAnsi="宋体" w:eastAsia="宋体" w:cs="宋体"/>
                <w:color w:val="auto"/>
                <w:kern w:val="0"/>
                <w:sz w:val="24"/>
                <w:szCs w:val="24"/>
                <w:highlight w:val="none"/>
                <w:lang w:val="zh-CN" w:bidi="zh-CN"/>
              </w:rPr>
            </w:pPr>
            <w:r>
              <w:rPr>
                <w:rFonts w:hint="eastAsia" w:ascii="宋体" w:hAnsi="宋体" w:eastAsia="宋体" w:cs="宋体"/>
                <w:color w:val="auto"/>
                <w:kern w:val="0"/>
                <w:sz w:val="24"/>
                <w:szCs w:val="24"/>
                <w:highlight w:val="none"/>
                <w:lang w:val="zh-CN" w:bidi="zh-CN"/>
              </w:rPr>
              <w:t>(2)提供更衣柜的检验（或检测）报告，报告中需包含：</w:t>
            </w:r>
          </w:p>
          <w:p w14:paraId="66A032D5">
            <w:pPr>
              <w:keepNext/>
              <w:tabs>
                <w:tab w:val="left" w:pos="432"/>
              </w:tabs>
              <w:jc w:val="left"/>
              <w:outlineLvl w:val="0"/>
              <w:rPr>
                <w:rFonts w:hint="eastAsia" w:ascii="宋体" w:hAnsi="宋体" w:eastAsia="宋体" w:cs="宋体"/>
                <w:color w:val="auto"/>
                <w:kern w:val="0"/>
                <w:sz w:val="24"/>
                <w:szCs w:val="24"/>
                <w:highlight w:val="none"/>
                <w:lang w:val="zh-CN" w:bidi="zh-CN"/>
              </w:rPr>
            </w:pPr>
            <w:r>
              <w:rPr>
                <w:rFonts w:hint="eastAsia" w:ascii="宋体" w:hAnsi="宋体" w:eastAsia="宋体" w:cs="宋体"/>
                <w:color w:val="auto"/>
                <w:kern w:val="0"/>
                <w:sz w:val="24"/>
                <w:szCs w:val="24"/>
                <w:highlight w:val="none"/>
                <w:lang w:val="zh-CN" w:bidi="zh-CN"/>
              </w:rPr>
              <w:t>①依据符合GB/T 35607-2024《绿色产品评价家具》标准，甲醛释放量≤0.035mg/m³、苯≤0.025mg/m³、甲苯≤0.05mg/m³、二甲苯≤0.05mg/m³、总挥发性有机化合物TVOC≤0.05mg/m³。</w:t>
            </w:r>
          </w:p>
          <w:p w14:paraId="7523BC7F">
            <w:pPr>
              <w:keepNext/>
              <w:tabs>
                <w:tab w:val="left" w:pos="432"/>
              </w:tabs>
              <w:jc w:val="left"/>
              <w:outlineLvl w:val="0"/>
              <w:rPr>
                <w:rFonts w:hint="eastAsia" w:ascii="宋体" w:hAnsi="宋体" w:eastAsia="宋体" w:cs="宋体"/>
                <w:color w:val="auto"/>
                <w:kern w:val="0"/>
                <w:sz w:val="24"/>
                <w:szCs w:val="24"/>
                <w:highlight w:val="none"/>
                <w:lang w:val="zh-CN" w:bidi="zh-CN"/>
              </w:rPr>
            </w:pPr>
            <w:r>
              <w:rPr>
                <w:rFonts w:hint="eastAsia" w:ascii="宋体" w:hAnsi="宋体" w:eastAsia="宋体" w:cs="宋体"/>
                <w:color w:val="auto"/>
                <w:kern w:val="0"/>
                <w:sz w:val="24"/>
                <w:szCs w:val="24"/>
                <w:highlight w:val="none"/>
                <w:lang w:val="zh-CN" w:bidi="zh-CN"/>
              </w:rPr>
              <w:t>②依据符合GB/T 3325-2024《金属家具通用技术条件》标准，通过表面理化性能（金属喷漆（塑）涂层：硬度≥2H、冲击强度）检测；安全性能检测；力学性能（柜类强度和耐久性、柜架类稳定性检测；）</w:t>
            </w:r>
          </w:p>
          <w:p w14:paraId="4E5877A8">
            <w:pPr>
              <w:keepNext/>
              <w:tabs>
                <w:tab w:val="left" w:pos="432"/>
              </w:tabs>
              <w:jc w:val="left"/>
              <w:outlineLvl w:val="0"/>
              <w:rPr>
                <w:rFonts w:hint="eastAsia" w:ascii="宋体" w:hAnsi="宋体" w:eastAsia="宋体" w:cs="宋体"/>
                <w:color w:val="auto"/>
                <w:kern w:val="0"/>
                <w:sz w:val="24"/>
                <w:szCs w:val="24"/>
                <w:highlight w:val="none"/>
                <w:lang w:val="zh-CN" w:bidi="zh-CN"/>
              </w:rPr>
            </w:pPr>
            <w:r>
              <w:rPr>
                <w:rFonts w:hint="eastAsia" w:ascii="宋体" w:hAnsi="宋体" w:eastAsia="宋体" w:cs="宋体"/>
                <w:color w:val="auto"/>
                <w:kern w:val="0"/>
                <w:sz w:val="24"/>
                <w:szCs w:val="24"/>
                <w:highlight w:val="none"/>
                <w:lang w:val="zh-CN" w:bidi="zh-CN"/>
              </w:rPr>
              <w:t>③依据符合GB/T 2423.51-2020《环境试验 第2部分：试验方法 试验Ke：流动混合气体腐蚀试验》标准，通过检测进行流动混合气体腐蚀试验(Cl₂浓度10x10-9vol/vol、H₂S浓度10x10-9vol/vol、NO₂浓度200x10-9vol/vol、SO₂浓度200x10-9vol/vol)：≥96h流动混合气体腐蚀试验后，样品表面未出现腐蚀现象。</w:t>
            </w:r>
          </w:p>
          <w:p w14:paraId="09F2A907">
            <w:pPr>
              <w:keepNext/>
              <w:tabs>
                <w:tab w:val="left" w:pos="432"/>
              </w:tabs>
              <w:jc w:val="left"/>
              <w:outlineLvl w:val="0"/>
              <w:rPr>
                <w:rFonts w:hint="eastAsia" w:ascii="宋体" w:hAnsi="宋体" w:eastAsia="宋体" w:cs="宋体"/>
                <w:color w:val="auto"/>
                <w:kern w:val="0"/>
                <w:sz w:val="24"/>
                <w:szCs w:val="24"/>
                <w:highlight w:val="none"/>
                <w:lang w:val="zh-CN" w:bidi="zh-CN"/>
              </w:rPr>
            </w:pPr>
            <w:r>
              <w:rPr>
                <w:rFonts w:hint="eastAsia" w:ascii="宋体" w:hAnsi="宋体" w:eastAsia="宋体" w:cs="宋体"/>
                <w:color w:val="auto"/>
                <w:kern w:val="0"/>
                <w:sz w:val="24"/>
                <w:szCs w:val="24"/>
                <w:highlight w:val="none"/>
                <w:lang w:val="zh-CN" w:bidi="zh-CN"/>
              </w:rPr>
              <w:t>④依据符合QB/T 4371-2012《家具抗菌性能的评价》标准，技术要求：抗菌性能：通过抗细菌性能检测至少包含大肠埃希氏菌（大肠杆菌）、肺炎克雷伯氏菌等任意5种菌类，抗菌率或抑菌率均≥99%；</w:t>
            </w:r>
          </w:p>
        </w:tc>
        <w:tc>
          <w:tcPr>
            <w:tcW w:w="1796" w:type="pct"/>
            <w:vAlign w:val="center"/>
          </w:tcPr>
          <w:p w14:paraId="2F2C852E">
            <w:pPr>
              <w:keepNext/>
              <w:tabs>
                <w:tab w:val="left" w:pos="432"/>
              </w:tabs>
              <w:jc w:val="left"/>
              <w:outlineLvl w:val="0"/>
              <w:rPr>
                <w:rFonts w:hint="eastAsia" w:ascii="宋体" w:hAnsi="宋体" w:eastAsia="宋体" w:cs="宋体"/>
                <w:color w:val="auto"/>
                <w:kern w:val="0"/>
                <w:sz w:val="24"/>
                <w:szCs w:val="24"/>
                <w:highlight w:val="none"/>
                <w:lang w:val="en-US" w:eastAsia="zh-CN" w:bidi="zh-CN"/>
              </w:rPr>
            </w:pPr>
            <w:r>
              <w:rPr>
                <w:rFonts w:hint="eastAsia" w:ascii="宋体" w:hAnsi="宋体" w:eastAsia="宋体" w:cs="宋体"/>
                <w:color w:val="auto"/>
                <w:kern w:val="0"/>
                <w:sz w:val="24"/>
                <w:szCs w:val="24"/>
                <w:highlight w:val="none"/>
                <w:lang w:val="en-US" w:eastAsia="zh-CN" w:bidi="zh-CN"/>
              </w:rPr>
              <w:t>(2)提供更衣柜的检验（或检测）报告，报告中需包含：</w:t>
            </w:r>
          </w:p>
          <w:p w14:paraId="692F1A03">
            <w:pPr>
              <w:keepNext/>
              <w:tabs>
                <w:tab w:val="left" w:pos="432"/>
              </w:tabs>
              <w:jc w:val="left"/>
              <w:outlineLvl w:val="0"/>
              <w:rPr>
                <w:rFonts w:hint="eastAsia" w:ascii="宋体" w:hAnsi="宋体" w:eastAsia="宋体" w:cs="宋体"/>
                <w:color w:val="auto"/>
                <w:kern w:val="0"/>
                <w:sz w:val="24"/>
                <w:szCs w:val="24"/>
                <w:highlight w:val="none"/>
                <w:lang w:val="en-US" w:eastAsia="zh-CN" w:bidi="zh-CN"/>
              </w:rPr>
            </w:pPr>
            <w:r>
              <w:rPr>
                <w:rFonts w:hint="eastAsia" w:ascii="宋体" w:hAnsi="宋体" w:eastAsia="宋体" w:cs="宋体"/>
                <w:color w:val="auto"/>
                <w:kern w:val="0"/>
                <w:sz w:val="24"/>
                <w:szCs w:val="24"/>
                <w:highlight w:val="none"/>
                <w:lang w:val="en-US" w:eastAsia="zh-CN" w:bidi="zh-CN"/>
              </w:rPr>
              <w:t>①依据符合GB/T 35607-2024《绿色产品评价家具》标准，甲醛释放量≤0.035mg/m³、苯≤0.025mg/m³、甲苯≤0.05mg/m³、二甲苯≤0.05mg/m³、总挥发性有机化合物TVOC≤0.05mg/m³。</w:t>
            </w:r>
          </w:p>
          <w:p w14:paraId="1269FB6B">
            <w:pPr>
              <w:keepNext/>
              <w:tabs>
                <w:tab w:val="left" w:pos="432"/>
              </w:tabs>
              <w:jc w:val="left"/>
              <w:outlineLvl w:val="0"/>
              <w:rPr>
                <w:rFonts w:hint="eastAsia" w:ascii="宋体" w:hAnsi="宋体" w:eastAsia="宋体" w:cs="宋体"/>
                <w:color w:val="auto"/>
                <w:kern w:val="0"/>
                <w:sz w:val="24"/>
                <w:szCs w:val="24"/>
                <w:highlight w:val="none"/>
                <w:lang w:val="en-US" w:eastAsia="zh-CN" w:bidi="zh-CN"/>
              </w:rPr>
            </w:pPr>
            <w:r>
              <w:rPr>
                <w:rFonts w:hint="eastAsia" w:ascii="宋体" w:hAnsi="宋体" w:eastAsia="宋体" w:cs="宋体"/>
                <w:color w:val="auto"/>
                <w:kern w:val="0"/>
                <w:sz w:val="24"/>
                <w:szCs w:val="24"/>
                <w:highlight w:val="none"/>
                <w:lang w:val="en-US" w:eastAsia="zh-CN" w:bidi="zh-CN"/>
              </w:rPr>
              <w:t>②依据符合GB/T 3325-2024《金属家具通用技术条件》标准，通过表面理化性能（金属喷漆（塑）涂层：硬度≥2H、冲击强度）检测；安全性能检测；力学性能（柜类强度和耐久性、柜架类稳定性检测；）</w:t>
            </w:r>
          </w:p>
          <w:p w14:paraId="012CA0B4">
            <w:pPr>
              <w:keepNext/>
              <w:tabs>
                <w:tab w:val="left" w:pos="432"/>
              </w:tabs>
              <w:jc w:val="left"/>
              <w:outlineLvl w:val="0"/>
              <w:rPr>
                <w:rFonts w:hint="eastAsia" w:ascii="宋体" w:hAnsi="宋体" w:eastAsia="宋体" w:cs="宋体"/>
                <w:color w:val="auto"/>
                <w:kern w:val="0"/>
                <w:sz w:val="24"/>
                <w:szCs w:val="24"/>
                <w:highlight w:val="none"/>
                <w:lang w:val="en-US" w:eastAsia="zh-CN" w:bidi="zh-CN"/>
              </w:rPr>
            </w:pPr>
            <w:r>
              <w:rPr>
                <w:rFonts w:hint="eastAsia" w:ascii="宋体" w:hAnsi="宋体" w:eastAsia="宋体" w:cs="宋体"/>
                <w:color w:val="auto"/>
                <w:kern w:val="0"/>
                <w:sz w:val="24"/>
                <w:szCs w:val="24"/>
                <w:highlight w:val="none"/>
                <w:lang w:val="en-US" w:eastAsia="zh-CN" w:bidi="zh-CN"/>
              </w:rPr>
              <w:t>③依据符合QB/T 4371-2012《家具抗菌性能的评价》标准，技术要求：抗菌性能：通过抗细菌性能检测至少包含大肠埃希氏菌（大肠杆菌）、肺炎克雷伯氏菌等任意5种菌类，抗菌率或抑菌率均≥99%；</w:t>
            </w:r>
          </w:p>
        </w:tc>
        <w:tc>
          <w:tcPr>
            <w:tcW w:w="269" w:type="pct"/>
            <w:vAlign w:val="center"/>
          </w:tcPr>
          <w:p w14:paraId="281EF222">
            <w:pPr>
              <w:spacing w:line="288" w:lineRule="auto"/>
              <w:jc w:val="center"/>
              <w:rPr>
                <w:rFonts w:ascii="宋体" w:hAnsi="宋体" w:cs="宋体"/>
                <w:bCs/>
                <w:color w:val="auto"/>
                <w:kern w:val="0"/>
                <w:sz w:val="24"/>
                <w:szCs w:val="24"/>
                <w:highlight w:val="none"/>
              </w:rPr>
            </w:pPr>
            <w:r>
              <w:rPr>
                <w:rFonts w:hint="eastAsia" w:ascii="宋体" w:hAnsi="宋体" w:cs="宋体"/>
                <w:bCs/>
                <w:color w:val="auto"/>
                <w:kern w:val="0"/>
                <w:sz w:val="24"/>
                <w:szCs w:val="24"/>
                <w:highlight w:val="none"/>
              </w:rPr>
              <w:t>检验报告和评分办法同步</w:t>
            </w:r>
            <w:r>
              <w:rPr>
                <w:rFonts w:hint="eastAsia" w:ascii="宋体" w:hAnsi="宋体" w:cs="宋体"/>
                <w:bCs/>
                <w:color w:val="auto"/>
                <w:kern w:val="0"/>
                <w:sz w:val="24"/>
                <w:szCs w:val="24"/>
                <w:highlight w:val="none"/>
                <w:lang w:eastAsia="zh-CN"/>
              </w:rPr>
              <w:t>更正</w:t>
            </w:r>
          </w:p>
        </w:tc>
      </w:tr>
      <w:tr w14:paraId="045B79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324" w:type="pct"/>
            <w:vAlign w:val="center"/>
          </w:tcPr>
          <w:p w14:paraId="40948333">
            <w:pPr>
              <w:spacing w:line="288" w:lineRule="auto"/>
              <w:jc w:val="center"/>
              <w:rPr>
                <w:rFonts w:hint="eastAsia" w:ascii="宋体" w:hAnsi="宋体" w:eastAsia="宋体" w:cs="宋体"/>
                <w:color w:val="auto"/>
                <w:kern w:val="0"/>
                <w:sz w:val="20"/>
                <w:szCs w:val="21"/>
                <w:highlight w:val="none"/>
              </w:rPr>
            </w:pPr>
          </w:p>
        </w:tc>
        <w:tc>
          <w:tcPr>
            <w:tcW w:w="801" w:type="pct"/>
            <w:vAlign w:val="center"/>
          </w:tcPr>
          <w:p w14:paraId="4FD59AFA">
            <w:pPr>
              <w:pStyle w:val="9"/>
              <w:numPr>
                <w:ilvl w:val="0"/>
                <w:numId w:val="0"/>
              </w:numPr>
              <w:spacing w:line="360" w:lineRule="auto"/>
              <w:rPr>
                <w:rFonts w:hint="eastAsia" w:ascii="宋体" w:hAnsi="宋体" w:cs="宋体"/>
                <w:bCs/>
                <w:color w:val="auto"/>
                <w:kern w:val="0"/>
                <w:sz w:val="24"/>
                <w:szCs w:val="24"/>
                <w:highlight w:val="none"/>
                <w:lang w:eastAsia="zh-CN"/>
              </w:rPr>
            </w:pPr>
          </w:p>
        </w:tc>
        <w:tc>
          <w:tcPr>
            <w:tcW w:w="1808" w:type="pct"/>
            <w:vAlign w:val="center"/>
          </w:tcPr>
          <w:p w14:paraId="2B37AD90">
            <w:pPr>
              <w:keepNext/>
              <w:tabs>
                <w:tab w:val="left" w:pos="432"/>
              </w:tabs>
              <w:jc w:val="left"/>
              <w:outlineLvl w:val="0"/>
              <w:rPr>
                <w:rFonts w:hint="eastAsia" w:ascii="宋体" w:hAnsi="宋体" w:eastAsia="宋体" w:cs="宋体"/>
                <w:color w:val="auto"/>
                <w:kern w:val="0"/>
                <w:sz w:val="24"/>
                <w:szCs w:val="24"/>
                <w:highlight w:val="none"/>
                <w:lang w:val="zh-CN" w:bidi="zh-CN"/>
              </w:rPr>
            </w:pPr>
            <w:r>
              <w:rPr>
                <w:rFonts w:hint="eastAsia" w:ascii="宋体" w:hAnsi="宋体" w:eastAsia="宋体" w:cs="宋体"/>
                <w:color w:val="auto"/>
                <w:kern w:val="0"/>
                <w:sz w:val="24"/>
                <w:szCs w:val="24"/>
                <w:highlight w:val="none"/>
                <w:lang w:val="zh-CN" w:bidi="zh-CN"/>
              </w:rPr>
              <w:t>(3)提供鞋柜的检验（或检测）报告，报告中需包含：</w:t>
            </w:r>
          </w:p>
          <w:p w14:paraId="3E827DD6">
            <w:pPr>
              <w:keepNext/>
              <w:tabs>
                <w:tab w:val="left" w:pos="432"/>
              </w:tabs>
              <w:jc w:val="left"/>
              <w:outlineLvl w:val="0"/>
              <w:rPr>
                <w:rFonts w:hint="eastAsia" w:ascii="宋体" w:hAnsi="宋体" w:eastAsia="宋体" w:cs="宋体"/>
                <w:color w:val="auto"/>
                <w:kern w:val="0"/>
                <w:sz w:val="24"/>
                <w:szCs w:val="24"/>
                <w:highlight w:val="none"/>
                <w:lang w:val="zh-CN" w:bidi="zh-CN"/>
              </w:rPr>
            </w:pPr>
            <w:r>
              <w:rPr>
                <w:rFonts w:hint="eastAsia" w:ascii="宋体" w:hAnsi="宋体" w:eastAsia="宋体" w:cs="宋体"/>
                <w:color w:val="auto"/>
                <w:kern w:val="0"/>
                <w:sz w:val="24"/>
                <w:szCs w:val="24"/>
                <w:highlight w:val="none"/>
                <w:lang w:val="zh-CN" w:bidi="zh-CN"/>
              </w:rPr>
              <w:t>①依据符合GB/T 35607-2024《绿色产品评价家具》标准，甲醛释放量≤0.035mg/m³、苯≤0.025mg/m³、甲苯≤0.05mg/m³、二甲苯≤0.05mg/m³、总挥发性有机化合物TVOC≤0.05mg/m³；</w:t>
            </w:r>
          </w:p>
          <w:p w14:paraId="6AAF5714">
            <w:pPr>
              <w:keepNext/>
              <w:tabs>
                <w:tab w:val="left" w:pos="432"/>
              </w:tabs>
              <w:jc w:val="left"/>
              <w:outlineLvl w:val="0"/>
              <w:rPr>
                <w:rFonts w:hint="eastAsia" w:ascii="宋体" w:hAnsi="宋体" w:eastAsia="宋体" w:cs="宋体"/>
                <w:color w:val="auto"/>
                <w:kern w:val="0"/>
                <w:sz w:val="24"/>
                <w:szCs w:val="24"/>
                <w:highlight w:val="none"/>
                <w:lang w:val="zh-CN" w:bidi="zh-CN"/>
              </w:rPr>
            </w:pPr>
            <w:r>
              <w:rPr>
                <w:rFonts w:hint="eastAsia" w:ascii="宋体" w:hAnsi="宋体" w:eastAsia="宋体" w:cs="宋体"/>
                <w:color w:val="auto"/>
                <w:kern w:val="0"/>
                <w:sz w:val="24"/>
                <w:szCs w:val="24"/>
                <w:highlight w:val="none"/>
                <w:lang w:val="zh-CN" w:bidi="zh-CN"/>
              </w:rPr>
              <w:t>②依据符合GB/T 3325-2024《金属家具通用技术条件》标准，通过表面理化性能（金属喷漆（塑）涂层：硬度≥2H、冲击强度）检测；安全性能检测；力学性能（柜类强度和耐久性、柜架类稳定性检测；）</w:t>
            </w:r>
          </w:p>
          <w:p w14:paraId="79BB8F45">
            <w:pPr>
              <w:keepNext/>
              <w:tabs>
                <w:tab w:val="left" w:pos="432"/>
              </w:tabs>
              <w:jc w:val="left"/>
              <w:outlineLvl w:val="0"/>
              <w:rPr>
                <w:rFonts w:hint="eastAsia" w:ascii="宋体" w:hAnsi="宋体" w:eastAsia="宋体" w:cs="宋体"/>
                <w:color w:val="auto"/>
                <w:kern w:val="0"/>
                <w:sz w:val="24"/>
                <w:szCs w:val="24"/>
                <w:highlight w:val="none"/>
                <w:lang w:val="zh-CN" w:bidi="zh-CN"/>
              </w:rPr>
            </w:pPr>
            <w:r>
              <w:rPr>
                <w:rFonts w:hint="eastAsia" w:ascii="宋体" w:hAnsi="宋体" w:eastAsia="宋体" w:cs="宋体"/>
                <w:color w:val="auto"/>
                <w:kern w:val="0"/>
                <w:sz w:val="24"/>
                <w:szCs w:val="24"/>
                <w:highlight w:val="none"/>
                <w:lang w:val="zh-CN" w:bidi="zh-CN"/>
              </w:rPr>
              <w:t>③依据符合GB/T 2423.51-2020《环境试验 第2部分：试验方法 试验Ke：流动混合气体腐蚀试验》标准，通过检测进行流动混合气体腐蚀试验(Cl₂浓度10x10-9vol/vol、H₂S浓度10x10-9vol/vol、NO₂浓度200x10-9vol/vol、SO₂浓度200x10-9vol/vol)：≥96h流动混合气体腐蚀试验后，样品表面未出现腐蚀现象。</w:t>
            </w:r>
          </w:p>
          <w:p w14:paraId="6948D247">
            <w:pPr>
              <w:keepNext/>
              <w:tabs>
                <w:tab w:val="left" w:pos="432"/>
              </w:tabs>
              <w:jc w:val="left"/>
              <w:outlineLvl w:val="0"/>
              <w:rPr>
                <w:rFonts w:hint="eastAsia" w:ascii="宋体" w:hAnsi="宋体" w:eastAsia="宋体" w:cs="宋体"/>
                <w:color w:val="auto"/>
                <w:kern w:val="0"/>
                <w:sz w:val="24"/>
                <w:szCs w:val="24"/>
                <w:highlight w:val="none"/>
                <w:lang w:val="zh-CN" w:bidi="zh-CN"/>
              </w:rPr>
            </w:pPr>
            <w:r>
              <w:rPr>
                <w:rFonts w:hint="eastAsia" w:ascii="宋体" w:hAnsi="宋体" w:eastAsia="宋体" w:cs="宋体"/>
                <w:color w:val="auto"/>
                <w:kern w:val="0"/>
                <w:sz w:val="24"/>
                <w:szCs w:val="24"/>
                <w:highlight w:val="none"/>
                <w:lang w:val="zh-CN" w:bidi="zh-CN"/>
              </w:rPr>
              <w:t>④依据符合QB/T 4371-2012《家具抗菌性能的评价》标准，技术要求：抗菌性能：通过抗细菌性能检测至少包含大肠埃希氏菌（大肠杆菌）、肺炎克雷伯氏菌等任意5种菌类，抗菌率或抑菌率均≥99%；</w:t>
            </w:r>
          </w:p>
        </w:tc>
        <w:tc>
          <w:tcPr>
            <w:tcW w:w="1796" w:type="pct"/>
            <w:vAlign w:val="center"/>
          </w:tcPr>
          <w:p w14:paraId="38927834">
            <w:pPr>
              <w:keepNext/>
              <w:tabs>
                <w:tab w:val="left" w:pos="432"/>
              </w:tabs>
              <w:jc w:val="left"/>
              <w:outlineLvl w:val="0"/>
              <w:rPr>
                <w:rFonts w:hint="eastAsia" w:ascii="宋体" w:hAnsi="宋体" w:eastAsia="宋体" w:cs="宋体"/>
                <w:color w:val="auto"/>
                <w:kern w:val="0"/>
                <w:sz w:val="24"/>
                <w:szCs w:val="24"/>
                <w:highlight w:val="none"/>
                <w:lang w:val="en-US" w:eastAsia="zh-CN" w:bidi="zh-CN"/>
              </w:rPr>
            </w:pPr>
            <w:r>
              <w:rPr>
                <w:rFonts w:hint="eastAsia" w:ascii="宋体" w:hAnsi="宋体" w:eastAsia="宋体" w:cs="宋体"/>
                <w:color w:val="auto"/>
                <w:kern w:val="0"/>
                <w:sz w:val="24"/>
                <w:szCs w:val="24"/>
                <w:highlight w:val="none"/>
                <w:lang w:val="en-US" w:eastAsia="zh-CN" w:bidi="zh-CN"/>
              </w:rPr>
              <w:t>(3)提供鞋柜的检验（或检测）报告，报告中需包含：</w:t>
            </w:r>
          </w:p>
          <w:p w14:paraId="71343C57">
            <w:pPr>
              <w:keepNext/>
              <w:tabs>
                <w:tab w:val="left" w:pos="432"/>
              </w:tabs>
              <w:jc w:val="left"/>
              <w:outlineLvl w:val="0"/>
              <w:rPr>
                <w:rFonts w:hint="eastAsia" w:ascii="宋体" w:hAnsi="宋体" w:eastAsia="宋体" w:cs="宋体"/>
                <w:color w:val="auto"/>
                <w:kern w:val="0"/>
                <w:sz w:val="24"/>
                <w:szCs w:val="24"/>
                <w:highlight w:val="none"/>
                <w:lang w:val="en-US" w:eastAsia="zh-CN" w:bidi="zh-CN"/>
              </w:rPr>
            </w:pPr>
            <w:r>
              <w:rPr>
                <w:rFonts w:hint="eastAsia" w:ascii="宋体" w:hAnsi="宋体" w:eastAsia="宋体" w:cs="宋体"/>
                <w:color w:val="auto"/>
                <w:kern w:val="0"/>
                <w:sz w:val="24"/>
                <w:szCs w:val="24"/>
                <w:highlight w:val="none"/>
                <w:lang w:val="en-US" w:eastAsia="zh-CN" w:bidi="zh-CN"/>
              </w:rPr>
              <w:t>①依据符合GB/T 35607-2024《绿色产品评价家具》标准，甲醛释放量≤0.035mg/m³、苯≤0.025mg/m³、甲苯≤0.05mg/m³、二甲苯≤0.05mg/m³、总挥发性有机化合物TVOC≤0.05mg/m³；</w:t>
            </w:r>
          </w:p>
          <w:p w14:paraId="0918376E">
            <w:pPr>
              <w:keepNext/>
              <w:tabs>
                <w:tab w:val="left" w:pos="432"/>
              </w:tabs>
              <w:jc w:val="left"/>
              <w:outlineLvl w:val="0"/>
              <w:rPr>
                <w:rFonts w:hint="eastAsia" w:ascii="宋体" w:hAnsi="宋体" w:eastAsia="宋体" w:cs="宋体"/>
                <w:color w:val="auto"/>
                <w:kern w:val="0"/>
                <w:sz w:val="24"/>
                <w:szCs w:val="24"/>
                <w:highlight w:val="none"/>
                <w:lang w:val="en-US" w:eastAsia="zh-CN" w:bidi="zh-CN"/>
              </w:rPr>
            </w:pPr>
            <w:r>
              <w:rPr>
                <w:rFonts w:hint="eastAsia" w:ascii="宋体" w:hAnsi="宋体" w:eastAsia="宋体" w:cs="宋体"/>
                <w:color w:val="auto"/>
                <w:kern w:val="0"/>
                <w:sz w:val="24"/>
                <w:szCs w:val="24"/>
                <w:highlight w:val="none"/>
                <w:lang w:val="en-US" w:eastAsia="zh-CN" w:bidi="zh-CN"/>
              </w:rPr>
              <w:t>②依据符合GB/T 3325-2024《金属家具通用技术条件》标准，通过表面理化性能（金属喷漆（塑）涂层：硬度≥2H、冲击强度）检测；安全性能检测；力学性能（柜类强度和耐久性、柜架类稳定性检测；）</w:t>
            </w:r>
          </w:p>
          <w:p w14:paraId="0D0212D3">
            <w:pPr>
              <w:keepNext/>
              <w:tabs>
                <w:tab w:val="left" w:pos="432"/>
              </w:tabs>
              <w:jc w:val="left"/>
              <w:outlineLvl w:val="0"/>
              <w:rPr>
                <w:rFonts w:hint="eastAsia" w:ascii="宋体" w:hAnsi="宋体" w:eastAsia="宋体" w:cs="宋体"/>
                <w:color w:val="auto"/>
                <w:kern w:val="0"/>
                <w:sz w:val="24"/>
                <w:szCs w:val="24"/>
                <w:highlight w:val="none"/>
                <w:lang w:val="en-US" w:eastAsia="zh-CN" w:bidi="zh-CN"/>
              </w:rPr>
            </w:pPr>
            <w:r>
              <w:rPr>
                <w:rFonts w:hint="eastAsia" w:ascii="宋体" w:hAnsi="宋体" w:eastAsia="宋体" w:cs="宋体"/>
                <w:color w:val="auto"/>
                <w:kern w:val="0"/>
                <w:sz w:val="24"/>
                <w:szCs w:val="24"/>
                <w:highlight w:val="none"/>
                <w:lang w:val="en-US" w:eastAsia="zh-CN" w:bidi="zh-CN"/>
              </w:rPr>
              <w:t>③依据符合QB/T 4371-2012《家具抗菌性能的评价》标准，技术要求：抗菌性能：通过抗细菌性能检测至少包含大肠埃希氏菌（大肠杆菌）、肺炎克雷伯氏菌等任意5种菌类，抗菌率或抑菌率均≥99%；</w:t>
            </w:r>
          </w:p>
        </w:tc>
        <w:tc>
          <w:tcPr>
            <w:tcW w:w="269" w:type="pct"/>
            <w:vAlign w:val="center"/>
          </w:tcPr>
          <w:p w14:paraId="783CD0B0">
            <w:pPr>
              <w:spacing w:line="288" w:lineRule="auto"/>
              <w:jc w:val="center"/>
              <w:rPr>
                <w:rFonts w:hint="eastAsia" w:ascii="宋体" w:hAnsi="宋体" w:cs="宋体"/>
                <w:bCs/>
                <w:color w:val="auto"/>
                <w:kern w:val="0"/>
                <w:sz w:val="24"/>
                <w:szCs w:val="24"/>
                <w:highlight w:val="none"/>
              </w:rPr>
            </w:pPr>
          </w:p>
        </w:tc>
      </w:tr>
      <w:tr w14:paraId="398CFA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324" w:type="pct"/>
            <w:vAlign w:val="center"/>
          </w:tcPr>
          <w:p w14:paraId="6FF908AD">
            <w:pPr>
              <w:spacing w:line="288" w:lineRule="auto"/>
              <w:jc w:val="center"/>
              <w:rPr>
                <w:rFonts w:hint="eastAsia" w:ascii="宋体" w:hAnsi="宋体" w:eastAsia="宋体" w:cs="宋体"/>
                <w:color w:val="auto"/>
                <w:kern w:val="0"/>
                <w:sz w:val="20"/>
                <w:szCs w:val="21"/>
                <w:highlight w:val="none"/>
              </w:rPr>
            </w:pPr>
          </w:p>
        </w:tc>
        <w:tc>
          <w:tcPr>
            <w:tcW w:w="801" w:type="pct"/>
            <w:vAlign w:val="center"/>
          </w:tcPr>
          <w:p w14:paraId="4C311881">
            <w:pPr>
              <w:pStyle w:val="9"/>
              <w:numPr>
                <w:ilvl w:val="0"/>
                <w:numId w:val="0"/>
              </w:numPr>
              <w:spacing w:line="360" w:lineRule="auto"/>
              <w:rPr>
                <w:rFonts w:hint="eastAsia" w:ascii="宋体" w:hAnsi="宋体" w:cs="宋体"/>
                <w:bCs/>
                <w:color w:val="auto"/>
                <w:kern w:val="0"/>
                <w:sz w:val="24"/>
                <w:szCs w:val="24"/>
                <w:highlight w:val="none"/>
                <w:lang w:eastAsia="zh-CN"/>
              </w:rPr>
            </w:pPr>
          </w:p>
        </w:tc>
        <w:tc>
          <w:tcPr>
            <w:tcW w:w="1808" w:type="pct"/>
            <w:vAlign w:val="center"/>
          </w:tcPr>
          <w:p w14:paraId="58876D7C">
            <w:pPr>
              <w:keepNext/>
              <w:tabs>
                <w:tab w:val="left" w:pos="432"/>
              </w:tabs>
              <w:jc w:val="left"/>
              <w:outlineLvl w:val="0"/>
              <w:rPr>
                <w:rFonts w:hint="eastAsia" w:ascii="宋体" w:hAnsi="宋体" w:eastAsia="宋体" w:cs="宋体"/>
                <w:color w:val="auto"/>
                <w:kern w:val="0"/>
                <w:sz w:val="24"/>
                <w:szCs w:val="24"/>
                <w:highlight w:val="none"/>
                <w:lang w:val="zh-CN" w:bidi="zh-CN"/>
              </w:rPr>
            </w:pPr>
            <w:r>
              <w:rPr>
                <w:rFonts w:hint="eastAsia" w:ascii="宋体" w:hAnsi="宋体" w:eastAsia="宋体" w:cs="宋体"/>
                <w:color w:val="auto"/>
                <w:kern w:val="0"/>
                <w:sz w:val="24"/>
                <w:szCs w:val="24"/>
                <w:highlight w:val="none"/>
                <w:lang w:val="zh-CN" w:bidi="zh-CN"/>
              </w:rPr>
              <w:t>(4)提供储物柜的检验（或检测）报告，报告中需包含：</w:t>
            </w:r>
          </w:p>
          <w:p w14:paraId="246F6819">
            <w:pPr>
              <w:keepNext/>
              <w:tabs>
                <w:tab w:val="left" w:pos="432"/>
              </w:tabs>
              <w:jc w:val="left"/>
              <w:outlineLvl w:val="0"/>
              <w:rPr>
                <w:rFonts w:hint="eastAsia" w:ascii="宋体" w:hAnsi="宋体" w:eastAsia="宋体" w:cs="宋体"/>
                <w:color w:val="auto"/>
                <w:kern w:val="0"/>
                <w:sz w:val="24"/>
                <w:szCs w:val="24"/>
                <w:highlight w:val="none"/>
                <w:lang w:val="zh-CN" w:bidi="zh-CN"/>
              </w:rPr>
            </w:pPr>
            <w:r>
              <w:rPr>
                <w:rFonts w:hint="eastAsia" w:ascii="宋体" w:hAnsi="宋体" w:eastAsia="宋体" w:cs="宋体"/>
                <w:color w:val="auto"/>
                <w:kern w:val="0"/>
                <w:sz w:val="24"/>
                <w:szCs w:val="24"/>
                <w:highlight w:val="none"/>
                <w:lang w:val="zh-CN" w:bidi="zh-CN"/>
              </w:rPr>
              <w:t>①依据符合GB/T 35607-2024《绿色产品评价家具》标准，甲醛释放量≤0.035mg/m³、苯≤0.025mg/m³、甲苯≤0.05mg/m³、二甲苯≤0.05mg/m³、总挥发性有机化合物TVOC≤0.05mg/m³</w:t>
            </w:r>
          </w:p>
          <w:p w14:paraId="4274C2CD">
            <w:pPr>
              <w:keepNext/>
              <w:tabs>
                <w:tab w:val="left" w:pos="432"/>
              </w:tabs>
              <w:jc w:val="left"/>
              <w:outlineLvl w:val="0"/>
              <w:rPr>
                <w:rFonts w:hint="eastAsia" w:ascii="宋体" w:hAnsi="宋体" w:eastAsia="宋体" w:cs="宋体"/>
                <w:color w:val="auto"/>
                <w:kern w:val="0"/>
                <w:sz w:val="24"/>
                <w:szCs w:val="24"/>
                <w:highlight w:val="none"/>
                <w:lang w:val="zh-CN" w:bidi="zh-CN"/>
              </w:rPr>
            </w:pPr>
            <w:r>
              <w:rPr>
                <w:rFonts w:hint="eastAsia" w:ascii="宋体" w:hAnsi="宋体" w:eastAsia="宋体" w:cs="宋体"/>
                <w:color w:val="auto"/>
                <w:kern w:val="0"/>
                <w:sz w:val="24"/>
                <w:szCs w:val="24"/>
                <w:highlight w:val="none"/>
                <w:lang w:val="zh-CN" w:bidi="zh-CN"/>
              </w:rPr>
              <w:t>②依据符合GB/T 3325-2024《金属家具通用技术条件》标准，通过表面理化性能（金属喷漆（塑）涂层：硬度≥2H、冲击强度）检测；安全性能检测；力学性能（柜类强度和耐久性、柜架类稳定性检测；）</w:t>
            </w:r>
          </w:p>
          <w:p w14:paraId="737D9EE7">
            <w:pPr>
              <w:keepNext/>
              <w:tabs>
                <w:tab w:val="left" w:pos="432"/>
              </w:tabs>
              <w:jc w:val="left"/>
              <w:outlineLvl w:val="0"/>
              <w:rPr>
                <w:rFonts w:hint="eastAsia" w:ascii="宋体" w:hAnsi="宋体" w:eastAsia="宋体" w:cs="宋体"/>
                <w:color w:val="auto"/>
                <w:kern w:val="0"/>
                <w:sz w:val="24"/>
                <w:szCs w:val="24"/>
                <w:highlight w:val="none"/>
                <w:lang w:val="zh-CN" w:bidi="zh-CN"/>
              </w:rPr>
            </w:pPr>
            <w:r>
              <w:rPr>
                <w:rFonts w:hint="eastAsia" w:ascii="宋体" w:hAnsi="宋体" w:eastAsia="宋体" w:cs="宋体"/>
                <w:color w:val="auto"/>
                <w:kern w:val="0"/>
                <w:sz w:val="24"/>
                <w:szCs w:val="24"/>
                <w:highlight w:val="none"/>
                <w:lang w:val="zh-CN" w:bidi="zh-CN"/>
              </w:rPr>
              <w:t>③依据符合GB/T 2423.51-2020《环境试验 第2部分：试验方法 试验Ke：流动混合气体腐蚀试验》标准，通过检测进行流动混合气体腐蚀试验(Cl₂浓度10x10-9vol/vol、H₂S浓度10x10-9vol/vol、NO₂浓度200x10-9vol/vol、SO₂浓度200x10-9vol/vol)：≥96h流动混合气体腐蚀试验后，样品表面未出现腐蚀现象。</w:t>
            </w:r>
          </w:p>
          <w:p w14:paraId="00412598">
            <w:pPr>
              <w:keepNext/>
              <w:tabs>
                <w:tab w:val="left" w:pos="432"/>
              </w:tabs>
              <w:jc w:val="left"/>
              <w:outlineLvl w:val="0"/>
              <w:rPr>
                <w:rFonts w:hint="eastAsia" w:ascii="宋体" w:hAnsi="宋体" w:eastAsia="宋体" w:cs="宋体"/>
                <w:color w:val="auto"/>
                <w:kern w:val="0"/>
                <w:sz w:val="24"/>
                <w:szCs w:val="24"/>
                <w:highlight w:val="none"/>
                <w:lang w:val="zh-CN" w:bidi="zh-CN"/>
              </w:rPr>
            </w:pPr>
            <w:r>
              <w:rPr>
                <w:rFonts w:hint="eastAsia" w:ascii="宋体" w:hAnsi="宋体" w:eastAsia="宋体" w:cs="宋体"/>
                <w:color w:val="auto"/>
                <w:kern w:val="0"/>
                <w:sz w:val="24"/>
                <w:szCs w:val="24"/>
                <w:highlight w:val="none"/>
                <w:lang w:val="zh-CN" w:bidi="zh-CN"/>
              </w:rPr>
              <w:t>④依据符合QB/T 4371-2012《家具抗菌性能的评价》标准，技术要求：抗菌性能：通过抗细菌性能检测至少包含大肠埃希氏菌（大肠杆菌）、肺炎克雷伯氏菌等任意5种菌类，抗菌率或抑菌率均≥99%；</w:t>
            </w:r>
          </w:p>
        </w:tc>
        <w:tc>
          <w:tcPr>
            <w:tcW w:w="1796" w:type="pct"/>
            <w:vAlign w:val="center"/>
          </w:tcPr>
          <w:p w14:paraId="1A186A6F">
            <w:pPr>
              <w:keepNext/>
              <w:tabs>
                <w:tab w:val="left" w:pos="432"/>
              </w:tabs>
              <w:jc w:val="left"/>
              <w:outlineLvl w:val="0"/>
              <w:rPr>
                <w:rFonts w:hint="eastAsia" w:ascii="宋体" w:hAnsi="宋体" w:eastAsia="宋体" w:cs="宋体"/>
                <w:color w:val="auto"/>
                <w:kern w:val="0"/>
                <w:sz w:val="24"/>
                <w:szCs w:val="24"/>
                <w:highlight w:val="none"/>
                <w:lang w:val="en-US" w:eastAsia="zh-CN" w:bidi="zh-CN"/>
              </w:rPr>
            </w:pPr>
            <w:r>
              <w:rPr>
                <w:rFonts w:hint="eastAsia" w:ascii="宋体" w:hAnsi="宋体" w:eastAsia="宋体" w:cs="宋体"/>
                <w:color w:val="auto"/>
                <w:kern w:val="0"/>
                <w:sz w:val="24"/>
                <w:szCs w:val="24"/>
                <w:highlight w:val="none"/>
                <w:lang w:val="en-US" w:eastAsia="zh-CN" w:bidi="zh-CN"/>
              </w:rPr>
              <w:t>(4)提供储物柜的检验（或检测）报告，报告中需包含：</w:t>
            </w:r>
          </w:p>
          <w:p w14:paraId="190D6474">
            <w:pPr>
              <w:keepNext/>
              <w:tabs>
                <w:tab w:val="left" w:pos="432"/>
              </w:tabs>
              <w:jc w:val="left"/>
              <w:outlineLvl w:val="0"/>
              <w:rPr>
                <w:rFonts w:hint="eastAsia" w:ascii="宋体" w:hAnsi="宋体" w:eastAsia="宋体" w:cs="宋体"/>
                <w:color w:val="auto"/>
                <w:kern w:val="0"/>
                <w:sz w:val="24"/>
                <w:szCs w:val="24"/>
                <w:highlight w:val="none"/>
                <w:lang w:val="en-US" w:eastAsia="zh-CN" w:bidi="zh-CN"/>
              </w:rPr>
            </w:pPr>
            <w:r>
              <w:rPr>
                <w:rFonts w:hint="eastAsia" w:ascii="宋体" w:hAnsi="宋体" w:eastAsia="宋体" w:cs="宋体"/>
                <w:color w:val="auto"/>
                <w:kern w:val="0"/>
                <w:sz w:val="24"/>
                <w:szCs w:val="24"/>
                <w:highlight w:val="none"/>
                <w:lang w:val="en-US" w:eastAsia="zh-CN" w:bidi="zh-CN"/>
              </w:rPr>
              <w:t>①依据符合GB/T 35607-2024《绿色产品评价家具》标准，甲醛释放量≤0.035mg/m³、苯≤0.025mg/m³、甲苯≤0.05mg/m³、二甲苯≤0.05mg/m³、总挥发性有机化合物TVOC≤0.05mg/m³</w:t>
            </w:r>
          </w:p>
          <w:p w14:paraId="393D1458">
            <w:pPr>
              <w:keepNext/>
              <w:tabs>
                <w:tab w:val="left" w:pos="432"/>
              </w:tabs>
              <w:jc w:val="left"/>
              <w:outlineLvl w:val="0"/>
              <w:rPr>
                <w:rFonts w:hint="eastAsia" w:ascii="宋体" w:hAnsi="宋体" w:eastAsia="宋体" w:cs="宋体"/>
                <w:color w:val="auto"/>
                <w:kern w:val="0"/>
                <w:sz w:val="24"/>
                <w:szCs w:val="24"/>
                <w:highlight w:val="none"/>
                <w:lang w:val="en-US" w:eastAsia="zh-CN" w:bidi="zh-CN"/>
              </w:rPr>
            </w:pPr>
            <w:r>
              <w:rPr>
                <w:rFonts w:hint="eastAsia" w:ascii="宋体" w:hAnsi="宋体" w:eastAsia="宋体" w:cs="宋体"/>
                <w:color w:val="auto"/>
                <w:kern w:val="0"/>
                <w:sz w:val="24"/>
                <w:szCs w:val="24"/>
                <w:highlight w:val="none"/>
                <w:lang w:val="en-US" w:eastAsia="zh-CN" w:bidi="zh-CN"/>
              </w:rPr>
              <w:t>②依据符合GB/T 3325-2024《金属家具通用技术条件》标准，通过表面理化性能（金属喷漆（塑）涂层：硬度≥2H、冲击强度）检测；安全性能检测；力学性能（柜类强度和耐久性、柜架类稳定性检测；）</w:t>
            </w:r>
          </w:p>
          <w:p w14:paraId="5D142755">
            <w:pPr>
              <w:keepNext/>
              <w:tabs>
                <w:tab w:val="left" w:pos="432"/>
              </w:tabs>
              <w:jc w:val="left"/>
              <w:outlineLvl w:val="0"/>
              <w:rPr>
                <w:rFonts w:hint="eastAsia" w:ascii="宋体" w:hAnsi="宋体" w:eastAsia="宋体" w:cs="宋体"/>
                <w:color w:val="auto"/>
                <w:kern w:val="0"/>
                <w:sz w:val="24"/>
                <w:szCs w:val="24"/>
                <w:highlight w:val="none"/>
                <w:lang w:val="en-US" w:eastAsia="zh-CN" w:bidi="zh-CN"/>
              </w:rPr>
            </w:pPr>
            <w:r>
              <w:rPr>
                <w:rFonts w:hint="eastAsia" w:ascii="宋体" w:hAnsi="宋体" w:eastAsia="宋体" w:cs="宋体"/>
                <w:color w:val="auto"/>
                <w:kern w:val="0"/>
                <w:sz w:val="24"/>
                <w:szCs w:val="24"/>
                <w:highlight w:val="none"/>
                <w:lang w:val="en-US" w:eastAsia="zh-CN" w:bidi="zh-CN"/>
              </w:rPr>
              <w:t>③依据符合QB/T 4371-2012《家具抗菌性能的评价》标准，技术要求：抗菌性能：通过抗细菌性能检测至少包含大肠埃希氏菌（大肠杆菌）、肺炎克雷伯氏菌等任意5种菌类，抗菌率或抑菌率均≥99%；</w:t>
            </w:r>
          </w:p>
        </w:tc>
        <w:tc>
          <w:tcPr>
            <w:tcW w:w="269" w:type="pct"/>
            <w:vAlign w:val="center"/>
          </w:tcPr>
          <w:p w14:paraId="117F8A0D">
            <w:pPr>
              <w:spacing w:line="288" w:lineRule="auto"/>
              <w:jc w:val="center"/>
              <w:rPr>
                <w:rFonts w:hint="eastAsia" w:ascii="宋体" w:hAnsi="宋体" w:cs="宋体"/>
                <w:bCs/>
                <w:color w:val="auto"/>
                <w:kern w:val="0"/>
                <w:sz w:val="24"/>
                <w:szCs w:val="24"/>
                <w:highlight w:val="none"/>
              </w:rPr>
            </w:pPr>
          </w:p>
        </w:tc>
      </w:tr>
      <w:tr w14:paraId="1ADD78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324" w:type="pct"/>
            <w:vAlign w:val="center"/>
          </w:tcPr>
          <w:p w14:paraId="63A6448B">
            <w:pPr>
              <w:spacing w:line="288" w:lineRule="auto"/>
              <w:jc w:val="center"/>
              <w:rPr>
                <w:rFonts w:hint="eastAsia" w:ascii="宋体" w:hAnsi="宋体" w:eastAsia="宋体" w:cs="宋体"/>
                <w:color w:val="auto"/>
                <w:kern w:val="0"/>
                <w:sz w:val="20"/>
                <w:szCs w:val="21"/>
                <w:highlight w:val="none"/>
              </w:rPr>
            </w:pPr>
          </w:p>
        </w:tc>
        <w:tc>
          <w:tcPr>
            <w:tcW w:w="801" w:type="pct"/>
            <w:vAlign w:val="center"/>
          </w:tcPr>
          <w:p w14:paraId="727091BD">
            <w:pPr>
              <w:pStyle w:val="9"/>
              <w:numPr>
                <w:ilvl w:val="0"/>
                <w:numId w:val="0"/>
              </w:numPr>
              <w:spacing w:line="360" w:lineRule="auto"/>
              <w:rPr>
                <w:rFonts w:hint="eastAsia" w:ascii="宋体" w:hAnsi="宋体" w:cs="宋体"/>
                <w:bCs/>
                <w:color w:val="auto"/>
                <w:kern w:val="0"/>
                <w:sz w:val="24"/>
                <w:szCs w:val="24"/>
                <w:highlight w:val="none"/>
                <w:lang w:eastAsia="zh-CN"/>
              </w:rPr>
            </w:pPr>
          </w:p>
        </w:tc>
        <w:tc>
          <w:tcPr>
            <w:tcW w:w="1808" w:type="pct"/>
            <w:vAlign w:val="center"/>
          </w:tcPr>
          <w:p w14:paraId="7A71B2CA">
            <w:pPr>
              <w:keepNext/>
              <w:tabs>
                <w:tab w:val="left" w:pos="432"/>
              </w:tabs>
              <w:jc w:val="left"/>
              <w:outlineLvl w:val="0"/>
              <w:rPr>
                <w:rFonts w:hint="eastAsia" w:ascii="宋体" w:hAnsi="宋体" w:eastAsia="宋体" w:cs="宋体"/>
                <w:color w:val="auto"/>
                <w:kern w:val="0"/>
                <w:sz w:val="24"/>
                <w:szCs w:val="24"/>
                <w:highlight w:val="none"/>
                <w:lang w:val="zh-CN" w:bidi="zh-CN"/>
              </w:rPr>
            </w:pPr>
            <w:r>
              <w:rPr>
                <w:rFonts w:hint="eastAsia" w:ascii="宋体" w:hAnsi="宋体" w:eastAsia="宋体" w:cs="宋体"/>
                <w:color w:val="auto"/>
                <w:kern w:val="0"/>
                <w:sz w:val="24"/>
                <w:szCs w:val="24"/>
                <w:highlight w:val="none"/>
                <w:lang w:val="zh-CN" w:bidi="zh-CN"/>
              </w:rPr>
              <w:t>(5)提供换鞋凳的检验（或检测）报告，报告中需包含：</w:t>
            </w:r>
          </w:p>
          <w:p w14:paraId="1251EA03">
            <w:pPr>
              <w:keepNext/>
              <w:tabs>
                <w:tab w:val="left" w:pos="432"/>
              </w:tabs>
              <w:jc w:val="left"/>
              <w:outlineLvl w:val="0"/>
              <w:rPr>
                <w:rFonts w:hint="eastAsia" w:ascii="宋体" w:hAnsi="宋体" w:eastAsia="宋体" w:cs="宋体"/>
                <w:color w:val="auto"/>
                <w:kern w:val="0"/>
                <w:sz w:val="24"/>
                <w:szCs w:val="24"/>
                <w:highlight w:val="none"/>
                <w:lang w:val="zh-CN" w:bidi="zh-CN"/>
              </w:rPr>
            </w:pPr>
            <w:r>
              <w:rPr>
                <w:rFonts w:hint="eastAsia" w:ascii="宋体" w:hAnsi="宋体" w:eastAsia="宋体" w:cs="宋体"/>
                <w:color w:val="auto"/>
                <w:kern w:val="0"/>
                <w:sz w:val="24"/>
                <w:szCs w:val="24"/>
                <w:highlight w:val="none"/>
                <w:lang w:val="zh-CN" w:bidi="zh-CN"/>
              </w:rPr>
              <w:t>①依据符合QB/T3827-1999《轻工产品金属镀层和化学处理层的耐腐蚀试验方法乙酸盐雾试验(ASS)法》；QB/T3832-1999《轻工产品金属镀层腐蚀试验结果的评价》标准；经过≥200小时乙酸盐雾试验后，镀（涂）层本身的耐腐蚀等级≥9级，镀（涂）层对基体的保护等级≥9级。</w:t>
            </w:r>
          </w:p>
          <w:p w14:paraId="4644CC37">
            <w:pPr>
              <w:keepNext/>
              <w:tabs>
                <w:tab w:val="left" w:pos="432"/>
              </w:tabs>
              <w:jc w:val="left"/>
              <w:outlineLvl w:val="0"/>
              <w:rPr>
                <w:rFonts w:hint="eastAsia" w:ascii="宋体" w:hAnsi="宋体" w:eastAsia="宋体" w:cs="宋体"/>
                <w:color w:val="auto"/>
                <w:kern w:val="0"/>
                <w:sz w:val="24"/>
                <w:szCs w:val="24"/>
                <w:highlight w:val="none"/>
                <w:lang w:val="zh-CN" w:bidi="zh-CN"/>
              </w:rPr>
            </w:pPr>
            <w:r>
              <w:rPr>
                <w:rFonts w:hint="eastAsia" w:ascii="宋体" w:hAnsi="宋体" w:eastAsia="宋体" w:cs="宋体"/>
                <w:color w:val="auto"/>
                <w:kern w:val="0"/>
                <w:sz w:val="24"/>
                <w:szCs w:val="24"/>
                <w:highlight w:val="none"/>
                <w:lang w:val="zh-CN" w:bidi="zh-CN"/>
              </w:rPr>
              <w:t>②依据符合GB/T 35607-2024《绿色产品评价家具》标准，甲醛释放量≤0.035mg/m³、苯≤0.025mg/m³、甲苯≤0.05mg/m³、二甲苯≤0.05mg/m³、总挥发性有机化合物TVOC≤0.05mg/m³</w:t>
            </w:r>
          </w:p>
        </w:tc>
        <w:tc>
          <w:tcPr>
            <w:tcW w:w="1796" w:type="pct"/>
            <w:vAlign w:val="center"/>
          </w:tcPr>
          <w:p w14:paraId="182DE2F3">
            <w:pPr>
              <w:keepNext/>
              <w:tabs>
                <w:tab w:val="left" w:pos="432"/>
              </w:tabs>
              <w:jc w:val="left"/>
              <w:outlineLvl w:val="0"/>
              <w:rPr>
                <w:rFonts w:hint="eastAsia" w:ascii="宋体" w:hAnsi="宋体" w:eastAsia="宋体" w:cs="宋体"/>
                <w:color w:val="auto"/>
                <w:kern w:val="0"/>
                <w:sz w:val="24"/>
                <w:szCs w:val="24"/>
                <w:highlight w:val="none"/>
                <w:lang w:val="en-US" w:eastAsia="zh-CN" w:bidi="zh-CN"/>
              </w:rPr>
            </w:pPr>
            <w:r>
              <w:rPr>
                <w:rFonts w:hint="eastAsia" w:ascii="宋体" w:hAnsi="宋体" w:eastAsia="宋体" w:cs="宋体"/>
                <w:color w:val="auto"/>
                <w:kern w:val="0"/>
                <w:sz w:val="24"/>
                <w:szCs w:val="24"/>
                <w:highlight w:val="none"/>
                <w:lang w:val="en-US" w:eastAsia="zh-CN" w:bidi="zh-CN"/>
              </w:rPr>
              <w:t>(5)提供换鞋凳的检验（或检测）报告，报告中需包含：</w:t>
            </w:r>
          </w:p>
          <w:p w14:paraId="42226668">
            <w:pPr>
              <w:keepNext/>
              <w:tabs>
                <w:tab w:val="left" w:pos="432"/>
              </w:tabs>
              <w:jc w:val="left"/>
              <w:outlineLvl w:val="0"/>
              <w:rPr>
                <w:rFonts w:hint="eastAsia" w:ascii="宋体" w:hAnsi="宋体" w:eastAsia="宋体" w:cs="宋体"/>
                <w:color w:val="auto"/>
                <w:kern w:val="0"/>
                <w:sz w:val="24"/>
                <w:szCs w:val="24"/>
                <w:highlight w:val="none"/>
                <w:lang w:val="en-US" w:eastAsia="zh-CN" w:bidi="zh-CN"/>
              </w:rPr>
            </w:pPr>
            <w:r>
              <w:rPr>
                <w:rFonts w:hint="eastAsia" w:ascii="宋体" w:hAnsi="宋体" w:eastAsia="宋体" w:cs="宋体"/>
                <w:color w:val="auto"/>
                <w:kern w:val="0"/>
                <w:sz w:val="24"/>
                <w:szCs w:val="24"/>
                <w:highlight w:val="none"/>
                <w:lang w:val="en-US" w:eastAsia="zh-CN" w:bidi="zh-CN"/>
              </w:rPr>
              <w:t>①依据符合GB/T 35607-2024《绿色产品评价家具》标准，甲醛释放量≤0.035mg/m³、苯≤0.025mg/m³、甲苯≤0.05mg/m³、二甲苯≤0.05mg/m³、总挥发性有机化合物TVOC≤0.05mg/m³</w:t>
            </w:r>
          </w:p>
        </w:tc>
        <w:tc>
          <w:tcPr>
            <w:tcW w:w="269" w:type="pct"/>
            <w:vAlign w:val="center"/>
          </w:tcPr>
          <w:p w14:paraId="7B5AB46E">
            <w:pPr>
              <w:spacing w:line="288" w:lineRule="auto"/>
              <w:jc w:val="center"/>
              <w:rPr>
                <w:rFonts w:hint="eastAsia" w:ascii="宋体" w:hAnsi="宋体" w:cs="宋体"/>
                <w:bCs/>
                <w:color w:val="auto"/>
                <w:kern w:val="0"/>
                <w:sz w:val="24"/>
                <w:szCs w:val="24"/>
                <w:highlight w:val="none"/>
              </w:rPr>
            </w:pPr>
          </w:p>
        </w:tc>
      </w:tr>
      <w:tr w14:paraId="735881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324" w:type="pct"/>
            <w:vAlign w:val="center"/>
          </w:tcPr>
          <w:p w14:paraId="48C91784">
            <w:pPr>
              <w:spacing w:line="288" w:lineRule="auto"/>
              <w:jc w:val="center"/>
              <w:rPr>
                <w:rFonts w:hint="eastAsia" w:ascii="宋体" w:hAnsi="宋体" w:eastAsia="宋体" w:cs="宋体"/>
                <w:color w:val="auto"/>
                <w:kern w:val="0"/>
                <w:sz w:val="20"/>
                <w:szCs w:val="21"/>
                <w:highlight w:val="none"/>
              </w:rPr>
            </w:pPr>
          </w:p>
        </w:tc>
        <w:tc>
          <w:tcPr>
            <w:tcW w:w="801" w:type="pct"/>
            <w:vAlign w:val="center"/>
          </w:tcPr>
          <w:p w14:paraId="15C60FC5">
            <w:pPr>
              <w:pStyle w:val="9"/>
              <w:numPr>
                <w:ilvl w:val="0"/>
                <w:numId w:val="0"/>
              </w:numPr>
              <w:spacing w:line="360" w:lineRule="auto"/>
              <w:rPr>
                <w:rFonts w:hint="eastAsia" w:ascii="宋体" w:hAnsi="宋体" w:cs="宋体"/>
                <w:bCs/>
                <w:color w:val="auto"/>
                <w:kern w:val="0"/>
                <w:sz w:val="24"/>
                <w:szCs w:val="24"/>
                <w:highlight w:val="none"/>
                <w:lang w:eastAsia="zh-CN"/>
              </w:rPr>
            </w:pPr>
          </w:p>
        </w:tc>
        <w:tc>
          <w:tcPr>
            <w:tcW w:w="1808" w:type="pct"/>
            <w:vAlign w:val="center"/>
          </w:tcPr>
          <w:p w14:paraId="592590F0">
            <w:pPr>
              <w:keepNext/>
              <w:tabs>
                <w:tab w:val="left" w:pos="432"/>
              </w:tabs>
              <w:jc w:val="left"/>
              <w:outlineLvl w:val="0"/>
              <w:rPr>
                <w:rFonts w:hint="eastAsia" w:ascii="宋体" w:hAnsi="宋体" w:eastAsia="宋体" w:cs="宋体"/>
                <w:color w:val="auto"/>
                <w:kern w:val="0"/>
                <w:sz w:val="24"/>
                <w:szCs w:val="24"/>
                <w:highlight w:val="none"/>
                <w:lang w:val="zh-CN" w:bidi="zh-CN"/>
              </w:rPr>
            </w:pPr>
            <w:r>
              <w:rPr>
                <w:rFonts w:hint="eastAsia" w:ascii="宋体" w:hAnsi="宋体" w:eastAsia="宋体" w:cs="宋体"/>
                <w:color w:val="auto"/>
                <w:kern w:val="0"/>
                <w:sz w:val="24"/>
                <w:szCs w:val="24"/>
                <w:highlight w:val="none"/>
                <w:lang w:val="zh-CN" w:bidi="zh-CN"/>
              </w:rPr>
              <w:t>(6)提供医用货架的检验（或检测）报告，报告中需包含：</w:t>
            </w:r>
          </w:p>
          <w:p w14:paraId="3561F0E8">
            <w:pPr>
              <w:keepNext/>
              <w:tabs>
                <w:tab w:val="left" w:pos="432"/>
              </w:tabs>
              <w:jc w:val="left"/>
              <w:outlineLvl w:val="0"/>
              <w:rPr>
                <w:rFonts w:hint="eastAsia" w:ascii="宋体" w:hAnsi="宋体" w:eastAsia="宋体" w:cs="宋体"/>
                <w:color w:val="auto"/>
                <w:kern w:val="0"/>
                <w:sz w:val="24"/>
                <w:szCs w:val="24"/>
                <w:highlight w:val="none"/>
                <w:lang w:val="zh-CN" w:bidi="zh-CN"/>
              </w:rPr>
            </w:pPr>
            <w:r>
              <w:rPr>
                <w:rFonts w:hint="eastAsia" w:ascii="宋体" w:hAnsi="宋体" w:eastAsia="宋体" w:cs="宋体"/>
                <w:color w:val="auto"/>
                <w:kern w:val="0"/>
                <w:sz w:val="24"/>
                <w:szCs w:val="24"/>
                <w:highlight w:val="none"/>
                <w:lang w:val="zh-CN" w:bidi="zh-CN"/>
              </w:rPr>
              <w:t>①依据符合GB/T35607-2024《绿色产品评价 家具》标准，甲醛释放量≤0.035mg/m³、苯≤0.025mg/m³、甲苯≤0.05mg/m³、二甲苯≤0.05mg/m³、总挥发性有机化合物TVOC≤0.05mg/m³；</w:t>
            </w:r>
          </w:p>
          <w:p w14:paraId="5FCD3955">
            <w:pPr>
              <w:keepNext/>
              <w:tabs>
                <w:tab w:val="left" w:pos="432"/>
              </w:tabs>
              <w:jc w:val="left"/>
              <w:outlineLvl w:val="0"/>
              <w:rPr>
                <w:rFonts w:hint="eastAsia" w:ascii="宋体" w:hAnsi="宋体" w:eastAsia="宋体" w:cs="宋体"/>
                <w:color w:val="auto"/>
                <w:kern w:val="0"/>
                <w:sz w:val="24"/>
                <w:szCs w:val="24"/>
                <w:highlight w:val="none"/>
                <w:lang w:val="zh-CN" w:bidi="zh-CN"/>
              </w:rPr>
            </w:pPr>
            <w:r>
              <w:rPr>
                <w:rFonts w:hint="eastAsia" w:ascii="宋体" w:hAnsi="宋体" w:eastAsia="宋体" w:cs="宋体"/>
                <w:color w:val="auto"/>
                <w:kern w:val="0"/>
                <w:sz w:val="24"/>
                <w:szCs w:val="24"/>
                <w:highlight w:val="none"/>
                <w:lang w:val="zh-CN" w:bidi="zh-CN"/>
              </w:rPr>
              <w:t>②依据符合GB/T 3325-2024《金属家具通用技术条件》标准，理化性能耐盐浴100h划道两侧3mm外，应无鼓泡、锈蚀、剥落和起皱等现象。</w:t>
            </w:r>
          </w:p>
          <w:p w14:paraId="253360A0">
            <w:pPr>
              <w:keepNext/>
              <w:tabs>
                <w:tab w:val="left" w:pos="432"/>
              </w:tabs>
              <w:jc w:val="left"/>
              <w:outlineLvl w:val="0"/>
              <w:rPr>
                <w:rFonts w:hint="eastAsia" w:ascii="宋体" w:hAnsi="宋体" w:eastAsia="宋体" w:cs="宋体"/>
                <w:color w:val="auto"/>
                <w:kern w:val="0"/>
                <w:sz w:val="24"/>
                <w:szCs w:val="24"/>
                <w:highlight w:val="none"/>
                <w:lang w:val="zh-CN" w:bidi="zh-CN"/>
              </w:rPr>
            </w:pPr>
            <w:r>
              <w:rPr>
                <w:rFonts w:hint="eastAsia" w:ascii="宋体" w:hAnsi="宋体" w:eastAsia="宋体" w:cs="宋体"/>
                <w:color w:val="auto"/>
                <w:kern w:val="0"/>
                <w:sz w:val="24"/>
                <w:szCs w:val="24"/>
                <w:highlight w:val="none"/>
                <w:lang w:val="zh-CN" w:bidi="zh-CN"/>
              </w:rPr>
              <w:t>③依据符合GB/T11345-2023《焊缝无损检测超声检测技术、检测等级和评定》标准，通过焊缝无损等级检测，未发现缺陷。</w:t>
            </w:r>
          </w:p>
          <w:p w14:paraId="3608224D">
            <w:pPr>
              <w:keepNext/>
              <w:tabs>
                <w:tab w:val="left" w:pos="432"/>
              </w:tabs>
              <w:jc w:val="left"/>
              <w:outlineLvl w:val="0"/>
              <w:rPr>
                <w:rFonts w:hint="eastAsia" w:ascii="宋体" w:hAnsi="宋体" w:eastAsia="宋体" w:cs="宋体"/>
                <w:color w:val="auto"/>
                <w:kern w:val="0"/>
                <w:sz w:val="24"/>
                <w:szCs w:val="24"/>
                <w:highlight w:val="none"/>
                <w:lang w:val="zh-CN" w:bidi="zh-CN"/>
              </w:rPr>
            </w:pPr>
            <w:r>
              <w:rPr>
                <w:rFonts w:hint="eastAsia" w:ascii="宋体" w:hAnsi="宋体" w:eastAsia="宋体" w:cs="宋体"/>
                <w:color w:val="auto"/>
                <w:kern w:val="0"/>
                <w:sz w:val="24"/>
                <w:szCs w:val="24"/>
                <w:highlight w:val="none"/>
                <w:lang w:val="zh-CN" w:bidi="zh-CN"/>
              </w:rPr>
              <w:t>④QB/T 3832-1999《轻工产品金属镀层腐蚀试验结果的评价》、QB/T 3827-1999《轻工产品金属镀层和化学处理层的耐腐蚀试验方法乙酸盐雾试验(ASS)法》标准；乙酸盐雾试验≥200h;镀（涂）层对基体的保护等级≥9级；镀（涂）层本身耐腐蚀等级≥9级；</w:t>
            </w:r>
          </w:p>
        </w:tc>
        <w:tc>
          <w:tcPr>
            <w:tcW w:w="1796" w:type="pct"/>
            <w:vAlign w:val="center"/>
          </w:tcPr>
          <w:p w14:paraId="4B055B28">
            <w:pPr>
              <w:keepNext/>
              <w:tabs>
                <w:tab w:val="left" w:pos="432"/>
              </w:tabs>
              <w:jc w:val="left"/>
              <w:outlineLvl w:val="0"/>
              <w:rPr>
                <w:rFonts w:hint="eastAsia" w:ascii="宋体" w:hAnsi="宋体" w:eastAsia="宋体" w:cs="宋体"/>
                <w:color w:val="auto"/>
                <w:kern w:val="0"/>
                <w:sz w:val="24"/>
                <w:szCs w:val="24"/>
                <w:highlight w:val="none"/>
                <w:lang w:val="en-US" w:eastAsia="zh-CN" w:bidi="zh-CN"/>
              </w:rPr>
            </w:pPr>
            <w:r>
              <w:rPr>
                <w:rFonts w:hint="eastAsia" w:ascii="宋体" w:hAnsi="宋体" w:eastAsia="宋体" w:cs="宋体"/>
                <w:color w:val="auto"/>
                <w:kern w:val="0"/>
                <w:sz w:val="24"/>
                <w:szCs w:val="24"/>
                <w:highlight w:val="none"/>
                <w:lang w:val="en-US" w:eastAsia="zh-CN" w:bidi="zh-CN"/>
              </w:rPr>
              <w:t>(6)提供医用货架的检验（或检测）报告，报告中需包含：</w:t>
            </w:r>
          </w:p>
          <w:p w14:paraId="0C12A193">
            <w:pPr>
              <w:keepNext/>
              <w:tabs>
                <w:tab w:val="left" w:pos="432"/>
              </w:tabs>
              <w:jc w:val="left"/>
              <w:outlineLvl w:val="0"/>
              <w:rPr>
                <w:rFonts w:hint="eastAsia" w:ascii="宋体" w:hAnsi="宋体" w:eastAsia="宋体" w:cs="宋体"/>
                <w:color w:val="auto"/>
                <w:kern w:val="0"/>
                <w:sz w:val="24"/>
                <w:szCs w:val="24"/>
                <w:highlight w:val="none"/>
                <w:lang w:val="en-US" w:eastAsia="zh-CN" w:bidi="zh-CN"/>
              </w:rPr>
            </w:pPr>
            <w:r>
              <w:rPr>
                <w:rFonts w:hint="eastAsia" w:ascii="宋体" w:hAnsi="宋体" w:eastAsia="宋体" w:cs="宋体"/>
                <w:color w:val="auto"/>
                <w:kern w:val="0"/>
                <w:sz w:val="24"/>
                <w:szCs w:val="24"/>
                <w:highlight w:val="none"/>
                <w:lang w:val="en-US" w:eastAsia="zh-CN" w:bidi="zh-CN"/>
              </w:rPr>
              <w:t>①依据符合GB/T35607-2024《绿色产品评价 家具》标准，甲醛释放量≤0.035mg/m³、苯≤0.025mg/m³、甲苯≤0.05mg/m³、二甲苯≤0.05mg/m³、总挥发性有机化合物TVOC≤0.05mg/m³；</w:t>
            </w:r>
          </w:p>
          <w:p w14:paraId="6110C717">
            <w:pPr>
              <w:keepNext/>
              <w:tabs>
                <w:tab w:val="left" w:pos="432"/>
              </w:tabs>
              <w:jc w:val="left"/>
              <w:outlineLvl w:val="0"/>
              <w:rPr>
                <w:rFonts w:hint="eastAsia" w:ascii="宋体" w:hAnsi="宋体" w:eastAsia="宋体" w:cs="宋体"/>
                <w:color w:val="auto"/>
                <w:kern w:val="0"/>
                <w:sz w:val="24"/>
                <w:szCs w:val="24"/>
                <w:highlight w:val="none"/>
                <w:lang w:val="en-US" w:eastAsia="zh-CN" w:bidi="zh-CN"/>
              </w:rPr>
            </w:pPr>
            <w:r>
              <w:rPr>
                <w:rFonts w:hint="eastAsia" w:ascii="宋体" w:hAnsi="宋体" w:eastAsia="宋体" w:cs="宋体"/>
                <w:color w:val="auto"/>
                <w:kern w:val="0"/>
                <w:sz w:val="24"/>
                <w:szCs w:val="24"/>
                <w:highlight w:val="none"/>
                <w:lang w:val="en-US" w:eastAsia="zh-CN" w:bidi="zh-CN"/>
              </w:rPr>
              <w:t>②依据符合GB/T 3325-2024《金属家具通用技术条件》标准，理化性能耐盐浴100h划道两侧3mm外，应无鼓泡、锈蚀、剥落和起皱等现象。</w:t>
            </w:r>
          </w:p>
        </w:tc>
        <w:tc>
          <w:tcPr>
            <w:tcW w:w="269" w:type="pct"/>
            <w:vAlign w:val="center"/>
          </w:tcPr>
          <w:p w14:paraId="4319B809">
            <w:pPr>
              <w:spacing w:line="288" w:lineRule="auto"/>
              <w:jc w:val="center"/>
              <w:rPr>
                <w:rFonts w:hint="eastAsia" w:ascii="宋体" w:hAnsi="宋体" w:cs="宋体"/>
                <w:bCs/>
                <w:color w:val="auto"/>
                <w:kern w:val="0"/>
                <w:sz w:val="24"/>
                <w:szCs w:val="24"/>
                <w:highlight w:val="none"/>
              </w:rPr>
            </w:pPr>
          </w:p>
        </w:tc>
      </w:tr>
      <w:tr w14:paraId="20CCE9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324" w:type="pct"/>
            <w:vAlign w:val="center"/>
          </w:tcPr>
          <w:p w14:paraId="0FDD49AD">
            <w:pPr>
              <w:spacing w:line="288" w:lineRule="auto"/>
              <w:jc w:val="center"/>
              <w:rPr>
                <w:rFonts w:hint="eastAsia" w:ascii="宋体" w:hAnsi="宋体" w:eastAsia="宋体" w:cs="宋体"/>
                <w:color w:val="auto"/>
                <w:kern w:val="0"/>
                <w:sz w:val="20"/>
                <w:szCs w:val="21"/>
                <w:highlight w:val="none"/>
              </w:rPr>
            </w:pPr>
          </w:p>
        </w:tc>
        <w:tc>
          <w:tcPr>
            <w:tcW w:w="801" w:type="pct"/>
            <w:vAlign w:val="center"/>
          </w:tcPr>
          <w:p w14:paraId="3EF8628C">
            <w:pPr>
              <w:pStyle w:val="9"/>
              <w:numPr>
                <w:ilvl w:val="0"/>
                <w:numId w:val="0"/>
              </w:numPr>
              <w:spacing w:line="360" w:lineRule="auto"/>
              <w:rPr>
                <w:rFonts w:hint="eastAsia" w:ascii="宋体" w:hAnsi="宋体" w:cs="宋体"/>
                <w:bCs/>
                <w:color w:val="auto"/>
                <w:kern w:val="0"/>
                <w:sz w:val="24"/>
                <w:szCs w:val="24"/>
                <w:highlight w:val="none"/>
                <w:lang w:eastAsia="zh-CN"/>
              </w:rPr>
            </w:pPr>
          </w:p>
        </w:tc>
        <w:tc>
          <w:tcPr>
            <w:tcW w:w="1808" w:type="pct"/>
            <w:vAlign w:val="center"/>
          </w:tcPr>
          <w:p w14:paraId="55D36905">
            <w:pPr>
              <w:keepNext/>
              <w:tabs>
                <w:tab w:val="left" w:pos="432"/>
              </w:tabs>
              <w:jc w:val="left"/>
              <w:outlineLvl w:val="0"/>
              <w:rPr>
                <w:rFonts w:hint="eastAsia" w:ascii="宋体" w:hAnsi="宋体" w:eastAsia="宋体" w:cs="宋体"/>
                <w:color w:val="auto"/>
                <w:kern w:val="0"/>
                <w:sz w:val="24"/>
                <w:szCs w:val="24"/>
                <w:highlight w:val="none"/>
                <w:lang w:val="zh-CN" w:bidi="zh-CN"/>
              </w:rPr>
            </w:pPr>
            <w:r>
              <w:rPr>
                <w:rFonts w:hint="eastAsia" w:ascii="宋体" w:hAnsi="宋体" w:eastAsia="宋体" w:cs="宋体"/>
                <w:color w:val="auto"/>
                <w:kern w:val="0"/>
                <w:sz w:val="24"/>
                <w:szCs w:val="24"/>
                <w:highlight w:val="none"/>
                <w:lang w:val="zh-CN" w:bidi="zh-CN"/>
              </w:rPr>
              <w:t>(7)提供会议桌的检验（或检测）报告，报告中需包含：</w:t>
            </w:r>
          </w:p>
          <w:p w14:paraId="0F1683DA">
            <w:pPr>
              <w:keepNext/>
              <w:tabs>
                <w:tab w:val="left" w:pos="432"/>
              </w:tabs>
              <w:jc w:val="left"/>
              <w:outlineLvl w:val="0"/>
              <w:rPr>
                <w:rFonts w:hint="eastAsia" w:ascii="宋体" w:hAnsi="宋体" w:eastAsia="宋体" w:cs="宋体"/>
                <w:color w:val="auto"/>
                <w:kern w:val="0"/>
                <w:sz w:val="24"/>
                <w:szCs w:val="24"/>
                <w:highlight w:val="none"/>
                <w:lang w:val="zh-CN" w:bidi="zh-CN"/>
              </w:rPr>
            </w:pPr>
            <w:r>
              <w:rPr>
                <w:rFonts w:hint="eastAsia" w:ascii="宋体" w:hAnsi="宋体" w:eastAsia="宋体" w:cs="宋体"/>
                <w:color w:val="auto"/>
                <w:kern w:val="0"/>
                <w:sz w:val="24"/>
                <w:szCs w:val="24"/>
                <w:highlight w:val="none"/>
                <w:lang w:val="zh-CN" w:bidi="zh-CN"/>
              </w:rPr>
              <w:t>①依据符合GB/T35607-2024《绿色产品评价 家具》标准；产品有害物质：甲醛释放量≤0.035mg/m³、苯≤0.025mg/m³、甲苯≤0.05mg/m³、二甲苯≤0.05mg/m³、总挥发性有机化合物TVOC≤0.05mg/m³；</w:t>
            </w:r>
          </w:p>
          <w:p w14:paraId="3C4ED366">
            <w:pPr>
              <w:keepNext/>
              <w:tabs>
                <w:tab w:val="left" w:pos="432"/>
              </w:tabs>
              <w:jc w:val="left"/>
              <w:outlineLvl w:val="0"/>
              <w:rPr>
                <w:rFonts w:hint="eastAsia" w:ascii="宋体" w:hAnsi="宋体" w:eastAsia="宋体" w:cs="宋体"/>
                <w:color w:val="auto"/>
                <w:kern w:val="0"/>
                <w:sz w:val="24"/>
                <w:szCs w:val="24"/>
                <w:highlight w:val="none"/>
                <w:lang w:val="zh-CN" w:bidi="zh-CN"/>
              </w:rPr>
            </w:pPr>
            <w:r>
              <w:rPr>
                <w:rFonts w:hint="eastAsia" w:ascii="宋体" w:hAnsi="宋体" w:eastAsia="宋体" w:cs="宋体"/>
                <w:color w:val="auto"/>
                <w:kern w:val="0"/>
                <w:sz w:val="24"/>
                <w:szCs w:val="24"/>
                <w:highlight w:val="none"/>
                <w:lang w:val="zh-CN" w:bidi="zh-CN"/>
              </w:rPr>
              <w:t>②依据符合QB/T 3827-1999《轻工产品金属镀层和化学处理层的耐腐蚀试验方法乙酸盐雾试验(ASS)法》、QB/T 3832-1999《轻工产品金属镀层腐蚀试验结果的评价》标准；乙酸盐雾≥200h，镀（涂）层对基本的保护等级≥9级；镀（涂）层本身耐腐蚀≥9级。</w:t>
            </w:r>
          </w:p>
        </w:tc>
        <w:tc>
          <w:tcPr>
            <w:tcW w:w="1796" w:type="pct"/>
            <w:vAlign w:val="center"/>
          </w:tcPr>
          <w:p w14:paraId="402514F8">
            <w:pPr>
              <w:keepNext/>
              <w:tabs>
                <w:tab w:val="left" w:pos="432"/>
              </w:tabs>
              <w:jc w:val="left"/>
              <w:outlineLvl w:val="0"/>
              <w:rPr>
                <w:rFonts w:hint="eastAsia" w:ascii="宋体" w:hAnsi="宋体" w:eastAsia="宋体" w:cs="宋体"/>
                <w:color w:val="auto"/>
                <w:kern w:val="0"/>
                <w:sz w:val="24"/>
                <w:szCs w:val="24"/>
                <w:highlight w:val="none"/>
                <w:lang w:val="en-US" w:eastAsia="zh-CN" w:bidi="zh-CN"/>
              </w:rPr>
            </w:pPr>
            <w:r>
              <w:rPr>
                <w:rFonts w:hint="eastAsia" w:ascii="宋体" w:hAnsi="宋体" w:eastAsia="宋体" w:cs="宋体"/>
                <w:color w:val="auto"/>
                <w:kern w:val="0"/>
                <w:sz w:val="24"/>
                <w:szCs w:val="24"/>
                <w:highlight w:val="none"/>
                <w:lang w:val="en-US" w:eastAsia="zh-CN" w:bidi="zh-CN"/>
              </w:rPr>
              <w:t>(7)提供会议桌的检验（或检测）报告，报告中需包含：</w:t>
            </w:r>
          </w:p>
          <w:p w14:paraId="5AD39E84">
            <w:pPr>
              <w:keepNext/>
              <w:tabs>
                <w:tab w:val="left" w:pos="432"/>
              </w:tabs>
              <w:jc w:val="left"/>
              <w:outlineLvl w:val="0"/>
              <w:rPr>
                <w:rFonts w:hint="eastAsia" w:ascii="宋体" w:hAnsi="宋体" w:eastAsia="宋体" w:cs="宋体"/>
                <w:color w:val="auto"/>
                <w:kern w:val="0"/>
                <w:sz w:val="24"/>
                <w:szCs w:val="24"/>
                <w:highlight w:val="none"/>
                <w:lang w:val="en-US" w:eastAsia="zh-CN" w:bidi="zh-CN"/>
              </w:rPr>
            </w:pPr>
            <w:r>
              <w:rPr>
                <w:rFonts w:hint="eastAsia" w:ascii="宋体" w:hAnsi="宋体" w:eastAsia="宋体" w:cs="宋体"/>
                <w:color w:val="auto"/>
                <w:kern w:val="0"/>
                <w:sz w:val="24"/>
                <w:szCs w:val="24"/>
                <w:highlight w:val="none"/>
                <w:lang w:val="en-US" w:eastAsia="zh-CN" w:bidi="zh-CN"/>
              </w:rPr>
              <w:t>①依据符合GB/T35607-2024《绿色产品评价 家具》标准；产品有害物质：甲醛释放量≤0.035mg/m³、苯≤0.025mg/m³、甲苯≤0.05mg/m³、二甲苯≤0.05mg/m³、总挥发性有机化合物TVOC≤0.05mg/m³；</w:t>
            </w:r>
          </w:p>
        </w:tc>
        <w:tc>
          <w:tcPr>
            <w:tcW w:w="269" w:type="pct"/>
            <w:vAlign w:val="center"/>
          </w:tcPr>
          <w:p w14:paraId="122D4A47">
            <w:pPr>
              <w:spacing w:line="288" w:lineRule="auto"/>
              <w:jc w:val="center"/>
              <w:rPr>
                <w:rFonts w:hint="eastAsia" w:ascii="宋体" w:hAnsi="宋体" w:cs="宋体"/>
                <w:bCs/>
                <w:color w:val="auto"/>
                <w:kern w:val="0"/>
                <w:sz w:val="24"/>
                <w:szCs w:val="24"/>
                <w:highlight w:val="none"/>
              </w:rPr>
            </w:pPr>
          </w:p>
        </w:tc>
      </w:tr>
      <w:tr w14:paraId="237903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324" w:type="pct"/>
            <w:vAlign w:val="center"/>
          </w:tcPr>
          <w:p w14:paraId="0FABDAE5">
            <w:pPr>
              <w:spacing w:line="288" w:lineRule="auto"/>
              <w:jc w:val="center"/>
              <w:rPr>
                <w:rFonts w:hint="eastAsia" w:ascii="宋体" w:hAnsi="宋体" w:eastAsia="宋体" w:cs="宋体"/>
                <w:color w:val="auto"/>
                <w:kern w:val="0"/>
                <w:sz w:val="20"/>
                <w:szCs w:val="21"/>
                <w:highlight w:val="none"/>
              </w:rPr>
            </w:pPr>
          </w:p>
        </w:tc>
        <w:tc>
          <w:tcPr>
            <w:tcW w:w="801" w:type="pct"/>
            <w:vAlign w:val="center"/>
          </w:tcPr>
          <w:p w14:paraId="463D197B">
            <w:pPr>
              <w:pStyle w:val="9"/>
              <w:numPr>
                <w:ilvl w:val="0"/>
                <w:numId w:val="0"/>
              </w:numPr>
              <w:spacing w:line="360" w:lineRule="auto"/>
              <w:rPr>
                <w:rFonts w:hint="eastAsia" w:ascii="宋体" w:hAnsi="宋体" w:cs="宋体"/>
                <w:bCs/>
                <w:color w:val="auto"/>
                <w:kern w:val="0"/>
                <w:sz w:val="24"/>
                <w:szCs w:val="24"/>
                <w:highlight w:val="none"/>
                <w:lang w:eastAsia="zh-CN"/>
              </w:rPr>
            </w:pPr>
          </w:p>
        </w:tc>
        <w:tc>
          <w:tcPr>
            <w:tcW w:w="1808" w:type="pct"/>
            <w:vAlign w:val="center"/>
          </w:tcPr>
          <w:p w14:paraId="67B3F6E3">
            <w:pPr>
              <w:keepNext/>
              <w:tabs>
                <w:tab w:val="left" w:pos="432"/>
              </w:tabs>
              <w:jc w:val="left"/>
              <w:outlineLvl w:val="0"/>
              <w:rPr>
                <w:rFonts w:hint="eastAsia" w:ascii="宋体" w:hAnsi="宋体" w:eastAsia="宋体" w:cs="宋体"/>
                <w:color w:val="auto"/>
                <w:kern w:val="0"/>
                <w:sz w:val="24"/>
                <w:szCs w:val="24"/>
                <w:highlight w:val="none"/>
                <w:lang w:val="zh-CN" w:bidi="zh-CN"/>
              </w:rPr>
            </w:pPr>
            <w:r>
              <w:rPr>
                <w:rFonts w:hint="eastAsia" w:ascii="宋体" w:hAnsi="宋体" w:eastAsia="宋体" w:cs="宋体"/>
                <w:color w:val="auto"/>
                <w:kern w:val="0"/>
                <w:sz w:val="24"/>
                <w:szCs w:val="24"/>
                <w:highlight w:val="none"/>
                <w:lang w:val="zh-CN" w:bidi="zh-CN"/>
              </w:rPr>
              <w:t>(11)提供值班床的检验（或检测）报告，报告中需包含：</w:t>
            </w:r>
          </w:p>
          <w:p w14:paraId="63940C67">
            <w:pPr>
              <w:keepNext/>
              <w:tabs>
                <w:tab w:val="left" w:pos="432"/>
              </w:tabs>
              <w:jc w:val="left"/>
              <w:outlineLvl w:val="0"/>
              <w:rPr>
                <w:rFonts w:hint="eastAsia" w:ascii="宋体" w:hAnsi="宋体" w:eastAsia="宋体" w:cs="宋体"/>
                <w:color w:val="auto"/>
                <w:kern w:val="0"/>
                <w:sz w:val="24"/>
                <w:szCs w:val="24"/>
                <w:highlight w:val="none"/>
                <w:lang w:val="zh-CN" w:bidi="zh-CN"/>
              </w:rPr>
            </w:pPr>
            <w:r>
              <w:rPr>
                <w:rFonts w:hint="eastAsia" w:ascii="宋体" w:hAnsi="宋体" w:eastAsia="宋体" w:cs="宋体"/>
                <w:color w:val="auto"/>
                <w:kern w:val="0"/>
                <w:sz w:val="24"/>
                <w:szCs w:val="24"/>
                <w:highlight w:val="none"/>
                <w:lang w:val="zh-CN" w:bidi="zh-CN"/>
              </w:rPr>
              <w:t>①依据符合GB/T35607-2024《绿色产品评价家具》标准，甲醛释放量≤0.05mg/m³；苯≤0.03mg/m³、甲苯≤0.08mg/m³、二甲苯≤0.10mg/m³、TVOC≤0.25mg/m³；</w:t>
            </w:r>
          </w:p>
          <w:p w14:paraId="29FC16D8">
            <w:pPr>
              <w:keepNext/>
              <w:tabs>
                <w:tab w:val="left" w:pos="432"/>
              </w:tabs>
              <w:jc w:val="left"/>
              <w:outlineLvl w:val="0"/>
              <w:rPr>
                <w:rFonts w:hint="eastAsia" w:ascii="宋体" w:hAnsi="宋体" w:eastAsia="宋体" w:cs="宋体"/>
                <w:color w:val="auto"/>
                <w:kern w:val="0"/>
                <w:sz w:val="24"/>
                <w:szCs w:val="24"/>
                <w:highlight w:val="none"/>
                <w:lang w:val="zh-CN" w:bidi="zh-CN"/>
              </w:rPr>
            </w:pPr>
            <w:r>
              <w:rPr>
                <w:rFonts w:hint="eastAsia" w:ascii="宋体" w:hAnsi="宋体" w:eastAsia="宋体" w:cs="宋体"/>
                <w:color w:val="auto"/>
                <w:kern w:val="0"/>
                <w:sz w:val="24"/>
                <w:szCs w:val="24"/>
                <w:highlight w:val="none"/>
                <w:lang w:val="zh-CN" w:bidi="zh-CN"/>
              </w:rPr>
              <w:t>②依据符合GB/T 10125-2021《人造气氛腐蚀试验 盐雾试验》、QB/T 3832-1999《轻工产品金属镀层腐蚀试验结果的评价》、GB/T6461-2002《金属基体上金属和其他无机覆盖层经腐蚀试验后的试样和试件的评级》标准，耐腐蚀试验。乙酸盐雾试验≥18h,保护评级、外观评级均≥9级；涂（镀）层本身的耐腐蚀等级、对基体的保护等级≥9级；</w:t>
            </w:r>
          </w:p>
          <w:p w14:paraId="37CF31F4">
            <w:pPr>
              <w:keepNext/>
              <w:tabs>
                <w:tab w:val="left" w:pos="432"/>
              </w:tabs>
              <w:jc w:val="left"/>
              <w:outlineLvl w:val="0"/>
              <w:rPr>
                <w:rFonts w:hint="eastAsia" w:ascii="宋体" w:hAnsi="宋体" w:eastAsia="宋体" w:cs="宋体"/>
                <w:color w:val="auto"/>
                <w:kern w:val="0"/>
                <w:sz w:val="24"/>
                <w:szCs w:val="24"/>
                <w:highlight w:val="none"/>
                <w:lang w:val="zh-CN" w:bidi="zh-CN"/>
              </w:rPr>
            </w:pPr>
            <w:r>
              <w:rPr>
                <w:rFonts w:hint="eastAsia" w:ascii="宋体" w:hAnsi="宋体" w:eastAsia="宋体" w:cs="宋体"/>
                <w:color w:val="auto"/>
                <w:kern w:val="0"/>
                <w:sz w:val="24"/>
                <w:szCs w:val="24"/>
                <w:highlight w:val="none"/>
                <w:lang w:val="zh-CN" w:bidi="zh-CN"/>
              </w:rPr>
              <w:t>③依据符合WS/T 650-2019《抗菌和抑菌效果评价方法》标准，通过抗菌效果（抗菌性能）检测；</w:t>
            </w:r>
          </w:p>
        </w:tc>
        <w:tc>
          <w:tcPr>
            <w:tcW w:w="1796" w:type="pct"/>
            <w:vAlign w:val="center"/>
          </w:tcPr>
          <w:p w14:paraId="0AAFDEA1">
            <w:pPr>
              <w:keepNext/>
              <w:tabs>
                <w:tab w:val="left" w:pos="432"/>
              </w:tabs>
              <w:jc w:val="left"/>
              <w:outlineLvl w:val="0"/>
              <w:rPr>
                <w:rFonts w:hint="eastAsia" w:ascii="宋体" w:hAnsi="宋体" w:eastAsia="宋体" w:cs="宋体"/>
                <w:color w:val="auto"/>
                <w:kern w:val="0"/>
                <w:sz w:val="24"/>
                <w:szCs w:val="24"/>
                <w:highlight w:val="none"/>
                <w:lang w:val="en-US" w:eastAsia="zh-CN" w:bidi="zh-CN"/>
              </w:rPr>
            </w:pPr>
            <w:r>
              <w:rPr>
                <w:rFonts w:hint="eastAsia" w:ascii="宋体" w:hAnsi="宋体" w:eastAsia="宋体" w:cs="宋体"/>
                <w:color w:val="auto"/>
                <w:kern w:val="0"/>
                <w:sz w:val="24"/>
                <w:szCs w:val="24"/>
                <w:highlight w:val="none"/>
                <w:lang w:val="en-US" w:eastAsia="zh-CN" w:bidi="zh-CN"/>
              </w:rPr>
              <w:t>(11)提供值班床的检验（或检测）报告，报告中需包含：</w:t>
            </w:r>
          </w:p>
          <w:p w14:paraId="53F38529">
            <w:pPr>
              <w:keepNext/>
              <w:tabs>
                <w:tab w:val="left" w:pos="432"/>
              </w:tabs>
              <w:jc w:val="left"/>
              <w:outlineLvl w:val="0"/>
              <w:rPr>
                <w:rFonts w:hint="eastAsia" w:ascii="宋体" w:hAnsi="宋体" w:eastAsia="宋体" w:cs="宋体"/>
                <w:color w:val="auto"/>
                <w:kern w:val="0"/>
                <w:sz w:val="24"/>
                <w:szCs w:val="24"/>
                <w:highlight w:val="none"/>
                <w:lang w:val="en-US" w:eastAsia="zh-CN" w:bidi="zh-CN"/>
              </w:rPr>
            </w:pPr>
            <w:r>
              <w:rPr>
                <w:rFonts w:hint="eastAsia" w:ascii="宋体" w:hAnsi="宋体" w:eastAsia="宋体" w:cs="宋体"/>
                <w:color w:val="auto"/>
                <w:kern w:val="0"/>
                <w:sz w:val="24"/>
                <w:szCs w:val="24"/>
                <w:highlight w:val="none"/>
                <w:lang w:val="en-US" w:eastAsia="zh-CN" w:bidi="zh-CN"/>
              </w:rPr>
              <w:t>①依据符合GB/T35607-2024《绿色产品评价家具》标准，甲醛释放量≤0.05mg/m³；苯≤0.03mg/m³、甲苯≤0.08mg/m³、二甲苯≤0.10mg/m³、TVOC≤0.25mg/m³；</w:t>
            </w:r>
          </w:p>
        </w:tc>
        <w:tc>
          <w:tcPr>
            <w:tcW w:w="269" w:type="pct"/>
            <w:vAlign w:val="center"/>
          </w:tcPr>
          <w:p w14:paraId="5BD6F5C2">
            <w:pPr>
              <w:spacing w:line="288" w:lineRule="auto"/>
              <w:jc w:val="center"/>
              <w:rPr>
                <w:rFonts w:hint="eastAsia" w:ascii="宋体" w:hAnsi="宋体" w:cs="宋体"/>
                <w:bCs/>
                <w:color w:val="auto"/>
                <w:kern w:val="0"/>
                <w:sz w:val="24"/>
                <w:szCs w:val="24"/>
                <w:highlight w:val="none"/>
              </w:rPr>
            </w:pPr>
          </w:p>
        </w:tc>
      </w:tr>
      <w:tr w14:paraId="25911E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324" w:type="pct"/>
            <w:vAlign w:val="center"/>
          </w:tcPr>
          <w:p w14:paraId="02D830DA">
            <w:pPr>
              <w:spacing w:line="288" w:lineRule="auto"/>
              <w:jc w:val="center"/>
              <w:rPr>
                <w:rFonts w:hint="default" w:ascii="宋体" w:hAnsi="宋体" w:eastAsia="宋体" w:cs="宋体"/>
                <w:color w:val="auto"/>
                <w:kern w:val="0"/>
                <w:sz w:val="20"/>
                <w:szCs w:val="21"/>
                <w:highlight w:val="none"/>
                <w:lang w:val="en-US" w:eastAsia="zh-CN"/>
              </w:rPr>
            </w:pPr>
            <w:r>
              <w:rPr>
                <w:rFonts w:hint="eastAsia" w:ascii="宋体" w:hAnsi="宋体" w:eastAsia="宋体" w:cs="宋体"/>
                <w:color w:val="auto"/>
                <w:kern w:val="0"/>
                <w:sz w:val="20"/>
                <w:szCs w:val="21"/>
                <w:highlight w:val="none"/>
                <w:lang w:val="en-US" w:eastAsia="zh-CN"/>
              </w:rPr>
              <w:t>12</w:t>
            </w:r>
          </w:p>
        </w:tc>
        <w:tc>
          <w:tcPr>
            <w:tcW w:w="801" w:type="pct"/>
            <w:vAlign w:val="center"/>
          </w:tcPr>
          <w:p w14:paraId="0AADC652">
            <w:pPr>
              <w:pStyle w:val="9"/>
              <w:numPr>
                <w:ilvl w:val="0"/>
                <w:numId w:val="0"/>
              </w:numPr>
              <w:spacing w:line="360" w:lineRule="auto"/>
              <w:ind w:left="0" w:leftChars="0" w:firstLine="0" w:firstLineChars="0"/>
              <w:rPr>
                <w:rFonts w:hint="eastAsia" w:ascii="宋体" w:hAnsi="宋体" w:cs="宋体"/>
                <w:bCs/>
                <w:color w:val="auto"/>
                <w:kern w:val="0"/>
                <w:sz w:val="24"/>
                <w:szCs w:val="24"/>
                <w:highlight w:val="none"/>
                <w:lang w:eastAsia="zh-CN"/>
              </w:rPr>
            </w:pPr>
            <w:r>
              <w:rPr>
                <w:rFonts w:hint="eastAsia" w:ascii="宋体" w:hAnsi="宋体" w:cs="宋体"/>
                <w:bCs/>
                <w:color w:val="auto"/>
                <w:kern w:val="0"/>
                <w:sz w:val="24"/>
                <w:szCs w:val="24"/>
                <w:highlight w:val="none"/>
                <w:lang w:eastAsia="zh-CN"/>
              </w:rPr>
              <w:t>采购文件“第四部分 采购需求”-“十、检测报告”-“10.2采购包2”-“（二）原材料检测报告”</w:t>
            </w:r>
          </w:p>
        </w:tc>
        <w:tc>
          <w:tcPr>
            <w:tcW w:w="1808" w:type="pct"/>
            <w:vAlign w:val="center"/>
          </w:tcPr>
          <w:p w14:paraId="42191A00">
            <w:pPr>
              <w:keepNext/>
              <w:tabs>
                <w:tab w:val="left" w:pos="432"/>
              </w:tabs>
              <w:jc w:val="left"/>
              <w:outlineLvl w:val="0"/>
              <w:rPr>
                <w:rFonts w:hint="eastAsia" w:ascii="宋体" w:hAnsi="宋体" w:eastAsia="宋体" w:cs="宋体"/>
                <w:color w:val="auto"/>
                <w:kern w:val="0"/>
                <w:sz w:val="24"/>
                <w:szCs w:val="24"/>
                <w:highlight w:val="none"/>
                <w:lang w:val="zh-CN" w:bidi="zh-CN"/>
              </w:rPr>
            </w:pPr>
            <w:r>
              <w:rPr>
                <w:rFonts w:hint="eastAsia" w:ascii="宋体" w:hAnsi="宋体" w:eastAsia="宋体" w:cs="宋体"/>
                <w:color w:val="auto"/>
                <w:kern w:val="0"/>
                <w:sz w:val="24"/>
                <w:szCs w:val="24"/>
                <w:highlight w:val="none"/>
                <w:lang w:val="zh-CN" w:bidi="zh-CN"/>
              </w:rPr>
              <w:t>(3)提供粉末的检验（或检测）报告，报告中需包含：</w:t>
            </w:r>
          </w:p>
          <w:p w14:paraId="5B4CF982">
            <w:pPr>
              <w:keepNext/>
              <w:tabs>
                <w:tab w:val="left" w:pos="432"/>
              </w:tabs>
              <w:jc w:val="left"/>
              <w:outlineLvl w:val="0"/>
              <w:rPr>
                <w:rFonts w:hint="eastAsia" w:ascii="宋体" w:hAnsi="宋体" w:eastAsia="宋体" w:cs="宋体"/>
                <w:color w:val="auto"/>
                <w:kern w:val="0"/>
                <w:sz w:val="24"/>
                <w:szCs w:val="24"/>
                <w:highlight w:val="none"/>
                <w:lang w:val="zh-CN" w:bidi="zh-CN"/>
              </w:rPr>
            </w:pPr>
            <w:r>
              <w:rPr>
                <w:rFonts w:hint="eastAsia" w:ascii="宋体" w:hAnsi="宋体" w:eastAsia="宋体" w:cs="宋体"/>
                <w:color w:val="auto"/>
                <w:kern w:val="0"/>
                <w:sz w:val="24"/>
                <w:szCs w:val="24"/>
                <w:highlight w:val="none"/>
                <w:lang w:val="zh-CN" w:bidi="zh-CN"/>
              </w:rPr>
              <w:t>①依据符合HG/T 2006-2022《热固性和热塑性粉末涂料》标准；铅笔硬度（内聚破坏中擦伤）≥3H；弯曲试验≤2，涂层无开裂或从底材上剥落；耐湿性（室内用）≥120h无异常，耐沸水性（≥48h）无异常；耐酸性[3%（质量分数）盐酸溶液]≥120h无异常；耐碱性[5%（质量分数）氢氧化钠溶液]室内用≥120h无异常；通过耐人工气候老化性≥120h检测，无粉化、起泡、开裂、剥落等异常现象，杯突试验≥4mm；干附着力≤1级、沸水附着力≤1级、湿附着力≤1级；</w:t>
            </w:r>
          </w:p>
          <w:p w14:paraId="3AB61ED4">
            <w:pPr>
              <w:keepNext/>
              <w:tabs>
                <w:tab w:val="left" w:pos="432"/>
              </w:tabs>
              <w:jc w:val="left"/>
              <w:outlineLvl w:val="0"/>
              <w:rPr>
                <w:rFonts w:hint="eastAsia" w:ascii="宋体" w:hAnsi="宋体" w:eastAsia="宋体" w:cs="宋体"/>
                <w:color w:val="auto"/>
                <w:kern w:val="0"/>
                <w:sz w:val="24"/>
                <w:szCs w:val="24"/>
                <w:highlight w:val="none"/>
                <w:lang w:val="zh-CN" w:bidi="zh-CN"/>
              </w:rPr>
            </w:pPr>
            <w:r>
              <w:rPr>
                <w:rFonts w:hint="eastAsia" w:ascii="宋体" w:hAnsi="宋体" w:eastAsia="宋体" w:cs="宋体"/>
                <w:color w:val="auto"/>
                <w:kern w:val="0"/>
                <w:sz w:val="24"/>
                <w:szCs w:val="24"/>
                <w:highlight w:val="none"/>
                <w:lang w:val="zh-CN" w:bidi="zh-CN"/>
              </w:rPr>
              <w:t>②依据符合GB/T 35602-2017《绿色产品评价 涂料》标准；重金属元素含量：铅（Pb）≤15mg/kg；镉（Cd）≤15mg/kg；六价铬（Cr6+）≤15mg/kg；汞（Hg）≤15mg/kg；砷（As）≤15mg/kg；钡（Ba）≤15mg/kg；硒（Se）≤15mg/kg；锑（Sb）≤15mg/kg；钴（Co）≤15mg/kg；</w:t>
            </w:r>
          </w:p>
        </w:tc>
        <w:tc>
          <w:tcPr>
            <w:tcW w:w="1796" w:type="pct"/>
            <w:vAlign w:val="center"/>
          </w:tcPr>
          <w:p w14:paraId="4446DAC9">
            <w:pPr>
              <w:keepNext/>
              <w:tabs>
                <w:tab w:val="left" w:pos="432"/>
              </w:tabs>
              <w:jc w:val="left"/>
              <w:outlineLvl w:val="0"/>
              <w:rPr>
                <w:rFonts w:hint="eastAsia" w:ascii="宋体" w:hAnsi="宋体" w:eastAsia="宋体" w:cs="宋体"/>
                <w:color w:val="auto"/>
                <w:kern w:val="0"/>
                <w:sz w:val="24"/>
                <w:szCs w:val="24"/>
                <w:highlight w:val="none"/>
                <w:lang w:val="en-US" w:eastAsia="zh-CN" w:bidi="zh-CN"/>
              </w:rPr>
            </w:pPr>
            <w:r>
              <w:rPr>
                <w:rFonts w:hint="eastAsia" w:ascii="宋体" w:hAnsi="宋体" w:eastAsia="宋体" w:cs="宋体"/>
                <w:color w:val="auto"/>
                <w:kern w:val="0"/>
                <w:sz w:val="24"/>
                <w:szCs w:val="24"/>
                <w:highlight w:val="none"/>
                <w:lang w:val="en-US" w:eastAsia="zh-CN" w:bidi="zh-CN"/>
              </w:rPr>
              <w:t>(3)提供粉末的检验（或检测）报告，报告中需包含：</w:t>
            </w:r>
          </w:p>
          <w:p w14:paraId="0AFDDF03">
            <w:pPr>
              <w:keepNext/>
              <w:tabs>
                <w:tab w:val="left" w:pos="432"/>
              </w:tabs>
              <w:jc w:val="left"/>
              <w:outlineLvl w:val="0"/>
              <w:rPr>
                <w:rFonts w:hint="eastAsia" w:ascii="宋体" w:hAnsi="宋体" w:eastAsia="宋体" w:cs="宋体"/>
                <w:color w:val="auto"/>
                <w:kern w:val="0"/>
                <w:sz w:val="24"/>
                <w:szCs w:val="24"/>
                <w:highlight w:val="none"/>
                <w:lang w:val="en-US" w:eastAsia="zh-CN" w:bidi="zh-CN"/>
              </w:rPr>
            </w:pPr>
            <w:r>
              <w:rPr>
                <w:rFonts w:hint="eastAsia" w:ascii="宋体" w:hAnsi="宋体" w:eastAsia="宋体" w:cs="宋体"/>
                <w:color w:val="auto"/>
                <w:kern w:val="0"/>
                <w:sz w:val="24"/>
                <w:szCs w:val="24"/>
                <w:highlight w:val="none"/>
                <w:lang w:val="en-US" w:eastAsia="zh-CN" w:bidi="zh-CN"/>
              </w:rPr>
              <w:t>①依据符合GB/T 35602-2017《绿色产品评价 涂料》标准；重金属元素含量：铅（Pb）≤15mg/kg；镉（Cd）≤15mg/kg；六价铬（Cr6+）≤15mg/kg；汞（Hg）≤15mg/kg；砷（As）≤15mg/kg；钡（Ba）≤15mg/kg；硒（Se）≤15mg/kg；锑（Sb）≤15mg/kg；钴（Co）≤15mg/kg；</w:t>
            </w:r>
          </w:p>
        </w:tc>
        <w:tc>
          <w:tcPr>
            <w:tcW w:w="269" w:type="pct"/>
            <w:vAlign w:val="center"/>
          </w:tcPr>
          <w:p w14:paraId="4609EF22">
            <w:pPr>
              <w:spacing w:line="288" w:lineRule="auto"/>
              <w:jc w:val="center"/>
              <w:rPr>
                <w:rFonts w:hint="eastAsia" w:ascii="宋体" w:hAnsi="宋体" w:cs="宋体"/>
                <w:bCs/>
                <w:color w:val="auto"/>
                <w:kern w:val="0"/>
                <w:sz w:val="24"/>
                <w:szCs w:val="24"/>
                <w:highlight w:val="none"/>
              </w:rPr>
            </w:pPr>
            <w:r>
              <w:rPr>
                <w:rFonts w:hint="eastAsia" w:ascii="宋体" w:hAnsi="宋体" w:cs="宋体"/>
                <w:bCs/>
                <w:color w:val="auto"/>
                <w:kern w:val="0"/>
                <w:sz w:val="24"/>
                <w:szCs w:val="24"/>
                <w:highlight w:val="none"/>
              </w:rPr>
              <w:t>检验报告和评分办法同步</w:t>
            </w:r>
            <w:r>
              <w:rPr>
                <w:rFonts w:hint="eastAsia" w:ascii="宋体" w:hAnsi="宋体" w:cs="宋体"/>
                <w:bCs/>
                <w:color w:val="auto"/>
                <w:kern w:val="0"/>
                <w:sz w:val="24"/>
                <w:szCs w:val="24"/>
                <w:highlight w:val="none"/>
                <w:lang w:eastAsia="zh-CN"/>
              </w:rPr>
              <w:t>更正</w:t>
            </w:r>
          </w:p>
        </w:tc>
      </w:tr>
      <w:tr w14:paraId="1A3F17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324" w:type="pct"/>
            <w:vAlign w:val="center"/>
          </w:tcPr>
          <w:p w14:paraId="10B22F05">
            <w:pPr>
              <w:spacing w:line="288" w:lineRule="auto"/>
              <w:jc w:val="center"/>
              <w:rPr>
                <w:rFonts w:hint="default" w:ascii="宋体" w:hAnsi="宋体" w:eastAsia="宋体" w:cs="宋体"/>
                <w:color w:val="auto"/>
                <w:kern w:val="0"/>
                <w:sz w:val="20"/>
                <w:szCs w:val="21"/>
                <w:highlight w:val="none"/>
                <w:lang w:val="en-US" w:eastAsia="zh-CN"/>
              </w:rPr>
            </w:pPr>
          </w:p>
        </w:tc>
        <w:tc>
          <w:tcPr>
            <w:tcW w:w="801" w:type="pct"/>
            <w:vAlign w:val="center"/>
          </w:tcPr>
          <w:p w14:paraId="4B153665">
            <w:pPr>
              <w:pStyle w:val="9"/>
              <w:numPr>
                <w:ilvl w:val="0"/>
                <w:numId w:val="0"/>
              </w:numPr>
              <w:spacing w:line="360" w:lineRule="auto"/>
              <w:rPr>
                <w:rFonts w:hint="eastAsia" w:ascii="宋体" w:hAnsi="宋体" w:cs="宋体"/>
                <w:bCs/>
                <w:color w:val="auto"/>
                <w:kern w:val="0"/>
                <w:sz w:val="24"/>
                <w:szCs w:val="24"/>
                <w:highlight w:val="none"/>
                <w:lang w:eastAsia="zh-CN"/>
              </w:rPr>
            </w:pPr>
          </w:p>
        </w:tc>
        <w:tc>
          <w:tcPr>
            <w:tcW w:w="1808" w:type="pct"/>
            <w:vAlign w:val="center"/>
          </w:tcPr>
          <w:p w14:paraId="0D00B21F">
            <w:pPr>
              <w:keepNext/>
              <w:tabs>
                <w:tab w:val="left" w:pos="432"/>
              </w:tabs>
              <w:jc w:val="left"/>
              <w:outlineLvl w:val="0"/>
              <w:rPr>
                <w:rFonts w:hint="eastAsia" w:ascii="宋体" w:hAnsi="宋体" w:eastAsia="宋体" w:cs="宋体"/>
                <w:color w:val="auto"/>
                <w:kern w:val="0"/>
                <w:sz w:val="24"/>
                <w:szCs w:val="24"/>
                <w:highlight w:val="none"/>
                <w:lang w:val="zh-CN" w:bidi="zh-CN"/>
              </w:rPr>
            </w:pPr>
            <w:r>
              <w:rPr>
                <w:rFonts w:hint="eastAsia" w:ascii="宋体" w:hAnsi="宋体" w:eastAsia="宋体" w:cs="宋体"/>
                <w:color w:val="auto"/>
                <w:kern w:val="0"/>
                <w:sz w:val="24"/>
                <w:szCs w:val="24"/>
                <w:highlight w:val="none"/>
                <w:lang w:val="zh-CN" w:bidi="zh-CN"/>
              </w:rPr>
              <w:t>(4)提供缓冲门铰（铰链）的检验（或检测）报告，报告中需包含：</w:t>
            </w:r>
          </w:p>
          <w:p w14:paraId="7D0A5DBC">
            <w:pPr>
              <w:keepNext/>
              <w:tabs>
                <w:tab w:val="left" w:pos="432"/>
              </w:tabs>
              <w:jc w:val="left"/>
              <w:outlineLvl w:val="0"/>
              <w:rPr>
                <w:rFonts w:hint="eastAsia" w:ascii="宋体" w:hAnsi="宋体" w:eastAsia="宋体" w:cs="宋体"/>
                <w:color w:val="auto"/>
                <w:kern w:val="0"/>
                <w:sz w:val="24"/>
                <w:szCs w:val="24"/>
                <w:highlight w:val="none"/>
                <w:lang w:val="zh-CN" w:bidi="zh-CN"/>
              </w:rPr>
            </w:pPr>
          </w:p>
          <w:p w14:paraId="062A6382">
            <w:pPr>
              <w:keepNext/>
              <w:tabs>
                <w:tab w:val="left" w:pos="432"/>
              </w:tabs>
              <w:jc w:val="left"/>
              <w:outlineLvl w:val="0"/>
              <w:rPr>
                <w:rFonts w:hint="eastAsia" w:ascii="宋体" w:hAnsi="宋体" w:eastAsia="宋体" w:cs="宋体"/>
                <w:color w:val="auto"/>
                <w:kern w:val="0"/>
                <w:sz w:val="24"/>
                <w:szCs w:val="24"/>
                <w:highlight w:val="none"/>
                <w:lang w:val="zh-CN" w:bidi="zh-CN"/>
              </w:rPr>
            </w:pPr>
            <w:r>
              <w:rPr>
                <w:rFonts w:hint="eastAsia" w:ascii="宋体" w:hAnsi="宋体" w:eastAsia="宋体" w:cs="宋体"/>
                <w:color w:val="auto"/>
                <w:kern w:val="0"/>
                <w:sz w:val="24"/>
                <w:szCs w:val="24"/>
                <w:highlight w:val="none"/>
                <w:lang w:val="zh-CN" w:bidi="zh-CN"/>
              </w:rPr>
              <w:t>①依据符合QB/T2189-2013《家具五金杯状暗链》标准，通过功能垂直静载荷检测、水平静载荷检测、下沉量不应大于2.0mm;</w:t>
            </w:r>
          </w:p>
          <w:p w14:paraId="4F14E454">
            <w:pPr>
              <w:keepNext/>
              <w:tabs>
                <w:tab w:val="left" w:pos="432"/>
              </w:tabs>
              <w:jc w:val="left"/>
              <w:outlineLvl w:val="0"/>
              <w:rPr>
                <w:rFonts w:hint="eastAsia" w:ascii="宋体" w:hAnsi="宋体" w:eastAsia="宋体" w:cs="宋体"/>
                <w:color w:val="auto"/>
                <w:kern w:val="0"/>
                <w:sz w:val="24"/>
                <w:szCs w:val="24"/>
                <w:highlight w:val="none"/>
                <w:lang w:val="zh-CN" w:bidi="zh-CN"/>
              </w:rPr>
            </w:pPr>
            <w:r>
              <w:rPr>
                <w:rFonts w:hint="eastAsia" w:ascii="宋体" w:hAnsi="宋体" w:eastAsia="宋体" w:cs="宋体"/>
                <w:color w:val="auto"/>
                <w:kern w:val="0"/>
                <w:sz w:val="24"/>
                <w:szCs w:val="24"/>
                <w:highlight w:val="none"/>
                <w:lang w:val="zh-CN" w:bidi="zh-CN"/>
              </w:rPr>
              <w:t>②依据符合QB/T 3832-1999《轻工产品金属镀层腐蚀试验结果的评价》、QB/T 3827-1999《轻工产品金属镀层和化学处理层的耐腐蚀试验方法乙酸盐雾试验(ASS)法》、GB/T6461-2002《金属基体上金属和其他无机覆盖层经腐蚀试验后的试样和试件的评级》标准；乙酸盐雾试验≥100h;镀（涂）层对基体的保护等级≥9级；镀（涂）层本身耐腐蚀等级≥9级；外观评级≥9级；保护等级≥9级；</w:t>
            </w:r>
          </w:p>
        </w:tc>
        <w:tc>
          <w:tcPr>
            <w:tcW w:w="1796" w:type="pct"/>
            <w:vAlign w:val="center"/>
          </w:tcPr>
          <w:p w14:paraId="47302142">
            <w:pPr>
              <w:keepNext/>
              <w:tabs>
                <w:tab w:val="left" w:pos="432"/>
              </w:tabs>
              <w:jc w:val="left"/>
              <w:outlineLvl w:val="0"/>
              <w:rPr>
                <w:rFonts w:hint="eastAsia" w:ascii="宋体" w:hAnsi="宋体" w:eastAsia="宋体" w:cs="宋体"/>
                <w:color w:val="auto"/>
                <w:kern w:val="0"/>
                <w:sz w:val="24"/>
                <w:szCs w:val="24"/>
                <w:highlight w:val="none"/>
                <w:lang w:val="en-US" w:eastAsia="zh-CN" w:bidi="zh-CN"/>
              </w:rPr>
            </w:pPr>
            <w:r>
              <w:rPr>
                <w:rFonts w:hint="eastAsia" w:ascii="宋体" w:hAnsi="宋体" w:eastAsia="宋体" w:cs="宋体"/>
                <w:color w:val="auto"/>
                <w:kern w:val="0"/>
                <w:sz w:val="24"/>
                <w:szCs w:val="24"/>
                <w:highlight w:val="none"/>
                <w:lang w:val="en-US" w:eastAsia="zh-CN" w:bidi="zh-CN"/>
              </w:rPr>
              <w:t>(4)提供缓冲门铰（铰链）的检验（或检测）报告，报告中需包含：</w:t>
            </w:r>
          </w:p>
          <w:p w14:paraId="2F525BCE">
            <w:pPr>
              <w:keepNext/>
              <w:tabs>
                <w:tab w:val="left" w:pos="432"/>
              </w:tabs>
              <w:jc w:val="left"/>
              <w:outlineLvl w:val="0"/>
              <w:rPr>
                <w:rFonts w:hint="eastAsia" w:ascii="宋体" w:hAnsi="宋体" w:eastAsia="宋体" w:cs="宋体"/>
                <w:color w:val="auto"/>
                <w:kern w:val="0"/>
                <w:sz w:val="24"/>
                <w:szCs w:val="24"/>
                <w:highlight w:val="none"/>
                <w:lang w:val="en-US" w:eastAsia="zh-CN" w:bidi="zh-CN"/>
              </w:rPr>
            </w:pPr>
          </w:p>
          <w:p w14:paraId="4274DBB4">
            <w:pPr>
              <w:keepNext/>
              <w:tabs>
                <w:tab w:val="left" w:pos="432"/>
              </w:tabs>
              <w:jc w:val="left"/>
              <w:outlineLvl w:val="0"/>
              <w:rPr>
                <w:rFonts w:hint="eastAsia" w:ascii="宋体" w:hAnsi="宋体" w:eastAsia="宋体" w:cs="宋体"/>
                <w:color w:val="auto"/>
                <w:kern w:val="0"/>
                <w:sz w:val="24"/>
                <w:szCs w:val="24"/>
                <w:highlight w:val="none"/>
                <w:lang w:val="en-US" w:eastAsia="zh-CN" w:bidi="zh-CN"/>
              </w:rPr>
            </w:pPr>
            <w:r>
              <w:rPr>
                <w:rFonts w:hint="eastAsia" w:ascii="宋体" w:hAnsi="宋体" w:eastAsia="宋体" w:cs="宋体"/>
                <w:color w:val="auto"/>
                <w:kern w:val="0"/>
                <w:sz w:val="24"/>
                <w:szCs w:val="24"/>
                <w:highlight w:val="none"/>
                <w:lang w:val="en-US" w:eastAsia="zh-CN" w:bidi="zh-CN"/>
              </w:rPr>
              <w:t>①依据符合QB/T2189-2013《家具五金杯状暗链》标准，通过功能垂直静载荷检测、水平静载荷检测、下沉量不应大于2.0mm;</w:t>
            </w:r>
          </w:p>
        </w:tc>
        <w:tc>
          <w:tcPr>
            <w:tcW w:w="269" w:type="pct"/>
            <w:vAlign w:val="center"/>
          </w:tcPr>
          <w:p w14:paraId="26B84631">
            <w:pPr>
              <w:spacing w:line="288" w:lineRule="auto"/>
              <w:jc w:val="center"/>
              <w:rPr>
                <w:rFonts w:hint="eastAsia" w:ascii="宋体" w:hAnsi="宋体" w:cs="宋体"/>
                <w:bCs/>
                <w:color w:val="auto"/>
                <w:kern w:val="0"/>
                <w:sz w:val="24"/>
                <w:szCs w:val="24"/>
                <w:highlight w:val="none"/>
              </w:rPr>
            </w:pPr>
          </w:p>
        </w:tc>
      </w:tr>
      <w:tr w14:paraId="32003C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324" w:type="pct"/>
            <w:vAlign w:val="center"/>
          </w:tcPr>
          <w:p w14:paraId="5CC4D099">
            <w:pPr>
              <w:spacing w:line="288" w:lineRule="auto"/>
              <w:jc w:val="center"/>
              <w:rPr>
                <w:rFonts w:hint="eastAsia" w:ascii="宋体" w:hAnsi="宋体" w:eastAsia="宋体" w:cs="宋体"/>
                <w:color w:val="auto"/>
                <w:kern w:val="0"/>
                <w:sz w:val="20"/>
                <w:szCs w:val="21"/>
                <w:highlight w:val="none"/>
              </w:rPr>
            </w:pPr>
          </w:p>
        </w:tc>
        <w:tc>
          <w:tcPr>
            <w:tcW w:w="801" w:type="pct"/>
            <w:vAlign w:val="center"/>
          </w:tcPr>
          <w:p w14:paraId="2914E51E">
            <w:pPr>
              <w:pStyle w:val="9"/>
              <w:numPr>
                <w:ilvl w:val="0"/>
                <w:numId w:val="0"/>
              </w:numPr>
              <w:spacing w:line="360" w:lineRule="auto"/>
              <w:rPr>
                <w:rFonts w:hint="eastAsia" w:ascii="宋体" w:hAnsi="宋体" w:cs="宋体"/>
                <w:bCs/>
                <w:color w:val="auto"/>
                <w:kern w:val="0"/>
                <w:sz w:val="24"/>
                <w:szCs w:val="24"/>
                <w:highlight w:val="none"/>
                <w:lang w:eastAsia="zh-CN"/>
              </w:rPr>
            </w:pPr>
          </w:p>
        </w:tc>
        <w:tc>
          <w:tcPr>
            <w:tcW w:w="1808" w:type="pct"/>
            <w:vAlign w:val="center"/>
          </w:tcPr>
          <w:p w14:paraId="6B49FE86">
            <w:pPr>
              <w:keepNext/>
              <w:tabs>
                <w:tab w:val="left" w:pos="432"/>
              </w:tabs>
              <w:jc w:val="left"/>
              <w:outlineLvl w:val="0"/>
              <w:rPr>
                <w:rFonts w:hint="eastAsia" w:ascii="宋体" w:hAnsi="宋体" w:eastAsia="宋体" w:cs="宋体"/>
                <w:color w:val="auto"/>
                <w:kern w:val="0"/>
                <w:sz w:val="24"/>
                <w:szCs w:val="24"/>
                <w:highlight w:val="none"/>
                <w:lang w:val="zh-CN" w:bidi="zh-CN"/>
              </w:rPr>
            </w:pPr>
            <w:r>
              <w:rPr>
                <w:rFonts w:hint="eastAsia" w:ascii="宋体" w:hAnsi="宋体" w:eastAsia="宋体" w:cs="宋体"/>
                <w:color w:val="auto"/>
                <w:kern w:val="0"/>
                <w:sz w:val="24"/>
                <w:szCs w:val="24"/>
                <w:highlight w:val="none"/>
                <w:lang w:val="zh-CN" w:bidi="zh-CN"/>
              </w:rPr>
              <w:t>(6)提供导轨（路轨）的检验（或检测）报告，报告中需包含：</w:t>
            </w:r>
          </w:p>
          <w:p w14:paraId="3E6C0249">
            <w:pPr>
              <w:keepNext/>
              <w:tabs>
                <w:tab w:val="left" w:pos="432"/>
              </w:tabs>
              <w:jc w:val="left"/>
              <w:outlineLvl w:val="0"/>
              <w:rPr>
                <w:rFonts w:hint="eastAsia" w:ascii="宋体" w:hAnsi="宋体" w:eastAsia="宋体" w:cs="宋体"/>
                <w:color w:val="auto"/>
                <w:kern w:val="0"/>
                <w:sz w:val="24"/>
                <w:szCs w:val="24"/>
                <w:highlight w:val="none"/>
                <w:lang w:val="zh-CN" w:bidi="zh-CN"/>
              </w:rPr>
            </w:pPr>
            <w:r>
              <w:rPr>
                <w:rFonts w:hint="eastAsia" w:ascii="宋体" w:hAnsi="宋体" w:eastAsia="宋体" w:cs="宋体"/>
                <w:color w:val="auto"/>
                <w:kern w:val="0"/>
                <w:sz w:val="24"/>
                <w:szCs w:val="24"/>
                <w:highlight w:val="none"/>
                <w:lang w:val="zh-CN" w:bidi="zh-CN"/>
              </w:rPr>
              <w:t>①依据符合QB/T 2454-2013《家具五金 抽屉导轨》标准;通过功能垂直向下静载荷、水平侧向静载荷、下沉量不超过2%；</w:t>
            </w:r>
          </w:p>
          <w:p w14:paraId="15234AAC">
            <w:pPr>
              <w:keepNext/>
              <w:tabs>
                <w:tab w:val="left" w:pos="432"/>
              </w:tabs>
              <w:jc w:val="left"/>
              <w:outlineLvl w:val="0"/>
              <w:rPr>
                <w:rFonts w:hint="eastAsia" w:ascii="宋体" w:hAnsi="宋体" w:eastAsia="宋体" w:cs="宋体"/>
                <w:color w:val="auto"/>
                <w:kern w:val="0"/>
                <w:sz w:val="24"/>
                <w:szCs w:val="24"/>
                <w:highlight w:val="none"/>
                <w:lang w:val="zh-CN" w:bidi="zh-CN"/>
              </w:rPr>
            </w:pPr>
            <w:r>
              <w:rPr>
                <w:rFonts w:hint="eastAsia" w:ascii="宋体" w:hAnsi="宋体" w:eastAsia="宋体" w:cs="宋体"/>
                <w:color w:val="auto"/>
                <w:kern w:val="0"/>
                <w:sz w:val="24"/>
                <w:szCs w:val="24"/>
                <w:highlight w:val="none"/>
                <w:lang w:val="zh-CN" w:bidi="zh-CN"/>
              </w:rPr>
              <w:t>②依据符合QB/T 3832-1999《轻工产品金属镀层腐蚀试验结果的评价》、QB/T 3827-1999《轻工产品金属镀层和化学处理层的耐腐蚀试验方法乙酸盐雾试验(ASS)法》、GB/T6461-2002《金属基体上金属和其他无机覆盖层经腐蚀试验后的试样和试件的评级》标准；乙酸盐雾试验≥100h;镀（涂）层对基体的保护等级≥9级；镀（涂）层本身耐腐蚀等级≥9级；外观评级≥9级；保护等级≥9级；</w:t>
            </w:r>
          </w:p>
        </w:tc>
        <w:tc>
          <w:tcPr>
            <w:tcW w:w="1796" w:type="pct"/>
            <w:vAlign w:val="center"/>
          </w:tcPr>
          <w:p w14:paraId="5813FC93">
            <w:pPr>
              <w:keepNext/>
              <w:tabs>
                <w:tab w:val="left" w:pos="432"/>
              </w:tabs>
              <w:jc w:val="left"/>
              <w:outlineLvl w:val="0"/>
              <w:rPr>
                <w:rFonts w:hint="eastAsia" w:ascii="宋体" w:hAnsi="宋体" w:eastAsia="宋体" w:cs="宋体"/>
                <w:color w:val="auto"/>
                <w:kern w:val="0"/>
                <w:sz w:val="24"/>
                <w:szCs w:val="24"/>
                <w:highlight w:val="none"/>
                <w:lang w:val="en-US" w:eastAsia="zh-CN" w:bidi="zh-CN"/>
              </w:rPr>
            </w:pPr>
            <w:r>
              <w:rPr>
                <w:rFonts w:hint="eastAsia" w:ascii="宋体" w:hAnsi="宋体" w:eastAsia="宋体" w:cs="宋体"/>
                <w:color w:val="auto"/>
                <w:kern w:val="0"/>
                <w:sz w:val="24"/>
                <w:szCs w:val="24"/>
                <w:highlight w:val="none"/>
                <w:lang w:val="en-US" w:eastAsia="zh-CN" w:bidi="zh-CN"/>
              </w:rPr>
              <w:t>(6)提供导轨（路轨）的检验（或检测）报告，报告中需包含：</w:t>
            </w:r>
          </w:p>
          <w:p w14:paraId="0A9B8D50">
            <w:pPr>
              <w:keepNext/>
              <w:tabs>
                <w:tab w:val="left" w:pos="432"/>
              </w:tabs>
              <w:jc w:val="left"/>
              <w:outlineLvl w:val="0"/>
              <w:rPr>
                <w:rFonts w:hint="eastAsia" w:ascii="宋体" w:hAnsi="宋体" w:eastAsia="宋体" w:cs="宋体"/>
                <w:color w:val="auto"/>
                <w:kern w:val="0"/>
                <w:sz w:val="24"/>
                <w:szCs w:val="24"/>
                <w:highlight w:val="none"/>
                <w:lang w:val="en-US" w:eastAsia="zh-CN" w:bidi="zh-CN"/>
              </w:rPr>
            </w:pPr>
            <w:r>
              <w:rPr>
                <w:rFonts w:hint="eastAsia" w:ascii="宋体" w:hAnsi="宋体" w:eastAsia="宋体" w:cs="宋体"/>
                <w:color w:val="auto"/>
                <w:kern w:val="0"/>
                <w:sz w:val="24"/>
                <w:szCs w:val="24"/>
                <w:highlight w:val="none"/>
                <w:lang w:val="en-US" w:eastAsia="zh-CN" w:bidi="zh-CN"/>
              </w:rPr>
              <w:t>①依据符合QB/T 2454-2013《家具五金 抽屉导轨》标准;通过功能垂直向下静载荷、水平侧向静载荷、下沉量不超过2%；</w:t>
            </w:r>
          </w:p>
        </w:tc>
        <w:tc>
          <w:tcPr>
            <w:tcW w:w="269" w:type="pct"/>
            <w:vAlign w:val="center"/>
          </w:tcPr>
          <w:p w14:paraId="14441815">
            <w:pPr>
              <w:spacing w:line="288" w:lineRule="auto"/>
              <w:jc w:val="center"/>
              <w:rPr>
                <w:rFonts w:hint="eastAsia" w:ascii="宋体" w:hAnsi="宋体" w:cs="宋体"/>
                <w:bCs/>
                <w:color w:val="auto"/>
                <w:kern w:val="0"/>
                <w:sz w:val="24"/>
                <w:szCs w:val="24"/>
                <w:highlight w:val="none"/>
              </w:rPr>
            </w:pPr>
          </w:p>
        </w:tc>
      </w:tr>
      <w:tr w14:paraId="149899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324" w:type="pct"/>
            <w:vAlign w:val="center"/>
          </w:tcPr>
          <w:p w14:paraId="57A0FD41">
            <w:pPr>
              <w:spacing w:line="288" w:lineRule="auto"/>
              <w:jc w:val="center"/>
              <w:rPr>
                <w:rFonts w:hint="eastAsia" w:ascii="宋体" w:hAnsi="宋体" w:eastAsia="宋体" w:cs="宋体"/>
                <w:color w:val="auto"/>
                <w:kern w:val="0"/>
                <w:sz w:val="20"/>
                <w:szCs w:val="21"/>
                <w:highlight w:val="none"/>
              </w:rPr>
            </w:pPr>
          </w:p>
        </w:tc>
        <w:tc>
          <w:tcPr>
            <w:tcW w:w="801" w:type="pct"/>
            <w:vAlign w:val="center"/>
          </w:tcPr>
          <w:p w14:paraId="3A9BB68E">
            <w:pPr>
              <w:pStyle w:val="9"/>
              <w:numPr>
                <w:ilvl w:val="0"/>
                <w:numId w:val="0"/>
              </w:numPr>
              <w:spacing w:line="360" w:lineRule="auto"/>
              <w:rPr>
                <w:rFonts w:hint="eastAsia" w:ascii="宋体" w:hAnsi="宋体" w:cs="宋体"/>
                <w:bCs/>
                <w:color w:val="auto"/>
                <w:kern w:val="0"/>
                <w:sz w:val="24"/>
                <w:szCs w:val="24"/>
                <w:highlight w:val="none"/>
                <w:lang w:eastAsia="zh-CN"/>
              </w:rPr>
            </w:pPr>
          </w:p>
        </w:tc>
        <w:tc>
          <w:tcPr>
            <w:tcW w:w="1808" w:type="pct"/>
            <w:vAlign w:val="center"/>
          </w:tcPr>
          <w:p w14:paraId="7A139E72">
            <w:pPr>
              <w:keepNext/>
              <w:tabs>
                <w:tab w:val="left" w:pos="432"/>
              </w:tabs>
              <w:jc w:val="left"/>
              <w:outlineLvl w:val="0"/>
              <w:rPr>
                <w:rFonts w:hint="eastAsia" w:ascii="宋体" w:hAnsi="宋体" w:eastAsia="宋体" w:cs="宋体"/>
                <w:color w:val="auto"/>
                <w:kern w:val="0"/>
                <w:sz w:val="24"/>
                <w:szCs w:val="24"/>
                <w:highlight w:val="none"/>
                <w:lang w:val="zh-CN" w:bidi="zh-CN"/>
              </w:rPr>
            </w:pPr>
            <w:r>
              <w:rPr>
                <w:rFonts w:hint="eastAsia" w:ascii="宋体" w:hAnsi="宋体" w:eastAsia="宋体" w:cs="宋体"/>
                <w:color w:val="auto"/>
                <w:kern w:val="0"/>
                <w:sz w:val="24"/>
                <w:szCs w:val="24"/>
                <w:highlight w:val="none"/>
                <w:lang w:val="zh-CN" w:bidi="zh-CN"/>
              </w:rPr>
              <w:t>(11)钢管的检验（或检测）报告，报告中需包含：</w:t>
            </w:r>
          </w:p>
          <w:p w14:paraId="19CC6585">
            <w:pPr>
              <w:keepNext/>
              <w:tabs>
                <w:tab w:val="left" w:pos="432"/>
              </w:tabs>
              <w:jc w:val="left"/>
              <w:outlineLvl w:val="0"/>
              <w:rPr>
                <w:rFonts w:hint="eastAsia" w:ascii="宋体" w:hAnsi="宋体" w:eastAsia="宋体" w:cs="宋体"/>
                <w:color w:val="auto"/>
                <w:kern w:val="0"/>
                <w:sz w:val="24"/>
                <w:szCs w:val="24"/>
                <w:highlight w:val="none"/>
                <w:lang w:val="zh-CN" w:bidi="zh-CN"/>
              </w:rPr>
            </w:pPr>
            <w:r>
              <w:rPr>
                <w:rFonts w:hint="eastAsia" w:ascii="宋体" w:hAnsi="宋体" w:eastAsia="宋体" w:cs="宋体"/>
                <w:color w:val="auto"/>
                <w:kern w:val="0"/>
                <w:sz w:val="24"/>
                <w:szCs w:val="24"/>
                <w:highlight w:val="none"/>
                <w:lang w:val="zh-CN" w:bidi="zh-CN"/>
              </w:rPr>
              <w:t>①依据符合QB/T 3832-1999《轻工产品金属镀层腐蚀试验结果的评价》、QB/T 3827-1999《轻工产品金属镀层和化学处理层的耐腐蚀试验方法乙酸盐雾试验(ASS)法》标准，乙酸盐雾试验≥100h;镀（涂）层对基体的保护等级≥9级；镀（涂）层本身耐腐蚀等级≥9级；</w:t>
            </w:r>
          </w:p>
          <w:p w14:paraId="77E27B9B">
            <w:pPr>
              <w:keepNext/>
              <w:tabs>
                <w:tab w:val="left" w:pos="432"/>
              </w:tabs>
              <w:jc w:val="left"/>
              <w:outlineLvl w:val="0"/>
              <w:rPr>
                <w:rFonts w:hint="eastAsia" w:ascii="宋体" w:hAnsi="宋体" w:eastAsia="宋体" w:cs="宋体"/>
                <w:color w:val="auto"/>
                <w:kern w:val="0"/>
                <w:sz w:val="24"/>
                <w:szCs w:val="24"/>
                <w:highlight w:val="none"/>
                <w:lang w:val="zh-CN" w:bidi="zh-CN"/>
              </w:rPr>
            </w:pPr>
            <w:r>
              <w:rPr>
                <w:rFonts w:hint="eastAsia" w:ascii="宋体" w:hAnsi="宋体" w:eastAsia="宋体" w:cs="宋体"/>
                <w:color w:val="auto"/>
                <w:kern w:val="0"/>
                <w:sz w:val="24"/>
                <w:szCs w:val="24"/>
                <w:highlight w:val="none"/>
                <w:lang w:val="zh-CN" w:bidi="zh-CN"/>
              </w:rPr>
              <w:t>②依据符合GB/T 228.1-2021《金属材料 拉伸试验 第1部分:室温试验方法》标准；抗拉强度320-450MPa;断后伸长率≥27%；屈服强度≥215MPa;</w:t>
            </w:r>
          </w:p>
        </w:tc>
        <w:tc>
          <w:tcPr>
            <w:tcW w:w="1796" w:type="pct"/>
            <w:vAlign w:val="center"/>
          </w:tcPr>
          <w:p w14:paraId="3284B80D">
            <w:pPr>
              <w:keepNext/>
              <w:tabs>
                <w:tab w:val="left" w:pos="432"/>
              </w:tabs>
              <w:jc w:val="left"/>
              <w:outlineLvl w:val="0"/>
              <w:rPr>
                <w:rFonts w:hint="eastAsia" w:ascii="宋体" w:hAnsi="宋体" w:eastAsia="宋体" w:cs="宋体"/>
                <w:color w:val="auto"/>
                <w:kern w:val="0"/>
                <w:sz w:val="24"/>
                <w:szCs w:val="24"/>
                <w:highlight w:val="none"/>
                <w:lang w:val="en-US" w:eastAsia="zh-CN" w:bidi="zh-CN"/>
              </w:rPr>
            </w:pPr>
            <w:r>
              <w:rPr>
                <w:rFonts w:hint="eastAsia" w:ascii="宋体" w:hAnsi="宋体" w:eastAsia="宋体" w:cs="宋体"/>
                <w:color w:val="auto"/>
                <w:kern w:val="0"/>
                <w:sz w:val="24"/>
                <w:szCs w:val="24"/>
                <w:highlight w:val="none"/>
                <w:lang w:val="en-US" w:eastAsia="zh-CN" w:bidi="zh-CN"/>
              </w:rPr>
              <w:t>(11)钢管的检验（或检测）报告，报告中需包含：</w:t>
            </w:r>
          </w:p>
          <w:p w14:paraId="7DBD8C52">
            <w:pPr>
              <w:keepNext/>
              <w:tabs>
                <w:tab w:val="left" w:pos="432"/>
              </w:tabs>
              <w:jc w:val="left"/>
              <w:outlineLvl w:val="0"/>
              <w:rPr>
                <w:rFonts w:hint="eastAsia" w:ascii="宋体" w:hAnsi="宋体" w:eastAsia="宋体" w:cs="宋体"/>
                <w:color w:val="auto"/>
                <w:kern w:val="0"/>
                <w:sz w:val="24"/>
                <w:szCs w:val="24"/>
                <w:highlight w:val="none"/>
                <w:lang w:val="en-US" w:eastAsia="zh-CN" w:bidi="zh-CN"/>
              </w:rPr>
            </w:pPr>
            <w:r>
              <w:rPr>
                <w:rFonts w:hint="eastAsia" w:ascii="宋体" w:hAnsi="宋体" w:eastAsia="宋体" w:cs="宋体"/>
                <w:color w:val="auto"/>
                <w:kern w:val="0"/>
                <w:sz w:val="24"/>
                <w:szCs w:val="24"/>
                <w:highlight w:val="none"/>
                <w:lang w:val="en-US" w:eastAsia="zh-CN" w:bidi="zh-CN"/>
              </w:rPr>
              <w:t>①依据符合GB/T 228.1-2021《金属材料 拉伸试验 第1部分:室温试验方法》标准；抗拉强度320-450MPa;断后伸长率≥27%；屈服强度≥215</w:t>
            </w:r>
            <w:bookmarkStart w:id="4" w:name="_GoBack"/>
            <w:bookmarkEnd w:id="4"/>
            <w:r>
              <w:rPr>
                <w:rFonts w:hint="eastAsia" w:ascii="宋体" w:hAnsi="宋体" w:eastAsia="宋体" w:cs="宋体"/>
                <w:color w:val="auto"/>
                <w:kern w:val="0"/>
                <w:sz w:val="24"/>
                <w:szCs w:val="24"/>
                <w:highlight w:val="none"/>
                <w:lang w:val="en-US" w:eastAsia="zh-CN" w:bidi="zh-CN"/>
              </w:rPr>
              <w:t>MPa;</w:t>
            </w:r>
          </w:p>
        </w:tc>
        <w:tc>
          <w:tcPr>
            <w:tcW w:w="269" w:type="pct"/>
            <w:vAlign w:val="center"/>
          </w:tcPr>
          <w:p w14:paraId="2D4575C9">
            <w:pPr>
              <w:spacing w:line="288" w:lineRule="auto"/>
              <w:jc w:val="center"/>
              <w:rPr>
                <w:rFonts w:hint="eastAsia" w:ascii="宋体" w:hAnsi="宋体" w:cs="宋体"/>
                <w:bCs/>
                <w:color w:val="auto"/>
                <w:kern w:val="0"/>
                <w:sz w:val="24"/>
                <w:szCs w:val="24"/>
                <w:highlight w:val="none"/>
              </w:rPr>
            </w:pPr>
          </w:p>
        </w:tc>
      </w:tr>
      <w:tr w14:paraId="486064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324" w:type="pct"/>
            <w:vAlign w:val="center"/>
          </w:tcPr>
          <w:p w14:paraId="4BC4096A">
            <w:pPr>
              <w:spacing w:line="288" w:lineRule="auto"/>
              <w:jc w:val="center"/>
              <w:rPr>
                <w:rFonts w:hint="default" w:ascii="宋体" w:hAnsi="宋体" w:eastAsia="宋体" w:cs="宋体"/>
                <w:color w:val="auto"/>
                <w:kern w:val="0"/>
                <w:sz w:val="20"/>
                <w:szCs w:val="21"/>
                <w:highlight w:val="none"/>
                <w:lang w:val="en-US" w:eastAsia="zh-CN"/>
              </w:rPr>
            </w:pPr>
            <w:r>
              <w:rPr>
                <w:rFonts w:hint="eastAsia" w:ascii="宋体" w:hAnsi="宋体" w:eastAsia="宋体" w:cs="宋体"/>
                <w:color w:val="auto"/>
                <w:kern w:val="0"/>
                <w:sz w:val="20"/>
                <w:szCs w:val="21"/>
                <w:highlight w:val="none"/>
                <w:lang w:val="en-US" w:eastAsia="zh-CN"/>
              </w:rPr>
              <w:t>13</w:t>
            </w:r>
          </w:p>
        </w:tc>
        <w:tc>
          <w:tcPr>
            <w:tcW w:w="801" w:type="pct"/>
            <w:vAlign w:val="center"/>
          </w:tcPr>
          <w:p w14:paraId="3830D1F1">
            <w:pPr>
              <w:pStyle w:val="9"/>
              <w:numPr>
                <w:ilvl w:val="0"/>
                <w:numId w:val="0"/>
              </w:numPr>
              <w:spacing w:line="360" w:lineRule="auto"/>
              <w:rPr>
                <w:rFonts w:hint="default" w:ascii="宋体" w:hAnsi="宋体" w:cs="宋体"/>
                <w:bCs/>
                <w:color w:val="auto"/>
                <w:kern w:val="0"/>
                <w:sz w:val="24"/>
                <w:szCs w:val="24"/>
                <w:highlight w:val="none"/>
                <w:lang w:val="en-US" w:eastAsia="zh-CN"/>
              </w:rPr>
            </w:pPr>
            <w:r>
              <w:rPr>
                <w:rFonts w:hint="eastAsia" w:ascii="宋体" w:hAnsi="宋体" w:cs="宋体"/>
                <w:bCs/>
                <w:color w:val="auto"/>
                <w:kern w:val="0"/>
                <w:sz w:val="24"/>
                <w:szCs w:val="24"/>
                <w:highlight w:val="none"/>
                <w:lang w:eastAsia="zh-CN"/>
              </w:rPr>
              <w:t>采购文件“第五部分 评标办法和标准”-“8.本项目采用综合评分法。”-“采购包1：”-“（二） 商务评估”</w:t>
            </w:r>
            <w:r>
              <w:rPr>
                <w:rFonts w:hint="eastAsia" w:ascii="宋体" w:hAnsi="宋体" w:cs="宋体"/>
                <w:bCs/>
                <w:color w:val="auto"/>
                <w:kern w:val="0"/>
                <w:sz w:val="24"/>
                <w:szCs w:val="24"/>
                <w:highlight w:val="none"/>
                <w:lang w:val="en-US" w:eastAsia="zh-CN"/>
              </w:rPr>
              <w:t>-“体系认证”</w:t>
            </w:r>
          </w:p>
        </w:tc>
        <w:tc>
          <w:tcPr>
            <w:tcW w:w="1808" w:type="pct"/>
            <w:vAlign w:val="center"/>
          </w:tcPr>
          <w:p w14:paraId="5A093439">
            <w:pPr>
              <w:keepNext/>
              <w:tabs>
                <w:tab w:val="left" w:pos="432"/>
              </w:tabs>
              <w:jc w:val="left"/>
              <w:outlineLvl w:val="0"/>
              <w:rPr>
                <w:rFonts w:hint="eastAsia" w:ascii="宋体" w:hAnsi="宋体" w:eastAsia="宋体" w:cs="宋体"/>
                <w:color w:val="auto"/>
                <w:kern w:val="0"/>
                <w:sz w:val="24"/>
                <w:szCs w:val="24"/>
                <w:highlight w:val="none"/>
                <w:lang w:val="zh-CN" w:bidi="zh-CN"/>
              </w:rPr>
            </w:pPr>
            <w:r>
              <w:rPr>
                <w:rFonts w:hint="eastAsia" w:ascii="宋体" w:hAnsi="宋体" w:eastAsia="宋体" w:cs="宋体"/>
                <w:color w:val="auto"/>
                <w:kern w:val="0"/>
                <w:sz w:val="24"/>
                <w:szCs w:val="24"/>
                <w:highlight w:val="none"/>
                <w:lang w:val="zh-CN" w:bidi="zh-CN"/>
              </w:rPr>
              <w:t>注:须提供以上有效期内证书复印件或扫描件，并提供全国认证认可信息公共服务平台证书查询截图。以上证明材料应加盖投标人公章，未按要求提供不得分。</w:t>
            </w:r>
          </w:p>
        </w:tc>
        <w:tc>
          <w:tcPr>
            <w:tcW w:w="1796" w:type="pct"/>
            <w:vAlign w:val="center"/>
          </w:tcPr>
          <w:p w14:paraId="6F5D5B47">
            <w:pPr>
              <w:keepNext/>
              <w:tabs>
                <w:tab w:val="left" w:pos="432"/>
              </w:tabs>
              <w:jc w:val="left"/>
              <w:outlineLvl w:val="0"/>
              <w:rPr>
                <w:rFonts w:hint="eastAsia" w:ascii="宋体" w:hAnsi="宋体" w:eastAsia="宋体" w:cs="宋体"/>
                <w:color w:val="auto"/>
                <w:kern w:val="0"/>
                <w:sz w:val="24"/>
                <w:szCs w:val="24"/>
                <w:highlight w:val="none"/>
                <w:lang w:val="en-US" w:eastAsia="zh-CN" w:bidi="zh-CN"/>
              </w:rPr>
            </w:pPr>
            <w:r>
              <w:rPr>
                <w:rFonts w:hint="eastAsia" w:ascii="宋体" w:hAnsi="宋体" w:eastAsia="宋体" w:cs="宋体"/>
                <w:color w:val="auto"/>
                <w:kern w:val="0"/>
                <w:sz w:val="24"/>
                <w:szCs w:val="24"/>
                <w:highlight w:val="none"/>
                <w:lang w:val="en-US" w:eastAsia="zh-CN" w:bidi="zh-CN"/>
              </w:rPr>
              <w:t>注:须提供以上有效期内证书复印件或扫描件，并提供全国认证认可信息公共服务平台证书查询截图。以上证明材料应加盖投标人公章，未按要求提供不得分。投标人提供证书的认证范围或认证名称与上述名称不完全一致的，经评委会认定为同一产品的，该项予以得分。</w:t>
            </w:r>
          </w:p>
        </w:tc>
        <w:tc>
          <w:tcPr>
            <w:tcW w:w="269" w:type="pct"/>
            <w:vAlign w:val="center"/>
          </w:tcPr>
          <w:p w14:paraId="322FA228">
            <w:pPr>
              <w:spacing w:line="288" w:lineRule="auto"/>
              <w:jc w:val="center"/>
              <w:rPr>
                <w:rFonts w:hint="eastAsia" w:ascii="宋体" w:hAnsi="宋体" w:cs="宋体"/>
                <w:bCs/>
                <w:color w:val="auto"/>
                <w:kern w:val="0"/>
                <w:sz w:val="24"/>
                <w:szCs w:val="24"/>
                <w:highlight w:val="none"/>
              </w:rPr>
            </w:pPr>
          </w:p>
        </w:tc>
      </w:tr>
      <w:tr w14:paraId="7B2233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324" w:type="pct"/>
            <w:vAlign w:val="center"/>
          </w:tcPr>
          <w:p w14:paraId="6EE4CBA9">
            <w:pPr>
              <w:spacing w:line="288" w:lineRule="auto"/>
              <w:jc w:val="center"/>
              <w:rPr>
                <w:rFonts w:hint="default" w:ascii="宋体" w:hAnsi="宋体" w:eastAsia="宋体" w:cs="宋体"/>
                <w:color w:val="auto"/>
                <w:kern w:val="0"/>
                <w:sz w:val="20"/>
                <w:szCs w:val="21"/>
                <w:highlight w:val="none"/>
                <w:lang w:val="en-US" w:eastAsia="zh-CN"/>
              </w:rPr>
            </w:pPr>
            <w:r>
              <w:rPr>
                <w:rFonts w:hint="eastAsia" w:ascii="宋体" w:hAnsi="宋体" w:eastAsia="宋体" w:cs="宋体"/>
                <w:color w:val="auto"/>
                <w:kern w:val="0"/>
                <w:sz w:val="20"/>
                <w:szCs w:val="21"/>
                <w:highlight w:val="none"/>
                <w:lang w:val="en-US" w:eastAsia="zh-CN"/>
              </w:rPr>
              <w:t>14</w:t>
            </w:r>
          </w:p>
        </w:tc>
        <w:tc>
          <w:tcPr>
            <w:tcW w:w="801" w:type="pct"/>
            <w:vAlign w:val="center"/>
          </w:tcPr>
          <w:p w14:paraId="3BFD686B">
            <w:pPr>
              <w:pStyle w:val="9"/>
              <w:numPr>
                <w:ilvl w:val="0"/>
                <w:numId w:val="0"/>
              </w:numPr>
              <w:spacing w:line="360" w:lineRule="auto"/>
              <w:rPr>
                <w:rFonts w:hint="eastAsia" w:ascii="宋体" w:hAnsi="宋体" w:cs="宋体"/>
                <w:bCs/>
                <w:color w:val="auto"/>
                <w:kern w:val="0"/>
                <w:sz w:val="24"/>
                <w:szCs w:val="24"/>
                <w:highlight w:val="none"/>
                <w:lang w:eastAsia="zh-CN"/>
              </w:rPr>
            </w:pPr>
            <w:r>
              <w:rPr>
                <w:rFonts w:hint="eastAsia" w:ascii="宋体" w:hAnsi="宋体" w:cs="宋体"/>
                <w:bCs/>
                <w:color w:val="auto"/>
                <w:kern w:val="0"/>
                <w:sz w:val="24"/>
                <w:szCs w:val="24"/>
                <w:highlight w:val="none"/>
                <w:lang w:eastAsia="zh-CN"/>
              </w:rPr>
              <w:t>采购文件“第五部分 评标办法和标准”-“8.本项目采用综合评分法。”-“采购包1：”-“（二） 商务评估”</w:t>
            </w:r>
            <w:r>
              <w:rPr>
                <w:rFonts w:hint="eastAsia" w:ascii="宋体" w:hAnsi="宋体" w:cs="宋体"/>
                <w:bCs/>
                <w:color w:val="auto"/>
                <w:kern w:val="0"/>
                <w:sz w:val="24"/>
                <w:szCs w:val="24"/>
                <w:highlight w:val="none"/>
                <w:lang w:val="en-US" w:eastAsia="zh-CN"/>
              </w:rPr>
              <w:t>-“环保证书”</w:t>
            </w:r>
          </w:p>
        </w:tc>
        <w:tc>
          <w:tcPr>
            <w:tcW w:w="1808" w:type="pct"/>
            <w:vAlign w:val="center"/>
          </w:tcPr>
          <w:p w14:paraId="3798FDC1">
            <w:pPr>
              <w:keepNext/>
              <w:tabs>
                <w:tab w:val="left" w:pos="432"/>
              </w:tabs>
              <w:jc w:val="left"/>
              <w:outlineLvl w:val="0"/>
              <w:rPr>
                <w:rFonts w:hint="eastAsia" w:ascii="宋体" w:hAnsi="宋体" w:eastAsia="宋体" w:cs="宋体"/>
                <w:color w:val="auto"/>
                <w:kern w:val="0"/>
                <w:sz w:val="24"/>
                <w:szCs w:val="24"/>
                <w:highlight w:val="none"/>
                <w:lang w:val="zh-CN" w:bidi="zh-CN"/>
              </w:rPr>
            </w:pPr>
            <w:r>
              <w:rPr>
                <w:rFonts w:hint="eastAsia" w:ascii="宋体" w:hAnsi="宋体" w:eastAsia="宋体" w:cs="宋体"/>
                <w:color w:val="auto"/>
                <w:kern w:val="0"/>
                <w:sz w:val="24"/>
                <w:szCs w:val="24"/>
                <w:highlight w:val="none"/>
                <w:lang w:val="zh-CN" w:bidi="zh-CN"/>
              </w:rPr>
              <w:t>注:须提供以上有效期内证书复印件或扫描件，并提供全国认证认可信息公共服务平台证书查询截图。以上证明材料应加盖投标人公章，未按要求提供不得分。</w:t>
            </w:r>
          </w:p>
        </w:tc>
        <w:tc>
          <w:tcPr>
            <w:tcW w:w="1796" w:type="pct"/>
            <w:vAlign w:val="center"/>
          </w:tcPr>
          <w:p w14:paraId="39F51152">
            <w:pPr>
              <w:keepNext/>
              <w:tabs>
                <w:tab w:val="left" w:pos="432"/>
              </w:tabs>
              <w:jc w:val="left"/>
              <w:outlineLvl w:val="0"/>
              <w:rPr>
                <w:rFonts w:hint="eastAsia" w:ascii="宋体" w:hAnsi="宋体" w:eastAsia="宋体" w:cs="宋体"/>
                <w:color w:val="auto"/>
                <w:kern w:val="0"/>
                <w:sz w:val="24"/>
                <w:szCs w:val="24"/>
                <w:highlight w:val="none"/>
                <w:lang w:val="en-US" w:eastAsia="zh-CN" w:bidi="zh-CN"/>
              </w:rPr>
            </w:pPr>
            <w:r>
              <w:rPr>
                <w:rFonts w:hint="eastAsia" w:ascii="宋体" w:hAnsi="宋体" w:eastAsia="宋体" w:cs="宋体"/>
                <w:color w:val="auto"/>
                <w:kern w:val="0"/>
                <w:sz w:val="24"/>
                <w:szCs w:val="24"/>
                <w:highlight w:val="none"/>
                <w:lang w:val="en-US" w:eastAsia="zh-CN" w:bidi="zh-CN"/>
              </w:rPr>
              <w:t>注:须提供以上有效期内证书复印件或扫描件，并提供全国认证认可信息公共服务平台证书查询截图。以上证明材料应加盖投标人公章，未按要求提供不得分。投标人提供证书的认证名称与上述名称不完全一致的，经评委会认定为同一产品的，该项予以得分。</w:t>
            </w:r>
          </w:p>
        </w:tc>
        <w:tc>
          <w:tcPr>
            <w:tcW w:w="269" w:type="pct"/>
            <w:vAlign w:val="center"/>
          </w:tcPr>
          <w:p w14:paraId="69ECCA1F">
            <w:pPr>
              <w:spacing w:line="288" w:lineRule="auto"/>
              <w:jc w:val="center"/>
              <w:rPr>
                <w:rFonts w:hint="eastAsia" w:ascii="宋体" w:hAnsi="宋体" w:cs="宋体"/>
                <w:bCs/>
                <w:color w:val="auto"/>
                <w:kern w:val="0"/>
                <w:sz w:val="24"/>
                <w:szCs w:val="24"/>
                <w:highlight w:val="none"/>
              </w:rPr>
            </w:pPr>
          </w:p>
        </w:tc>
      </w:tr>
      <w:tr w14:paraId="54E804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324" w:type="pct"/>
            <w:vAlign w:val="center"/>
          </w:tcPr>
          <w:p w14:paraId="07D4ED1F">
            <w:pPr>
              <w:spacing w:line="288" w:lineRule="auto"/>
              <w:jc w:val="center"/>
              <w:rPr>
                <w:rFonts w:hint="default" w:ascii="宋体" w:hAnsi="宋体" w:eastAsia="宋体" w:cs="宋体"/>
                <w:color w:val="auto"/>
                <w:kern w:val="0"/>
                <w:sz w:val="20"/>
                <w:szCs w:val="21"/>
                <w:highlight w:val="none"/>
                <w:lang w:val="en-US" w:eastAsia="zh-CN"/>
              </w:rPr>
            </w:pPr>
            <w:r>
              <w:rPr>
                <w:rFonts w:hint="eastAsia" w:ascii="宋体" w:hAnsi="宋体" w:eastAsia="宋体" w:cs="宋体"/>
                <w:color w:val="auto"/>
                <w:kern w:val="0"/>
                <w:sz w:val="20"/>
                <w:szCs w:val="21"/>
                <w:highlight w:val="none"/>
                <w:lang w:val="en-US" w:eastAsia="zh-CN"/>
              </w:rPr>
              <w:t>15</w:t>
            </w:r>
          </w:p>
        </w:tc>
        <w:tc>
          <w:tcPr>
            <w:tcW w:w="801" w:type="pct"/>
            <w:vAlign w:val="center"/>
          </w:tcPr>
          <w:p w14:paraId="7CCD2A86">
            <w:pPr>
              <w:pStyle w:val="9"/>
              <w:numPr>
                <w:ilvl w:val="0"/>
                <w:numId w:val="0"/>
              </w:numPr>
              <w:spacing w:line="360" w:lineRule="auto"/>
              <w:rPr>
                <w:rFonts w:hint="eastAsia" w:ascii="宋体" w:hAnsi="宋体" w:cs="宋体"/>
                <w:bCs/>
                <w:color w:val="auto"/>
                <w:kern w:val="0"/>
                <w:sz w:val="24"/>
                <w:szCs w:val="24"/>
                <w:highlight w:val="none"/>
                <w:lang w:eastAsia="zh-CN"/>
              </w:rPr>
            </w:pPr>
            <w:r>
              <w:rPr>
                <w:rFonts w:hint="eastAsia" w:ascii="宋体" w:hAnsi="宋体" w:cs="宋体"/>
                <w:bCs/>
                <w:color w:val="auto"/>
                <w:kern w:val="0"/>
                <w:sz w:val="24"/>
                <w:szCs w:val="24"/>
                <w:highlight w:val="none"/>
                <w:lang w:eastAsia="zh-CN"/>
              </w:rPr>
              <w:t>采购文件“第五部分 评标办法和标准”-“8.本项目采用综合评分法。”-“采购包</w:t>
            </w:r>
            <w:r>
              <w:rPr>
                <w:rFonts w:hint="eastAsia" w:ascii="宋体" w:hAnsi="宋体" w:cs="宋体"/>
                <w:bCs/>
                <w:color w:val="auto"/>
                <w:kern w:val="0"/>
                <w:sz w:val="24"/>
                <w:szCs w:val="24"/>
                <w:highlight w:val="none"/>
                <w:lang w:val="en-US" w:eastAsia="zh-CN"/>
              </w:rPr>
              <w:t>2</w:t>
            </w:r>
            <w:r>
              <w:rPr>
                <w:rFonts w:hint="eastAsia" w:ascii="宋体" w:hAnsi="宋体" w:cs="宋体"/>
                <w:bCs/>
                <w:color w:val="auto"/>
                <w:kern w:val="0"/>
                <w:sz w:val="24"/>
                <w:szCs w:val="24"/>
                <w:highlight w:val="none"/>
                <w:lang w:eastAsia="zh-CN"/>
              </w:rPr>
              <w:t>：”-“（二） 商务评估”</w:t>
            </w:r>
            <w:r>
              <w:rPr>
                <w:rFonts w:hint="eastAsia" w:ascii="宋体" w:hAnsi="宋体" w:cs="宋体"/>
                <w:bCs/>
                <w:color w:val="auto"/>
                <w:kern w:val="0"/>
                <w:sz w:val="24"/>
                <w:szCs w:val="24"/>
                <w:highlight w:val="none"/>
                <w:lang w:val="en-US" w:eastAsia="zh-CN"/>
              </w:rPr>
              <w:t>-“体系认证”</w:t>
            </w:r>
          </w:p>
        </w:tc>
        <w:tc>
          <w:tcPr>
            <w:tcW w:w="1808" w:type="pct"/>
            <w:vAlign w:val="center"/>
          </w:tcPr>
          <w:p w14:paraId="452E3F11">
            <w:pPr>
              <w:keepNext/>
              <w:tabs>
                <w:tab w:val="left" w:pos="432"/>
              </w:tabs>
              <w:jc w:val="left"/>
              <w:outlineLvl w:val="0"/>
              <w:rPr>
                <w:rFonts w:hint="eastAsia" w:ascii="宋体" w:hAnsi="宋体" w:eastAsia="宋体" w:cs="宋体"/>
                <w:color w:val="auto"/>
                <w:kern w:val="0"/>
                <w:sz w:val="24"/>
                <w:szCs w:val="24"/>
                <w:highlight w:val="none"/>
                <w:lang w:val="zh-CN" w:bidi="zh-CN"/>
              </w:rPr>
            </w:pPr>
            <w:r>
              <w:rPr>
                <w:rFonts w:hint="eastAsia" w:ascii="宋体" w:hAnsi="宋体" w:eastAsia="宋体" w:cs="宋体"/>
                <w:color w:val="auto"/>
                <w:kern w:val="0"/>
                <w:sz w:val="24"/>
                <w:szCs w:val="24"/>
                <w:highlight w:val="none"/>
                <w:lang w:val="zh-CN" w:bidi="zh-CN"/>
              </w:rPr>
              <w:t>注：投标人或产品生厂商须提供认证证书原件扫描件及在全国认证认可信息公共服务平台查询为有效截图，加盖投标人公章，未提供的不得分。</w:t>
            </w:r>
          </w:p>
          <w:p w14:paraId="2247AB54">
            <w:pPr>
              <w:keepNext/>
              <w:tabs>
                <w:tab w:val="left" w:pos="432"/>
              </w:tabs>
              <w:jc w:val="left"/>
              <w:outlineLvl w:val="0"/>
              <w:rPr>
                <w:rFonts w:hint="eastAsia" w:ascii="宋体" w:hAnsi="宋体" w:eastAsia="宋体" w:cs="宋体"/>
                <w:color w:val="auto"/>
                <w:kern w:val="0"/>
                <w:sz w:val="24"/>
                <w:szCs w:val="24"/>
                <w:highlight w:val="none"/>
                <w:lang w:val="zh-CN" w:bidi="zh-CN"/>
              </w:rPr>
            </w:pPr>
          </w:p>
          <w:p w14:paraId="0FB0C540">
            <w:pPr>
              <w:keepNext/>
              <w:tabs>
                <w:tab w:val="left" w:pos="432"/>
              </w:tabs>
              <w:jc w:val="left"/>
              <w:outlineLvl w:val="0"/>
              <w:rPr>
                <w:rFonts w:hint="eastAsia" w:ascii="宋体" w:hAnsi="宋体" w:eastAsia="宋体" w:cs="宋体"/>
                <w:color w:val="auto"/>
                <w:kern w:val="0"/>
                <w:sz w:val="24"/>
                <w:szCs w:val="24"/>
                <w:highlight w:val="none"/>
                <w:lang w:val="zh-CN" w:bidi="zh-CN"/>
              </w:rPr>
            </w:pPr>
            <w:r>
              <w:rPr>
                <w:rFonts w:hint="eastAsia" w:ascii="宋体" w:hAnsi="宋体" w:eastAsia="宋体" w:cs="宋体"/>
                <w:color w:val="auto"/>
                <w:kern w:val="0"/>
                <w:sz w:val="24"/>
                <w:szCs w:val="24"/>
                <w:highlight w:val="none"/>
                <w:lang w:val="zh-CN" w:bidi="zh-CN"/>
              </w:rPr>
              <w:t>注:须提供以上有效期内证书复印件或扫描件，并提供全国认证认可信息公共服务平台证书查询截图。以上证明材料应加盖投标人公章，未按要求提供不得分。</w:t>
            </w:r>
          </w:p>
        </w:tc>
        <w:tc>
          <w:tcPr>
            <w:tcW w:w="1796" w:type="pct"/>
            <w:vAlign w:val="center"/>
          </w:tcPr>
          <w:p w14:paraId="38E8B919">
            <w:pPr>
              <w:keepNext/>
              <w:tabs>
                <w:tab w:val="left" w:pos="432"/>
              </w:tabs>
              <w:jc w:val="left"/>
              <w:outlineLvl w:val="0"/>
              <w:rPr>
                <w:rFonts w:hint="eastAsia" w:ascii="宋体" w:hAnsi="宋体" w:eastAsia="宋体" w:cs="宋体"/>
                <w:color w:val="auto"/>
                <w:kern w:val="0"/>
                <w:sz w:val="24"/>
                <w:szCs w:val="24"/>
                <w:highlight w:val="none"/>
                <w:lang w:val="en-US" w:eastAsia="zh-CN" w:bidi="zh-CN"/>
              </w:rPr>
            </w:pPr>
            <w:r>
              <w:rPr>
                <w:rFonts w:hint="eastAsia" w:ascii="宋体" w:hAnsi="宋体" w:eastAsia="宋体" w:cs="宋体"/>
                <w:color w:val="auto"/>
                <w:kern w:val="0"/>
                <w:sz w:val="24"/>
                <w:szCs w:val="24"/>
                <w:highlight w:val="none"/>
                <w:lang w:val="en-US" w:eastAsia="zh-CN" w:bidi="zh-CN"/>
              </w:rPr>
              <w:t>注:须提供以上有效期内证书复印件或扫描件，并提供全国认证认可信息公共服务平台证书查询截图。以上证明材料应加盖投标人公章，未按要求提供不得分。投标人提供证书的认证范围或认证名称与上述名称不完全一致的，经评委会认定为同一产品的，该项予以得分。</w:t>
            </w:r>
          </w:p>
        </w:tc>
        <w:tc>
          <w:tcPr>
            <w:tcW w:w="269" w:type="pct"/>
            <w:vAlign w:val="center"/>
          </w:tcPr>
          <w:p w14:paraId="65A61F06">
            <w:pPr>
              <w:spacing w:line="288" w:lineRule="auto"/>
              <w:jc w:val="center"/>
              <w:rPr>
                <w:rFonts w:hint="eastAsia" w:ascii="宋体" w:hAnsi="宋体" w:cs="宋体"/>
                <w:bCs/>
                <w:color w:val="auto"/>
                <w:kern w:val="0"/>
                <w:sz w:val="24"/>
                <w:szCs w:val="24"/>
                <w:highlight w:val="none"/>
              </w:rPr>
            </w:pPr>
          </w:p>
        </w:tc>
      </w:tr>
      <w:tr w14:paraId="379E28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324" w:type="pct"/>
            <w:vAlign w:val="center"/>
          </w:tcPr>
          <w:p w14:paraId="672C60C1">
            <w:pPr>
              <w:spacing w:line="288" w:lineRule="auto"/>
              <w:jc w:val="center"/>
              <w:rPr>
                <w:rFonts w:hint="default" w:ascii="宋体" w:hAnsi="宋体" w:eastAsia="宋体" w:cs="宋体"/>
                <w:color w:val="auto"/>
                <w:kern w:val="0"/>
                <w:sz w:val="20"/>
                <w:szCs w:val="21"/>
                <w:highlight w:val="none"/>
                <w:lang w:val="en-US" w:eastAsia="zh-CN"/>
              </w:rPr>
            </w:pPr>
            <w:r>
              <w:rPr>
                <w:rFonts w:hint="eastAsia" w:ascii="宋体" w:hAnsi="宋体" w:eastAsia="宋体" w:cs="宋体"/>
                <w:color w:val="auto"/>
                <w:kern w:val="0"/>
                <w:sz w:val="20"/>
                <w:szCs w:val="21"/>
                <w:highlight w:val="none"/>
                <w:lang w:val="en-US" w:eastAsia="zh-CN"/>
              </w:rPr>
              <w:t>16</w:t>
            </w:r>
          </w:p>
        </w:tc>
        <w:tc>
          <w:tcPr>
            <w:tcW w:w="801" w:type="pct"/>
            <w:vAlign w:val="center"/>
          </w:tcPr>
          <w:p w14:paraId="102CFF16">
            <w:pPr>
              <w:pStyle w:val="9"/>
              <w:numPr>
                <w:ilvl w:val="0"/>
                <w:numId w:val="0"/>
              </w:numPr>
              <w:spacing w:line="360" w:lineRule="auto"/>
              <w:rPr>
                <w:rFonts w:hint="eastAsia" w:ascii="宋体" w:hAnsi="宋体" w:cs="宋体"/>
                <w:bCs/>
                <w:color w:val="auto"/>
                <w:kern w:val="0"/>
                <w:sz w:val="24"/>
                <w:szCs w:val="24"/>
                <w:highlight w:val="none"/>
                <w:lang w:eastAsia="zh-CN"/>
              </w:rPr>
            </w:pPr>
            <w:r>
              <w:rPr>
                <w:rFonts w:hint="eastAsia" w:ascii="宋体" w:hAnsi="宋体" w:cs="宋体"/>
                <w:bCs/>
                <w:color w:val="auto"/>
                <w:kern w:val="0"/>
                <w:sz w:val="24"/>
                <w:szCs w:val="24"/>
                <w:highlight w:val="none"/>
                <w:lang w:eastAsia="zh-CN"/>
              </w:rPr>
              <w:t>采购文件“第五部分 评标办法和标准”-“8.本项目采用综合评分法。”-“采购包</w:t>
            </w:r>
            <w:r>
              <w:rPr>
                <w:rFonts w:hint="eastAsia" w:ascii="宋体" w:hAnsi="宋体" w:cs="宋体"/>
                <w:bCs/>
                <w:color w:val="auto"/>
                <w:kern w:val="0"/>
                <w:sz w:val="24"/>
                <w:szCs w:val="24"/>
                <w:highlight w:val="none"/>
                <w:lang w:val="en-US" w:eastAsia="zh-CN"/>
              </w:rPr>
              <w:t>2</w:t>
            </w:r>
            <w:r>
              <w:rPr>
                <w:rFonts w:hint="eastAsia" w:ascii="宋体" w:hAnsi="宋体" w:cs="宋体"/>
                <w:bCs/>
                <w:color w:val="auto"/>
                <w:kern w:val="0"/>
                <w:sz w:val="24"/>
                <w:szCs w:val="24"/>
                <w:highlight w:val="none"/>
                <w:lang w:eastAsia="zh-CN"/>
              </w:rPr>
              <w:t>：”-“（二） 商务评估”-“环保证书”</w:t>
            </w:r>
          </w:p>
        </w:tc>
        <w:tc>
          <w:tcPr>
            <w:tcW w:w="1808" w:type="pct"/>
            <w:vAlign w:val="center"/>
          </w:tcPr>
          <w:p w14:paraId="11FD8509">
            <w:pPr>
              <w:keepNext/>
              <w:tabs>
                <w:tab w:val="left" w:pos="432"/>
              </w:tabs>
              <w:jc w:val="left"/>
              <w:outlineLvl w:val="0"/>
              <w:rPr>
                <w:rFonts w:hint="eastAsia" w:ascii="宋体" w:hAnsi="宋体" w:eastAsia="宋体" w:cs="宋体"/>
                <w:color w:val="auto"/>
                <w:kern w:val="0"/>
                <w:sz w:val="24"/>
                <w:szCs w:val="24"/>
                <w:highlight w:val="none"/>
                <w:lang w:val="zh-CN" w:bidi="zh-CN"/>
              </w:rPr>
            </w:pPr>
            <w:r>
              <w:rPr>
                <w:rFonts w:hint="eastAsia" w:ascii="宋体" w:hAnsi="宋体" w:eastAsia="宋体" w:cs="宋体"/>
                <w:color w:val="auto"/>
                <w:kern w:val="0"/>
                <w:sz w:val="24"/>
                <w:szCs w:val="24"/>
                <w:highlight w:val="none"/>
                <w:lang w:val="zh-CN" w:bidi="zh-CN"/>
              </w:rPr>
              <w:t>注:须提供以上有效期内证书复印件或扫描件，并提供全国认证认可信息公共服务平台证书查询截图。以上证明材料应加盖投标人公章，未按要求提供不得分。</w:t>
            </w:r>
          </w:p>
        </w:tc>
        <w:tc>
          <w:tcPr>
            <w:tcW w:w="1796" w:type="pct"/>
            <w:vAlign w:val="center"/>
          </w:tcPr>
          <w:p w14:paraId="68829E50">
            <w:pPr>
              <w:keepNext/>
              <w:tabs>
                <w:tab w:val="left" w:pos="432"/>
              </w:tabs>
              <w:jc w:val="left"/>
              <w:outlineLvl w:val="0"/>
              <w:rPr>
                <w:rFonts w:hint="eastAsia" w:ascii="宋体" w:hAnsi="宋体" w:eastAsia="宋体" w:cs="宋体"/>
                <w:color w:val="auto"/>
                <w:kern w:val="0"/>
                <w:sz w:val="24"/>
                <w:szCs w:val="24"/>
                <w:highlight w:val="none"/>
                <w:lang w:val="en-US" w:eastAsia="zh-CN" w:bidi="zh-CN"/>
              </w:rPr>
            </w:pPr>
            <w:r>
              <w:rPr>
                <w:rFonts w:hint="eastAsia" w:ascii="宋体" w:hAnsi="宋体" w:eastAsia="宋体" w:cs="宋体"/>
                <w:color w:val="auto"/>
                <w:kern w:val="0"/>
                <w:sz w:val="24"/>
                <w:szCs w:val="24"/>
                <w:highlight w:val="none"/>
                <w:lang w:val="zh-CN" w:bidi="zh-CN"/>
              </w:rPr>
              <w:t>注:须提供以上有效期内证书复印件或扫描件，并提供全国认证认可信息公共服务平台证书查询截图。以上证明材料应加盖投标人公章，未按要求提供不得分。投标人提供证书的认证名称与上述名称不完全一致的，经评委会认定为同一产品的，该项予以得分。</w:t>
            </w:r>
          </w:p>
        </w:tc>
        <w:tc>
          <w:tcPr>
            <w:tcW w:w="269" w:type="pct"/>
            <w:vAlign w:val="center"/>
          </w:tcPr>
          <w:p w14:paraId="55F3833E">
            <w:pPr>
              <w:spacing w:line="288" w:lineRule="auto"/>
              <w:jc w:val="center"/>
              <w:rPr>
                <w:rFonts w:hint="eastAsia" w:ascii="宋体" w:hAnsi="宋体" w:cs="宋体"/>
                <w:bCs/>
                <w:color w:val="auto"/>
                <w:kern w:val="0"/>
                <w:sz w:val="24"/>
                <w:szCs w:val="24"/>
                <w:highlight w:val="none"/>
              </w:rPr>
            </w:pPr>
          </w:p>
        </w:tc>
      </w:tr>
      <w:tr w14:paraId="581014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324" w:type="pct"/>
            <w:vAlign w:val="center"/>
          </w:tcPr>
          <w:p w14:paraId="2C965971">
            <w:pPr>
              <w:spacing w:line="288" w:lineRule="auto"/>
              <w:jc w:val="center"/>
              <w:rPr>
                <w:rFonts w:hint="default" w:ascii="宋体" w:hAnsi="宋体" w:eastAsia="宋体" w:cs="宋体"/>
                <w:color w:val="auto"/>
                <w:kern w:val="0"/>
                <w:sz w:val="20"/>
                <w:szCs w:val="21"/>
                <w:highlight w:val="none"/>
                <w:lang w:val="en-US" w:eastAsia="zh-CN"/>
              </w:rPr>
            </w:pPr>
            <w:r>
              <w:rPr>
                <w:rFonts w:hint="eastAsia" w:ascii="宋体" w:hAnsi="宋体" w:eastAsia="宋体" w:cs="宋体"/>
                <w:color w:val="auto"/>
                <w:kern w:val="0"/>
                <w:sz w:val="20"/>
                <w:szCs w:val="21"/>
                <w:highlight w:val="none"/>
                <w:lang w:val="en-US" w:eastAsia="zh-CN"/>
              </w:rPr>
              <w:t>17</w:t>
            </w:r>
          </w:p>
        </w:tc>
        <w:tc>
          <w:tcPr>
            <w:tcW w:w="801" w:type="pct"/>
            <w:vAlign w:val="center"/>
          </w:tcPr>
          <w:p w14:paraId="0D774551">
            <w:pPr>
              <w:pStyle w:val="9"/>
              <w:numPr>
                <w:ilvl w:val="0"/>
                <w:numId w:val="0"/>
              </w:numPr>
              <w:spacing w:line="360" w:lineRule="auto"/>
              <w:rPr>
                <w:rFonts w:hint="eastAsia" w:ascii="宋体" w:hAnsi="宋体" w:cs="宋体"/>
                <w:bCs/>
                <w:color w:val="auto"/>
                <w:kern w:val="0"/>
                <w:sz w:val="24"/>
                <w:szCs w:val="24"/>
                <w:highlight w:val="none"/>
                <w:lang w:eastAsia="zh-CN"/>
              </w:rPr>
            </w:pPr>
            <w:r>
              <w:rPr>
                <w:rFonts w:hint="eastAsia" w:ascii="宋体" w:hAnsi="宋体" w:cs="宋体"/>
                <w:bCs/>
                <w:color w:val="auto"/>
                <w:kern w:val="0"/>
                <w:sz w:val="24"/>
                <w:szCs w:val="24"/>
                <w:highlight w:val="none"/>
                <w:lang w:eastAsia="zh-CN"/>
              </w:rPr>
              <w:t>采购文件“附件：采购清单（采购包1）（标记“○”的产品参与本标段工艺方案评价）”-“14 中药柜（带操作台）”</w:t>
            </w:r>
          </w:p>
        </w:tc>
        <w:tc>
          <w:tcPr>
            <w:tcW w:w="3604" w:type="pct"/>
            <w:gridSpan w:val="2"/>
            <w:vAlign w:val="center"/>
          </w:tcPr>
          <w:p w14:paraId="1FE3C99D">
            <w:pPr>
              <w:keepNext w:val="0"/>
              <w:keepLines w:val="0"/>
              <w:pageBreakBefore w:val="0"/>
              <w:spacing w:line="320" w:lineRule="exact"/>
              <w:ind w:firstLine="68"/>
              <w:jc w:val="left"/>
              <w:rPr>
                <w:rFonts w:hint="eastAsia" w:ascii="宋体" w:hAnsi="宋体" w:eastAsia="宋体" w:cs="宋体"/>
                <w:color w:val="auto"/>
                <w:sz w:val="22"/>
                <w:highlight w:val="none"/>
                <w:lang w:val="en-US" w:bidi="zh-CN"/>
              </w:rPr>
            </w:pPr>
            <w:r>
              <w:rPr>
                <w:rFonts w:hint="eastAsia" w:ascii="宋体" w:hAnsi="宋体" w:eastAsia="宋体" w:cs="宋体"/>
                <w:color w:val="auto"/>
                <w:sz w:val="22"/>
                <w:highlight w:val="none"/>
                <w:lang w:val="en-US" w:bidi="zh-CN"/>
              </w:rPr>
              <w:t>删除整项“14 中药柜（带操作台）”</w:t>
            </w:r>
          </w:p>
        </w:tc>
        <w:tc>
          <w:tcPr>
            <w:tcW w:w="269" w:type="pct"/>
            <w:vAlign w:val="center"/>
          </w:tcPr>
          <w:p w14:paraId="31EC876F">
            <w:pPr>
              <w:spacing w:line="288" w:lineRule="auto"/>
              <w:jc w:val="center"/>
              <w:rPr>
                <w:rFonts w:hint="eastAsia" w:ascii="宋体" w:hAnsi="宋体" w:cs="宋体"/>
                <w:bCs/>
                <w:color w:val="auto"/>
                <w:kern w:val="0"/>
                <w:sz w:val="24"/>
                <w:szCs w:val="24"/>
                <w:highlight w:val="none"/>
              </w:rPr>
            </w:pPr>
          </w:p>
        </w:tc>
      </w:tr>
      <w:tr w14:paraId="7A824A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324" w:type="pct"/>
            <w:vAlign w:val="center"/>
          </w:tcPr>
          <w:p w14:paraId="217A7CDA">
            <w:pPr>
              <w:spacing w:line="288" w:lineRule="auto"/>
              <w:jc w:val="center"/>
              <w:rPr>
                <w:rFonts w:hint="default" w:ascii="宋体" w:hAnsi="宋体" w:eastAsia="宋体" w:cs="宋体"/>
                <w:color w:val="auto"/>
                <w:kern w:val="0"/>
                <w:sz w:val="20"/>
                <w:szCs w:val="21"/>
                <w:highlight w:val="none"/>
                <w:lang w:val="en-US" w:eastAsia="zh-CN"/>
              </w:rPr>
            </w:pPr>
            <w:r>
              <w:rPr>
                <w:rFonts w:hint="eastAsia" w:ascii="宋体" w:hAnsi="宋体" w:eastAsia="宋体" w:cs="宋体"/>
                <w:color w:val="auto"/>
                <w:kern w:val="0"/>
                <w:sz w:val="20"/>
                <w:szCs w:val="21"/>
                <w:highlight w:val="none"/>
                <w:lang w:val="en-US" w:eastAsia="zh-CN"/>
              </w:rPr>
              <w:t>18</w:t>
            </w:r>
          </w:p>
        </w:tc>
        <w:tc>
          <w:tcPr>
            <w:tcW w:w="801" w:type="pct"/>
            <w:vAlign w:val="center"/>
          </w:tcPr>
          <w:p w14:paraId="59B502D6">
            <w:pPr>
              <w:pStyle w:val="9"/>
              <w:numPr>
                <w:ilvl w:val="0"/>
                <w:numId w:val="0"/>
              </w:numPr>
              <w:spacing w:line="360" w:lineRule="auto"/>
              <w:rPr>
                <w:rFonts w:hint="eastAsia" w:ascii="宋体" w:hAnsi="宋体" w:cs="宋体"/>
                <w:bCs/>
                <w:color w:val="auto"/>
                <w:kern w:val="0"/>
                <w:sz w:val="24"/>
                <w:szCs w:val="24"/>
                <w:highlight w:val="none"/>
                <w:lang w:eastAsia="zh-CN"/>
              </w:rPr>
            </w:pPr>
            <w:r>
              <w:rPr>
                <w:rFonts w:hint="eastAsia" w:ascii="宋体" w:hAnsi="宋体" w:cs="宋体"/>
                <w:bCs/>
                <w:color w:val="auto"/>
                <w:kern w:val="0"/>
                <w:sz w:val="24"/>
                <w:szCs w:val="24"/>
                <w:highlight w:val="none"/>
                <w:lang w:eastAsia="zh-CN"/>
              </w:rPr>
              <w:t>采购文件“第五部分 评标办法和标准”-“8.本项目采用综合评分法。”-“采购包1和2：”-“（一）技术评估”-“样品评价</w:t>
            </w:r>
          </w:p>
        </w:tc>
        <w:tc>
          <w:tcPr>
            <w:tcW w:w="3604" w:type="pct"/>
            <w:gridSpan w:val="2"/>
            <w:vAlign w:val="center"/>
          </w:tcPr>
          <w:p w14:paraId="7F51BD8F">
            <w:pPr>
              <w:keepNext w:val="0"/>
              <w:keepLines w:val="0"/>
              <w:pageBreakBefore w:val="0"/>
              <w:spacing w:line="320" w:lineRule="exact"/>
              <w:ind w:firstLine="68"/>
              <w:jc w:val="left"/>
              <w:rPr>
                <w:rFonts w:hint="eastAsia" w:ascii="宋体" w:hAnsi="宋体" w:eastAsia="宋体" w:cs="宋体"/>
                <w:color w:val="auto"/>
                <w:kern w:val="0"/>
                <w:sz w:val="24"/>
                <w:szCs w:val="24"/>
                <w:highlight w:val="none"/>
                <w:lang w:val="zh-CN" w:bidi="zh-CN"/>
              </w:rPr>
            </w:pPr>
            <w:r>
              <w:rPr>
                <w:rFonts w:hint="eastAsia" w:ascii="宋体" w:hAnsi="宋体" w:eastAsia="宋体" w:cs="宋体"/>
                <w:color w:val="auto"/>
                <w:sz w:val="22"/>
                <w:highlight w:val="none"/>
                <w:lang w:val="en-US" w:bidi="zh-CN"/>
              </w:rPr>
              <w:t>删除</w:t>
            </w:r>
            <w:r>
              <w:rPr>
                <w:rFonts w:hint="eastAsia" w:ascii="宋体" w:hAnsi="宋体" w:eastAsia="宋体" w:cs="宋体"/>
                <w:color w:val="auto"/>
                <w:sz w:val="22"/>
                <w:highlight w:val="none"/>
                <w:lang w:bidi="zh-CN"/>
              </w:rPr>
              <w:t>工艺细节</w:t>
            </w:r>
            <w:r>
              <w:rPr>
                <w:rFonts w:hint="eastAsia" w:ascii="宋体" w:hAnsi="宋体" w:eastAsia="宋体" w:cs="宋体"/>
                <w:color w:val="auto"/>
                <w:sz w:val="22"/>
                <w:highlight w:val="none"/>
                <w:lang w:val="en-US" w:bidi="zh-CN"/>
              </w:rPr>
              <w:t>中“</w:t>
            </w:r>
            <w:r>
              <w:rPr>
                <w:rFonts w:hint="eastAsia" w:ascii="宋体" w:hAnsi="宋体" w:eastAsia="宋体" w:cs="宋体"/>
                <w:color w:val="auto"/>
                <w:sz w:val="22"/>
                <w:highlight w:val="none"/>
                <w:lang w:bidi="zh-CN"/>
              </w:rPr>
              <w:t>标识、铭牌齐全清晰且与产品参数一致</w:t>
            </w:r>
            <w:r>
              <w:rPr>
                <w:rFonts w:hint="eastAsia" w:ascii="宋体" w:hAnsi="宋体" w:eastAsia="宋体" w:cs="宋体"/>
                <w:color w:val="auto"/>
                <w:sz w:val="22"/>
                <w:highlight w:val="none"/>
                <w:lang w:val="en-US" w:bidi="zh-CN"/>
              </w:rPr>
              <w:t>”的评价要求。其余内容不变，具体详见变更后的采购文件。</w:t>
            </w:r>
          </w:p>
        </w:tc>
        <w:tc>
          <w:tcPr>
            <w:tcW w:w="269" w:type="pct"/>
            <w:vAlign w:val="center"/>
          </w:tcPr>
          <w:p w14:paraId="1C9A2E89">
            <w:pPr>
              <w:spacing w:line="288" w:lineRule="auto"/>
              <w:jc w:val="center"/>
              <w:rPr>
                <w:rFonts w:hint="eastAsia" w:ascii="宋体" w:hAnsi="宋体" w:cs="宋体"/>
                <w:bCs/>
                <w:color w:val="auto"/>
                <w:kern w:val="0"/>
                <w:sz w:val="24"/>
                <w:szCs w:val="24"/>
                <w:highlight w:val="none"/>
              </w:rPr>
            </w:pPr>
          </w:p>
        </w:tc>
      </w:tr>
      <w:tr w14:paraId="3BC993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324" w:type="pct"/>
            <w:vAlign w:val="center"/>
          </w:tcPr>
          <w:p w14:paraId="5001D601">
            <w:pPr>
              <w:spacing w:line="288" w:lineRule="auto"/>
              <w:jc w:val="center"/>
              <w:rPr>
                <w:rFonts w:hint="default" w:ascii="宋体" w:hAnsi="宋体" w:eastAsia="宋体" w:cs="宋体"/>
                <w:color w:val="auto"/>
                <w:kern w:val="0"/>
                <w:sz w:val="20"/>
                <w:szCs w:val="21"/>
                <w:highlight w:val="none"/>
                <w:lang w:val="en-US" w:eastAsia="zh-CN"/>
              </w:rPr>
            </w:pPr>
            <w:r>
              <w:rPr>
                <w:rFonts w:hint="eastAsia" w:ascii="宋体" w:hAnsi="宋体" w:eastAsia="宋体" w:cs="宋体"/>
                <w:color w:val="auto"/>
                <w:kern w:val="0"/>
                <w:sz w:val="20"/>
                <w:szCs w:val="21"/>
                <w:highlight w:val="none"/>
                <w:lang w:val="en-US" w:eastAsia="zh-CN"/>
              </w:rPr>
              <w:t>19</w:t>
            </w:r>
          </w:p>
        </w:tc>
        <w:tc>
          <w:tcPr>
            <w:tcW w:w="801" w:type="pct"/>
            <w:vAlign w:val="center"/>
          </w:tcPr>
          <w:p w14:paraId="638B5AAA">
            <w:pPr>
              <w:pStyle w:val="9"/>
              <w:numPr>
                <w:ilvl w:val="0"/>
                <w:numId w:val="0"/>
              </w:numPr>
              <w:spacing w:line="360" w:lineRule="auto"/>
              <w:ind w:left="0" w:leftChars="0" w:firstLine="0" w:firstLineChars="0"/>
              <w:rPr>
                <w:rFonts w:hint="eastAsia" w:ascii="宋体" w:hAnsi="宋体" w:cs="宋体"/>
                <w:bCs/>
                <w:color w:val="auto"/>
                <w:kern w:val="0"/>
                <w:sz w:val="24"/>
                <w:szCs w:val="24"/>
                <w:highlight w:val="none"/>
                <w:lang w:eastAsia="zh-CN"/>
              </w:rPr>
            </w:pPr>
            <w:r>
              <w:rPr>
                <w:rFonts w:hint="eastAsia" w:ascii="宋体" w:hAnsi="宋体" w:cs="宋体"/>
                <w:bCs/>
                <w:color w:val="auto"/>
                <w:kern w:val="0"/>
                <w:sz w:val="24"/>
                <w:szCs w:val="24"/>
                <w:highlight w:val="none"/>
                <w:lang w:eastAsia="zh-CN"/>
              </w:rPr>
              <w:t>采购</w:t>
            </w:r>
            <w:r>
              <w:rPr>
                <w:rFonts w:hint="eastAsia" w:ascii="宋体" w:hAnsi="宋体" w:cs="宋体"/>
                <w:bCs/>
                <w:color w:val="auto"/>
                <w:kern w:val="0"/>
                <w:sz w:val="24"/>
                <w:szCs w:val="24"/>
                <w:highlight w:val="none"/>
              </w:rPr>
              <w:t>文件</w:t>
            </w:r>
            <w:r>
              <w:rPr>
                <w:rFonts w:hint="eastAsia" w:ascii="宋体" w:hAnsi="宋体" w:cs="宋体"/>
                <w:bCs/>
                <w:color w:val="auto"/>
                <w:kern w:val="0"/>
                <w:sz w:val="24"/>
                <w:szCs w:val="24"/>
                <w:highlight w:val="none"/>
                <w:lang w:eastAsia="zh-CN"/>
              </w:rPr>
              <w:t>“第四部分 采购需求”</w:t>
            </w:r>
            <w:r>
              <w:rPr>
                <w:rFonts w:hint="eastAsia" w:ascii="宋体" w:hAnsi="宋体" w:cs="宋体"/>
                <w:bCs/>
                <w:color w:val="auto"/>
                <w:kern w:val="0"/>
                <w:sz w:val="24"/>
                <w:szCs w:val="24"/>
                <w:highlight w:val="none"/>
                <w:lang w:val="en-US" w:eastAsia="zh-CN"/>
              </w:rPr>
              <w:t>-</w:t>
            </w:r>
            <w:r>
              <w:rPr>
                <w:rFonts w:hint="eastAsia" w:ascii="宋体" w:hAnsi="宋体" w:cs="宋体"/>
                <w:bCs/>
                <w:color w:val="auto"/>
                <w:kern w:val="0"/>
                <w:sz w:val="24"/>
                <w:szCs w:val="24"/>
                <w:highlight w:val="none"/>
                <w:lang w:eastAsia="zh-CN"/>
              </w:rPr>
              <w:t>“九、样品要求”</w:t>
            </w:r>
          </w:p>
        </w:tc>
        <w:tc>
          <w:tcPr>
            <w:tcW w:w="3604" w:type="pct"/>
            <w:gridSpan w:val="2"/>
            <w:vAlign w:val="center"/>
          </w:tcPr>
          <w:p w14:paraId="16565675">
            <w:pPr>
              <w:keepNext/>
              <w:tabs>
                <w:tab w:val="left" w:pos="432"/>
              </w:tabs>
              <w:jc w:val="left"/>
              <w:outlineLvl w:val="0"/>
              <w:rPr>
                <w:rFonts w:hint="eastAsia" w:ascii="宋体" w:hAnsi="宋体" w:eastAsia="宋体" w:cs="宋体"/>
                <w:color w:val="auto"/>
                <w:kern w:val="0"/>
                <w:sz w:val="24"/>
                <w:szCs w:val="24"/>
                <w:highlight w:val="none"/>
                <w:lang w:val="zh-CN" w:bidi="zh-CN"/>
              </w:rPr>
            </w:pPr>
            <w:r>
              <w:rPr>
                <w:rFonts w:hint="eastAsia" w:ascii="宋体" w:hAnsi="宋体" w:eastAsia="宋体" w:cs="宋体"/>
                <w:color w:val="auto"/>
                <w:kern w:val="0"/>
                <w:sz w:val="24"/>
                <w:szCs w:val="24"/>
                <w:highlight w:val="none"/>
                <w:lang w:val="zh-CN" w:bidi="zh-CN"/>
              </w:rPr>
              <w:t>整体更正为：</w:t>
            </w:r>
          </w:p>
          <w:p w14:paraId="671C46A3">
            <w:pPr>
              <w:keepNext/>
              <w:tabs>
                <w:tab w:val="left" w:pos="432"/>
              </w:tabs>
              <w:jc w:val="left"/>
              <w:outlineLvl w:val="0"/>
              <w:rPr>
                <w:rFonts w:hint="eastAsia" w:ascii="宋体" w:hAnsi="宋体" w:eastAsia="宋体" w:cs="宋体"/>
                <w:color w:val="auto"/>
                <w:kern w:val="0"/>
                <w:sz w:val="24"/>
                <w:szCs w:val="24"/>
                <w:highlight w:val="none"/>
                <w:lang w:val="zh-CN" w:bidi="zh-CN"/>
              </w:rPr>
            </w:pPr>
          </w:p>
          <w:p w14:paraId="1A3783FE">
            <w:pPr>
              <w:numPr>
                <w:ilvl w:val="0"/>
                <w:numId w:val="0"/>
              </w:numPr>
              <w:spacing w:line="400" w:lineRule="exact"/>
              <w:rPr>
                <w:rFonts w:hint="eastAsia" w:ascii="宋体" w:hAnsi="宋体" w:eastAsia="宋体" w:cs="宋体"/>
                <w:color w:val="auto"/>
                <w:sz w:val="21"/>
                <w:szCs w:val="21"/>
                <w:highlight w:val="none"/>
                <w:lang w:val="zh-CN" w:bidi="zh-CN"/>
              </w:rPr>
            </w:pPr>
            <w:r>
              <w:rPr>
                <w:rFonts w:hint="eastAsia" w:ascii="宋体" w:hAnsi="宋体" w:eastAsia="宋体" w:cs="宋体"/>
                <w:color w:val="auto"/>
                <w:sz w:val="21"/>
                <w:szCs w:val="21"/>
                <w:highlight w:val="none"/>
                <w:lang w:val="zh-CN" w:eastAsia="zh-CN" w:bidi="zh-CN"/>
              </w:rPr>
              <w:t>（一）</w:t>
            </w:r>
            <w:r>
              <w:rPr>
                <w:rFonts w:hint="eastAsia" w:ascii="宋体" w:hAnsi="宋体" w:eastAsia="宋体" w:cs="宋体"/>
                <w:color w:val="auto"/>
                <w:sz w:val="21"/>
                <w:szCs w:val="21"/>
                <w:highlight w:val="none"/>
                <w:lang w:val="zh-CN" w:bidi="zh-CN"/>
              </w:rPr>
              <w:t>样品清单及技术参数要求</w:t>
            </w:r>
          </w:p>
          <w:p w14:paraId="41D9516A">
            <w:pPr>
              <w:rPr>
                <w:rFonts w:hint="eastAsia" w:ascii="宋体" w:hAnsi="宋体" w:cs="宋体"/>
                <w:b/>
                <w:bCs/>
                <w:color w:val="auto"/>
                <w:sz w:val="21"/>
                <w:szCs w:val="21"/>
                <w:highlight w:val="none"/>
                <w:u w:val="single"/>
                <w:lang w:val="zh-CN" w:bidi="zh-CN"/>
              </w:rPr>
            </w:pPr>
            <w:r>
              <w:rPr>
                <w:rFonts w:hint="eastAsia" w:ascii="宋体" w:hAnsi="宋体" w:eastAsia="宋体" w:cs="宋体"/>
                <w:color w:val="auto"/>
                <w:sz w:val="21"/>
                <w:szCs w:val="21"/>
                <w:highlight w:val="none"/>
                <w:lang w:val="en-US" w:bidi="zh-CN"/>
              </w:rPr>
              <w:t>1.1</w:t>
            </w:r>
            <w:r>
              <w:rPr>
                <w:rFonts w:hint="eastAsia" w:ascii="宋体" w:hAnsi="宋体" w:eastAsia="宋体" w:cs="宋体"/>
                <w:color w:val="auto"/>
                <w:sz w:val="21"/>
                <w:szCs w:val="21"/>
                <w:highlight w:val="none"/>
                <w:lang w:val="zh-CN" w:bidi="zh-CN"/>
              </w:rPr>
              <w:t>采购包1</w:t>
            </w:r>
            <w:r>
              <w:rPr>
                <w:rFonts w:hint="eastAsia" w:ascii="宋体" w:hAnsi="宋体" w:cs="宋体"/>
                <w:color w:val="auto"/>
                <w:sz w:val="21"/>
                <w:szCs w:val="21"/>
                <w:highlight w:val="none"/>
                <w:lang w:val="zh-CN" w:bidi="zh-CN"/>
              </w:rPr>
              <w:t>样品：</w:t>
            </w:r>
            <w:r>
              <w:rPr>
                <w:rFonts w:hint="eastAsia" w:ascii="宋体" w:hAnsi="宋体" w:eastAsia="宋体" w:cs="宋体"/>
                <w:b/>
                <w:bCs/>
                <w:color w:val="auto"/>
                <w:sz w:val="21"/>
                <w:szCs w:val="21"/>
                <w:highlight w:val="none"/>
                <w:u w:val="single"/>
                <w:lang w:val="zh-CN" w:bidi="zh-CN"/>
              </w:rPr>
              <w:t>医用治疗柜，</w:t>
            </w:r>
            <w:r>
              <w:rPr>
                <w:rFonts w:hint="eastAsia" w:ascii="宋体" w:hAnsi="宋体" w:cs="宋体"/>
                <w:b/>
                <w:bCs/>
                <w:color w:val="auto"/>
                <w:sz w:val="21"/>
                <w:szCs w:val="21"/>
                <w:highlight w:val="none"/>
                <w:u w:val="single"/>
                <w:lang w:val="zh-CN" w:bidi="zh-CN"/>
              </w:rPr>
              <w:t>单面操作西药柜</w:t>
            </w:r>
            <w:r>
              <w:rPr>
                <w:rFonts w:hint="eastAsia" w:ascii="宋体" w:hAnsi="宋体" w:eastAsia="宋体" w:cs="宋体"/>
                <w:b/>
                <w:bCs/>
                <w:color w:val="auto"/>
                <w:sz w:val="21"/>
                <w:szCs w:val="21"/>
                <w:highlight w:val="none"/>
                <w:u w:val="single"/>
                <w:lang w:val="zh-CN" w:bidi="zh-CN"/>
              </w:rPr>
              <w:t>，诊断桌</w:t>
            </w:r>
            <w:r>
              <w:rPr>
                <w:rFonts w:hint="eastAsia" w:ascii="宋体" w:hAnsi="宋体" w:cs="宋体"/>
                <w:b/>
                <w:bCs/>
                <w:color w:val="auto"/>
                <w:sz w:val="21"/>
                <w:szCs w:val="21"/>
                <w:highlight w:val="none"/>
                <w:u w:val="single"/>
                <w:lang w:val="zh-CN" w:bidi="zh-CN"/>
              </w:rPr>
              <w:t>（样品制作需参照产品参数及产品图纸，所有样品拒绝3D打印）</w:t>
            </w:r>
          </w:p>
          <w:p w14:paraId="48107B6A">
            <w:pPr>
              <w:spacing w:line="400" w:lineRule="exact"/>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样品技术参数要求：</w:t>
            </w:r>
          </w:p>
          <w:p w14:paraId="276DF63C">
            <w:pPr>
              <w:widowControl/>
              <w:jc w:val="left"/>
              <w:rPr>
                <w:rFonts w:hint="eastAsia" w:ascii="宋体" w:hAnsi="宋体" w:eastAsia="宋体" w:cs="宋体"/>
                <w:b/>
                <w:bCs/>
                <w:color w:val="auto"/>
                <w:sz w:val="21"/>
                <w:szCs w:val="21"/>
                <w:highlight w:val="none"/>
                <w:u w:val="single"/>
                <w:lang w:val="zh-CN" w:bidi="zh-CN"/>
              </w:rPr>
            </w:pP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1</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w:t>
            </w:r>
            <w:r>
              <w:rPr>
                <w:rFonts w:hint="eastAsia" w:ascii="宋体" w:hAnsi="宋体" w:eastAsia="宋体" w:cs="宋体"/>
                <w:b/>
                <w:bCs/>
                <w:color w:val="auto"/>
                <w:sz w:val="21"/>
                <w:szCs w:val="21"/>
                <w:highlight w:val="none"/>
                <w:u w:val="single"/>
                <w:lang w:val="zh-CN" w:bidi="zh-CN"/>
              </w:rPr>
              <w:t>医用治疗柜</w:t>
            </w:r>
          </w:p>
          <w:p w14:paraId="612EB37F">
            <w:pPr>
              <w:widowControl/>
              <w:jc w:val="left"/>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①</w:t>
            </w:r>
            <w:r>
              <w:rPr>
                <w:rFonts w:hint="eastAsia" w:ascii="宋体" w:hAnsi="宋体" w:eastAsia="宋体" w:cs="宋体"/>
                <w:color w:val="auto"/>
                <w:sz w:val="21"/>
                <w:szCs w:val="21"/>
                <w:highlight w:val="none"/>
              </w:rPr>
              <w:t>【主要材料及厚度说明】</w:t>
            </w:r>
          </w:p>
          <w:p w14:paraId="0E72E7B2">
            <w:pPr>
              <w:widowControl/>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1、台面：采用医用复合亚克力人造石，厚度≥12mm，主要成分为高比例高性能改性不饱和树酯，具有抑菌防、防霉、耐酸碱、耐磨、耐冲击、易清洁等特性，台面无缝拼接，符合医院环境卫生要求；</w:t>
            </w:r>
          </w:p>
          <w:p w14:paraId="13A8DFFE">
            <w:pPr>
              <w:widowControl/>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2、柜体：采用≥1.0mm厚及背架龙骨采用≥1.5mm厚一级电解钢板，具有更抗酸、更防锈、更防蚀、和涂层接触更稳固、使用年限更长等特点；上柜柜门为钢制磨砂玻璃门板；</w:t>
            </w:r>
          </w:p>
          <w:p w14:paraId="31793A74">
            <w:pPr>
              <w:widowControl/>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3、抑菌粉末：采用抑菌防霉粉末静电喷涂处理，涂层膜厚度均匀，内外一致，抑菌、防霉、耐酸碱、耐磨、耐撞击，抗腐蚀力强；</w:t>
            </w:r>
          </w:p>
          <w:p w14:paraId="264CB482">
            <w:pPr>
              <w:widowControl/>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4、踢脚线：柜体正面踢脚线采用厚度≥0.8mm 304#油膜拉丝不锈钢，四周折弯8mm厚采用塑料胶粒卡扣式安装避免使用时刮脚。</w:t>
            </w:r>
          </w:p>
          <w:p w14:paraId="3F9CC8D2">
            <w:pPr>
              <w:widowControl/>
              <w:jc w:val="left"/>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②</w:t>
            </w:r>
            <w:r>
              <w:rPr>
                <w:rFonts w:hint="eastAsia" w:ascii="宋体" w:hAnsi="宋体" w:eastAsia="宋体" w:cs="宋体"/>
                <w:color w:val="auto"/>
                <w:sz w:val="21"/>
                <w:szCs w:val="21"/>
                <w:highlight w:val="none"/>
              </w:rPr>
              <w:t>【结构/配置】</w:t>
            </w:r>
          </w:p>
          <w:p w14:paraId="3BDD142D">
            <w:pPr>
              <w:widowControl/>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1、主体全钢结构+医用复合亚克力人造石台面；</w:t>
            </w:r>
          </w:p>
          <w:p w14:paraId="40190761">
            <w:pPr>
              <w:widowControl/>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2、主要配置：地柜+背架+人造石+吊柜+针筒吊柜+分类垃圾柜+水盆柜+大输液柜+分隔板。</w:t>
            </w:r>
          </w:p>
          <w:p w14:paraId="71078690">
            <w:pPr>
              <w:widowControl/>
              <w:jc w:val="left"/>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③</w:t>
            </w:r>
            <w:r>
              <w:rPr>
                <w:rFonts w:hint="eastAsia" w:ascii="宋体" w:hAnsi="宋体" w:eastAsia="宋体" w:cs="宋体"/>
                <w:color w:val="auto"/>
                <w:sz w:val="21"/>
                <w:szCs w:val="21"/>
                <w:highlight w:val="none"/>
              </w:rPr>
              <w:t>【五金配件】</w:t>
            </w:r>
          </w:p>
          <w:p w14:paraId="6405EF05">
            <w:pPr>
              <w:widowControl/>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1、拉手：采用一字折弯斜拉手；</w:t>
            </w:r>
          </w:p>
          <w:p w14:paraId="427A4812">
            <w:pPr>
              <w:widowControl/>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2、门铰：采用304不锈钢缓冲门铰（铰链），与门板及柜体连接位采用丝锥后不锈钢螺丝固定；</w:t>
            </w:r>
          </w:p>
          <w:p w14:paraId="1C3BFC68">
            <w:pPr>
              <w:widowControl/>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3、导轨：采用卡扣式三节导轨，顺畅、静音、抽拉自如；</w:t>
            </w:r>
          </w:p>
          <w:p w14:paraId="0B8FF612">
            <w:pPr>
              <w:widowControl/>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4、锁具：抽芯锁具；</w:t>
            </w:r>
          </w:p>
          <w:p w14:paraId="68333373">
            <w:pPr>
              <w:widowControl/>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5、水池：304不锈钢感应水龙头、304不锈钢水盆，底部带喷涂隔音处理、亚克力挡水≥7mm厚。</w:t>
            </w:r>
          </w:p>
          <w:p w14:paraId="55071D4B">
            <w:pPr>
              <w:widowControl/>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④【工艺/其他】</w:t>
            </w:r>
          </w:p>
          <w:p w14:paraId="459EE06F">
            <w:pPr>
              <w:widowControl/>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1、所有工件经数控激光切割、模具冲压、数控折弯、机器打磨、抛光，整体采用激光焊接工艺，无外露焊点；</w:t>
            </w:r>
          </w:p>
          <w:p w14:paraId="0DB0A5B8">
            <w:pPr>
              <w:widowControl/>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2、门板及抽面带塑料标签卡槽，门板及抽屉内无裸露螺丝，抽屉内带6宫格分隔板并带一体冲压标签卡槽，门及抽面板为双层工艺；</w:t>
            </w:r>
          </w:p>
          <w:p w14:paraId="17562602">
            <w:pPr>
              <w:widowControl/>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3、地柜为上抽下掩门并带可调节层板一层，吊柜内带可调节层板一层；</w:t>
            </w:r>
          </w:p>
          <w:p w14:paraId="09660B24">
            <w:pPr>
              <w:widowControl/>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4、背架中部带层板一层，层板下方带86孔位，便于后期安装插座面板；</w:t>
            </w:r>
          </w:p>
          <w:p w14:paraId="701E10CC">
            <w:pPr>
              <w:widowControl/>
              <w:jc w:val="left"/>
              <w:rPr>
                <w:rFonts w:hint="eastAsia" w:ascii="宋体" w:hAnsi="宋体" w:eastAsia="宋体" w:cs="宋体"/>
                <w:color w:val="FF0000"/>
                <w:sz w:val="21"/>
                <w:szCs w:val="21"/>
                <w:highlight w:val="none"/>
              </w:rPr>
            </w:pPr>
            <w:r>
              <w:rPr>
                <w:rFonts w:hint="eastAsia" w:ascii="宋体" w:hAnsi="宋体" w:eastAsia="宋体" w:cs="宋体"/>
                <w:color w:val="FF0000"/>
                <w:sz w:val="21"/>
                <w:szCs w:val="21"/>
                <w:highlight w:val="none"/>
              </w:rPr>
              <w:t>5、垃圾柜工艺：304不锈钢脚踏转动装置两根支撑杆支撑PP盖开启方式、脚踏转动装置无裸露并有预留检修口、≥0.8mm厚304#油膜拉丝不锈钢底座150mm高、门板丝网印刷垃圾分类标识；</w:t>
            </w:r>
          </w:p>
          <w:p w14:paraId="0F0C4FC3">
            <w:pPr>
              <w:widowControl/>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6、高危药品柜工艺；抽屉为8个，其中一列配掩门+机械密码锁内置抽屉为普通锁。                              7、大输液柜：对开掩门，内分为两列，侧面为ABS侧板，存放药盒时可以确保平放及斜放，每列配5个大中小不等的ABS药盒，锌合金铰链，开合角度≥180°，确保药盒能够顺畅取出。</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大样：根据参数和产品图</w:t>
            </w:r>
            <w:r>
              <w:rPr>
                <w:rFonts w:hint="eastAsia" w:ascii="宋体" w:hAnsi="宋体" w:eastAsia="宋体" w:cs="宋体"/>
                <w:color w:val="auto"/>
                <w:sz w:val="21"/>
                <w:szCs w:val="21"/>
                <w:highlight w:val="none"/>
                <w:lang w:val="en-US" w:eastAsia="zh-CN"/>
              </w:rPr>
              <w:t>提供医用治疗柜</w:t>
            </w:r>
            <w:r>
              <w:rPr>
                <w:rFonts w:hint="eastAsia" w:ascii="宋体" w:hAnsi="宋体" w:eastAsia="宋体" w:cs="宋体"/>
                <w:color w:val="auto"/>
                <w:sz w:val="21"/>
                <w:szCs w:val="21"/>
                <w:highlight w:val="none"/>
              </w:rPr>
              <w:t>一套</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配置要求如下</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。产品外观尺寸偏差不得超过（±</w:t>
            </w: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mm），部件</w:t>
            </w:r>
            <w:r>
              <w:rPr>
                <w:rFonts w:hint="eastAsia" w:ascii="宋体" w:hAnsi="宋体" w:eastAsia="宋体" w:cs="宋体"/>
                <w:color w:val="auto"/>
                <w:sz w:val="21"/>
                <w:szCs w:val="21"/>
                <w:highlight w:val="none"/>
                <w:lang w:val="en-US" w:eastAsia="zh-CN"/>
              </w:rPr>
              <w:t>外观</w:t>
            </w:r>
            <w:r>
              <w:rPr>
                <w:rFonts w:hint="eastAsia" w:ascii="宋体" w:hAnsi="宋体" w:eastAsia="宋体" w:cs="宋体"/>
                <w:color w:val="auto"/>
                <w:sz w:val="21"/>
                <w:szCs w:val="21"/>
                <w:highlight w:val="none"/>
              </w:rPr>
              <w:t>尺寸偏差不得超过（±</w:t>
            </w: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mm）。</w:t>
            </w:r>
          </w:p>
          <w:p w14:paraId="30DBDC83">
            <w:pPr>
              <w:widowControl/>
              <w:jc w:val="left"/>
              <w:rPr>
                <w:rFonts w:hint="default" w:ascii="宋体" w:hAnsi="宋体" w:eastAsia="宋体" w:cs="宋体"/>
                <w:color w:val="FF0000"/>
                <w:sz w:val="21"/>
                <w:szCs w:val="21"/>
                <w:highlight w:val="none"/>
                <w:lang w:val="en-US" w:eastAsia="zh-CN"/>
              </w:rPr>
            </w:pPr>
            <w:r>
              <w:rPr>
                <w:rFonts w:hint="eastAsia" w:ascii="宋体" w:hAnsi="宋体" w:eastAsia="宋体" w:cs="宋体"/>
                <w:color w:val="FF0000"/>
                <w:sz w:val="21"/>
                <w:szCs w:val="21"/>
                <w:highlight w:val="none"/>
                <w:lang w:val="en-US" w:eastAsia="zh-CN"/>
              </w:rPr>
              <w:t>备注：投标样品无需提供垃圾盖和投放口。</w:t>
            </w:r>
          </w:p>
          <w:p w14:paraId="192499FD">
            <w:pPr>
              <w:widowControl/>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产品图</w:t>
            </w:r>
          </w:p>
          <w:tbl>
            <w:tblPr>
              <w:tblStyle w:val="4"/>
              <w:tblpPr w:leftFromText="180" w:rightFromText="180" w:vertAnchor="text" w:tblpXSpec="center" w:tblpY="1"/>
              <w:tblOverlap w:val="never"/>
              <w:tblW w:w="6803"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71"/>
              <w:gridCol w:w="924"/>
              <w:gridCol w:w="5308"/>
            </w:tblGrid>
            <w:tr w14:paraId="500B50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0" w:hRule="atLeast"/>
              </w:trPr>
              <w:tc>
                <w:tcPr>
                  <w:tcW w:w="571" w:type="dxa"/>
                  <w:noWrap w:val="0"/>
                  <w:vAlign w:val="center"/>
                </w:tcPr>
                <w:p w14:paraId="24841A8E">
                  <w:pPr>
                    <w:widowControl/>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序号</w:t>
                  </w:r>
                </w:p>
              </w:tc>
              <w:tc>
                <w:tcPr>
                  <w:tcW w:w="924" w:type="dxa"/>
                  <w:noWrap w:val="0"/>
                  <w:vAlign w:val="center"/>
                </w:tcPr>
                <w:p w14:paraId="62170AB0">
                  <w:pPr>
                    <w:widowControl/>
                    <w:jc w:val="center"/>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图纸名称</w:t>
                  </w:r>
                </w:p>
              </w:tc>
              <w:tc>
                <w:tcPr>
                  <w:tcW w:w="5308" w:type="dxa"/>
                  <w:noWrap w:val="0"/>
                  <w:vAlign w:val="center"/>
                </w:tcPr>
                <w:p w14:paraId="3E573668">
                  <w:pPr>
                    <w:widowControl/>
                    <w:jc w:val="center"/>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图纸</w:t>
                  </w:r>
                </w:p>
              </w:tc>
            </w:tr>
            <w:tr w14:paraId="2192A9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60" w:hRule="atLeast"/>
              </w:trPr>
              <w:tc>
                <w:tcPr>
                  <w:tcW w:w="571" w:type="dxa"/>
                  <w:noWrap w:val="0"/>
                  <w:vAlign w:val="center"/>
                </w:tcPr>
                <w:p w14:paraId="3FDF0ABD">
                  <w:pPr>
                    <w:widowControl/>
                    <w:jc w:val="center"/>
                    <w:rPr>
                      <w:rFonts w:hint="eastAsia" w:ascii="宋体" w:hAnsi="宋体" w:eastAsia="宋体" w:cs="宋体"/>
                      <w:color w:val="FF0000"/>
                      <w:sz w:val="20"/>
                      <w:szCs w:val="20"/>
                      <w:highlight w:val="none"/>
                    </w:rPr>
                  </w:pPr>
                  <w:r>
                    <w:rPr>
                      <w:rFonts w:hint="eastAsia" w:ascii="宋体" w:hAnsi="宋体" w:eastAsia="宋体" w:cs="宋体"/>
                      <w:color w:val="FF0000"/>
                      <w:sz w:val="20"/>
                      <w:szCs w:val="20"/>
                      <w:highlight w:val="none"/>
                    </w:rPr>
                    <w:t>1</w:t>
                  </w:r>
                </w:p>
              </w:tc>
              <w:tc>
                <w:tcPr>
                  <w:tcW w:w="924" w:type="dxa"/>
                  <w:noWrap w:val="0"/>
                  <w:vAlign w:val="center"/>
                </w:tcPr>
                <w:p w14:paraId="72061BF9">
                  <w:pPr>
                    <w:widowControl/>
                    <w:jc w:val="center"/>
                    <w:rPr>
                      <w:rFonts w:hint="default" w:ascii="宋体" w:hAnsi="宋体" w:eastAsia="宋体" w:cs="宋体"/>
                      <w:color w:val="FF0000"/>
                      <w:sz w:val="20"/>
                      <w:szCs w:val="20"/>
                      <w:highlight w:val="none"/>
                      <w:lang w:val="en-US" w:eastAsia="zh-CN"/>
                    </w:rPr>
                  </w:pPr>
                  <w:r>
                    <w:rPr>
                      <w:rFonts w:hint="eastAsia" w:ascii="宋体" w:hAnsi="宋体" w:eastAsia="宋体" w:cs="宋体"/>
                      <w:color w:val="FF0000"/>
                      <w:sz w:val="20"/>
                      <w:szCs w:val="20"/>
                      <w:highlight w:val="none"/>
                      <w:lang w:val="en-US" w:eastAsia="zh-CN"/>
                    </w:rPr>
                    <w:t>正视图/俯视图</w:t>
                  </w:r>
                </w:p>
              </w:tc>
              <w:tc>
                <w:tcPr>
                  <w:tcW w:w="5308" w:type="dxa"/>
                  <w:noWrap w:val="0"/>
                  <w:vAlign w:val="top"/>
                </w:tcPr>
                <w:p w14:paraId="689E99FA">
                  <w:pPr>
                    <w:widowControl/>
                    <w:jc w:val="center"/>
                    <w:rPr>
                      <w:rFonts w:hint="eastAsia" w:ascii="宋体" w:hAnsi="宋体" w:eastAsia="宋体" w:cs="宋体"/>
                      <w:color w:val="FF0000"/>
                      <w:sz w:val="20"/>
                      <w:szCs w:val="20"/>
                      <w:highlight w:val="none"/>
                      <w:lang w:eastAsia="zh-CN"/>
                    </w:rPr>
                  </w:pPr>
                  <w:r>
                    <w:rPr>
                      <w:color w:val="FF0000"/>
                      <w:highlight w:val="none"/>
                    </w:rPr>
                    <w:drawing>
                      <wp:inline distT="0" distB="0" distL="114300" distR="114300">
                        <wp:extent cx="2139950" cy="2533015"/>
                        <wp:effectExtent l="0" t="0" r="12700" b="635"/>
                        <wp:docPr id="15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 name="图片 2"/>
                                <pic:cNvPicPr>
                                  <a:picLocks noChangeAspect="1"/>
                                </pic:cNvPicPr>
                              </pic:nvPicPr>
                              <pic:blipFill>
                                <a:blip r:embed="rId5"/>
                                <a:stretch>
                                  <a:fillRect/>
                                </a:stretch>
                              </pic:blipFill>
                              <pic:spPr>
                                <a:xfrm>
                                  <a:off x="0" y="0"/>
                                  <a:ext cx="2139950" cy="2533015"/>
                                </a:xfrm>
                                <a:prstGeom prst="rect">
                                  <a:avLst/>
                                </a:prstGeom>
                                <a:noFill/>
                                <a:ln>
                                  <a:noFill/>
                                </a:ln>
                              </pic:spPr>
                            </pic:pic>
                          </a:graphicData>
                        </a:graphic>
                      </wp:inline>
                    </w:drawing>
                  </w:r>
                  <w:r>
                    <w:rPr>
                      <w:color w:val="FF0000"/>
                      <w:highlight w:val="none"/>
                    </w:rPr>
                    <w:drawing>
                      <wp:inline distT="0" distB="0" distL="114300" distR="114300">
                        <wp:extent cx="2514600" cy="1339850"/>
                        <wp:effectExtent l="0" t="0" r="0" b="12700"/>
                        <wp:docPr id="159"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 name="图片 3"/>
                                <pic:cNvPicPr>
                                  <a:picLocks noChangeAspect="1"/>
                                </pic:cNvPicPr>
                              </pic:nvPicPr>
                              <pic:blipFill>
                                <a:blip r:embed="rId6"/>
                                <a:stretch>
                                  <a:fillRect/>
                                </a:stretch>
                              </pic:blipFill>
                              <pic:spPr>
                                <a:xfrm>
                                  <a:off x="0" y="0"/>
                                  <a:ext cx="2514600" cy="1339850"/>
                                </a:xfrm>
                                <a:prstGeom prst="rect">
                                  <a:avLst/>
                                </a:prstGeom>
                                <a:noFill/>
                                <a:ln>
                                  <a:noFill/>
                                </a:ln>
                              </pic:spPr>
                            </pic:pic>
                          </a:graphicData>
                        </a:graphic>
                      </wp:inline>
                    </w:drawing>
                  </w:r>
                </w:p>
              </w:tc>
            </w:tr>
            <w:tr w14:paraId="529C1E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15" w:hRule="atLeast"/>
              </w:trPr>
              <w:tc>
                <w:tcPr>
                  <w:tcW w:w="571" w:type="dxa"/>
                  <w:noWrap w:val="0"/>
                  <w:vAlign w:val="center"/>
                </w:tcPr>
                <w:p w14:paraId="0E91854E">
                  <w:pPr>
                    <w:widowControl/>
                    <w:jc w:val="center"/>
                    <w:rPr>
                      <w:rFonts w:hint="eastAsia" w:ascii="宋体" w:hAnsi="宋体" w:eastAsia="宋体" w:cs="宋体"/>
                      <w:color w:val="FF0000"/>
                      <w:sz w:val="20"/>
                      <w:szCs w:val="20"/>
                      <w:highlight w:val="none"/>
                    </w:rPr>
                  </w:pPr>
                  <w:r>
                    <w:rPr>
                      <w:rFonts w:hint="eastAsia" w:ascii="宋体" w:hAnsi="宋体" w:eastAsia="宋体" w:cs="宋体"/>
                      <w:color w:val="FF0000"/>
                      <w:sz w:val="20"/>
                      <w:szCs w:val="20"/>
                      <w:highlight w:val="none"/>
                    </w:rPr>
                    <w:t>2</w:t>
                  </w:r>
                </w:p>
              </w:tc>
              <w:tc>
                <w:tcPr>
                  <w:tcW w:w="924" w:type="dxa"/>
                  <w:noWrap w:val="0"/>
                  <w:vAlign w:val="center"/>
                </w:tcPr>
                <w:p w14:paraId="05B2769D">
                  <w:pPr>
                    <w:widowControl/>
                    <w:jc w:val="center"/>
                    <w:rPr>
                      <w:rFonts w:hint="eastAsia" w:ascii="宋体" w:hAnsi="宋体" w:eastAsia="宋体" w:cs="宋体"/>
                      <w:color w:val="FF0000"/>
                      <w:sz w:val="20"/>
                      <w:szCs w:val="20"/>
                      <w:highlight w:val="none"/>
                      <w:lang w:eastAsia="zh-CN"/>
                    </w:rPr>
                  </w:pPr>
                  <w:r>
                    <w:rPr>
                      <w:rFonts w:hint="eastAsia" w:ascii="宋体" w:hAnsi="宋体" w:eastAsia="宋体" w:cs="宋体"/>
                      <w:color w:val="FF0000"/>
                      <w:sz w:val="20"/>
                      <w:szCs w:val="20"/>
                      <w:highlight w:val="none"/>
                      <w:lang w:val="en-US" w:eastAsia="zh-CN"/>
                    </w:rPr>
                    <w:t>侧视图</w:t>
                  </w:r>
                </w:p>
              </w:tc>
              <w:tc>
                <w:tcPr>
                  <w:tcW w:w="5308" w:type="dxa"/>
                  <w:noWrap w:val="0"/>
                  <w:vAlign w:val="top"/>
                </w:tcPr>
                <w:p w14:paraId="19152937">
                  <w:pPr>
                    <w:widowControl/>
                    <w:jc w:val="center"/>
                    <w:rPr>
                      <w:rFonts w:hint="eastAsia" w:ascii="宋体" w:hAnsi="宋体" w:eastAsia="宋体" w:cs="宋体"/>
                      <w:color w:val="FF0000"/>
                      <w:sz w:val="20"/>
                      <w:szCs w:val="20"/>
                      <w:highlight w:val="none"/>
                    </w:rPr>
                  </w:pPr>
                </w:p>
                <w:p w14:paraId="446D8215">
                  <w:pPr>
                    <w:widowControl/>
                    <w:jc w:val="center"/>
                    <w:rPr>
                      <w:rFonts w:hint="eastAsia" w:ascii="宋体" w:hAnsi="宋体" w:eastAsia="宋体" w:cs="宋体"/>
                      <w:color w:val="FF0000"/>
                      <w:sz w:val="20"/>
                      <w:szCs w:val="20"/>
                      <w:highlight w:val="none"/>
                      <w:lang w:eastAsia="zh-CN"/>
                    </w:rPr>
                  </w:pPr>
                  <w:r>
                    <w:rPr>
                      <w:color w:val="FF0000"/>
                      <w:highlight w:val="none"/>
                    </w:rPr>
                    <w:drawing>
                      <wp:inline distT="0" distB="0" distL="114300" distR="114300">
                        <wp:extent cx="2667000" cy="2546350"/>
                        <wp:effectExtent l="0" t="0" r="0" b="6350"/>
                        <wp:docPr id="160"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 name="图片 4"/>
                                <pic:cNvPicPr>
                                  <a:picLocks noChangeAspect="1"/>
                                </pic:cNvPicPr>
                              </pic:nvPicPr>
                              <pic:blipFill>
                                <a:blip r:embed="rId7"/>
                                <a:stretch>
                                  <a:fillRect/>
                                </a:stretch>
                              </pic:blipFill>
                              <pic:spPr>
                                <a:xfrm>
                                  <a:off x="0" y="0"/>
                                  <a:ext cx="2667000" cy="2546350"/>
                                </a:xfrm>
                                <a:prstGeom prst="rect">
                                  <a:avLst/>
                                </a:prstGeom>
                                <a:noFill/>
                                <a:ln>
                                  <a:noFill/>
                                </a:ln>
                              </pic:spPr>
                            </pic:pic>
                          </a:graphicData>
                        </a:graphic>
                      </wp:inline>
                    </w:drawing>
                  </w:r>
                </w:p>
              </w:tc>
            </w:tr>
            <w:tr w14:paraId="4CF569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71" w:type="dxa"/>
                  <w:noWrap w:val="0"/>
                  <w:vAlign w:val="center"/>
                </w:tcPr>
                <w:p w14:paraId="0735A910">
                  <w:pPr>
                    <w:widowControl/>
                    <w:jc w:val="center"/>
                    <w:rPr>
                      <w:rFonts w:hint="eastAsia" w:ascii="宋体" w:hAnsi="宋体" w:eastAsia="宋体" w:cs="宋体"/>
                      <w:color w:val="FF0000"/>
                      <w:sz w:val="20"/>
                      <w:szCs w:val="20"/>
                      <w:highlight w:val="none"/>
                    </w:rPr>
                  </w:pPr>
                  <w:r>
                    <w:rPr>
                      <w:rFonts w:hint="eastAsia" w:ascii="宋体" w:hAnsi="宋体" w:eastAsia="宋体" w:cs="宋体"/>
                      <w:color w:val="FF0000"/>
                      <w:sz w:val="20"/>
                      <w:szCs w:val="20"/>
                      <w:highlight w:val="none"/>
                    </w:rPr>
                    <w:t>3</w:t>
                  </w:r>
                </w:p>
              </w:tc>
              <w:tc>
                <w:tcPr>
                  <w:tcW w:w="924" w:type="dxa"/>
                  <w:noWrap w:val="0"/>
                  <w:vAlign w:val="center"/>
                </w:tcPr>
                <w:p w14:paraId="6FB49AB7">
                  <w:pPr>
                    <w:widowControl/>
                    <w:jc w:val="center"/>
                    <w:rPr>
                      <w:rFonts w:hint="default" w:ascii="宋体" w:hAnsi="宋体" w:eastAsia="宋体" w:cs="宋体"/>
                      <w:color w:val="FF0000"/>
                      <w:sz w:val="20"/>
                      <w:szCs w:val="20"/>
                      <w:highlight w:val="none"/>
                      <w:lang w:val="en-US" w:eastAsia="zh-CN"/>
                    </w:rPr>
                  </w:pPr>
                  <w:r>
                    <w:rPr>
                      <w:rFonts w:hint="eastAsia" w:ascii="宋体" w:hAnsi="宋体" w:eastAsia="宋体" w:cs="宋体"/>
                      <w:color w:val="FF0000"/>
                      <w:sz w:val="20"/>
                      <w:szCs w:val="20"/>
                      <w:highlight w:val="none"/>
                      <w:lang w:val="en-US" w:eastAsia="zh-CN"/>
                    </w:rPr>
                    <w:t>抽屉三视图</w:t>
                  </w:r>
                </w:p>
              </w:tc>
              <w:tc>
                <w:tcPr>
                  <w:tcW w:w="5308" w:type="dxa"/>
                  <w:noWrap w:val="0"/>
                  <w:vAlign w:val="top"/>
                </w:tcPr>
                <w:p w14:paraId="097A61C2">
                  <w:pPr>
                    <w:widowControl/>
                    <w:jc w:val="center"/>
                    <w:rPr>
                      <w:rFonts w:hint="eastAsia" w:ascii="宋体" w:hAnsi="宋体" w:eastAsia="宋体" w:cs="宋体"/>
                      <w:color w:val="FF0000"/>
                      <w:sz w:val="20"/>
                      <w:szCs w:val="20"/>
                      <w:highlight w:val="none"/>
                    </w:rPr>
                  </w:pPr>
                  <w:r>
                    <w:rPr>
                      <w:color w:val="FF0000"/>
                      <w:highlight w:val="none"/>
                    </w:rPr>
                    <w:drawing>
                      <wp:inline distT="0" distB="0" distL="114300" distR="114300">
                        <wp:extent cx="2460625" cy="1852295"/>
                        <wp:effectExtent l="0" t="0" r="15875" b="14605"/>
                        <wp:docPr id="15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 name="图片 1"/>
                                <pic:cNvPicPr>
                                  <a:picLocks noChangeAspect="1"/>
                                </pic:cNvPicPr>
                              </pic:nvPicPr>
                              <pic:blipFill>
                                <a:blip r:embed="rId8"/>
                                <a:srcRect r="1795"/>
                                <a:stretch>
                                  <a:fillRect/>
                                </a:stretch>
                              </pic:blipFill>
                              <pic:spPr>
                                <a:xfrm>
                                  <a:off x="0" y="0"/>
                                  <a:ext cx="2460625" cy="1852295"/>
                                </a:xfrm>
                                <a:prstGeom prst="rect">
                                  <a:avLst/>
                                </a:prstGeom>
                                <a:noFill/>
                                <a:ln>
                                  <a:noFill/>
                                </a:ln>
                              </pic:spPr>
                            </pic:pic>
                          </a:graphicData>
                        </a:graphic>
                      </wp:inline>
                    </w:drawing>
                  </w:r>
                </w:p>
              </w:tc>
            </w:tr>
          </w:tbl>
          <w:p w14:paraId="36E53AB8">
            <w:pPr>
              <w:widowControl/>
              <w:jc w:val="left"/>
              <w:rPr>
                <w:rFonts w:hint="eastAsia" w:ascii="宋体" w:hAnsi="宋体" w:eastAsia="宋体" w:cs="宋体"/>
                <w:color w:val="auto"/>
                <w:sz w:val="21"/>
                <w:szCs w:val="21"/>
                <w:highlight w:val="none"/>
              </w:rPr>
            </w:pPr>
          </w:p>
          <w:p w14:paraId="284767F8">
            <w:pPr>
              <w:jc w:val="left"/>
              <w:rPr>
                <w:rFonts w:hint="eastAsia" w:ascii="宋体" w:hAnsi="宋体" w:eastAsia="宋体" w:cs="宋体"/>
                <w:b/>
                <w:bCs/>
                <w:color w:val="auto"/>
                <w:sz w:val="21"/>
                <w:szCs w:val="21"/>
                <w:highlight w:val="none"/>
                <w:lang w:val="zh-CN"/>
              </w:rPr>
            </w:pPr>
            <w:r>
              <w:rPr>
                <w:rFonts w:hint="eastAsia" w:ascii="宋体" w:hAnsi="宋体" w:cs="宋体"/>
                <w:b/>
                <w:bCs/>
                <w:color w:val="auto"/>
                <w:sz w:val="21"/>
                <w:szCs w:val="21"/>
                <w:highlight w:val="none"/>
                <w:lang w:val="en-US" w:eastAsia="zh-CN"/>
              </w:rPr>
              <w:t>（2）</w:t>
            </w:r>
            <w:r>
              <w:rPr>
                <w:rFonts w:hint="eastAsia" w:ascii="宋体" w:hAnsi="宋体" w:eastAsia="宋体" w:cs="宋体"/>
                <w:b/>
                <w:bCs/>
                <w:color w:val="auto"/>
                <w:sz w:val="21"/>
                <w:szCs w:val="21"/>
                <w:highlight w:val="none"/>
                <w:lang w:val="zh-CN"/>
              </w:rPr>
              <w:t>单面西药操作柜</w:t>
            </w:r>
          </w:p>
          <w:p w14:paraId="487DDECF">
            <w:pPr>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①主要材料</w:t>
            </w:r>
            <w:r>
              <w:rPr>
                <w:rFonts w:hint="eastAsia" w:ascii="宋体" w:hAnsi="宋体" w:cs="宋体"/>
                <w:color w:val="auto"/>
                <w:sz w:val="21"/>
                <w:szCs w:val="21"/>
                <w:highlight w:val="none"/>
                <w:lang w:eastAsia="zh-CN"/>
              </w:rPr>
              <w:t>及厚度</w:t>
            </w:r>
            <w:r>
              <w:rPr>
                <w:rFonts w:hint="eastAsia" w:ascii="宋体" w:hAnsi="宋体" w:eastAsia="宋体" w:cs="宋体"/>
                <w:color w:val="auto"/>
                <w:sz w:val="21"/>
                <w:szCs w:val="21"/>
                <w:highlight w:val="none"/>
              </w:rPr>
              <w:t>：电解钢板，具有更抗酸、更防锈、更防蚀、和涂层接触更稳固、使用年限更长等特点；侧板、门板、顶板、底板、层板厚度≥0.8mm；台面：台面采用优质理化板</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厚度≥12.7mm；</w:t>
            </w:r>
          </w:p>
          <w:p w14:paraId="3ED485BC">
            <w:pPr>
              <w:jc w:val="left"/>
              <w:rPr>
                <w:rFonts w:hint="eastAsia" w:ascii="宋体" w:hAnsi="宋体" w:cs="宋体"/>
                <w:color w:val="auto"/>
                <w:sz w:val="21"/>
                <w:szCs w:val="21"/>
                <w:highlight w:val="none"/>
                <w:lang w:eastAsia="zh-CN"/>
              </w:rPr>
            </w:pPr>
            <w:r>
              <w:rPr>
                <w:rFonts w:hint="eastAsia" w:ascii="宋体" w:hAnsi="宋体" w:eastAsia="宋体" w:cs="宋体"/>
                <w:color w:val="auto"/>
                <w:sz w:val="21"/>
                <w:szCs w:val="21"/>
                <w:highlight w:val="none"/>
              </w:rPr>
              <w:t>②五金配置：一字折弯斜拉手、三节导轨、标签卡槽；                                                                                     ③</w:t>
            </w:r>
            <w:r>
              <w:rPr>
                <w:rFonts w:hint="eastAsia" w:ascii="宋体" w:hAnsi="宋体" w:cs="宋体"/>
                <w:color w:val="auto"/>
                <w:sz w:val="21"/>
                <w:szCs w:val="21"/>
                <w:highlight w:val="none"/>
                <w:lang w:eastAsia="zh-CN"/>
              </w:rPr>
              <w:t>工艺及其他：</w:t>
            </w:r>
          </w:p>
          <w:p w14:paraId="399D20E8">
            <w:pPr>
              <w:jc w:val="left"/>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1、</w:t>
            </w:r>
            <w:r>
              <w:rPr>
                <w:rFonts w:hint="eastAsia" w:ascii="宋体" w:hAnsi="宋体" w:eastAsia="宋体" w:cs="宋体"/>
                <w:color w:val="auto"/>
                <w:sz w:val="21"/>
                <w:szCs w:val="21"/>
                <w:highlight w:val="none"/>
              </w:rPr>
              <w:t>抑菌粉末：表面采用抑菌防霉粉末静电喷涂处理，涂层膜厚度均匀，内外一致，抑菌、防霉、耐酸碱、耐磨、耐撞击，抗腐蚀力强；</w:t>
            </w:r>
          </w:p>
          <w:p w14:paraId="1617F3BF">
            <w:pPr>
              <w:widowControl/>
              <w:ind w:left="630" w:hanging="630"/>
              <w:jc w:val="left"/>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2</w:t>
            </w:r>
            <w:r>
              <w:rPr>
                <w:rFonts w:hint="eastAsia" w:ascii="宋体" w:hAnsi="宋体" w:eastAsia="宋体" w:cs="宋体"/>
                <w:color w:val="auto"/>
                <w:sz w:val="21"/>
                <w:szCs w:val="21"/>
                <w:highlight w:val="none"/>
              </w:rPr>
              <w:t>、所有板件经数控激光切割、模具冲压、数控折弯、焊接、机器打磨而成；</w:t>
            </w:r>
            <w:r>
              <w:rPr>
                <w:rFonts w:hint="eastAsia" w:ascii="宋体" w:hAnsi="宋体" w:eastAsia="宋体" w:cs="宋体"/>
                <w:color w:val="auto"/>
                <w:sz w:val="21"/>
                <w:szCs w:val="21"/>
                <w:highlight w:val="none"/>
                <w:lang w:val="en-US" w:eastAsia="zh-CN"/>
              </w:rPr>
              <w:t xml:space="preserve">                             </w:t>
            </w:r>
          </w:p>
          <w:p w14:paraId="300E9EB3">
            <w:pPr>
              <w:widowControl/>
              <w:ind w:left="630" w:hanging="63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大样：根据参数和产品图</w:t>
            </w:r>
            <w:r>
              <w:rPr>
                <w:rFonts w:hint="eastAsia" w:ascii="宋体" w:hAnsi="宋体" w:eastAsia="宋体" w:cs="宋体"/>
                <w:color w:val="auto"/>
                <w:sz w:val="21"/>
                <w:szCs w:val="21"/>
                <w:highlight w:val="none"/>
                <w:lang w:val="en-US" w:eastAsia="zh-CN"/>
              </w:rPr>
              <w:t>提供单面西药操作柜</w:t>
            </w:r>
            <w:r>
              <w:rPr>
                <w:rFonts w:hint="eastAsia" w:ascii="宋体" w:hAnsi="宋体" w:eastAsia="宋体" w:cs="宋体"/>
                <w:color w:val="auto"/>
                <w:sz w:val="21"/>
                <w:szCs w:val="21"/>
                <w:highlight w:val="none"/>
              </w:rPr>
              <w:t>一套</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配置要求如下</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。产品外观尺寸偏差不得超过（±</w:t>
            </w: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mm），部件</w:t>
            </w:r>
            <w:r>
              <w:rPr>
                <w:rFonts w:hint="eastAsia" w:ascii="宋体" w:hAnsi="宋体" w:eastAsia="宋体" w:cs="宋体"/>
                <w:color w:val="auto"/>
                <w:sz w:val="21"/>
                <w:szCs w:val="21"/>
                <w:highlight w:val="none"/>
                <w:lang w:val="en-US" w:eastAsia="zh-CN"/>
              </w:rPr>
              <w:t>外观</w:t>
            </w:r>
            <w:r>
              <w:rPr>
                <w:rFonts w:hint="eastAsia" w:ascii="宋体" w:hAnsi="宋体" w:eastAsia="宋体" w:cs="宋体"/>
                <w:color w:val="auto"/>
                <w:sz w:val="21"/>
                <w:szCs w:val="21"/>
                <w:highlight w:val="none"/>
              </w:rPr>
              <w:t>尺寸偏差不得超过（±</w:t>
            </w: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mm）。</w:t>
            </w:r>
          </w:p>
          <w:p w14:paraId="0D2432A3">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产品图</w:t>
            </w:r>
          </w:p>
          <w:tbl>
            <w:tblPr>
              <w:tblStyle w:val="4"/>
              <w:tblpPr w:leftFromText="180" w:rightFromText="180" w:vertAnchor="text" w:tblpXSpec="center" w:tblpY="1"/>
              <w:tblOverlap w:val="never"/>
              <w:tblW w:w="6803"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44"/>
              <w:gridCol w:w="1105"/>
              <w:gridCol w:w="5154"/>
            </w:tblGrid>
            <w:tr w14:paraId="7F0244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32" w:hRule="atLeast"/>
              </w:trPr>
              <w:tc>
                <w:tcPr>
                  <w:tcW w:w="701" w:type="dxa"/>
                  <w:noWrap w:val="0"/>
                  <w:vAlign w:val="center"/>
                </w:tcPr>
                <w:p w14:paraId="7CF18E96">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1536" w:type="dxa"/>
                  <w:noWrap w:val="0"/>
                  <w:vAlign w:val="center"/>
                </w:tcPr>
                <w:p w14:paraId="58AF0930">
                  <w:pPr>
                    <w:widowControl/>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图纸名称</w:t>
                  </w:r>
                </w:p>
              </w:tc>
              <w:tc>
                <w:tcPr>
                  <w:tcW w:w="7561" w:type="dxa"/>
                  <w:noWrap w:val="0"/>
                  <w:vAlign w:val="center"/>
                </w:tcPr>
                <w:p w14:paraId="5EA4EEC6">
                  <w:pPr>
                    <w:widowControl/>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图纸</w:t>
                  </w:r>
                </w:p>
              </w:tc>
            </w:tr>
            <w:tr w14:paraId="55D04C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32" w:hRule="atLeast"/>
              </w:trPr>
              <w:tc>
                <w:tcPr>
                  <w:tcW w:w="701" w:type="dxa"/>
                  <w:noWrap w:val="0"/>
                  <w:vAlign w:val="center"/>
                </w:tcPr>
                <w:p w14:paraId="48FBA631">
                  <w:pPr>
                    <w:rPr>
                      <w:rFonts w:hint="eastAsia" w:ascii="宋体" w:hAnsi="宋体" w:eastAsia="宋体" w:cs="宋体"/>
                      <w:color w:val="FF0000"/>
                      <w:sz w:val="21"/>
                      <w:szCs w:val="21"/>
                      <w:highlight w:val="none"/>
                    </w:rPr>
                  </w:pPr>
                  <w:r>
                    <w:rPr>
                      <w:rFonts w:hint="eastAsia" w:ascii="宋体" w:hAnsi="宋体" w:eastAsia="宋体" w:cs="宋体"/>
                      <w:color w:val="FF0000"/>
                      <w:sz w:val="21"/>
                      <w:szCs w:val="21"/>
                      <w:highlight w:val="none"/>
                    </w:rPr>
                    <w:t>1</w:t>
                  </w:r>
                </w:p>
              </w:tc>
              <w:tc>
                <w:tcPr>
                  <w:tcW w:w="1536" w:type="dxa"/>
                  <w:noWrap w:val="0"/>
                  <w:vAlign w:val="center"/>
                </w:tcPr>
                <w:p w14:paraId="1652163F">
                  <w:pPr>
                    <w:rPr>
                      <w:rFonts w:hint="eastAsia" w:ascii="宋体" w:hAnsi="宋体" w:eastAsia="宋体" w:cs="宋体"/>
                      <w:color w:val="FF0000"/>
                      <w:sz w:val="21"/>
                      <w:szCs w:val="21"/>
                      <w:highlight w:val="none"/>
                      <w:lang w:val="en-US" w:eastAsia="zh-CN"/>
                    </w:rPr>
                  </w:pPr>
                  <w:r>
                    <w:rPr>
                      <w:rFonts w:hint="eastAsia" w:ascii="宋体" w:hAnsi="宋体" w:eastAsia="宋体" w:cs="宋体"/>
                      <w:color w:val="FF0000"/>
                      <w:sz w:val="21"/>
                      <w:szCs w:val="21"/>
                      <w:highlight w:val="none"/>
                      <w:lang w:val="en-US" w:eastAsia="zh-CN"/>
                    </w:rPr>
                    <w:t>整体三视图</w:t>
                  </w:r>
                </w:p>
              </w:tc>
              <w:tc>
                <w:tcPr>
                  <w:tcW w:w="7561" w:type="dxa"/>
                  <w:noWrap w:val="0"/>
                  <w:vAlign w:val="top"/>
                </w:tcPr>
                <w:p w14:paraId="3E1C9DE9">
                  <w:pPr>
                    <w:rPr>
                      <w:rFonts w:hint="eastAsia" w:ascii="宋体" w:hAnsi="宋体" w:eastAsia="宋体" w:cs="宋体"/>
                      <w:color w:val="FF0000"/>
                      <w:sz w:val="21"/>
                      <w:szCs w:val="21"/>
                      <w:highlight w:val="none"/>
                    </w:rPr>
                  </w:pPr>
                </w:p>
                <w:p w14:paraId="22767817">
                  <w:pPr>
                    <w:rPr>
                      <w:rFonts w:hint="eastAsia" w:ascii="宋体" w:hAnsi="宋体" w:eastAsia="宋体" w:cs="宋体"/>
                      <w:color w:val="FF0000"/>
                      <w:sz w:val="21"/>
                      <w:szCs w:val="21"/>
                      <w:highlight w:val="none"/>
                    </w:rPr>
                  </w:pPr>
                  <w:r>
                    <w:drawing>
                      <wp:inline distT="0" distB="0" distL="114300" distR="114300">
                        <wp:extent cx="1824990" cy="2223135"/>
                        <wp:effectExtent l="0" t="0" r="3810" b="5715"/>
                        <wp:docPr id="189"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 name="图片 30"/>
                                <pic:cNvPicPr>
                                  <a:picLocks noChangeAspect="1"/>
                                </pic:cNvPicPr>
                              </pic:nvPicPr>
                              <pic:blipFill>
                                <a:blip r:embed="rId9"/>
                                <a:stretch>
                                  <a:fillRect/>
                                </a:stretch>
                              </pic:blipFill>
                              <pic:spPr>
                                <a:xfrm>
                                  <a:off x="0" y="0"/>
                                  <a:ext cx="1824990" cy="2223135"/>
                                </a:xfrm>
                                <a:prstGeom prst="rect">
                                  <a:avLst/>
                                </a:prstGeom>
                                <a:noFill/>
                                <a:ln>
                                  <a:noFill/>
                                </a:ln>
                              </pic:spPr>
                            </pic:pic>
                          </a:graphicData>
                        </a:graphic>
                      </wp:inline>
                    </w:drawing>
                  </w:r>
                </w:p>
              </w:tc>
            </w:tr>
            <w:tr w14:paraId="675E85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43" w:hRule="atLeast"/>
              </w:trPr>
              <w:tc>
                <w:tcPr>
                  <w:tcW w:w="701" w:type="dxa"/>
                  <w:noWrap w:val="0"/>
                  <w:vAlign w:val="center"/>
                </w:tcPr>
                <w:p w14:paraId="08BDD512">
                  <w:pPr>
                    <w:rPr>
                      <w:rFonts w:hint="eastAsia" w:ascii="宋体" w:hAnsi="宋体" w:eastAsia="宋体" w:cs="宋体"/>
                      <w:color w:val="FF0000"/>
                      <w:sz w:val="21"/>
                      <w:szCs w:val="21"/>
                      <w:highlight w:val="none"/>
                    </w:rPr>
                  </w:pPr>
                  <w:r>
                    <w:rPr>
                      <w:rFonts w:hint="eastAsia" w:ascii="宋体" w:hAnsi="宋体" w:eastAsia="宋体" w:cs="宋体"/>
                      <w:color w:val="FF0000"/>
                      <w:sz w:val="21"/>
                      <w:szCs w:val="21"/>
                      <w:highlight w:val="none"/>
                    </w:rPr>
                    <w:t>2</w:t>
                  </w:r>
                </w:p>
              </w:tc>
              <w:tc>
                <w:tcPr>
                  <w:tcW w:w="1536" w:type="dxa"/>
                  <w:noWrap w:val="0"/>
                  <w:vAlign w:val="center"/>
                </w:tcPr>
                <w:p w14:paraId="49D3ECA8">
                  <w:pPr>
                    <w:rPr>
                      <w:rFonts w:hint="eastAsia" w:ascii="宋体" w:hAnsi="宋体" w:eastAsia="宋体" w:cs="宋体"/>
                      <w:color w:val="FF0000"/>
                      <w:sz w:val="21"/>
                      <w:szCs w:val="21"/>
                      <w:highlight w:val="none"/>
                      <w:lang w:val="en-US"/>
                    </w:rPr>
                  </w:pPr>
                  <w:r>
                    <w:rPr>
                      <w:rFonts w:hint="eastAsia" w:ascii="宋体" w:hAnsi="宋体" w:eastAsia="宋体" w:cs="宋体"/>
                      <w:color w:val="FF0000"/>
                      <w:sz w:val="21"/>
                      <w:szCs w:val="21"/>
                      <w:highlight w:val="none"/>
                      <w:lang w:val="en-US" w:eastAsia="zh-CN"/>
                    </w:rPr>
                    <w:t>药架三视图</w:t>
                  </w:r>
                </w:p>
              </w:tc>
              <w:tc>
                <w:tcPr>
                  <w:tcW w:w="7561" w:type="dxa"/>
                  <w:noWrap w:val="0"/>
                  <w:vAlign w:val="top"/>
                </w:tcPr>
                <w:p w14:paraId="41D941BA">
                  <w:pPr>
                    <w:rPr>
                      <w:rFonts w:hint="eastAsia" w:ascii="宋体" w:hAnsi="宋体" w:eastAsia="宋体" w:cs="宋体"/>
                      <w:color w:val="FF0000"/>
                      <w:sz w:val="21"/>
                      <w:szCs w:val="21"/>
                      <w:highlight w:val="none"/>
                    </w:rPr>
                  </w:pPr>
                  <w:r>
                    <w:rPr>
                      <w:rFonts w:hint="eastAsia" w:ascii="宋体" w:hAnsi="宋体" w:eastAsia="宋体" w:cs="宋体"/>
                      <w:color w:val="FF0000"/>
                      <w:sz w:val="21"/>
                      <w:szCs w:val="21"/>
                      <w:highlight w:val="none"/>
                    </w:rPr>
                    <w:t xml:space="preserve"> </w:t>
                  </w:r>
                </w:p>
                <w:p w14:paraId="3FA6965B">
                  <w:pPr>
                    <w:rPr>
                      <w:rFonts w:hint="eastAsia" w:ascii="宋体" w:hAnsi="宋体" w:eastAsia="宋体" w:cs="宋体"/>
                      <w:color w:val="FF0000"/>
                      <w:sz w:val="21"/>
                      <w:szCs w:val="21"/>
                      <w:highlight w:val="none"/>
                    </w:rPr>
                  </w:pPr>
                  <w:r>
                    <w:rPr>
                      <w:color w:val="FF0000"/>
                      <w:highlight w:val="none"/>
                    </w:rPr>
                    <w:drawing>
                      <wp:inline distT="0" distB="0" distL="0" distR="0">
                        <wp:extent cx="3234690" cy="2284730"/>
                        <wp:effectExtent l="0" t="0" r="3810" b="1270"/>
                        <wp:docPr id="8"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0"/>
                                <pic:cNvPicPr>
                                  <a:picLocks noChangeAspect="1"/>
                                </pic:cNvPicPr>
                              </pic:nvPicPr>
                              <pic:blipFill>
                                <a:blip r:embed="rId10"/>
                                <a:srcRect r="1488"/>
                                <a:stretch>
                                  <a:fillRect/>
                                </a:stretch>
                              </pic:blipFill>
                              <pic:spPr>
                                <a:xfrm>
                                  <a:off x="0" y="0"/>
                                  <a:ext cx="3234690" cy="2284730"/>
                                </a:xfrm>
                                <a:prstGeom prst="rect">
                                  <a:avLst/>
                                </a:prstGeom>
                                <a:noFill/>
                                <a:ln>
                                  <a:noFill/>
                                </a:ln>
                              </pic:spPr>
                            </pic:pic>
                          </a:graphicData>
                        </a:graphic>
                      </wp:inline>
                    </w:drawing>
                  </w:r>
                </w:p>
                <w:p w14:paraId="7EE4F1DE">
                  <w:pPr>
                    <w:rPr>
                      <w:rFonts w:hint="eastAsia" w:ascii="宋体" w:hAnsi="宋体" w:eastAsia="宋体" w:cs="宋体"/>
                      <w:color w:val="FF0000"/>
                      <w:sz w:val="21"/>
                      <w:szCs w:val="21"/>
                      <w:highlight w:val="none"/>
                    </w:rPr>
                  </w:pPr>
                </w:p>
              </w:tc>
            </w:tr>
            <w:tr w14:paraId="038584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21" w:hRule="atLeast"/>
              </w:trPr>
              <w:tc>
                <w:tcPr>
                  <w:tcW w:w="701" w:type="dxa"/>
                  <w:noWrap w:val="0"/>
                  <w:vAlign w:val="center"/>
                </w:tcPr>
                <w:p w14:paraId="18726330">
                  <w:pPr>
                    <w:rPr>
                      <w:rFonts w:hint="eastAsia" w:ascii="宋体" w:hAnsi="宋体" w:eastAsia="宋体" w:cs="宋体"/>
                      <w:color w:val="FF0000"/>
                      <w:sz w:val="21"/>
                      <w:szCs w:val="21"/>
                      <w:highlight w:val="none"/>
                    </w:rPr>
                  </w:pPr>
                  <w:r>
                    <w:rPr>
                      <w:rFonts w:hint="eastAsia" w:ascii="宋体" w:hAnsi="宋体" w:eastAsia="宋体" w:cs="宋体"/>
                      <w:color w:val="FF0000"/>
                      <w:sz w:val="21"/>
                      <w:szCs w:val="21"/>
                      <w:highlight w:val="none"/>
                    </w:rPr>
                    <w:t>3</w:t>
                  </w:r>
                </w:p>
              </w:tc>
              <w:tc>
                <w:tcPr>
                  <w:tcW w:w="1536" w:type="dxa"/>
                  <w:noWrap w:val="0"/>
                  <w:vAlign w:val="center"/>
                </w:tcPr>
                <w:p w14:paraId="3EB92D42">
                  <w:pPr>
                    <w:rPr>
                      <w:rFonts w:hint="eastAsia" w:ascii="宋体" w:hAnsi="宋体" w:eastAsia="宋体" w:cs="宋体"/>
                      <w:color w:val="FF0000"/>
                      <w:sz w:val="21"/>
                      <w:szCs w:val="21"/>
                      <w:highlight w:val="none"/>
                      <w:lang w:val="en-US" w:eastAsia="zh-CN"/>
                    </w:rPr>
                  </w:pPr>
                  <w:r>
                    <w:rPr>
                      <w:rFonts w:hint="eastAsia" w:ascii="宋体" w:hAnsi="宋体" w:eastAsia="宋体" w:cs="宋体"/>
                      <w:color w:val="FF0000"/>
                      <w:sz w:val="21"/>
                      <w:szCs w:val="21"/>
                      <w:highlight w:val="none"/>
                      <w:lang w:val="en-US" w:eastAsia="zh-CN"/>
                    </w:rPr>
                    <w:t>操作台三视图</w:t>
                  </w:r>
                </w:p>
              </w:tc>
              <w:tc>
                <w:tcPr>
                  <w:tcW w:w="7561" w:type="dxa"/>
                  <w:noWrap w:val="0"/>
                  <w:vAlign w:val="top"/>
                </w:tcPr>
                <w:p w14:paraId="3228133A">
                  <w:pPr>
                    <w:rPr>
                      <w:rFonts w:hint="eastAsia" w:ascii="宋体" w:hAnsi="宋体" w:eastAsia="宋体" w:cs="宋体"/>
                      <w:color w:val="FF0000"/>
                      <w:sz w:val="21"/>
                      <w:szCs w:val="21"/>
                      <w:highlight w:val="none"/>
                    </w:rPr>
                  </w:pPr>
                  <w:r>
                    <w:rPr>
                      <w:rFonts w:hint="eastAsia" w:ascii="宋体" w:hAnsi="宋体" w:eastAsia="宋体" w:cs="宋体"/>
                      <w:color w:val="FF0000"/>
                      <w:sz w:val="21"/>
                      <w:szCs w:val="21"/>
                      <w:highlight w:val="none"/>
                    </w:rPr>
                    <w:t xml:space="preserve"> </w:t>
                  </w:r>
                  <w:r>
                    <w:drawing>
                      <wp:inline distT="0" distB="0" distL="114300" distR="114300">
                        <wp:extent cx="2861945" cy="2502535"/>
                        <wp:effectExtent l="0" t="0" r="14605" b="12065"/>
                        <wp:docPr id="20"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3"/>
                                <pic:cNvPicPr>
                                  <a:picLocks noChangeAspect="1"/>
                                </pic:cNvPicPr>
                              </pic:nvPicPr>
                              <pic:blipFill>
                                <a:blip r:embed="rId11"/>
                                <a:srcRect r="35956"/>
                                <a:stretch>
                                  <a:fillRect/>
                                </a:stretch>
                              </pic:blipFill>
                              <pic:spPr>
                                <a:xfrm>
                                  <a:off x="0" y="0"/>
                                  <a:ext cx="2861945" cy="2502535"/>
                                </a:xfrm>
                                <a:prstGeom prst="rect">
                                  <a:avLst/>
                                </a:prstGeom>
                                <a:noFill/>
                                <a:ln>
                                  <a:noFill/>
                                </a:ln>
                              </pic:spPr>
                            </pic:pic>
                          </a:graphicData>
                        </a:graphic>
                      </wp:inline>
                    </w:drawing>
                  </w:r>
                </w:p>
              </w:tc>
            </w:tr>
            <w:tr w14:paraId="75A20A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43" w:hRule="atLeast"/>
              </w:trPr>
              <w:tc>
                <w:tcPr>
                  <w:tcW w:w="701" w:type="dxa"/>
                  <w:noWrap w:val="0"/>
                  <w:vAlign w:val="center"/>
                </w:tcPr>
                <w:p w14:paraId="20668566">
                  <w:pPr>
                    <w:rPr>
                      <w:rFonts w:hint="eastAsia" w:ascii="宋体" w:hAnsi="宋体" w:eastAsia="宋体" w:cs="宋体"/>
                      <w:color w:val="FF0000"/>
                      <w:sz w:val="21"/>
                      <w:szCs w:val="21"/>
                      <w:highlight w:val="none"/>
                    </w:rPr>
                  </w:pPr>
                  <w:r>
                    <w:rPr>
                      <w:rFonts w:hint="eastAsia" w:ascii="宋体" w:hAnsi="宋体" w:eastAsia="宋体" w:cs="宋体"/>
                      <w:color w:val="FF0000"/>
                      <w:sz w:val="21"/>
                      <w:szCs w:val="21"/>
                      <w:highlight w:val="none"/>
                    </w:rPr>
                    <w:t>4</w:t>
                  </w:r>
                </w:p>
              </w:tc>
              <w:tc>
                <w:tcPr>
                  <w:tcW w:w="1536" w:type="dxa"/>
                  <w:noWrap w:val="0"/>
                  <w:vAlign w:val="center"/>
                </w:tcPr>
                <w:p w14:paraId="35BDC493">
                  <w:pPr>
                    <w:rPr>
                      <w:rFonts w:hint="eastAsia" w:ascii="宋体" w:hAnsi="宋体" w:eastAsia="宋体" w:cs="宋体"/>
                      <w:color w:val="FF0000"/>
                      <w:sz w:val="21"/>
                      <w:szCs w:val="21"/>
                      <w:highlight w:val="none"/>
                      <w:lang w:val="en-US" w:eastAsia="zh-CN"/>
                    </w:rPr>
                  </w:pPr>
                  <w:r>
                    <w:rPr>
                      <w:rFonts w:hint="eastAsia" w:ascii="宋体" w:hAnsi="宋体" w:eastAsia="宋体" w:cs="宋体"/>
                      <w:color w:val="FF0000"/>
                      <w:sz w:val="21"/>
                      <w:szCs w:val="21"/>
                      <w:highlight w:val="none"/>
                      <w:lang w:val="en-US" w:eastAsia="zh-CN"/>
                    </w:rPr>
                    <w:t>抽屉三视图</w:t>
                  </w:r>
                </w:p>
              </w:tc>
              <w:tc>
                <w:tcPr>
                  <w:tcW w:w="7561" w:type="dxa"/>
                  <w:noWrap w:val="0"/>
                  <w:vAlign w:val="top"/>
                </w:tcPr>
                <w:p w14:paraId="5A985F4F">
                  <w:pPr>
                    <w:rPr>
                      <w:rFonts w:hint="eastAsia" w:ascii="宋体" w:hAnsi="宋体" w:eastAsia="宋体" w:cs="宋体"/>
                      <w:color w:val="FF0000"/>
                      <w:sz w:val="21"/>
                      <w:szCs w:val="21"/>
                      <w:highlight w:val="none"/>
                    </w:rPr>
                  </w:pPr>
                </w:p>
                <w:p w14:paraId="4B124E0A">
                  <w:pPr>
                    <w:rPr>
                      <w:rFonts w:hint="eastAsia" w:ascii="宋体" w:hAnsi="宋体" w:eastAsia="宋体" w:cs="宋体"/>
                      <w:color w:val="FF0000"/>
                      <w:sz w:val="21"/>
                      <w:szCs w:val="21"/>
                      <w:highlight w:val="none"/>
                    </w:rPr>
                  </w:pPr>
                </w:p>
                <w:p w14:paraId="35C6896B">
                  <w:pPr>
                    <w:rPr>
                      <w:rFonts w:hint="eastAsia" w:ascii="宋体" w:hAnsi="宋体" w:eastAsia="宋体" w:cs="宋体"/>
                      <w:color w:val="FF0000"/>
                      <w:sz w:val="21"/>
                      <w:szCs w:val="21"/>
                      <w:highlight w:val="none"/>
                    </w:rPr>
                  </w:pPr>
                  <w:r>
                    <w:rPr>
                      <w:color w:val="FF0000"/>
                      <w:highlight w:val="none"/>
                    </w:rPr>
                    <w:drawing>
                      <wp:inline distT="0" distB="0" distL="114300" distR="114300">
                        <wp:extent cx="2506980" cy="1727200"/>
                        <wp:effectExtent l="0" t="0" r="7620" b="6350"/>
                        <wp:docPr id="169"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 name="图片 13"/>
                                <pic:cNvPicPr>
                                  <a:picLocks noChangeAspect="1"/>
                                </pic:cNvPicPr>
                              </pic:nvPicPr>
                              <pic:blipFill>
                                <a:blip r:embed="rId12"/>
                                <a:stretch>
                                  <a:fillRect/>
                                </a:stretch>
                              </pic:blipFill>
                              <pic:spPr>
                                <a:xfrm>
                                  <a:off x="0" y="0"/>
                                  <a:ext cx="2506980" cy="1727200"/>
                                </a:xfrm>
                                <a:prstGeom prst="rect">
                                  <a:avLst/>
                                </a:prstGeom>
                                <a:noFill/>
                                <a:ln>
                                  <a:noFill/>
                                </a:ln>
                              </pic:spPr>
                            </pic:pic>
                          </a:graphicData>
                        </a:graphic>
                      </wp:inline>
                    </w:drawing>
                  </w:r>
                </w:p>
              </w:tc>
            </w:tr>
            <w:tr w14:paraId="666688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21" w:hRule="atLeast"/>
              </w:trPr>
              <w:tc>
                <w:tcPr>
                  <w:tcW w:w="701" w:type="dxa"/>
                  <w:noWrap w:val="0"/>
                  <w:vAlign w:val="center"/>
                </w:tcPr>
                <w:p w14:paraId="2B424EC7">
                  <w:pPr>
                    <w:rPr>
                      <w:rFonts w:hint="eastAsia" w:ascii="宋体" w:hAnsi="宋体" w:eastAsia="宋体" w:cs="宋体"/>
                      <w:color w:val="FF0000"/>
                      <w:sz w:val="21"/>
                      <w:szCs w:val="21"/>
                      <w:highlight w:val="none"/>
                    </w:rPr>
                  </w:pPr>
                  <w:r>
                    <w:rPr>
                      <w:rFonts w:hint="eastAsia" w:ascii="宋体" w:hAnsi="宋体" w:eastAsia="宋体" w:cs="宋体"/>
                      <w:color w:val="FF0000"/>
                      <w:sz w:val="21"/>
                      <w:szCs w:val="21"/>
                      <w:highlight w:val="none"/>
                    </w:rPr>
                    <w:t>5</w:t>
                  </w:r>
                </w:p>
              </w:tc>
              <w:tc>
                <w:tcPr>
                  <w:tcW w:w="1536" w:type="dxa"/>
                  <w:noWrap w:val="0"/>
                  <w:vAlign w:val="center"/>
                </w:tcPr>
                <w:p w14:paraId="5984ADAE">
                  <w:pPr>
                    <w:rPr>
                      <w:rFonts w:hint="eastAsia" w:ascii="宋体" w:hAnsi="宋体" w:eastAsia="宋体" w:cs="宋体"/>
                      <w:color w:val="FF0000"/>
                      <w:sz w:val="21"/>
                      <w:szCs w:val="21"/>
                      <w:highlight w:val="none"/>
                      <w:lang w:val="en-US" w:eastAsia="zh-CN"/>
                    </w:rPr>
                  </w:pPr>
                  <w:r>
                    <w:rPr>
                      <w:rFonts w:hint="eastAsia" w:ascii="宋体" w:hAnsi="宋体" w:eastAsia="宋体" w:cs="宋体"/>
                      <w:color w:val="FF0000"/>
                      <w:sz w:val="21"/>
                      <w:szCs w:val="21"/>
                      <w:highlight w:val="none"/>
                      <w:lang w:val="en-US" w:eastAsia="zh-CN"/>
                    </w:rPr>
                    <w:t>台面三视图</w:t>
                  </w:r>
                </w:p>
              </w:tc>
              <w:tc>
                <w:tcPr>
                  <w:tcW w:w="7561" w:type="dxa"/>
                  <w:noWrap w:val="0"/>
                  <w:vAlign w:val="top"/>
                </w:tcPr>
                <w:p w14:paraId="393D780F">
                  <w:pPr>
                    <w:rPr>
                      <w:rFonts w:hint="eastAsia" w:ascii="宋体" w:hAnsi="宋体" w:eastAsia="宋体" w:cs="宋体"/>
                      <w:color w:val="FF0000"/>
                      <w:sz w:val="21"/>
                      <w:szCs w:val="21"/>
                      <w:highlight w:val="none"/>
                    </w:rPr>
                  </w:pPr>
                  <w:r>
                    <w:rPr>
                      <w:color w:val="FF0000"/>
                      <w:highlight w:val="none"/>
                    </w:rPr>
                    <w:drawing>
                      <wp:inline distT="0" distB="0" distL="114300" distR="114300">
                        <wp:extent cx="3054350" cy="1746885"/>
                        <wp:effectExtent l="0" t="0" r="12700" b="5715"/>
                        <wp:docPr id="170"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 name="图片 14"/>
                                <pic:cNvPicPr>
                                  <a:picLocks noChangeAspect="1"/>
                                </pic:cNvPicPr>
                              </pic:nvPicPr>
                              <pic:blipFill>
                                <a:blip r:embed="rId13"/>
                                <a:stretch>
                                  <a:fillRect/>
                                </a:stretch>
                              </pic:blipFill>
                              <pic:spPr>
                                <a:xfrm>
                                  <a:off x="0" y="0"/>
                                  <a:ext cx="3054350" cy="1746885"/>
                                </a:xfrm>
                                <a:prstGeom prst="rect">
                                  <a:avLst/>
                                </a:prstGeom>
                                <a:noFill/>
                                <a:ln>
                                  <a:noFill/>
                                </a:ln>
                              </pic:spPr>
                            </pic:pic>
                          </a:graphicData>
                        </a:graphic>
                      </wp:inline>
                    </w:drawing>
                  </w:r>
                </w:p>
              </w:tc>
            </w:tr>
          </w:tbl>
          <w:p w14:paraId="1316D5B6">
            <w:pPr>
              <w:widowControl/>
              <w:jc w:val="left"/>
              <w:rPr>
                <w:rFonts w:hint="eastAsia" w:ascii="宋体" w:hAnsi="宋体" w:eastAsia="宋体" w:cs="宋体"/>
                <w:color w:val="auto"/>
                <w:sz w:val="21"/>
                <w:szCs w:val="21"/>
                <w:highlight w:val="none"/>
              </w:rPr>
            </w:pPr>
          </w:p>
          <w:p w14:paraId="2F7D0337">
            <w:pPr>
              <w:widowControl/>
              <w:jc w:val="left"/>
              <w:rPr>
                <w:rFonts w:hint="eastAsia" w:ascii="宋体" w:hAnsi="宋体" w:eastAsia="宋体" w:cs="宋体"/>
                <w:color w:val="auto"/>
                <w:sz w:val="21"/>
                <w:szCs w:val="21"/>
                <w:highlight w:val="none"/>
              </w:rPr>
            </w:pPr>
          </w:p>
          <w:p w14:paraId="7A871CB4">
            <w:pPr>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3</w:t>
            </w:r>
            <w:r>
              <w:rPr>
                <w:rFonts w:hint="eastAsia" w:ascii="宋体" w:hAnsi="宋体" w:cs="宋体"/>
                <w:color w:val="auto"/>
                <w:sz w:val="21"/>
                <w:szCs w:val="21"/>
                <w:highlight w:val="none"/>
                <w:lang w:eastAsia="zh-CN"/>
              </w:rPr>
              <w:t>）</w:t>
            </w:r>
            <w:r>
              <w:rPr>
                <w:rFonts w:hint="eastAsia" w:ascii="宋体" w:hAnsi="宋体" w:eastAsia="宋体" w:cs="宋体"/>
                <w:b/>
                <w:bCs/>
                <w:color w:val="auto"/>
                <w:sz w:val="21"/>
                <w:szCs w:val="21"/>
                <w:highlight w:val="none"/>
                <w:u w:val="single"/>
                <w:lang w:val="zh-CN" w:bidi="zh-CN"/>
              </w:rPr>
              <w:t>诊断桌</w:t>
            </w:r>
          </w:p>
          <w:p w14:paraId="14DA77C5">
            <w:pPr>
              <w:widowControl/>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整体</w:t>
            </w:r>
            <w:r>
              <w:rPr>
                <w:rFonts w:hint="eastAsia" w:ascii="宋体" w:hAnsi="宋体" w:eastAsia="宋体" w:cs="宋体"/>
                <w:color w:val="auto"/>
                <w:sz w:val="21"/>
                <w:szCs w:val="21"/>
                <w:highlight w:val="none"/>
              </w:rPr>
              <w:t>规格：</w:t>
            </w:r>
            <w:r>
              <w:rPr>
                <w:rFonts w:hint="eastAsia" w:ascii="宋体" w:hAnsi="宋体" w:eastAsia="宋体" w:cs="宋体"/>
                <w:color w:val="auto"/>
                <w:sz w:val="21"/>
                <w:szCs w:val="21"/>
                <w:highlight w:val="none"/>
                <w:lang w:val="en-US" w:eastAsia="zh-CN"/>
              </w:rPr>
              <w:t>详见以下图纸</w:t>
            </w:r>
          </w:p>
          <w:p w14:paraId="28340604">
            <w:pPr>
              <w:widowControl/>
              <w:jc w:val="left"/>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1、主要材料：所有板件采用E0级刨花板，三聚氰胺饰面纸饰面；</w:t>
            </w:r>
          </w:p>
          <w:p w14:paraId="7765C9DD">
            <w:pPr>
              <w:widowControl/>
              <w:jc w:val="left"/>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2、主要板材厚度：台面板厚度为25mm；</w:t>
            </w:r>
          </w:p>
          <w:p w14:paraId="39B178E0">
            <w:pPr>
              <w:widowControl/>
              <w:jc w:val="left"/>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3、配置：主台面+圆柱形钢脚+钢制副柜+钢制键盘架+铝合金线盒+钢制前挡板+钢制桌上挡板；                                                                                                                                        4、</w:t>
            </w:r>
            <w:r>
              <w:rPr>
                <w:rFonts w:hint="eastAsia" w:ascii="宋体" w:hAnsi="宋体" w:eastAsia="宋体" w:cs="宋体"/>
                <w:color w:val="FF0000"/>
                <w:sz w:val="20"/>
                <w:szCs w:val="20"/>
                <w:highlight w:val="none"/>
                <w:lang w:val="en-US" w:eastAsia="zh-CN"/>
              </w:rPr>
              <w:t>五金配置：304不锈钢缓冲门铰（铰链）、三节导轨、拉手、连接件等；</w:t>
            </w:r>
          </w:p>
          <w:p w14:paraId="6D6FEAAD">
            <w:pPr>
              <w:widowControl/>
              <w:jc w:val="left"/>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5、封边：采用见光面为2.0mm厚全自动封边工艺，防水、防潮、不变色；                                                       6、桌上钢挡板：采用≥2.0mm厚电解钢板；                                                                                            7、副柜：副柜采用≥1.0mm厚电解钢板，表面抑菌粉末静电喷涂处理，门板根据台面板颜色木纹转印，柜体四周倒R20圆角，副柜底座整体采用厚度≥0.8mm的304#油膜拉丝不锈钢底座，高度≥100mm。                                                                                                                                                                 8、抑菌粉末：钢制表面采用抑菌防霉粉末静电喷涂处理，涂层膜厚度均匀，内外一致，抑菌、防霉、耐酸碱、耐磨、耐撞击，抗腐蚀力强。</w:t>
            </w:r>
          </w:p>
          <w:p w14:paraId="21097963">
            <w:pPr>
              <w:widowControl/>
              <w:jc w:val="left"/>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大样：根据参数和产品图</w:t>
            </w:r>
            <w:r>
              <w:rPr>
                <w:rFonts w:hint="eastAsia" w:ascii="宋体" w:hAnsi="宋体" w:eastAsia="宋体" w:cs="宋体"/>
                <w:color w:val="auto"/>
                <w:sz w:val="20"/>
                <w:szCs w:val="20"/>
                <w:highlight w:val="none"/>
                <w:lang w:val="en-US" w:eastAsia="zh-CN"/>
              </w:rPr>
              <w:t>提供诊断桌</w:t>
            </w:r>
            <w:r>
              <w:rPr>
                <w:rFonts w:hint="eastAsia" w:ascii="宋体" w:hAnsi="宋体" w:eastAsia="宋体" w:cs="宋体"/>
                <w:color w:val="auto"/>
                <w:sz w:val="20"/>
                <w:szCs w:val="20"/>
                <w:highlight w:val="none"/>
              </w:rPr>
              <w:t>一套</w:t>
            </w:r>
            <w:r>
              <w:rPr>
                <w:rFonts w:hint="eastAsia" w:ascii="宋体" w:hAnsi="宋体" w:eastAsia="宋体" w:cs="宋体"/>
                <w:color w:val="auto"/>
                <w:sz w:val="20"/>
                <w:szCs w:val="20"/>
                <w:highlight w:val="none"/>
                <w:lang w:eastAsia="zh-CN"/>
              </w:rPr>
              <w:t>（</w:t>
            </w:r>
            <w:r>
              <w:rPr>
                <w:rFonts w:hint="eastAsia" w:ascii="宋体" w:hAnsi="宋体" w:eastAsia="宋体" w:cs="宋体"/>
                <w:color w:val="auto"/>
                <w:sz w:val="20"/>
                <w:szCs w:val="20"/>
                <w:highlight w:val="none"/>
                <w:lang w:val="en-US" w:eastAsia="zh-CN"/>
              </w:rPr>
              <w:t>配置要求如下</w:t>
            </w:r>
            <w:r>
              <w:rPr>
                <w:rFonts w:hint="eastAsia" w:ascii="宋体" w:hAnsi="宋体" w:eastAsia="宋体" w:cs="宋体"/>
                <w:color w:val="auto"/>
                <w:sz w:val="20"/>
                <w:szCs w:val="20"/>
                <w:highlight w:val="none"/>
                <w:lang w:eastAsia="zh-CN"/>
              </w:rPr>
              <w:t>）</w:t>
            </w:r>
            <w:r>
              <w:rPr>
                <w:rFonts w:hint="eastAsia" w:ascii="宋体" w:hAnsi="宋体" w:eastAsia="宋体" w:cs="宋体"/>
                <w:color w:val="auto"/>
                <w:sz w:val="20"/>
                <w:szCs w:val="20"/>
                <w:highlight w:val="none"/>
              </w:rPr>
              <w:t>。产品外观尺寸偏差不得超过（±</w:t>
            </w:r>
            <w:r>
              <w:rPr>
                <w:rFonts w:hint="eastAsia" w:ascii="宋体" w:hAnsi="宋体" w:eastAsia="宋体" w:cs="宋体"/>
                <w:color w:val="auto"/>
                <w:sz w:val="20"/>
                <w:szCs w:val="20"/>
                <w:highlight w:val="none"/>
                <w:lang w:val="en-US" w:eastAsia="zh-CN"/>
              </w:rPr>
              <w:t>5</w:t>
            </w:r>
            <w:r>
              <w:rPr>
                <w:rFonts w:hint="eastAsia" w:ascii="宋体" w:hAnsi="宋体" w:eastAsia="宋体" w:cs="宋体"/>
                <w:color w:val="auto"/>
                <w:sz w:val="20"/>
                <w:szCs w:val="20"/>
                <w:highlight w:val="none"/>
              </w:rPr>
              <w:t>mm），部件</w:t>
            </w:r>
            <w:r>
              <w:rPr>
                <w:rFonts w:hint="eastAsia" w:ascii="宋体" w:hAnsi="宋体" w:eastAsia="宋体" w:cs="宋体"/>
                <w:color w:val="auto"/>
                <w:sz w:val="20"/>
                <w:szCs w:val="20"/>
                <w:highlight w:val="none"/>
                <w:lang w:val="en-US" w:eastAsia="zh-CN"/>
              </w:rPr>
              <w:t>外观</w:t>
            </w:r>
            <w:r>
              <w:rPr>
                <w:rFonts w:hint="eastAsia" w:ascii="宋体" w:hAnsi="宋体" w:eastAsia="宋体" w:cs="宋体"/>
                <w:color w:val="auto"/>
                <w:sz w:val="20"/>
                <w:szCs w:val="20"/>
                <w:highlight w:val="none"/>
              </w:rPr>
              <w:t>尺寸偏差不得超过（±</w:t>
            </w:r>
            <w:r>
              <w:rPr>
                <w:rFonts w:hint="eastAsia" w:ascii="宋体" w:hAnsi="宋体" w:eastAsia="宋体" w:cs="宋体"/>
                <w:color w:val="auto"/>
                <w:sz w:val="20"/>
                <w:szCs w:val="20"/>
                <w:highlight w:val="none"/>
                <w:lang w:val="en-US" w:eastAsia="zh-CN"/>
              </w:rPr>
              <w:t>5</w:t>
            </w:r>
            <w:r>
              <w:rPr>
                <w:rFonts w:hint="eastAsia" w:ascii="宋体" w:hAnsi="宋体" w:eastAsia="宋体" w:cs="宋体"/>
                <w:color w:val="auto"/>
                <w:sz w:val="20"/>
                <w:szCs w:val="20"/>
                <w:highlight w:val="none"/>
              </w:rPr>
              <w:t>mm）。</w:t>
            </w:r>
          </w:p>
          <w:p w14:paraId="61888767">
            <w:pPr>
              <w:widowControl/>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产品图</w:t>
            </w:r>
          </w:p>
          <w:tbl>
            <w:tblPr>
              <w:tblStyle w:val="4"/>
              <w:tblpPr w:leftFromText="180" w:rightFromText="180" w:vertAnchor="text" w:tblpXSpec="center" w:tblpY="1"/>
              <w:tblOverlap w:val="never"/>
              <w:tblW w:w="6803"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07"/>
              <w:gridCol w:w="971"/>
              <w:gridCol w:w="5425"/>
            </w:tblGrid>
            <w:tr w14:paraId="479A7F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07" w:type="dxa"/>
                  <w:noWrap w:val="0"/>
                  <w:vAlign w:val="top"/>
                </w:tcPr>
                <w:p w14:paraId="6764CEAA">
                  <w:pPr>
                    <w:widowControl/>
                    <w:jc w:val="left"/>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序号</w:t>
                  </w:r>
                </w:p>
              </w:tc>
              <w:tc>
                <w:tcPr>
                  <w:tcW w:w="971" w:type="dxa"/>
                  <w:noWrap w:val="0"/>
                  <w:vAlign w:val="top"/>
                </w:tcPr>
                <w:p w14:paraId="58CF9C0C">
                  <w:pPr>
                    <w:widowControl/>
                    <w:jc w:val="left"/>
                    <w:rPr>
                      <w:rFonts w:hint="eastAsia" w:ascii="宋体" w:hAnsi="宋体" w:eastAsia="宋体" w:cs="宋体"/>
                      <w:color w:val="auto"/>
                      <w:sz w:val="20"/>
                      <w:szCs w:val="20"/>
                      <w:highlight w:val="none"/>
                    </w:rPr>
                  </w:pPr>
                </w:p>
              </w:tc>
              <w:tc>
                <w:tcPr>
                  <w:tcW w:w="5425" w:type="dxa"/>
                  <w:noWrap w:val="0"/>
                  <w:vAlign w:val="top"/>
                </w:tcPr>
                <w:p w14:paraId="0211E229">
                  <w:pPr>
                    <w:widowControl/>
                    <w:jc w:val="left"/>
                    <w:rPr>
                      <w:rFonts w:hint="eastAsia" w:ascii="宋体" w:hAnsi="宋体" w:eastAsia="宋体" w:cs="宋体"/>
                      <w:color w:val="auto"/>
                      <w:sz w:val="20"/>
                      <w:szCs w:val="20"/>
                      <w:highlight w:val="none"/>
                    </w:rPr>
                  </w:pPr>
                </w:p>
              </w:tc>
            </w:tr>
            <w:tr w14:paraId="54A9AD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60" w:hRule="atLeast"/>
              </w:trPr>
              <w:tc>
                <w:tcPr>
                  <w:tcW w:w="407" w:type="dxa"/>
                  <w:noWrap w:val="0"/>
                  <w:vAlign w:val="center"/>
                </w:tcPr>
                <w:p w14:paraId="1C723854">
                  <w:pPr>
                    <w:widowControl/>
                    <w:jc w:val="left"/>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w:t>
                  </w:r>
                </w:p>
              </w:tc>
              <w:tc>
                <w:tcPr>
                  <w:tcW w:w="971" w:type="dxa"/>
                  <w:noWrap w:val="0"/>
                  <w:vAlign w:val="center"/>
                </w:tcPr>
                <w:p w14:paraId="7FF8C754">
                  <w:pPr>
                    <w:widowControl/>
                    <w:jc w:val="left"/>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整体三视图</w:t>
                  </w:r>
                </w:p>
              </w:tc>
              <w:tc>
                <w:tcPr>
                  <w:tcW w:w="5425" w:type="dxa"/>
                  <w:noWrap w:val="0"/>
                  <w:vAlign w:val="top"/>
                </w:tcPr>
                <w:p w14:paraId="367496EA">
                  <w:pPr>
                    <w:widowControl/>
                    <w:jc w:val="left"/>
                    <w:rPr>
                      <w:rFonts w:hint="eastAsia" w:ascii="宋体" w:hAnsi="宋体" w:eastAsia="宋体" w:cs="宋体"/>
                      <w:color w:val="auto"/>
                      <w:sz w:val="20"/>
                      <w:szCs w:val="20"/>
                      <w:highlight w:val="none"/>
                      <w:lang w:eastAsia="zh-CN"/>
                    </w:rPr>
                  </w:pPr>
                  <w:r>
                    <w:rPr>
                      <w:rFonts w:hint="eastAsia" w:ascii="宋体" w:hAnsi="宋体" w:eastAsia="宋体" w:cs="宋体"/>
                      <w:color w:val="auto"/>
                      <w:highlight w:val="none"/>
                    </w:rPr>
                    <w:drawing>
                      <wp:inline distT="0" distB="0" distL="0" distR="0">
                        <wp:extent cx="2908935" cy="2172970"/>
                        <wp:effectExtent l="0" t="0" r="5715" b="17780"/>
                        <wp:docPr id="12" name="图片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70"/>
                                <pic:cNvPicPr>
                                  <a:picLocks noChangeAspect="1"/>
                                </pic:cNvPicPr>
                              </pic:nvPicPr>
                              <pic:blipFill>
                                <a:blip r:embed="rId14"/>
                                <a:stretch>
                                  <a:fillRect/>
                                </a:stretch>
                              </pic:blipFill>
                              <pic:spPr>
                                <a:xfrm>
                                  <a:off x="0" y="0"/>
                                  <a:ext cx="2908935" cy="2172970"/>
                                </a:xfrm>
                                <a:prstGeom prst="rect">
                                  <a:avLst/>
                                </a:prstGeom>
                                <a:noFill/>
                                <a:ln>
                                  <a:noFill/>
                                </a:ln>
                              </pic:spPr>
                            </pic:pic>
                          </a:graphicData>
                        </a:graphic>
                      </wp:inline>
                    </w:drawing>
                  </w:r>
                </w:p>
              </w:tc>
            </w:tr>
            <w:tr w14:paraId="7AD560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15" w:hRule="atLeast"/>
              </w:trPr>
              <w:tc>
                <w:tcPr>
                  <w:tcW w:w="407" w:type="dxa"/>
                  <w:noWrap w:val="0"/>
                  <w:vAlign w:val="center"/>
                </w:tcPr>
                <w:p w14:paraId="3C74EC83">
                  <w:pPr>
                    <w:widowControl/>
                    <w:jc w:val="left"/>
                    <w:rPr>
                      <w:rFonts w:hint="eastAsia" w:ascii="宋体" w:hAnsi="宋体" w:eastAsia="宋体" w:cs="宋体"/>
                      <w:color w:val="FF0000"/>
                      <w:sz w:val="20"/>
                      <w:szCs w:val="20"/>
                      <w:highlight w:val="none"/>
                    </w:rPr>
                  </w:pPr>
                  <w:r>
                    <w:rPr>
                      <w:rFonts w:hint="eastAsia" w:ascii="宋体" w:hAnsi="宋体" w:eastAsia="宋体" w:cs="宋体"/>
                      <w:color w:val="FF0000"/>
                      <w:sz w:val="20"/>
                      <w:szCs w:val="20"/>
                      <w:highlight w:val="none"/>
                    </w:rPr>
                    <w:t>2</w:t>
                  </w:r>
                </w:p>
              </w:tc>
              <w:tc>
                <w:tcPr>
                  <w:tcW w:w="971" w:type="dxa"/>
                  <w:noWrap w:val="0"/>
                  <w:vAlign w:val="center"/>
                </w:tcPr>
                <w:p w14:paraId="7196F192">
                  <w:pPr>
                    <w:widowControl/>
                    <w:jc w:val="left"/>
                    <w:rPr>
                      <w:rFonts w:hint="default" w:ascii="宋体" w:hAnsi="宋体" w:eastAsia="宋体" w:cs="宋体"/>
                      <w:color w:val="FF0000"/>
                      <w:sz w:val="20"/>
                      <w:szCs w:val="20"/>
                      <w:highlight w:val="none"/>
                      <w:lang w:val="en-US" w:eastAsia="zh-CN"/>
                    </w:rPr>
                  </w:pPr>
                  <w:r>
                    <w:rPr>
                      <w:rFonts w:hint="eastAsia" w:ascii="宋体" w:hAnsi="宋体" w:eastAsia="宋体" w:cs="宋体"/>
                      <w:color w:val="FF0000"/>
                      <w:sz w:val="20"/>
                      <w:szCs w:val="20"/>
                      <w:highlight w:val="none"/>
                      <w:lang w:val="en-US" w:eastAsia="zh-CN"/>
                    </w:rPr>
                    <w:t>副柜三视图</w:t>
                  </w:r>
                </w:p>
              </w:tc>
              <w:tc>
                <w:tcPr>
                  <w:tcW w:w="5425" w:type="dxa"/>
                  <w:noWrap w:val="0"/>
                  <w:vAlign w:val="top"/>
                </w:tcPr>
                <w:p w14:paraId="404D24B1">
                  <w:pPr>
                    <w:widowControl/>
                    <w:jc w:val="left"/>
                    <w:rPr>
                      <w:rFonts w:hint="eastAsia" w:ascii="宋体" w:hAnsi="宋体" w:eastAsia="宋体" w:cs="宋体"/>
                      <w:color w:val="FF0000"/>
                      <w:sz w:val="20"/>
                      <w:szCs w:val="20"/>
                      <w:highlight w:val="none"/>
                    </w:rPr>
                  </w:pPr>
                </w:p>
                <w:p w14:paraId="113F6EB5">
                  <w:pPr>
                    <w:widowControl/>
                    <w:jc w:val="left"/>
                    <w:rPr>
                      <w:rFonts w:hint="eastAsia" w:ascii="宋体" w:hAnsi="宋体" w:eastAsia="宋体" w:cs="宋体"/>
                      <w:color w:val="FF0000"/>
                      <w:sz w:val="20"/>
                      <w:szCs w:val="20"/>
                      <w:highlight w:val="none"/>
                      <w:lang w:eastAsia="zh-CN"/>
                    </w:rPr>
                  </w:pPr>
                  <w:r>
                    <w:rPr>
                      <w:color w:val="FF0000"/>
                      <w:highlight w:val="none"/>
                    </w:rPr>
                    <w:drawing>
                      <wp:inline distT="0" distB="0" distL="114300" distR="114300">
                        <wp:extent cx="3399155" cy="2195830"/>
                        <wp:effectExtent l="0" t="0" r="10795" b="13970"/>
                        <wp:docPr id="161"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 name="图片 5"/>
                                <pic:cNvPicPr>
                                  <a:picLocks noChangeAspect="1"/>
                                </pic:cNvPicPr>
                              </pic:nvPicPr>
                              <pic:blipFill>
                                <a:blip r:embed="rId15"/>
                                <a:stretch>
                                  <a:fillRect/>
                                </a:stretch>
                              </pic:blipFill>
                              <pic:spPr>
                                <a:xfrm>
                                  <a:off x="0" y="0"/>
                                  <a:ext cx="3399155" cy="2195830"/>
                                </a:xfrm>
                                <a:prstGeom prst="rect">
                                  <a:avLst/>
                                </a:prstGeom>
                                <a:noFill/>
                                <a:ln>
                                  <a:noFill/>
                                </a:ln>
                              </pic:spPr>
                            </pic:pic>
                          </a:graphicData>
                        </a:graphic>
                      </wp:inline>
                    </w:drawing>
                  </w:r>
                </w:p>
              </w:tc>
            </w:tr>
            <w:tr w14:paraId="70164B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07" w:type="dxa"/>
                  <w:noWrap w:val="0"/>
                  <w:vAlign w:val="center"/>
                </w:tcPr>
                <w:p w14:paraId="0B823EA6">
                  <w:pPr>
                    <w:widowControl/>
                    <w:jc w:val="left"/>
                    <w:rPr>
                      <w:rFonts w:hint="eastAsia" w:ascii="宋体" w:hAnsi="宋体" w:eastAsia="宋体" w:cs="宋体"/>
                      <w:color w:val="FF0000"/>
                      <w:sz w:val="20"/>
                      <w:szCs w:val="20"/>
                      <w:highlight w:val="none"/>
                    </w:rPr>
                  </w:pPr>
                  <w:r>
                    <w:rPr>
                      <w:rFonts w:hint="eastAsia" w:ascii="宋体" w:hAnsi="宋体" w:eastAsia="宋体" w:cs="宋体"/>
                      <w:color w:val="FF0000"/>
                      <w:sz w:val="20"/>
                      <w:szCs w:val="20"/>
                      <w:highlight w:val="none"/>
                    </w:rPr>
                    <w:t>3</w:t>
                  </w:r>
                </w:p>
              </w:tc>
              <w:tc>
                <w:tcPr>
                  <w:tcW w:w="971" w:type="dxa"/>
                  <w:noWrap w:val="0"/>
                  <w:vAlign w:val="center"/>
                </w:tcPr>
                <w:p w14:paraId="5F6E04BE">
                  <w:pPr>
                    <w:widowControl/>
                    <w:jc w:val="left"/>
                    <w:rPr>
                      <w:rFonts w:hint="default" w:ascii="宋体" w:hAnsi="宋体" w:eastAsia="宋体" w:cs="宋体"/>
                      <w:color w:val="FF0000"/>
                      <w:sz w:val="20"/>
                      <w:szCs w:val="20"/>
                      <w:highlight w:val="none"/>
                      <w:lang w:val="en-US" w:eastAsia="zh-CN"/>
                    </w:rPr>
                  </w:pPr>
                  <w:r>
                    <w:rPr>
                      <w:rFonts w:hint="eastAsia" w:ascii="宋体" w:hAnsi="宋体" w:eastAsia="宋体" w:cs="宋体"/>
                      <w:color w:val="FF0000"/>
                      <w:sz w:val="20"/>
                      <w:szCs w:val="20"/>
                      <w:highlight w:val="none"/>
                      <w:lang w:val="en-US" w:eastAsia="zh-CN"/>
                    </w:rPr>
                    <w:t>钢架三视图</w:t>
                  </w:r>
                </w:p>
              </w:tc>
              <w:tc>
                <w:tcPr>
                  <w:tcW w:w="5425" w:type="dxa"/>
                  <w:noWrap w:val="0"/>
                  <w:vAlign w:val="top"/>
                </w:tcPr>
                <w:p w14:paraId="1CEA3D05">
                  <w:pPr>
                    <w:widowControl/>
                    <w:jc w:val="left"/>
                    <w:rPr>
                      <w:rFonts w:hint="eastAsia" w:ascii="宋体" w:hAnsi="宋体" w:eastAsia="宋体" w:cs="宋体"/>
                      <w:color w:val="FF0000"/>
                      <w:sz w:val="20"/>
                      <w:szCs w:val="20"/>
                      <w:highlight w:val="none"/>
                    </w:rPr>
                  </w:pPr>
                  <w:r>
                    <w:rPr>
                      <w:rFonts w:hint="eastAsia" w:ascii="宋体" w:hAnsi="宋体" w:eastAsia="宋体" w:cs="宋体"/>
                      <w:color w:val="FF0000"/>
                      <w:sz w:val="20"/>
                      <w:szCs w:val="21"/>
                      <w:highlight w:val="none"/>
                    </w:rPr>
                    <w:t xml:space="preserve"> </w:t>
                  </w:r>
                  <w:r>
                    <w:rPr>
                      <w:color w:val="FF0000"/>
                      <w:highlight w:val="none"/>
                    </w:rPr>
                    <w:drawing>
                      <wp:inline distT="0" distB="0" distL="114300" distR="114300">
                        <wp:extent cx="3494405" cy="2234565"/>
                        <wp:effectExtent l="0" t="0" r="10795" b="13335"/>
                        <wp:docPr id="162"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 name="图片 6"/>
                                <pic:cNvPicPr>
                                  <a:picLocks noChangeAspect="1"/>
                                </pic:cNvPicPr>
                              </pic:nvPicPr>
                              <pic:blipFill>
                                <a:blip r:embed="rId16"/>
                                <a:stretch>
                                  <a:fillRect/>
                                </a:stretch>
                              </pic:blipFill>
                              <pic:spPr>
                                <a:xfrm>
                                  <a:off x="0" y="0"/>
                                  <a:ext cx="3494405" cy="2234565"/>
                                </a:xfrm>
                                <a:prstGeom prst="rect">
                                  <a:avLst/>
                                </a:prstGeom>
                                <a:noFill/>
                                <a:ln>
                                  <a:noFill/>
                                </a:ln>
                              </pic:spPr>
                            </pic:pic>
                          </a:graphicData>
                        </a:graphic>
                      </wp:inline>
                    </w:drawing>
                  </w:r>
                </w:p>
              </w:tc>
            </w:tr>
            <w:tr w14:paraId="5DCE37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407" w:type="dxa"/>
                  <w:noWrap w:val="0"/>
                  <w:vAlign w:val="center"/>
                </w:tcPr>
                <w:p w14:paraId="45CEFF84">
                  <w:pPr>
                    <w:widowControl/>
                    <w:jc w:val="left"/>
                    <w:rPr>
                      <w:rFonts w:hint="eastAsia" w:ascii="宋体" w:hAnsi="宋体" w:eastAsia="宋体" w:cs="宋体"/>
                      <w:color w:val="FF0000"/>
                      <w:sz w:val="20"/>
                      <w:szCs w:val="20"/>
                      <w:highlight w:val="none"/>
                    </w:rPr>
                  </w:pPr>
                  <w:r>
                    <w:rPr>
                      <w:rFonts w:hint="eastAsia" w:ascii="宋体" w:hAnsi="宋体" w:eastAsia="宋体" w:cs="宋体"/>
                      <w:color w:val="FF0000"/>
                      <w:sz w:val="20"/>
                      <w:szCs w:val="20"/>
                      <w:highlight w:val="none"/>
                    </w:rPr>
                    <w:t>4</w:t>
                  </w:r>
                </w:p>
              </w:tc>
              <w:tc>
                <w:tcPr>
                  <w:tcW w:w="971" w:type="dxa"/>
                  <w:noWrap w:val="0"/>
                  <w:vAlign w:val="center"/>
                </w:tcPr>
                <w:p w14:paraId="58A5848A">
                  <w:pPr>
                    <w:widowControl/>
                    <w:jc w:val="left"/>
                    <w:rPr>
                      <w:rFonts w:hint="default" w:ascii="宋体" w:hAnsi="宋体" w:eastAsia="宋体" w:cs="宋体"/>
                      <w:color w:val="FF0000"/>
                      <w:sz w:val="20"/>
                      <w:szCs w:val="20"/>
                      <w:highlight w:val="none"/>
                      <w:lang w:val="en-US" w:eastAsia="zh-CN"/>
                    </w:rPr>
                  </w:pPr>
                  <w:r>
                    <w:rPr>
                      <w:rFonts w:hint="eastAsia" w:ascii="宋体" w:hAnsi="宋体" w:eastAsia="宋体" w:cs="宋体"/>
                      <w:color w:val="FF0000"/>
                      <w:sz w:val="20"/>
                      <w:szCs w:val="20"/>
                      <w:highlight w:val="none"/>
                      <w:lang w:val="en-US" w:eastAsia="zh-CN"/>
                    </w:rPr>
                    <w:t>台面板三视图</w:t>
                  </w:r>
                </w:p>
              </w:tc>
              <w:tc>
                <w:tcPr>
                  <w:tcW w:w="5425" w:type="dxa"/>
                  <w:noWrap w:val="0"/>
                  <w:vAlign w:val="top"/>
                </w:tcPr>
                <w:p w14:paraId="0185B1AB">
                  <w:pPr>
                    <w:widowControl/>
                    <w:jc w:val="left"/>
                    <w:rPr>
                      <w:rFonts w:hint="eastAsia" w:ascii="宋体" w:hAnsi="宋体" w:eastAsia="宋体" w:cs="宋体"/>
                      <w:color w:val="FF0000"/>
                      <w:sz w:val="20"/>
                      <w:szCs w:val="21"/>
                      <w:highlight w:val="none"/>
                    </w:rPr>
                  </w:pPr>
                  <w:r>
                    <w:rPr>
                      <w:color w:val="FF0000"/>
                      <w:highlight w:val="none"/>
                    </w:rPr>
                    <w:drawing>
                      <wp:inline distT="0" distB="0" distL="114300" distR="114300">
                        <wp:extent cx="3314065" cy="1605915"/>
                        <wp:effectExtent l="0" t="0" r="635" b="13335"/>
                        <wp:docPr id="163"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 name="图片 7"/>
                                <pic:cNvPicPr>
                                  <a:picLocks noChangeAspect="1"/>
                                </pic:cNvPicPr>
                              </pic:nvPicPr>
                              <pic:blipFill>
                                <a:blip r:embed="rId17"/>
                                <a:stretch>
                                  <a:fillRect/>
                                </a:stretch>
                              </pic:blipFill>
                              <pic:spPr>
                                <a:xfrm>
                                  <a:off x="0" y="0"/>
                                  <a:ext cx="3314065" cy="1605915"/>
                                </a:xfrm>
                                <a:prstGeom prst="rect">
                                  <a:avLst/>
                                </a:prstGeom>
                                <a:noFill/>
                                <a:ln>
                                  <a:noFill/>
                                </a:ln>
                              </pic:spPr>
                            </pic:pic>
                          </a:graphicData>
                        </a:graphic>
                      </wp:inline>
                    </w:drawing>
                  </w:r>
                </w:p>
                <w:p w14:paraId="06A12E6F">
                  <w:pPr>
                    <w:widowControl/>
                    <w:jc w:val="left"/>
                    <w:rPr>
                      <w:rFonts w:hint="eastAsia" w:ascii="宋体" w:hAnsi="宋体" w:eastAsia="宋体" w:cs="宋体"/>
                      <w:color w:val="FF0000"/>
                      <w:sz w:val="20"/>
                      <w:szCs w:val="21"/>
                      <w:highlight w:val="none"/>
                    </w:rPr>
                  </w:pPr>
                </w:p>
              </w:tc>
            </w:tr>
            <w:tr w14:paraId="0DA7E9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8" w:hRule="atLeast"/>
              </w:trPr>
              <w:tc>
                <w:tcPr>
                  <w:tcW w:w="407" w:type="dxa"/>
                  <w:noWrap w:val="0"/>
                  <w:vAlign w:val="center"/>
                </w:tcPr>
                <w:p w14:paraId="044C699D">
                  <w:pPr>
                    <w:widowControl/>
                    <w:jc w:val="left"/>
                    <w:rPr>
                      <w:rFonts w:hint="eastAsia" w:ascii="宋体" w:hAnsi="宋体" w:eastAsia="宋体" w:cs="宋体"/>
                      <w:color w:val="FF0000"/>
                      <w:sz w:val="20"/>
                      <w:szCs w:val="20"/>
                      <w:highlight w:val="none"/>
                      <w:lang w:val="en-US" w:eastAsia="zh-CN"/>
                    </w:rPr>
                  </w:pPr>
                  <w:r>
                    <w:rPr>
                      <w:rFonts w:hint="eastAsia" w:ascii="宋体" w:hAnsi="宋体" w:eastAsia="宋体" w:cs="宋体"/>
                      <w:color w:val="FF0000"/>
                      <w:sz w:val="20"/>
                      <w:szCs w:val="20"/>
                      <w:highlight w:val="none"/>
                      <w:lang w:val="en-US" w:eastAsia="zh-CN"/>
                    </w:rPr>
                    <w:t>5</w:t>
                  </w:r>
                </w:p>
              </w:tc>
              <w:tc>
                <w:tcPr>
                  <w:tcW w:w="971" w:type="dxa"/>
                  <w:noWrap w:val="0"/>
                  <w:vAlign w:val="center"/>
                </w:tcPr>
                <w:p w14:paraId="3A16E0C8">
                  <w:pPr>
                    <w:widowControl/>
                    <w:jc w:val="left"/>
                    <w:rPr>
                      <w:rFonts w:hint="default" w:ascii="宋体" w:hAnsi="宋体" w:eastAsia="宋体" w:cs="宋体"/>
                      <w:color w:val="FF0000"/>
                      <w:sz w:val="20"/>
                      <w:szCs w:val="20"/>
                      <w:highlight w:val="none"/>
                      <w:lang w:val="en-US" w:eastAsia="zh-CN"/>
                    </w:rPr>
                  </w:pPr>
                  <w:r>
                    <w:rPr>
                      <w:rFonts w:hint="eastAsia" w:ascii="宋体" w:hAnsi="宋体" w:eastAsia="宋体" w:cs="宋体"/>
                      <w:color w:val="FF0000"/>
                      <w:sz w:val="20"/>
                      <w:szCs w:val="20"/>
                      <w:highlight w:val="none"/>
                      <w:lang w:val="en-US" w:eastAsia="zh-CN"/>
                    </w:rPr>
                    <w:t>前挡板图</w:t>
                  </w:r>
                </w:p>
              </w:tc>
              <w:tc>
                <w:tcPr>
                  <w:tcW w:w="5425" w:type="dxa"/>
                  <w:noWrap w:val="0"/>
                  <w:vAlign w:val="top"/>
                </w:tcPr>
                <w:p w14:paraId="1B5DD97D">
                  <w:pPr>
                    <w:widowControl/>
                    <w:jc w:val="left"/>
                    <w:rPr>
                      <w:rFonts w:hint="eastAsia" w:ascii="宋体" w:hAnsi="宋体" w:eastAsia="宋体" w:cs="宋体"/>
                      <w:color w:val="FF0000"/>
                      <w:sz w:val="20"/>
                      <w:szCs w:val="21"/>
                      <w:highlight w:val="none"/>
                    </w:rPr>
                  </w:pPr>
                  <w:r>
                    <w:rPr>
                      <w:color w:val="FF0000"/>
                      <w:highlight w:val="none"/>
                    </w:rPr>
                    <w:drawing>
                      <wp:inline distT="0" distB="0" distL="114300" distR="114300">
                        <wp:extent cx="2489200" cy="1250950"/>
                        <wp:effectExtent l="0" t="0" r="6350" b="6350"/>
                        <wp:docPr id="164"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 name="图片 8"/>
                                <pic:cNvPicPr>
                                  <a:picLocks noChangeAspect="1"/>
                                </pic:cNvPicPr>
                              </pic:nvPicPr>
                              <pic:blipFill>
                                <a:blip r:embed="rId18"/>
                                <a:stretch>
                                  <a:fillRect/>
                                </a:stretch>
                              </pic:blipFill>
                              <pic:spPr>
                                <a:xfrm>
                                  <a:off x="0" y="0"/>
                                  <a:ext cx="2489200" cy="1250950"/>
                                </a:xfrm>
                                <a:prstGeom prst="rect">
                                  <a:avLst/>
                                </a:prstGeom>
                                <a:noFill/>
                                <a:ln>
                                  <a:noFill/>
                                </a:ln>
                              </pic:spPr>
                            </pic:pic>
                          </a:graphicData>
                        </a:graphic>
                      </wp:inline>
                    </w:drawing>
                  </w:r>
                </w:p>
              </w:tc>
            </w:tr>
          </w:tbl>
          <w:p w14:paraId="7DCBC9FD">
            <w:pPr>
              <w:rPr>
                <w:rFonts w:hint="eastAsia" w:ascii="宋体" w:hAnsi="宋体" w:eastAsia="宋体" w:cs="宋体"/>
                <w:color w:val="auto"/>
                <w:sz w:val="21"/>
                <w:szCs w:val="21"/>
                <w:highlight w:val="none"/>
                <w:lang w:val="en-US" w:bidi="zh-CN"/>
              </w:rPr>
            </w:pPr>
          </w:p>
          <w:p w14:paraId="1C518A20">
            <w:pPr>
              <w:numPr>
                <w:ilvl w:val="0"/>
                <w:numId w:val="0"/>
              </w:numPr>
              <w:spacing w:line="400" w:lineRule="exact"/>
              <w:rPr>
                <w:rFonts w:hint="eastAsia" w:ascii="宋体" w:hAnsi="宋体" w:eastAsia="宋体" w:cs="宋体"/>
                <w:b/>
                <w:bCs/>
                <w:color w:val="auto"/>
                <w:sz w:val="21"/>
                <w:szCs w:val="21"/>
                <w:highlight w:val="none"/>
                <w:u w:val="single"/>
                <w:lang w:val="zh-CN" w:bidi="zh-CN"/>
              </w:rPr>
            </w:pPr>
            <w:r>
              <w:rPr>
                <w:rFonts w:hint="eastAsia" w:ascii="宋体" w:hAnsi="宋体" w:eastAsia="宋体" w:cs="宋体"/>
                <w:color w:val="auto"/>
                <w:sz w:val="21"/>
                <w:szCs w:val="21"/>
                <w:highlight w:val="none"/>
                <w:lang w:val="en-US" w:bidi="zh-CN"/>
              </w:rPr>
              <w:t>1.2</w:t>
            </w:r>
            <w:r>
              <w:rPr>
                <w:rFonts w:hint="eastAsia" w:ascii="宋体" w:hAnsi="宋体" w:eastAsia="宋体" w:cs="宋体"/>
                <w:color w:val="auto"/>
                <w:sz w:val="21"/>
                <w:szCs w:val="21"/>
                <w:highlight w:val="none"/>
                <w:lang w:val="zh-CN" w:bidi="zh-CN"/>
              </w:rPr>
              <w:t>采购包2</w:t>
            </w:r>
            <w:r>
              <w:rPr>
                <w:rFonts w:hint="eastAsia" w:ascii="宋体" w:hAnsi="宋体" w:cs="宋体"/>
                <w:color w:val="auto"/>
                <w:sz w:val="21"/>
                <w:szCs w:val="21"/>
                <w:highlight w:val="none"/>
                <w:lang w:val="zh-CN" w:bidi="zh-CN"/>
              </w:rPr>
              <w:t>样品：</w:t>
            </w:r>
            <w:r>
              <w:rPr>
                <w:rFonts w:hint="eastAsia" w:ascii="宋体" w:hAnsi="宋体" w:eastAsia="宋体" w:cs="宋体"/>
                <w:b/>
                <w:bCs/>
                <w:color w:val="auto"/>
                <w:sz w:val="22"/>
                <w:szCs w:val="22"/>
                <w:highlight w:val="none"/>
                <w:u w:val="single"/>
                <w:lang w:val="zh-CN" w:bidi="zh-CN"/>
              </w:rPr>
              <w:t>钢制文件柜</w:t>
            </w:r>
            <w:r>
              <w:rPr>
                <w:rFonts w:hint="eastAsia" w:ascii="宋体" w:hAnsi="宋体" w:eastAsia="宋体" w:cs="宋体"/>
                <w:b/>
                <w:bCs/>
                <w:color w:val="auto"/>
                <w:sz w:val="22"/>
                <w:szCs w:val="22"/>
                <w:highlight w:val="none"/>
                <w:u w:val="single"/>
                <w:lang w:val="zh-CN" w:eastAsia="zh-CN" w:bidi="zh-CN"/>
              </w:rPr>
              <w:t>、</w:t>
            </w:r>
            <w:r>
              <w:rPr>
                <w:rFonts w:hint="eastAsia" w:ascii="宋体" w:hAnsi="宋体" w:eastAsia="宋体" w:cs="宋体"/>
                <w:b/>
                <w:bCs/>
                <w:color w:val="auto"/>
                <w:sz w:val="22"/>
                <w:szCs w:val="22"/>
                <w:highlight w:val="none"/>
                <w:u w:val="single"/>
                <w:lang w:val="zh-CN" w:bidi="zh-CN"/>
              </w:rPr>
              <w:t>医用货架，办公桌，办公椅，礼堂椅，值班床</w:t>
            </w:r>
            <w:r>
              <w:rPr>
                <w:rFonts w:hint="eastAsia" w:ascii="宋体" w:hAnsi="宋体" w:cs="宋体"/>
                <w:b/>
                <w:bCs/>
                <w:color w:val="auto"/>
                <w:sz w:val="21"/>
                <w:szCs w:val="21"/>
                <w:highlight w:val="none"/>
                <w:u w:val="single"/>
                <w:lang w:val="zh-CN" w:bidi="zh-CN"/>
              </w:rPr>
              <w:t>（样品制作需参照产品参数及产品图纸，所有样品拒绝3D打印）</w:t>
            </w:r>
          </w:p>
          <w:p w14:paraId="709B43CF">
            <w:pPr>
              <w:spacing w:line="400" w:lineRule="exact"/>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样品技术参数要求：</w:t>
            </w:r>
          </w:p>
          <w:p w14:paraId="2F7B293B">
            <w:pPr>
              <w:numPr>
                <w:ilvl w:val="0"/>
                <w:numId w:val="0"/>
              </w:numPr>
              <w:spacing w:line="400" w:lineRule="exact"/>
              <w:rPr>
                <w:rFonts w:hint="eastAsia" w:ascii="宋体" w:hAnsi="宋体" w:eastAsia="宋体" w:cs="宋体"/>
                <w:color w:val="auto"/>
                <w:sz w:val="22"/>
                <w:szCs w:val="22"/>
                <w:highlight w:val="none"/>
                <w:lang w:val="zh-CN" w:bidi="zh-CN"/>
              </w:rPr>
            </w:pPr>
          </w:p>
          <w:p w14:paraId="6336FB41">
            <w:pPr>
              <w:widowControl/>
              <w:jc w:val="left"/>
              <w:rPr>
                <w:rFonts w:hint="eastAsia" w:ascii="宋体" w:hAnsi="宋体" w:eastAsia="宋体" w:cs="宋体"/>
                <w:color w:val="auto"/>
                <w:sz w:val="22"/>
                <w:szCs w:val="22"/>
                <w:highlight w:val="none"/>
              </w:rPr>
            </w:pPr>
            <w:r>
              <w:rPr>
                <w:rFonts w:hint="eastAsia" w:ascii="宋体" w:hAnsi="宋体" w:cs="宋体"/>
                <w:color w:val="auto"/>
                <w:sz w:val="22"/>
                <w:szCs w:val="22"/>
                <w:highlight w:val="none"/>
                <w:lang w:eastAsia="zh-CN"/>
              </w:rPr>
              <w:t>（</w:t>
            </w:r>
            <w:r>
              <w:rPr>
                <w:rFonts w:hint="eastAsia" w:ascii="宋体" w:hAnsi="宋体" w:cs="宋体"/>
                <w:color w:val="auto"/>
                <w:sz w:val="22"/>
                <w:szCs w:val="22"/>
                <w:highlight w:val="none"/>
                <w:lang w:val="en-US" w:eastAsia="zh-CN"/>
              </w:rPr>
              <w:t>1</w:t>
            </w:r>
            <w:r>
              <w:rPr>
                <w:rFonts w:hint="eastAsia" w:ascii="宋体" w:hAnsi="宋体" w:cs="宋体"/>
                <w:color w:val="auto"/>
                <w:sz w:val="22"/>
                <w:szCs w:val="22"/>
                <w:highlight w:val="none"/>
                <w:lang w:eastAsia="zh-CN"/>
              </w:rPr>
              <w:t>）</w:t>
            </w:r>
            <w:r>
              <w:rPr>
                <w:rFonts w:hint="eastAsia" w:ascii="宋体" w:hAnsi="宋体" w:eastAsia="宋体" w:cs="宋体"/>
                <w:color w:val="auto"/>
                <w:sz w:val="22"/>
                <w:szCs w:val="22"/>
                <w:highlight w:val="none"/>
              </w:rPr>
              <w:t>钢制文件柜</w:t>
            </w:r>
          </w:p>
          <w:p w14:paraId="1EBDCA2F">
            <w:pPr>
              <w:widowControl/>
              <w:jc w:val="left"/>
              <w:rPr>
                <w:rFonts w:hint="eastAsia" w:ascii="宋体" w:hAnsi="宋体" w:eastAsia="宋体" w:cs="宋体"/>
                <w:color w:val="auto"/>
                <w:sz w:val="22"/>
                <w:szCs w:val="22"/>
                <w:highlight w:val="none"/>
              </w:rPr>
            </w:pPr>
            <w:bookmarkStart w:id="0" w:name="_Hlk191413140"/>
            <w:r>
              <w:rPr>
                <w:rFonts w:hint="eastAsia" w:ascii="宋体" w:hAnsi="宋体" w:eastAsia="宋体" w:cs="宋体"/>
                <w:color w:val="auto"/>
                <w:sz w:val="22"/>
                <w:szCs w:val="22"/>
                <w:highlight w:val="none"/>
              </w:rPr>
              <w:t>1、主要材料：电解钢板，具有更抗酸、更防锈、更防蚀、和涂层接触更稳固、使用年限更长等特点；</w:t>
            </w:r>
          </w:p>
          <w:p w14:paraId="1B5A9DF6">
            <w:pPr>
              <w:widowControl/>
              <w:jc w:val="lef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2、主要板材厚度：侧板、门板、顶板、底板、层板厚度≥0.8mm；                                                                              3、工艺要求：柜门均为双层结构，门板采用木纹转印，颜色根据采购人的实际需求定制；离地100mm高为厚度≥0.8mm的304#油膜拉丝不锈钢底座；</w:t>
            </w:r>
          </w:p>
          <w:p w14:paraId="5FE24A5E">
            <w:pPr>
              <w:widowControl/>
              <w:jc w:val="lef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4、功能配置：上为玻璃门板，下为钢制门板，内含三件层板；</w:t>
            </w:r>
          </w:p>
          <w:p w14:paraId="14E6B97F">
            <w:pPr>
              <w:widowControl/>
              <w:jc w:val="lef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5、五金配置：304不锈钢缓冲门铰（铰链），锁具、拉手等；</w:t>
            </w:r>
          </w:p>
          <w:p w14:paraId="38BDEC3D">
            <w:pPr>
              <w:widowControl/>
              <w:jc w:val="lef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6、所有板件经数控激光切割、模具冲压、数控折弯、焊接、机器打磨而成；表面采用抑菌防霉粉末静电喷涂处理，涂层膜厚度均匀，内外一致，抑菌、防霉、耐酸碱、耐磨、耐撞击，抗腐蚀力强。</w:t>
            </w:r>
            <w:bookmarkEnd w:id="0"/>
          </w:p>
          <w:p w14:paraId="30B320CA">
            <w:pPr>
              <w:widowControl/>
              <w:jc w:val="lef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大样：按要求的材质参数尺寸、结构工艺、外观造型提供：钢制文件柜一套，</w:t>
            </w:r>
            <w:bookmarkStart w:id="1" w:name="OLE_LINK26"/>
            <w:r>
              <w:rPr>
                <w:rFonts w:hint="eastAsia" w:ascii="宋体" w:hAnsi="宋体" w:eastAsia="宋体" w:cs="宋体"/>
                <w:color w:val="auto"/>
                <w:sz w:val="22"/>
                <w:szCs w:val="22"/>
                <w:highlight w:val="none"/>
              </w:rPr>
              <w:t>产品外观尺寸偏差不得超过（±5mm），部件</w:t>
            </w:r>
            <w:r>
              <w:rPr>
                <w:rFonts w:hint="eastAsia" w:ascii="宋体" w:hAnsi="宋体" w:eastAsia="宋体" w:cs="宋体"/>
                <w:color w:val="auto"/>
                <w:sz w:val="22"/>
                <w:szCs w:val="22"/>
                <w:highlight w:val="none"/>
                <w:lang w:val="en-US" w:eastAsia="zh-CN"/>
              </w:rPr>
              <w:t>外观</w:t>
            </w:r>
            <w:r>
              <w:rPr>
                <w:rFonts w:hint="eastAsia" w:ascii="宋体" w:hAnsi="宋体" w:eastAsia="宋体" w:cs="宋体"/>
                <w:color w:val="auto"/>
                <w:sz w:val="22"/>
                <w:szCs w:val="22"/>
                <w:highlight w:val="none"/>
              </w:rPr>
              <w:t>尺寸偏差不得超过（±5mm）。</w:t>
            </w:r>
            <w:bookmarkEnd w:id="1"/>
          </w:p>
          <w:p w14:paraId="70E03FC8">
            <w:pPr>
              <w:widowControl/>
              <w:jc w:val="lef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产品图</w:t>
            </w:r>
          </w:p>
          <w:tbl>
            <w:tblPr>
              <w:tblStyle w:val="10"/>
              <w:tblpPr w:leftFromText="180" w:rightFromText="180" w:vertAnchor="text" w:tblpXSpec="center" w:tblpY="1"/>
              <w:tblOverlap w:val="never"/>
              <w:tblW w:w="6803"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44"/>
              <w:gridCol w:w="1085"/>
              <w:gridCol w:w="4974"/>
            </w:tblGrid>
            <w:tr w14:paraId="4AC65E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9" w:hRule="atLeast"/>
              </w:trPr>
              <w:tc>
                <w:tcPr>
                  <w:tcW w:w="993" w:type="dxa"/>
                  <w:noWrap w:val="0"/>
                  <w:vAlign w:val="top"/>
                </w:tcPr>
                <w:p w14:paraId="2034314D">
                  <w:pPr>
                    <w:widowControl/>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序号</w:t>
                  </w:r>
                </w:p>
              </w:tc>
              <w:tc>
                <w:tcPr>
                  <w:tcW w:w="1498" w:type="dxa"/>
                  <w:noWrap w:val="0"/>
                  <w:vAlign w:val="top"/>
                </w:tcPr>
                <w:p w14:paraId="2AC4A151">
                  <w:pPr>
                    <w:widowControl/>
                    <w:jc w:val="center"/>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图纸名称</w:t>
                  </w:r>
                </w:p>
              </w:tc>
              <w:tc>
                <w:tcPr>
                  <w:tcW w:w="7248" w:type="dxa"/>
                  <w:noWrap w:val="0"/>
                  <w:vAlign w:val="top"/>
                </w:tcPr>
                <w:p w14:paraId="3E9171F2">
                  <w:pPr>
                    <w:widowControl/>
                    <w:jc w:val="center"/>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图纸</w:t>
                  </w:r>
                </w:p>
              </w:tc>
            </w:tr>
            <w:tr w14:paraId="5EF512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9" w:hRule="atLeast"/>
              </w:trPr>
              <w:tc>
                <w:tcPr>
                  <w:tcW w:w="993" w:type="dxa"/>
                  <w:noWrap w:val="0"/>
                  <w:vAlign w:val="center"/>
                </w:tcPr>
                <w:p w14:paraId="3E4EB1AA">
                  <w:pPr>
                    <w:widowControl/>
                    <w:jc w:val="center"/>
                    <w:rPr>
                      <w:rFonts w:hint="eastAsia" w:ascii="宋体" w:hAnsi="宋体" w:eastAsia="宋体" w:cs="宋体"/>
                      <w:color w:val="FF0000"/>
                      <w:sz w:val="22"/>
                      <w:szCs w:val="22"/>
                      <w:highlight w:val="none"/>
                    </w:rPr>
                  </w:pPr>
                  <w:r>
                    <w:rPr>
                      <w:rFonts w:hint="eastAsia" w:ascii="宋体" w:hAnsi="宋体" w:eastAsia="宋体" w:cs="宋体"/>
                      <w:color w:val="FF0000"/>
                      <w:sz w:val="22"/>
                      <w:szCs w:val="22"/>
                      <w:highlight w:val="none"/>
                    </w:rPr>
                    <w:t>1</w:t>
                  </w:r>
                </w:p>
              </w:tc>
              <w:tc>
                <w:tcPr>
                  <w:tcW w:w="1498" w:type="dxa"/>
                  <w:noWrap w:val="0"/>
                  <w:vAlign w:val="center"/>
                </w:tcPr>
                <w:p w14:paraId="5375F392">
                  <w:pPr>
                    <w:widowControl/>
                    <w:jc w:val="center"/>
                    <w:rPr>
                      <w:rFonts w:hint="eastAsia" w:ascii="宋体" w:hAnsi="宋体" w:eastAsia="宋体" w:cs="宋体"/>
                      <w:color w:val="FF0000"/>
                      <w:sz w:val="22"/>
                      <w:szCs w:val="22"/>
                      <w:highlight w:val="none"/>
                      <w:lang w:val="en-US" w:eastAsia="zh-CN"/>
                    </w:rPr>
                  </w:pPr>
                  <w:r>
                    <w:rPr>
                      <w:rFonts w:hint="eastAsia" w:ascii="宋体" w:hAnsi="宋体" w:eastAsia="宋体" w:cs="宋体"/>
                      <w:color w:val="FF0000"/>
                      <w:sz w:val="22"/>
                      <w:szCs w:val="22"/>
                      <w:highlight w:val="none"/>
                      <w:lang w:val="en-US" w:eastAsia="zh-CN"/>
                    </w:rPr>
                    <w:t>整体三视图</w:t>
                  </w:r>
                </w:p>
              </w:tc>
              <w:tc>
                <w:tcPr>
                  <w:tcW w:w="7248" w:type="dxa"/>
                  <w:noWrap w:val="0"/>
                  <w:vAlign w:val="top"/>
                </w:tcPr>
                <w:p w14:paraId="64F70939">
                  <w:pPr>
                    <w:widowControl/>
                    <w:jc w:val="center"/>
                    <w:rPr>
                      <w:rFonts w:hint="eastAsia" w:ascii="宋体" w:hAnsi="宋体" w:eastAsia="宋体" w:cs="宋体"/>
                      <w:color w:val="auto"/>
                      <w:sz w:val="22"/>
                      <w:szCs w:val="22"/>
                      <w:highlight w:val="none"/>
                    </w:rPr>
                  </w:pPr>
                  <w:r>
                    <w:drawing>
                      <wp:inline distT="0" distB="0" distL="114300" distR="114300">
                        <wp:extent cx="3054985" cy="2604135"/>
                        <wp:effectExtent l="0" t="0" r="12065" b="571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9"/>
                                <a:stretch>
                                  <a:fillRect/>
                                </a:stretch>
                              </pic:blipFill>
                              <pic:spPr>
                                <a:xfrm>
                                  <a:off x="0" y="0"/>
                                  <a:ext cx="3054985" cy="2604135"/>
                                </a:xfrm>
                                <a:prstGeom prst="rect">
                                  <a:avLst/>
                                </a:prstGeom>
                                <a:noFill/>
                                <a:ln>
                                  <a:noFill/>
                                </a:ln>
                              </pic:spPr>
                            </pic:pic>
                          </a:graphicData>
                        </a:graphic>
                      </wp:inline>
                    </w:drawing>
                  </w:r>
                </w:p>
              </w:tc>
            </w:tr>
            <w:tr w14:paraId="6765DF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9" w:hRule="atLeast"/>
              </w:trPr>
              <w:tc>
                <w:tcPr>
                  <w:tcW w:w="993" w:type="dxa"/>
                  <w:noWrap w:val="0"/>
                  <w:vAlign w:val="center"/>
                </w:tcPr>
                <w:p w14:paraId="1D1CF331">
                  <w:pPr>
                    <w:widowControl/>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w:t>
                  </w:r>
                </w:p>
              </w:tc>
              <w:tc>
                <w:tcPr>
                  <w:tcW w:w="1498" w:type="dxa"/>
                  <w:noWrap w:val="0"/>
                  <w:vAlign w:val="center"/>
                </w:tcPr>
                <w:p w14:paraId="322A624A">
                  <w:pPr>
                    <w:widowControl/>
                    <w:jc w:val="center"/>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柜体三视图</w:t>
                  </w:r>
                </w:p>
              </w:tc>
              <w:tc>
                <w:tcPr>
                  <w:tcW w:w="7248" w:type="dxa"/>
                  <w:noWrap w:val="0"/>
                  <w:vAlign w:val="top"/>
                </w:tcPr>
                <w:p w14:paraId="7C82EC1F">
                  <w:pPr>
                    <w:widowControl/>
                    <w:jc w:val="center"/>
                    <w:rPr>
                      <w:rFonts w:hint="eastAsia" w:ascii="宋体" w:hAnsi="宋体" w:eastAsia="宋体" w:cs="宋体"/>
                      <w:color w:val="auto"/>
                      <w:sz w:val="22"/>
                      <w:szCs w:val="22"/>
                      <w:highlight w:val="none"/>
                    </w:rPr>
                  </w:pPr>
                  <w:r>
                    <w:rPr>
                      <w:color w:val="auto"/>
                      <w:highlight w:val="none"/>
                    </w:rPr>
                    <w:drawing>
                      <wp:inline distT="0" distB="0" distL="0" distR="0">
                        <wp:extent cx="3028950" cy="2629535"/>
                        <wp:effectExtent l="0" t="0" r="0" b="18415"/>
                        <wp:docPr id="1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3"/>
                                <pic:cNvPicPr>
                                  <a:picLocks noChangeAspect="1"/>
                                </pic:cNvPicPr>
                              </pic:nvPicPr>
                              <pic:blipFill>
                                <a:blip r:embed="rId20"/>
                                <a:stretch>
                                  <a:fillRect/>
                                </a:stretch>
                              </pic:blipFill>
                              <pic:spPr>
                                <a:xfrm>
                                  <a:off x="0" y="0"/>
                                  <a:ext cx="3028950" cy="2629535"/>
                                </a:xfrm>
                                <a:prstGeom prst="rect">
                                  <a:avLst/>
                                </a:prstGeom>
                                <a:noFill/>
                                <a:ln>
                                  <a:noFill/>
                                </a:ln>
                              </pic:spPr>
                            </pic:pic>
                          </a:graphicData>
                        </a:graphic>
                      </wp:inline>
                    </w:drawing>
                  </w:r>
                </w:p>
              </w:tc>
            </w:tr>
            <w:tr w14:paraId="4E6ACA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78" w:hRule="atLeast"/>
              </w:trPr>
              <w:tc>
                <w:tcPr>
                  <w:tcW w:w="993" w:type="dxa"/>
                  <w:noWrap w:val="0"/>
                  <w:vAlign w:val="center"/>
                </w:tcPr>
                <w:p w14:paraId="6E86522A">
                  <w:pPr>
                    <w:widowControl/>
                    <w:jc w:val="center"/>
                    <w:rPr>
                      <w:rFonts w:hint="eastAsia" w:ascii="宋体" w:hAnsi="宋体" w:eastAsia="宋体" w:cs="宋体"/>
                      <w:color w:val="FF0000"/>
                      <w:sz w:val="22"/>
                      <w:szCs w:val="22"/>
                      <w:highlight w:val="none"/>
                    </w:rPr>
                  </w:pPr>
                  <w:r>
                    <w:rPr>
                      <w:rFonts w:hint="eastAsia" w:ascii="宋体" w:hAnsi="宋体" w:eastAsia="宋体" w:cs="宋体"/>
                      <w:color w:val="FF0000"/>
                      <w:sz w:val="22"/>
                      <w:szCs w:val="22"/>
                      <w:highlight w:val="none"/>
                    </w:rPr>
                    <w:t>3</w:t>
                  </w:r>
                </w:p>
              </w:tc>
              <w:tc>
                <w:tcPr>
                  <w:tcW w:w="1498" w:type="dxa"/>
                  <w:noWrap w:val="0"/>
                  <w:vAlign w:val="center"/>
                </w:tcPr>
                <w:p w14:paraId="384D9FA6">
                  <w:pPr>
                    <w:widowControl/>
                    <w:jc w:val="center"/>
                    <w:rPr>
                      <w:rFonts w:hint="eastAsia" w:ascii="宋体" w:hAnsi="宋体" w:eastAsia="宋体" w:cs="宋体"/>
                      <w:color w:val="FF0000"/>
                      <w:sz w:val="22"/>
                      <w:szCs w:val="22"/>
                      <w:highlight w:val="none"/>
                      <w:lang w:val="en-US" w:eastAsia="zh-CN"/>
                    </w:rPr>
                  </w:pPr>
                  <w:r>
                    <w:rPr>
                      <w:rFonts w:hint="eastAsia" w:ascii="宋体" w:hAnsi="宋体" w:eastAsia="宋体" w:cs="宋体"/>
                      <w:color w:val="FF0000"/>
                      <w:sz w:val="22"/>
                      <w:szCs w:val="22"/>
                      <w:highlight w:val="none"/>
                      <w:lang w:val="en-US" w:eastAsia="zh-CN"/>
                    </w:rPr>
                    <w:t>门板三视图</w:t>
                  </w:r>
                </w:p>
              </w:tc>
              <w:tc>
                <w:tcPr>
                  <w:tcW w:w="7248" w:type="dxa"/>
                  <w:noWrap w:val="0"/>
                  <w:vAlign w:val="top"/>
                </w:tcPr>
                <w:p w14:paraId="6656DEF3">
                  <w:pPr>
                    <w:widowControl/>
                    <w:jc w:val="center"/>
                    <w:rPr>
                      <w:rFonts w:hint="eastAsia" w:ascii="宋体" w:hAnsi="宋体" w:eastAsia="宋体" w:cs="宋体"/>
                      <w:color w:val="FF0000"/>
                      <w:sz w:val="22"/>
                      <w:szCs w:val="22"/>
                      <w:highlight w:val="none"/>
                    </w:rPr>
                  </w:pPr>
                  <w:r>
                    <w:rPr>
                      <w:color w:val="FF0000"/>
                    </w:rPr>
                    <w:drawing>
                      <wp:inline distT="0" distB="0" distL="114300" distR="114300">
                        <wp:extent cx="2973070" cy="2961640"/>
                        <wp:effectExtent l="0" t="0" r="17780" b="10160"/>
                        <wp:docPr id="165"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 name="图片 9"/>
                                <pic:cNvPicPr>
                                  <a:picLocks noChangeAspect="1"/>
                                </pic:cNvPicPr>
                              </pic:nvPicPr>
                              <pic:blipFill>
                                <a:blip r:embed="rId21"/>
                                <a:stretch>
                                  <a:fillRect/>
                                </a:stretch>
                              </pic:blipFill>
                              <pic:spPr>
                                <a:xfrm>
                                  <a:off x="0" y="0"/>
                                  <a:ext cx="2973070" cy="2961640"/>
                                </a:xfrm>
                                <a:prstGeom prst="rect">
                                  <a:avLst/>
                                </a:prstGeom>
                                <a:noFill/>
                                <a:ln>
                                  <a:noFill/>
                                </a:ln>
                              </pic:spPr>
                            </pic:pic>
                          </a:graphicData>
                        </a:graphic>
                      </wp:inline>
                    </w:drawing>
                  </w:r>
                </w:p>
              </w:tc>
            </w:tr>
            <w:tr w14:paraId="575A06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88" w:hRule="atLeast"/>
              </w:trPr>
              <w:tc>
                <w:tcPr>
                  <w:tcW w:w="993" w:type="dxa"/>
                  <w:noWrap w:val="0"/>
                  <w:vAlign w:val="center"/>
                </w:tcPr>
                <w:p w14:paraId="61CE3530">
                  <w:pPr>
                    <w:widowControl/>
                    <w:jc w:val="center"/>
                    <w:rPr>
                      <w:rFonts w:hint="eastAsia" w:ascii="宋体" w:hAnsi="宋体" w:eastAsia="宋体" w:cs="宋体"/>
                      <w:color w:val="FF0000"/>
                      <w:sz w:val="22"/>
                      <w:szCs w:val="22"/>
                      <w:highlight w:val="none"/>
                    </w:rPr>
                  </w:pPr>
                  <w:r>
                    <w:rPr>
                      <w:rFonts w:hint="eastAsia" w:ascii="宋体" w:hAnsi="宋体" w:eastAsia="宋体" w:cs="宋体"/>
                      <w:color w:val="FF0000"/>
                      <w:sz w:val="22"/>
                      <w:szCs w:val="22"/>
                      <w:highlight w:val="none"/>
                    </w:rPr>
                    <w:t>4</w:t>
                  </w:r>
                </w:p>
              </w:tc>
              <w:tc>
                <w:tcPr>
                  <w:tcW w:w="1498" w:type="dxa"/>
                  <w:noWrap w:val="0"/>
                  <w:vAlign w:val="center"/>
                </w:tcPr>
                <w:p w14:paraId="51795341">
                  <w:pPr>
                    <w:widowControl/>
                    <w:jc w:val="center"/>
                    <w:rPr>
                      <w:rFonts w:hint="eastAsia" w:ascii="宋体" w:hAnsi="宋体" w:eastAsia="宋体" w:cs="宋体"/>
                      <w:color w:val="FF0000"/>
                      <w:sz w:val="22"/>
                      <w:szCs w:val="22"/>
                      <w:highlight w:val="none"/>
                      <w:lang w:val="en-US" w:eastAsia="zh-CN"/>
                    </w:rPr>
                  </w:pPr>
                  <w:r>
                    <w:rPr>
                      <w:rFonts w:hint="eastAsia" w:ascii="宋体" w:hAnsi="宋体" w:eastAsia="宋体" w:cs="宋体"/>
                      <w:color w:val="FF0000"/>
                      <w:sz w:val="22"/>
                      <w:szCs w:val="22"/>
                      <w:highlight w:val="none"/>
                      <w:lang w:val="en-US" w:eastAsia="zh-CN"/>
                    </w:rPr>
                    <w:t>304不锈钢底座三视图</w:t>
                  </w:r>
                </w:p>
              </w:tc>
              <w:tc>
                <w:tcPr>
                  <w:tcW w:w="7248" w:type="dxa"/>
                  <w:noWrap w:val="0"/>
                  <w:vAlign w:val="top"/>
                </w:tcPr>
                <w:p w14:paraId="4F923056">
                  <w:pPr>
                    <w:widowControl/>
                    <w:jc w:val="center"/>
                    <w:rPr>
                      <w:rFonts w:hint="eastAsia" w:ascii="宋体" w:hAnsi="宋体" w:eastAsia="宋体" w:cs="宋体"/>
                      <w:color w:val="FF0000"/>
                      <w:sz w:val="22"/>
                      <w:szCs w:val="22"/>
                      <w:highlight w:val="none"/>
                    </w:rPr>
                  </w:pPr>
                  <w:r>
                    <w:rPr>
                      <w:color w:val="FF0000"/>
                    </w:rPr>
                    <w:drawing>
                      <wp:inline distT="0" distB="0" distL="114300" distR="114300">
                        <wp:extent cx="2920365" cy="1571625"/>
                        <wp:effectExtent l="0" t="0" r="13335" b="9525"/>
                        <wp:docPr id="166"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 name="图片 10"/>
                                <pic:cNvPicPr>
                                  <a:picLocks noChangeAspect="1"/>
                                </pic:cNvPicPr>
                              </pic:nvPicPr>
                              <pic:blipFill>
                                <a:blip r:embed="rId22"/>
                                <a:stretch>
                                  <a:fillRect/>
                                </a:stretch>
                              </pic:blipFill>
                              <pic:spPr>
                                <a:xfrm>
                                  <a:off x="0" y="0"/>
                                  <a:ext cx="2920365" cy="1571625"/>
                                </a:xfrm>
                                <a:prstGeom prst="rect">
                                  <a:avLst/>
                                </a:prstGeom>
                                <a:noFill/>
                                <a:ln>
                                  <a:noFill/>
                                </a:ln>
                              </pic:spPr>
                            </pic:pic>
                          </a:graphicData>
                        </a:graphic>
                      </wp:inline>
                    </w:drawing>
                  </w:r>
                </w:p>
              </w:tc>
            </w:tr>
          </w:tbl>
          <w:p w14:paraId="546CBE1F">
            <w:pPr>
              <w:widowControl/>
              <w:jc w:val="left"/>
              <w:rPr>
                <w:rFonts w:hint="eastAsia" w:ascii="宋体" w:hAnsi="宋体" w:eastAsia="宋体" w:cs="宋体"/>
                <w:color w:val="auto"/>
                <w:sz w:val="22"/>
                <w:szCs w:val="22"/>
                <w:highlight w:val="none"/>
              </w:rPr>
            </w:pPr>
          </w:p>
          <w:p w14:paraId="6A655AE1">
            <w:pPr>
              <w:rPr>
                <w:rFonts w:hint="eastAsia" w:ascii="宋体" w:hAnsi="宋体" w:eastAsia="宋体" w:cs="宋体"/>
                <w:color w:val="auto"/>
                <w:sz w:val="22"/>
                <w:szCs w:val="22"/>
                <w:highlight w:val="none"/>
                <w:lang w:val="zh-CN"/>
              </w:rPr>
            </w:pPr>
            <w:r>
              <w:rPr>
                <w:rFonts w:hint="eastAsia" w:ascii="宋体" w:hAnsi="宋体" w:cs="宋体"/>
                <w:color w:val="auto"/>
                <w:sz w:val="22"/>
                <w:szCs w:val="22"/>
                <w:highlight w:val="none"/>
                <w:lang w:eastAsia="zh-CN"/>
              </w:rPr>
              <w:t>（</w:t>
            </w:r>
            <w:r>
              <w:rPr>
                <w:rFonts w:hint="eastAsia" w:ascii="宋体" w:hAnsi="宋体" w:cs="宋体"/>
                <w:color w:val="auto"/>
                <w:sz w:val="22"/>
                <w:szCs w:val="22"/>
                <w:highlight w:val="none"/>
                <w:lang w:val="en-US" w:eastAsia="zh-CN"/>
              </w:rPr>
              <w:t>2</w:t>
            </w:r>
            <w:r>
              <w:rPr>
                <w:rFonts w:hint="eastAsia" w:ascii="宋体" w:hAnsi="宋体" w:cs="宋体"/>
                <w:color w:val="auto"/>
                <w:sz w:val="22"/>
                <w:szCs w:val="22"/>
                <w:highlight w:val="none"/>
                <w:lang w:eastAsia="zh-CN"/>
              </w:rPr>
              <w:t>）</w:t>
            </w:r>
            <w:r>
              <w:rPr>
                <w:rFonts w:hint="eastAsia" w:ascii="宋体" w:hAnsi="宋体" w:eastAsia="宋体" w:cs="宋体"/>
                <w:color w:val="auto"/>
                <w:sz w:val="22"/>
                <w:szCs w:val="22"/>
                <w:highlight w:val="none"/>
                <w:lang w:val="zh-CN"/>
              </w:rPr>
              <w:t>医用货架</w:t>
            </w:r>
          </w:p>
          <w:p w14:paraId="49D0D2FE">
            <w:pP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1、主要材料：电解钢板，具有更抗酸、更防锈、更防蚀、和涂层接触更稳固、使用年限更长等特点；</w:t>
            </w:r>
          </w:p>
          <w:p w14:paraId="4FEC28EC">
            <w:pP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2、主要板材厚度：立柱采用≥40*40mm方管，厚度≥1.5mm，其余板件厚度≥1.0mm；</w:t>
            </w:r>
          </w:p>
          <w:p w14:paraId="1F30B18B">
            <w:pP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3、功能配置：带亚克力卡槽；</w:t>
            </w:r>
          </w:p>
          <w:p w14:paraId="6CB1ED3A">
            <w:pP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4、所有板件经数控激光切割、模具冲压、数控折弯、焊接、机器打磨而成；表面采用抑菌防霉粉末静电喷涂处理，涂层膜厚度均匀，内外一致，抑菌、防霉、耐酸碱、耐磨、耐撞击，抗腐蚀力强。</w:t>
            </w:r>
          </w:p>
          <w:p w14:paraId="03BC938C">
            <w:pPr>
              <w:widowControl/>
              <w:jc w:val="lef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大样：按要求的材质参数尺寸、结构工艺、外观造型提供：</w:t>
            </w:r>
            <w:r>
              <w:rPr>
                <w:rFonts w:hint="eastAsia" w:ascii="宋体" w:hAnsi="宋体" w:eastAsia="宋体" w:cs="宋体"/>
                <w:color w:val="auto"/>
                <w:sz w:val="22"/>
                <w:szCs w:val="22"/>
                <w:highlight w:val="none"/>
                <w:lang w:val="en-US" w:eastAsia="zh-CN"/>
              </w:rPr>
              <w:t>医用货架</w:t>
            </w:r>
            <w:r>
              <w:rPr>
                <w:rFonts w:hint="eastAsia" w:ascii="宋体" w:hAnsi="宋体" w:eastAsia="宋体" w:cs="宋体"/>
                <w:color w:val="auto"/>
                <w:sz w:val="22"/>
                <w:szCs w:val="22"/>
                <w:highlight w:val="none"/>
              </w:rPr>
              <w:t>一</w:t>
            </w:r>
            <w:r>
              <w:rPr>
                <w:rFonts w:hint="eastAsia" w:ascii="宋体" w:hAnsi="宋体" w:eastAsia="宋体" w:cs="宋体"/>
                <w:color w:val="auto"/>
                <w:sz w:val="22"/>
                <w:szCs w:val="22"/>
                <w:highlight w:val="none"/>
                <w:lang w:val="en-US" w:eastAsia="zh-CN"/>
              </w:rPr>
              <w:t>组</w:t>
            </w:r>
            <w:r>
              <w:rPr>
                <w:rFonts w:hint="eastAsia" w:ascii="宋体" w:hAnsi="宋体" w:eastAsia="宋体" w:cs="宋体"/>
                <w:color w:val="auto"/>
                <w:sz w:val="22"/>
                <w:szCs w:val="22"/>
                <w:highlight w:val="none"/>
              </w:rPr>
              <w:t>，产品外观尺寸偏差不得超过（±5mm），部件</w:t>
            </w:r>
            <w:r>
              <w:rPr>
                <w:rFonts w:hint="eastAsia" w:ascii="宋体" w:hAnsi="宋体" w:eastAsia="宋体" w:cs="宋体"/>
                <w:color w:val="auto"/>
                <w:sz w:val="22"/>
                <w:szCs w:val="22"/>
                <w:highlight w:val="none"/>
                <w:lang w:val="en-US" w:eastAsia="zh-CN"/>
              </w:rPr>
              <w:t>外观</w:t>
            </w:r>
            <w:r>
              <w:rPr>
                <w:rFonts w:hint="eastAsia" w:ascii="宋体" w:hAnsi="宋体" w:eastAsia="宋体" w:cs="宋体"/>
                <w:color w:val="auto"/>
                <w:sz w:val="22"/>
                <w:szCs w:val="22"/>
                <w:highlight w:val="none"/>
              </w:rPr>
              <w:t>尺寸偏差不得超过（±5mm）。</w:t>
            </w:r>
          </w:p>
          <w:p w14:paraId="22466AE8">
            <w:pP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产品图</w:t>
            </w:r>
          </w:p>
          <w:tbl>
            <w:tblPr>
              <w:tblStyle w:val="4"/>
              <w:tblpPr w:leftFromText="180" w:rightFromText="180" w:vertAnchor="text" w:tblpXSpec="center" w:tblpY="1"/>
              <w:tblOverlap w:val="never"/>
              <w:tblW w:w="6803"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44"/>
              <w:gridCol w:w="1105"/>
              <w:gridCol w:w="5154"/>
            </w:tblGrid>
            <w:tr w14:paraId="11D959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32" w:hRule="atLeast"/>
              </w:trPr>
              <w:tc>
                <w:tcPr>
                  <w:tcW w:w="701" w:type="dxa"/>
                  <w:noWrap w:val="0"/>
                  <w:vAlign w:val="center"/>
                </w:tcPr>
                <w:p w14:paraId="73AB0051">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序号</w:t>
                  </w:r>
                </w:p>
              </w:tc>
              <w:tc>
                <w:tcPr>
                  <w:tcW w:w="1536" w:type="dxa"/>
                  <w:noWrap w:val="0"/>
                  <w:vAlign w:val="center"/>
                </w:tcPr>
                <w:p w14:paraId="73E222F2">
                  <w:pPr>
                    <w:widowControl/>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图纸名称</w:t>
                  </w:r>
                </w:p>
              </w:tc>
              <w:tc>
                <w:tcPr>
                  <w:tcW w:w="7561" w:type="dxa"/>
                  <w:noWrap w:val="0"/>
                  <w:vAlign w:val="center"/>
                </w:tcPr>
                <w:p w14:paraId="646FDAE1">
                  <w:pPr>
                    <w:widowControl/>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图纸</w:t>
                  </w:r>
                </w:p>
              </w:tc>
            </w:tr>
            <w:tr w14:paraId="4E01DA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32" w:hRule="atLeast"/>
              </w:trPr>
              <w:tc>
                <w:tcPr>
                  <w:tcW w:w="701" w:type="dxa"/>
                  <w:noWrap w:val="0"/>
                  <w:vAlign w:val="center"/>
                </w:tcPr>
                <w:p w14:paraId="026D7533">
                  <w:pPr>
                    <w:rPr>
                      <w:rFonts w:hint="eastAsia" w:ascii="宋体" w:hAnsi="宋体" w:eastAsia="宋体" w:cs="宋体"/>
                      <w:color w:val="FF0000"/>
                      <w:sz w:val="22"/>
                      <w:szCs w:val="22"/>
                      <w:highlight w:val="none"/>
                    </w:rPr>
                  </w:pPr>
                  <w:r>
                    <w:rPr>
                      <w:rFonts w:hint="eastAsia" w:ascii="宋体" w:hAnsi="宋体" w:eastAsia="宋体" w:cs="宋体"/>
                      <w:color w:val="FF0000"/>
                      <w:sz w:val="22"/>
                      <w:szCs w:val="22"/>
                      <w:highlight w:val="none"/>
                    </w:rPr>
                    <w:t>1</w:t>
                  </w:r>
                </w:p>
              </w:tc>
              <w:tc>
                <w:tcPr>
                  <w:tcW w:w="1536" w:type="dxa"/>
                  <w:noWrap w:val="0"/>
                  <w:vAlign w:val="center"/>
                </w:tcPr>
                <w:p w14:paraId="2C8D482E">
                  <w:pPr>
                    <w:rPr>
                      <w:rFonts w:hint="eastAsia" w:ascii="宋体" w:hAnsi="宋体" w:eastAsia="宋体" w:cs="宋体"/>
                      <w:color w:val="FF0000"/>
                      <w:sz w:val="22"/>
                      <w:szCs w:val="22"/>
                      <w:highlight w:val="none"/>
                      <w:lang w:val="en-US" w:eastAsia="zh-CN"/>
                    </w:rPr>
                  </w:pPr>
                  <w:r>
                    <w:rPr>
                      <w:rFonts w:hint="eastAsia" w:ascii="宋体" w:hAnsi="宋体" w:eastAsia="宋体" w:cs="宋体"/>
                      <w:color w:val="FF0000"/>
                      <w:sz w:val="22"/>
                      <w:szCs w:val="22"/>
                      <w:highlight w:val="none"/>
                    </w:rPr>
                    <w:t>整体</w:t>
                  </w:r>
                  <w:r>
                    <w:rPr>
                      <w:rFonts w:hint="eastAsia" w:ascii="宋体" w:hAnsi="宋体" w:eastAsia="宋体" w:cs="宋体"/>
                      <w:color w:val="FF0000"/>
                      <w:sz w:val="22"/>
                      <w:szCs w:val="22"/>
                      <w:highlight w:val="none"/>
                      <w:lang w:val="en-US" w:eastAsia="zh-CN"/>
                    </w:rPr>
                    <w:t>三视图</w:t>
                  </w:r>
                </w:p>
              </w:tc>
              <w:tc>
                <w:tcPr>
                  <w:tcW w:w="7561" w:type="dxa"/>
                  <w:noWrap w:val="0"/>
                  <w:vAlign w:val="top"/>
                </w:tcPr>
                <w:p w14:paraId="147AB526">
                  <w:pPr>
                    <w:rPr>
                      <w:rFonts w:hint="eastAsia" w:ascii="宋体" w:hAnsi="宋体" w:eastAsia="宋体" w:cs="宋体"/>
                      <w:color w:val="FF0000"/>
                      <w:sz w:val="22"/>
                      <w:szCs w:val="22"/>
                      <w:highlight w:val="none"/>
                    </w:rPr>
                  </w:pPr>
                  <w:r>
                    <w:rPr>
                      <w:color w:val="FF0000"/>
                    </w:rPr>
                    <w:drawing>
                      <wp:inline distT="0" distB="0" distL="114300" distR="114300">
                        <wp:extent cx="2645410" cy="2060575"/>
                        <wp:effectExtent l="0" t="0" r="2540" b="15875"/>
                        <wp:docPr id="176"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 name="图片 5"/>
                                <pic:cNvPicPr>
                                  <a:picLocks noChangeAspect="1"/>
                                </pic:cNvPicPr>
                              </pic:nvPicPr>
                              <pic:blipFill>
                                <a:blip r:embed="rId23"/>
                                <a:stretch>
                                  <a:fillRect/>
                                </a:stretch>
                              </pic:blipFill>
                              <pic:spPr>
                                <a:xfrm>
                                  <a:off x="0" y="0"/>
                                  <a:ext cx="2645410" cy="2060575"/>
                                </a:xfrm>
                                <a:prstGeom prst="rect">
                                  <a:avLst/>
                                </a:prstGeom>
                                <a:noFill/>
                                <a:ln>
                                  <a:noFill/>
                                </a:ln>
                              </pic:spPr>
                            </pic:pic>
                          </a:graphicData>
                        </a:graphic>
                      </wp:inline>
                    </w:drawing>
                  </w:r>
                </w:p>
                <w:p w14:paraId="041D9D1D">
                  <w:pPr>
                    <w:rPr>
                      <w:rFonts w:hint="eastAsia" w:ascii="宋体" w:hAnsi="宋体" w:eastAsia="宋体" w:cs="宋体"/>
                      <w:color w:val="FF0000"/>
                      <w:sz w:val="22"/>
                      <w:szCs w:val="22"/>
                      <w:highlight w:val="none"/>
                    </w:rPr>
                  </w:pPr>
                </w:p>
              </w:tc>
            </w:tr>
            <w:tr w14:paraId="7B05E1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43" w:hRule="atLeast"/>
              </w:trPr>
              <w:tc>
                <w:tcPr>
                  <w:tcW w:w="701" w:type="dxa"/>
                  <w:noWrap w:val="0"/>
                  <w:vAlign w:val="center"/>
                </w:tcPr>
                <w:p w14:paraId="2FE9E458">
                  <w:pPr>
                    <w:rPr>
                      <w:rFonts w:hint="eastAsia" w:ascii="宋体" w:hAnsi="宋体" w:eastAsia="宋体" w:cs="宋体"/>
                      <w:color w:val="FF0000"/>
                      <w:sz w:val="22"/>
                      <w:szCs w:val="22"/>
                      <w:highlight w:val="none"/>
                    </w:rPr>
                  </w:pPr>
                  <w:r>
                    <w:rPr>
                      <w:rFonts w:hint="eastAsia" w:ascii="宋体" w:hAnsi="宋体" w:eastAsia="宋体" w:cs="宋体"/>
                      <w:color w:val="FF0000"/>
                      <w:sz w:val="22"/>
                      <w:szCs w:val="22"/>
                      <w:highlight w:val="none"/>
                    </w:rPr>
                    <w:t>2</w:t>
                  </w:r>
                </w:p>
              </w:tc>
              <w:tc>
                <w:tcPr>
                  <w:tcW w:w="1536" w:type="dxa"/>
                  <w:noWrap w:val="0"/>
                  <w:vAlign w:val="center"/>
                </w:tcPr>
                <w:p w14:paraId="799778E0">
                  <w:pPr>
                    <w:rPr>
                      <w:rFonts w:hint="eastAsia" w:ascii="宋体" w:hAnsi="宋体" w:eastAsia="宋体" w:cs="宋体"/>
                      <w:color w:val="FF0000"/>
                      <w:sz w:val="22"/>
                      <w:szCs w:val="22"/>
                      <w:highlight w:val="none"/>
                      <w:lang w:val="en-US" w:eastAsia="zh-CN"/>
                    </w:rPr>
                  </w:pPr>
                  <w:r>
                    <w:rPr>
                      <w:rFonts w:hint="eastAsia" w:ascii="宋体" w:hAnsi="宋体" w:eastAsia="宋体" w:cs="宋体"/>
                      <w:color w:val="FF0000"/>
                      <w:sz w:val="22"/>
                      <w:szCs w:val="22"/>
                      <w:highlight w:val="none"/>
                    </w:rPr>
                    <w:t xml:space="preserve"> </w:t>
                  </w:r>
                  <w:r>
                    <w:rPr>
                      <w:rFonts w:hint="eastAsia" w:ascii="宋体" w:hAnsi="宋体" w:eastAsia="宋体" w:cs="宋体"/>
                      <w:color w:val="FF0000"/>
                      <w:sz w:val="22"/>
                      <w:szCs w:val="22"/>
                      <w:highlight w:val="none"/>
                      <w:lang w:val="en-US" w:eastAsia="zh-CN"/>
                    </w:rPr>
                    <w:t>框架三视图</w:t>
                  </w:r>
                </w:p>
              </w:tc>
              <w:tc>
                <w:tcPr>
                  <w:tcW w:w="7561" w:type="dxa"/>
                  <w:noWrap w:val="0"/>
                  <w:vAlign w:val="top"/>
                </w:tcPr>
                <w:p w14:paraId="50DF534E">
                  <w:pPr>
                    <w:rPr>
                      <w:rFonts w:hint="eastAsia" w:ascii="宋体" w:hAnsi="宋体" w:eastAsia="宋体" w:cs="宋体"/>
                      <w:color w:val="FF0000"/>
                      <w:sz w:val="22"/>
                      <w:szCs w:val="22"/>
                      <w:highlight w:val="none"/>
                    </w:rPr>
                  </w:pPr>
                  <w:r>
                    <w:rPr>
                      <w:rFonts w:hint="eastAsia" w:ascii="宋体" w:hAnsi="宋体" w:eastAsia="宋体" w:cs="宋体"/>
                      <w:color w:val="FF0000"/>
                      <w:sz w:val="22"/>
                      <w:szCs w:val="22"/>
                      <w:highlight w:val="none"/>
                    </w:rPr>
                    <w:t xml:space="preserve"> </w:t>
                  </w:r>
                </w:p>
                <w:p w14:paraId="37F04679">
                  <w:pPr>
                    <w:rPr>
                      <w:rFonts w:hint="eastAsia" w:ascii="宋体" w:hAnsi="宋体" w:eastAsia="宋体" w:cs="宋体"/>
                      <w:color w:val="FF0000"/>
                      <w:sz w:val="22"/>
                      <w:szCs w:val="22"/>
                      <w:highlight w:val="none"/>
                    </w:rPr>
                  </w:pPr>
                  <w:r>
                    <w:rPr>
                      <w:color w:val="FF0000"/>
                    </w:rPr>
                    <w:drawing>
                      <wp:inline distT="0" distB="0" distL="114300" distR="114300">
                        <wp:extent cx="2509520" cy="1936115"/>
                        <wp:effectExtent l="0" t="0" r="5080" b="6985"/>
                        <wp:docPr id="177"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 name="图片 6"/>
                                <pic:cNvPicPr>
                                  <a:picLocks noChangeAspect="1"/>
                                </pic:cNvPicPr>
                              </pic:nvPicPr>
                              <pic:blipFill>
                                <a:blip r:embed="rId24"/>
                                <a:stretch>
                                  <a:fillRect/>
                                </a:stretch>
                              </pic:blipFill>
                              <pic:spPr>
                                <a:xfrm>
                                  <a:off x="0" y="0"/>
                                  <a:ext cx="2509520" cy="1936115"/>
                                </a:xfrm>
                                <a:prstGeom prst="rect">
                                  <a:avLst/>
                                </a:prstGeom>
                                <a:noFill/>
                                <a:ln>
                                  <a:noFill/>
                                </a:ln>
                              </pic:spPr>
                            </pic:pic>
                          </a:graphicData>
                        </a:graphic>
                      </wp:inline>
                    </w:drawing>
                  </w:r>
                </w:p>
                <w:p w14:paraId="11D496AD">
                  <w:pPr>
                    <w:rPr>
                      <w:rFonts w:hint="eastAsia" w:ascii="宋体" w:hAnsi="宋体" w:eastAsia="宋体" w:cs="宋体"/>
                      <w:color w:val="FF0000"/>
                      <w:sz w:val="22"/>
                      <w:szCs w:val="22"/>
                      <w:highlight w:val="none"/>
                    </w:rPr>
                  </w:pPr>
                </w:p>
              </w:tc>
            </w:tr>
            <w:tr w14:paraId="047A25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21" w:hRule="atLeast"/>
              </w:trPr>
              <w:tc>
                <w:tcPr>
                  <w:tcW w:w="701" w:type="dxa"/>
                  <w:noWrap w:val="0"/>
                  <w:vAlign w:val="center"/>
                </w:tcPr>
                <w:p w14:paraId="322BFBD5">
                  <w:pPr>
                    <w:rPr>
                      <w:rFonts w:hint="eastAsia" w:ascii="宋体" w:hAnsi="宋体" w:eastAsia="宋体" w:cs="宋体"/>
                      <w:color w:val="FF0000"/>
                      <w:sz w:val="22"/>
                      <w:szCs w:val="22"/>
                      <w:highlight w:val="none"/>
                    </w:rPr>
                  </w:pPr>
                  <w:r>
                    <w:rPr>
                      <w:rFonts w:hint="eastAsia" w:ascii="宋体" w:hAnsi="宋体" w:eastAsia="宋体" w:cs="宋体"/>
                      <w:color w:val="FF0000"/>
                      <w:sz w:val="22"/>
                      <w:szCs w:val="22"/>
                      <w:highlight w:val="none"/>
                    </w:rPr>
                    <w:t>3</w:t>
                  </w:r>
                </w:p>
              </w:tc>
              <w:tc>
                <w:tcPr>
                  <w:tcW w:w="1536" w:type="dxa"/>
                  <w:noWrap w:val="0"/>
                  <w:vAlign w:val="center"/>
                </w:tcPr>
                <w:p w14:paraId="49610BF9">
                  <w:pPr>
                    <w:rPr>
                      <w:rFonts w:hint="eastAsia" w:ascii="宋体" w:hAnsi="宋体" w:eastAsia="宋体" w:cs="宋体"/>
                      <w:color w:val="FF0000"/>
                      <w:sz w:val="22"/>
                      <w:szCs w:val="22"/>
                      <w:highlight w:val="none"/>
                      <w:lang w:val="en-US" w:eastAsia="zh-CN"/>
                    </w:rPr>
                  </w:pPr>
                  <w:r>
                    <w:rPr>
                      <w:rFonts w:hint="eastAsia" w:ascii="宋体" w:hAnsi="宋体" w:eastAsia="宋体" w:cs="宋体"/>
                      <w:color w:val="FF0000"/>
                      <w:sz w:val="22"/>
                      <w:szCs w:val="22"/>
                      <w:highlight w:val="none"/>
                    </w:rPr>
                    <w:t xml:space="preserve"> </w:t>
                  </w:r>
                  <w:r>
                    <w:rPr>
                      <w:rFonts w:hint="eastAsia" w:ascii="宋体" w:hAnsi="宋体" w:eastAsia="宋体" w:cs="宋体"/>
                      <w:color w:val="FF0000"/>
                      <w:sz w:val="22"/>
                      <w:szCs w:val="22"/>
                      <w:highlight w:val="none"/>
                      <w:lang w:val="en-US" w:eastAsia="zh-CN"/>
                    </w:rPr>
                    <w:t>层板三视图</w:t>
                  </w:r>
                </w:p>
              </w:tc>
              <w:tc>
                <w:tcPr>
                  <w:tcW w:w="7561" w:type="dxa"/>
                  <w:noWrap w:val="0"/>
                  <w:vAlign w:val="top"/>
                </w:tcPr>
                <w:p w14:paraId="3DE09FD6">
                  <w:pP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 </w:t>
                  </w:r>
                  <w:r>
                    <w:drawing>
                      <wp:inline distT="0" distB="0" distL="114300" distR="114300">
                        <wp:extent cx="2648585" cy="1498600"/>
                        <wp:effectExtent l="0" t="0" r="18415" b="6350"/>
                        <wp:docPr id="167"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 name="图片 11"/>
                                <pic:cNvPicPr>
                                  <a:picLocks noChangeAspect="1"/>
                                </pic:cNvPicPr>
                              </pic:nvPicPr>
                              <pic:blipFill>
                                <a:blip r:embed="rId25"/>
                                <a:stretch>
                                  <a:fillRect/>
                                </a:stretch>
                              </pic:blipFill>
                              <pic:spPr>
                                <a:xfrm>
                                  <a:off x="0" y="0"/>
                                  <a:ext cx="2648585" cy="1498600"/>
                                </a:xfrm>
                                <a:prstGeom prst="rect">
                                  <a:avLst/>
                                </a:prstGeom>
                                <a:noFill/>
                                <a:ln>
                                  <a:noFill/>
                                </a:ln>
                              </pic:spPr>
                            </pic:pic>
                          </a:graphicData>
                        </a:graphic>
                      </wp:inline>
                    </w:drawing>
                  </w:r>
                </w:p>
              </w:tc>
            </w:tr>
            <w:tr w14:paraId="72C91B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43" w:hRule="atLeast"/>
              </w:trPr>
              <w:tc>
                <w:tcPr>
                  <w:tcW w:w="701" w:type="dxa"/>
                  <w:noWrap w:val="0"/>
                  <w:vAlign w:val="center"/>
                </w:tcPr>
                <w:p w14:paraId="0340004C">
                  <w:pPr>
                    <w:rPr>
                      <w:rFonts w:hint="eastAsia" w:ascii="宋体" w:hAnsi="宋体" w:eastAsia="宋体" w:cs="宋体"/>
                      <w:color w:val="FF0000"/>
                      <w:sz w:val="22"/>
                      <w:szCs w:val="22"/>
                      <w:highlight w:val="none"/>
                    </w:rPr>
                  </w:pPr>
                  <w:r>
                    <w:rPr>
                      <w:rFonts w:hint="eastAsia" w:ascii="宋体" w:hAnsi="宋体" w:eastAsia="宋体" w:cs="宋体"/>
                      <w:color w:val="FF0000"/>
                      <w:sz w:val="22"/>
                      <w:szCs w:val="22"/>
                      <w:highlight w:val="none"/>
                    </w:rPr>
                    <w:t>4</w:t>
                  </w:r>
                </w:p>
              </w:tc>
              <w:tc>
                <w:tcPr>
                  <w:tcW w:w="1536" w:type="dxa"/>
                  <w:noWrap w:val="0"/>
                  <w:vAlign w:val="center"/>
                </w:tcPr>
                <w:p w14:paraId="0DB31A3D">
                  <w:pPr>
                    <w:rPr>
                      <w:rFonts w:hint="eastAsia" w:ascii="宋体" w:hAnsi="宋体" w:eastAsia="宋体" w:cs="宋体"/>
                      <w:color w:val="FF0000"/>
                      <w:sz w:val="22"/>
                      <w:szCs w:val="22"/>
                      <w:highlight w:val="none"/>
                      <w:lang w:val="en-US" w:eastAsia="zh-CN"/>
                    </w:rPr>
                  </w:pPr>
                  <w:r>
                    <w:rPr>
                      <w:rFonts w:hint="eastAsia" w:ascii="宋体" w:hAnsi="宋体" w:eastAsia="宋体" w:cs="宋体"/>
                      <w:color w:val="FF0000"/>
                      <w:sz w:val="22"/>
                      <w:szCs w:val="22"/>
                      <w:highlight w:val="none"/>
                      <w:lang w:val="en-US" w:eastAsia="zh-CN"/>
                    </w:rPr>
                    <w:t>亚克力标签卡槽三视图</w:t>
                  </w:r>
                </w:p>
              </w:tc>
              <w:tc>
                <w:tcPr>
                  <w:tcW w:w="7561" w:type="dxa"/>
                  <w:noWrap w:val="0"/>
                  <w:vAlign w:val="top"/>
                </w:tcPr>
                <w:p w14:paraId="7BDA83B6">
                  <w:pPr>
                    <w:rPr>
                      <w:rFonts w:hint="eastAsia" w:ascii="宋体" w:hAnsi="宋体" w:eastAsia="宋体" w:cs="宋体"/>
                      <w:color w:val="auto"/>
                      <w:sz w:val="22"/>
                      <w:szCs w:val="22"/>
                      <w:highlight w:val="none"/>
                    </w:rPr>
                  </w:pPr>
                </w:p>
                <w:p w14:paraId="19A8F730">
                  <w:pPr>
                    <w:rPr>
                      <w:rFonts w:hint="eastAsia" w:ascii="宋体" w:hAnsi="宋体" w:eastAsia="宋体" w:cs="宋体"/>
                      <w:color w:val="auto"/>
                      <w:sz w:val="22"/>
                      <w:szCs w:val="22"/>
                      <w:highlight w:val="none"/>
                    </w:rPr>
                  </w:pPr>
                  <w:r>
                    <w:drawing>
                      <wp:inline distT="0" distB="0" distL="114300" distR="114300">
                        <wp:extent cx="2839085" cy="1842135"/>
                        <wp:effectExtent l="0" t="0" r="18415" b="5715"/>
                        <wp:docPr id="168"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 name="图片 12"/>
                                <pic:cNvPicPr>
                                  <a:picLocks noChangeAspect="1"/>
                                </pic:cNvPicPr>
                              </pic:nvPicPr>
                              <pic:blipFill>
                                <a:blip r:embed="rId26"/>
                                <a:stretch>
                                  <a:fillRect/>
                                </a:stretch>
                              </pic:blipFill>
                              <pic:spPr>
                                <a:xfrm>
                                  <a:off x="0" y="0"/>
                                  <a:ext cx="2839085" cy="1842135"/>
                                </a:xfrm>
                                <a:prstGeom prst="rect">
                                  <a:avLst/>
                                </a:prstGeom>
                                <a:noFill/>
                                <a:ln>
                                  <a:noFill/>
                                </a:ln>
                              </pic:spPr>
                            </pic:pic>
                          </a:graphicData>
                        </a:graphic>
                      </wp:inline>
                    </w:drawing>
                  </w:r>
                </w:p>
                <w:p w14:paraId="09EFE651">
                  <w:pPr>
                    <w:rPr>
                      <w:rFonts w:hint="eastAsia" w:ascii="宋体" w:hAnsi="宋体" w:eastAsia="宋体" w:cs="宋体"/>
                      <w:color w:val="auto"/>
                      <w:sz w:val="22"/>
                      <w:szCs w:val="22"/>
                      <w:highlight w:val="none"/>
                    </w:rPr>
                  </w:pPr>
                </w:p>
              </w:tc>
            </w:tr>
          </w:tbl>
          <w:p w14:paraId="294CA704">
            <w:pPr>
              <w:widowControl/>
              <w:jc w:val="left"/>
              <w:rPr>
                <w:rFonts w:hint="eastAsia" w:ascii="宋体" w:hAnsi="宋体" w:eastAsia="宋体" w:cs="宋体"/>
                <w:color w:val="auto"/>
                <w:sz w:val="22"/>
                <w:szCs w:val="22"/>
                <w:highlight w:val="none"/>
              </w:rPr>
            </w:pPr>
          </w:p>
          <w:p w14:paraId="110E9E8F">
            <w:pPr>
              <w:widowControl/>
              <w:jc w:val="left"/>
              <w:rPr>
                <w:rFonts w:hint="eastAsia" w:ascii="宋体" w:hAnsi="宋体" w:eastAsia="宋体" w:cs="宋体"/>
                <w:color w:val="auto"/>
                <w:sz w:val="22"/>
                <w:szCs w:val="22"/>
                <w:highlight w:val="none"/>
              </w:rPr>
            </w:pPr>
          </w:p>
          <w:p w14:paraId="7F6ECA20">
            <w:pPr>
              <w:rPr>
                <w:rFonts w:hint="eastAsia" w:ascii="宋体" w:hAnsi="宋体" w:eastAsia="宋体" w:cs="宋体"/>
                <w:color w:val="auto"/>
                <w:sz w:val="22"/>
                <w:szCs w:val="22"/>
                <w:highlight w:val="none"/>
              </w:rPr>
            </w:pPr>
            <w:r>
              <w:rPr>
                <w:rFonts w:hint="eastAsia" w:ascii="宋体" w:hAnsi="宋体" w:cs="宋体"/>
                <w:color w:val="auto"/>
                <w:sz w:val="22"/>
                <w:szCs w:val="22"/>
                <w:highlight w:val="none"/>
                <w:lang w:eastAsia="zh-CN"/>
              </w:rPr>
              <w:t>（</w:t>
            </w:r>
            <w:r>
              <w:rPr>
                <w:rFonts w:hint="eastAsia" w:ascii="宋体" w:hAnsi="宋体" w:cs="宋体"/>
                <w:color w:val="auto"/>
                <w:sz w:val="22"/>
                <w:szCs w:val="22"/>
                <w:highlight w:val="none"/>
                <w:lang w:val="en-US" w:eastAsia="zh-CN"/>
              </w:rPr>
              <w:t>3</w:t>
            </w:r>
            <w:r>
              <w:rPr>
                <w:rFonts w:hint="eastAsia" w:ascii="宋体" w:hAnsi="宋体" w:cs="宋体"/>
                <w:color w:val="auto"/>
                <w:sz w:val="22"/>
                <w:szCs w:val="22"/>
                <w:highlight w:val="none"/>
                <w:lang w:eastAsia="zh-CN"/>
              </w:rPr>
              <w:t>）</w:t>
            </w:r>
            <w:r>
              <w:rPr>
                <w:rFonts w:hint="eastAsia" w:ascii="宋体" w:hAnsi="宋体" w:eastAsia="宋体" w:cs="宋体"/>
                <w:color w:val="auto"/>
                <w:sz w:val="22"/>
                <w:szCs w:val="22"/>
                <w:highlight w:val="none"/>
                <w:lang w:val="zh-CN"/>
              </w:rPr>
              <w:t>办公桌</w:t>
            </w:r>
          </w:p>
          <w:p w14:paraId="0F5F681B">
            <w:pPr>
              <w:widowControl/>
              <w:jc w:val="lef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1、主要材料：所有板件采用E0级刨花板，三聚氰胺饰面纸饰面；</w:t>
            </w:r>
          </w:p>
          <w:p w14:paraId="3A6C3234">
            <w:pPr>
              <w:widowControl/>
              <w:jc w:val="lef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2、主要板材厚度：台面板厚度为25mm，侧板、背板、抽面、底板厚度为16mm；</w:t>
            </w:r>
          </w:p>
          <w:p w14:paraId="4C690478">
            <w:pPr>
              <w:widowControl/>
              <w:jc w:val="lef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3、配置：主台面+50mm*50mm门型钢脚+三抽固定柜+塑料键盘架+Φ60mm金属线盒+木制活动主机架+木制前挡板；                                                                                                                                                               4、五金配置：三节导轨、锁具、拉手、连接件等；</w:t>
            </w:r>
          </w:p>
          <w:p w14:paraId="4CA2F5F8">
            <w:pPr>
              <w:widowControl/>
              <w:jc w:val="lef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5、封边：</w:t>
            </w:r>
            <w:r>
              <w:rPr>
                <w:rFonts w:hint="eastAsia" w:ascii="宋体" w:hAnsi="宋体" w:eastAsia="宋体" w:cs="宋体"/>
                <w:color w:val="auto"/>
                <w:sz w:val="22"/>
                <w:szCs w:val="22"/>
                <w:highlight w:val="none"/>
                <w:lang w:val="en-US" w:eastAsia="zh-CN"/>
              </w:rPr>
              <w:t>台面板、抽面板</w:t>
            </w:r>
            <w:r>
              <w:rPr>
                <w:rFonts w:hint="eastAsia" w:ascii="宋体" w:hAnsi="宋体" w:eastAsia="宋体" w:cs="宋体"/>
                <w:color w:val="auto"/>
                <w:sz w:val="22"/>
                <w:szCs w:val="22"/>
                <w:highlight w:val="none"/>
              </w:rPr>
              <w:t>为2.0mm厚全自动封边，其余为1mm厚全自动封边，防水、防潮、不变色；</w:t>
            </w:r>
          </w:p>
          <w:p w14:paraId="7977F0AF">
            <w:pPr>
              <w:widowControl/>
              <w:jc w:val="lef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6、钢脚：50mm*50mm门型钢脚，壁厚≥1.5mm，表面采用抑菌防霉粉末静电喷涂处理，涂层膜厚度均匀，内外一致，抑菌、防霉、耐酸碱、耐磨、耐撞击，抗腐蚀力强。</w:t>
            </w:r>
          </w:p>
          <w:p w14:paraId="1303463E">
            <w:pPr>
              <w:widowControl/>
              <w:jc w:val="lef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大样：按要求的材质参数尺寸、结构工艺、外观造型提供：</w:t>
            </w:r>
            <w:r>
              <w:rPr>
                <w:rFonts w:hint="eastAsia" w:ascii="宋体" w:hAnsi="宋体" w:eastAsia="宋体" w:cs="宋体"/>
                <w:color w:val="auto"/>
                <w:sz w:val="22"/>
                <w:szCs w:val="22"/>
                <w:highlight w:val="none"/>
                <w:lang w:val="zh-CN"/>
              </w:rPr>
              <w:t>办公桌</w:t>
            </w:r>
            <w:r>
              <w:rPr>
                <w:rFonts w:hint="eastAsia" w:ascii="宋体" w:hAnsi="宋体" w:eastAsia="宋体" w:cs="宋体"/>
                <w:color w:val="auto"/>
                <w:sz w:val="22"/>
                <w:szCs w:val="22"/>
                <w:highlight w:val="none"/>
              </w:rPr>
              <w:t>一张，产品外观尺寸偏差不得超过（±5mm），部件</w:t>
            </w:r>
            <w:r>
              <w:rPr>
                <w:rFonts w:hint="eastAsia" w:ascii="宋体" w:hAnsi="宋体" w:eastAsia="宋体" w:cs="宋体"/>
                <w:color w:val="auto"/>
                <w:sz w:val="22"/>
                <w:szCs w:val="22"/>
                <w:highlight w:val="none"/>
                <w:lang w:val="en-US" w:eastAsia="zh-CN"/>
              </w:rPr>
              <w:t>外观</w:t>
            </w:r>
            <w:r>
              <w:rPr>
                <w:rFonts w:hint="eastAsia" w:ascii="宋体" w:hAnsi="宋体" w:eastAsia="宋体" w:cs="宋体"/>
                <w:color w:val="auto"/>
                <w:sz w:val="22"/>
                <w:szCs w:val="22"/>
                <w:highlight w:val="none"/>
              </w:rPr>
              <w:t>尺寸偏差不得超过（±5mm）。</w:t>
            </w:r>
          </w:p>
          <w:p w14:paraId="21DB1AFE">
            <w:pPr>
              <w:widowControl/>
              <w:jc w:val="lef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产品图</w:t>
            </w:r>
          </w:p>
          <w:tbl>
            <w:tblPr>
              <w:tblStyle w:val="4"/>
              <w:tblpPr w:leftFromText="180" w:rightFromText="180" w:vertAnchor="text" w:tblpXSpec="center" w:tblpY="1"/>
              <w:tblOverlap w:val="never"/>
              <w:tblW w:w="6803"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37"/>
              <w:gridCol w:w="1070"/>
              <w:gridCol w:w="5196"/>
            </w:tblGrid>
            <w:tr w14:paraId="5A8AA3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5" w:hRule="atLeast"/>
              </w:trPr>
              <w:tc>
                <w:tcPr>
                  <w:tcW w:w="682" w:type="dxa"/>
                  <w:noWrap w:val="0"/>
                  <w:vAlign w:val="center"/>
                </w:tcPr>
                <w:p w14:paraId="0AE47D46">
                  <w:pPr>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序号</w:t>
                  </w:r>
                </w:p>
              </w:tc>
              <w:tc>
                <w:tcPr>
                  <w:tcW w:w="1460" w:type="dxa"/>
                  <w:noWrap w:val="0"/>
                  <w:vAlign w:val="center"/>
                </w:tcPr>
                <w:p w14:paraId="00FDC602">
                  <w:pPr>
                    <w:widowControl/>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图纸名称</w:t>
                  </w:r>
                </w:p>
              </w:tc>
              <w:tc>
                <w:tcPr>
                  <w:tcW w:w="7487" w:type="dxa"/>
                  <w:noWrap w:val="0"/>
                  <w:vAlign w:val="center"/>
                </w:tcPr>
                <w:p w14:paraId="327FCA8E">
                  <w:pPr>
                    <w:widowControl/>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图纸</w:t>
                  </w:r>
                </w:p>
              </w:tc>
            </w:tr>
            <w:tr w14:paraId="7839BD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5" w:hRule="atLeast"/>
              </w:trPr>
              <w:tc>
                <w:tcPr>
                  <w:tcW w:w="682" w:type="dxa"/>
                  <w:noWrap w:val="0"/>
                  <w:vAlign w:val="center"/>
                </w:tcPr>
                <w:p w14:paraId="6FA9D287">
                  <w:pPr>
                    <w:jc w:val="center"/>
                    <w:rPr>
                      <w:rFonts w:hint="eastAsia" w:ascii="宋体" w:hAnsi="宋体" w:eastAsia="宋体" w:cs="宋体"/>
                      <w:color w:val="FF0000"/>
                      <w:sz w:val="22"/>
                      <w:szCs w:val="22"/>
                      <w:highlight w:val="none"/>
                    </w:rPr>
                  </w:pPr>
                  <w:r>
                    <w:rPr>
                      <w:rFonts w:hint="eastAsia" w:ascii="宋体" w:hAnsi="宋体" w:eastAsia="宋体" w:cs="宋体"/>
                      <w:color w:val="FF0000"/>
                      <w:sz w:val="22"/>
                      <w:szCs w:val="22"/>
                      <w:highlight w:val="none"/>
                    </w:rPr>
                    <w:t>1</w:t>
                  </w:r>
                </w:p>
              </w:tc>
              <w:tc>
                <w:tcPr>
                  <w:tcW w:w="1460" w:type="dxa"/>
                  <w:noWrap w:val="0"/>
                  <w:vAlign w:val="center"/>
                </w:tcPr>
                <w:p w14:paraId="6C37A406">
                  <w:pPr>
                    <w:jc w:val="center"/>
                    <w:rPr>
                      <w:rFonts w:hint="eastAsia" w:ascii="宋体" w:hAnsi="宋体" w:eastAsia="宋体" w:cs="宋体"/>
                      <w:color w:val="FF0000"/>
                      <w:sz w:val="22"/>
                      <w:szCs w:val="22"/>
                      <w:highlight w:val="none"/>
                      <w:lang w:val="en-US" w:eastAsia="zh-CN"/>
                    </w:rPr>
                  </w:pPr>
                  <w:r>
                    <w:rPr>
                      <w:rFonts w:hint="eastAsia" w:ascii="宋体" w:hAnsi="宋体" w:eastAsia="宋体" w:cs="宋体"/>
                      <w:color w:val="FF0000"/>
                      <w:sz w:val="22"/>
                      <w:szCs w:val="22"/>
                      <w:highlight w:val="none"/>
                    </w:rPr>
                    <w:t>整体</w:t>
                  </w:r>
                  <w:r>
                    <w:rPr>
                      <w:rFonts w:hint="eastAsia" w:ascii="宋体" w:hAnsi="宋体" w:eastAsia="宋体" w:cs="宋体"/>
                      <w:color w:val="FF0000"/>
                      <w:sz w:val="22"/>
                      <w:szCs w:val="22"/>
                      <w:highlight w:val="none"/>
                      <w:lang w:val="en-US" w:eastAsia="zh-CN"/>
                    </w:rPr>
                    <w:t>三视图</w:t>
                  </w:r>
                </w:p>
              </w:tc>
              <w:tc>
                <w:tcPr>
                  <w:tcW w:w="7487" w:type="dxa"/>
                  <w:noWrap w:val="0"/>
                  <w:vAlign w:val="top"/>
                </w:tcPr>
                <w:p w14:paraId="66E478AA">
                  <w:pPr>
                    <w:jc w:val="center"/>
                    <w:rPr>
                      <w:rFonts w:hint="eastAsia" w:ascii="宋体" w:hAnsi="宋体" w:eastAsia="宋体" w:cs="宋体"/>
                      <w:color w:val="FF0000"/>
                      <w:sz w:val="22"/>
                      <w:szCs w:val="22"/>
                      <w:highlight w:val="none"/>
                    </w:rPr>
                  </w:pPr>
                </w:p>
                <w:p w14:paraId="15764F09">
                  <w:pPr>
                    <w:jc w:val="center"/>
                    <w:rPr>
                      <w:rFonts w:hint="eastAsia" w:ascii="宋体" w:hAnsi="宋体" w:eastAsia="宋体" w:cs="宋体"/>
                      <w:color w:val="FF0000"/>
                      <w:sz w:val="22"/>
                      <w:szCs w:val="22"/>
                      <w:highlight w:val="none"/>
                    </w:rPr>
                  </w:pPr>
                  <w:r>
                    <w:rPr>
                      <w:color w:val="FF0000"/>
                    </w:rPr>
                    <w:drawing>
                      <wp:inline distT="0" distB="0" distL="114300" distR="114300">
                        <wp:extent cx="2731770" cy="1813560"/>
                        <wp:effectExtent l="0" t="0" r="11430" b="15240"/>
                        <wp:docPr id="180"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 name="图片 21"/>
                                <pic:cNvPicPr>
                                  <a:picLocks noChangeAspect="1"/>
                                </pic:cNvPicPr>
                              </pic:nvPicPr>
                              <pic:blipFill>
                                <a:blip r:embed="rId27"/>
                                <a:stretch>
                                  <a:fillRect/>
                                </a:stretch>
                              </pic:blipFill>
                              <pic:spPr>
                                <a:xfrm>
                                  <a:off x="0" y="0"/>
                                  <a:ext cx="2731770" cy="1813560"/>
                                </a:xfrm>
                                <a:prstGeom prst="rect">
                                  <a:avLst/>
                                </a:prstGeom>
                                <a:noFill/>
                                <a:ln>
                                  <a:noFill/>
                                </a:ln>
                              </pic:spPr>
                            </pic:pic>
                          </a:graphicData>
                        </a:graphic>
                      </wp:inline>
                    </w:drawing>
                  </w:r>
                </w:p>
              </w:tc>
            </w:tr>
            <w:tr w14:paraId="06E844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2" w:hRule="atLeast"/>
              </w:trPr>
              <w:tc>
                <w:tcPr>
                  <w:tcW w:w="682" w:type="dxa"/>
                  <w:noWrap w:val="0"/>
                  <w:vAlign w:val="center"/>
                </w:tcPr>
                <w:p w14:paraId="53B7C655">
                  <w:pPr>
                    <w:jc w:val="center"/>
                    <w:rPr>
                      <w:rFonts w:hint="eastAsia" w:ascii="宋体" w:hAnsi="宋体" w:eastAsia="宋体" w:cs="宋体"/>
                      <w:color w:val="FF0000"/>
                      <w:sz w:val="22"/>
                      <w:szCs w:val="22"/>
                      <w:highlight w:val="none"/>
                      <w:lang w:eastAsia="zh-CN"/>
                    </w:rPr>
                  </w:pPr>
                  <w:r>
                    <w:rPr>
                      <w:rFonts w:hint="eastAsia" w:ascii="宋体" w:hAnsi="宋体" w:eastAsia="宋体" w:cs="宋体"/>
                      <w:color w:val="FF0000"/>
                      <w:sz w:val="22"/>
                      <w:szCs w:val="22"/>
                      <w:highlight w:val="none"/>
                      <w:lang w:val="en-US" w:eastAsia="zh-CN"/>
                    </w:rPr>
                    <w:t>2</w:t>
                  </w:r>
                </w:p>
              </w:tc>
              <w:tc>
                <w:tcPr>
                  <w:tcW w:w="1460" w:type="dxa"/>
                  <w:noWrap w:val="0"/>
                  <w:vAlign w:val="center"/>
                </w:tcPr>
                <w:p w14:paraId="0CB9B2F7">
                  <w:pPr>
                    <w:jc w:val="center"/>
                    <w:rPr>
                      <w:rFonts w:hint="eastAsia" w:ascii="宋体" w:hAnsi="宋体" w:eastAsia="宋体" w:cs="宋体"/>
                      <w:color w:val="FF0000"/>
                      <w:sz w:val="22"/>
                      <w:szCs w:val="22"/>
                      <w:highlight w:val="none"/>
                      <w:lang w:val="en-US" w:eastAsia="zh-CN"/>
                    </w:rPr>
                  </w:pPr>
                  <w:r>
                    <w:rPr>
                      <w:rFonts w:hint="eastAsia" w:ascii="宋体" w:hAnsi="宋体" w:eastAsia="宋体" w:cs="宋体"/>
                      <w:color w:val="FF0000"/>
                      <w:sz w:val="22"/>
                      <w:szCs w:val="22"/>
                      <w:highlight w:val="none"/>
                      <w:lang w:val="en-US" w:eastAsia="zh-CN"/>
                    </w:rPr>
                    <w:t>门型钢脚三视图</w:t>
                  </w:r>
                </w:p>
              </w:tc>
              <w:tc>
                <w:tcPr>
                  <w:tcW w:w="7487" w:type="dxa"/>
                  <w:noWrap w:val="0"/>
                  <w:vAlign w:val="top"/>
                </w:tcPr>
                <w:p w14:paraId="5CDC3E60">
                  <w:pPr>
                    <w:jc w:val="center"/>
                    <w:rPr>
                      <w:rFonts w:hint="eastAsia" w:ascii="宋体" w:hAnsi="宋体" w:eastAsia="宋体" w:cs="宋体"/>
                      <w:color w:val="FF0000"/>
                      <w:sz w:val="22"/>
                      <w:szCs w:val="22"/>
                      <w:highlight w:val="none"/>
                    </w:rPr>
                  </w:pPr>
                  <w:r>
                    <w:rPr>
                      <w:color w:val="FF0000"/>
                    </w:rPr>
                    <w:drawing>
                      <wp:inline distT="0" distB="0" distL="114300" distR="114300">
                        <wp:extent cx="1708150" cy="1905635"/>
                        <wp:effectExtent l="0" t="0" r="6350" b="18415"/>
                        <wp:docPr id="179"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 name="图片 20"/>
                                <pic:cNvPicPr>
                                  <a:picLocks noChangeAspect="1"/>
                                </pic:cNvPicPr>
                              </pic:nvPicPr>
                              <pic:blipFill>
                                <a:blip r:embed="rId28"/>
                                <a:stretch>
                                  <a:fillRect/>
                                </a:stretch>
                              </pic:blipFill>
                              <pic:spPr>
                                <a:xfrm>
                                  <a:off x="0" y="0"/>
                                  <a:ext cx="1708150" cy="1905635"/>
                                </a:xfrm>
                                <a:prstGeom prst="rect">
                                  <a:avLst/>
                                </a:prstGeom>
                                <a:noFill/>
                                <a:ln>
                                  <a:noFill/>
                                </a:ln>
                              </pic:spPr>
                            </pic:pic>
                          </a:graphicData>
                        </a:graphic>
                      </wp:inline>
                    </w:drawing>
                  </w:r>
                </w:p>
              </w:tc>
            </w:tr>
          </w:tbl>
          <w:p w14:paraId="38ADE353">
            <w:pPr>
              <w:widowControl/>
              <w:jc w:val="left"/>
              <w:rPr>
                <w:rFonts w:hint="eastAsia" w:ascii="宋体" w:hAnsi="宋体" w:eastAsia="宋体" w:cs="宋体"/>
                <w:color w:val="auto"/>
                <w:sz w:val="22"/>
                <w:szCs w:val="22"/>
                <w:highlight w:val="none"/>
                <w:lang w:val="en-US" w:eastAsia="zh-CN"/>
              </w:rPr>
            </w:pPr>
          </w:p>
          <w:p w14:paraId="1FBBEE36">
            <w:pPr>
              <w:widowControl/>
              <w:jc w:val="left"/>
              <w:rPr>
                <w:rFonts w:hint="eastAsia" w:ascii="宋体" w:hAnsi="宋体" w:eastAsia="宋体" w:cs="宋体"/>
                <w:color w:val="auto"/>
                <w:sz w:val="22"/>
                <w:szCs w:val="22"/>
                <w:highlight w:val="none"/>
                <w:lang w:val="en-US" w:eastAsia="zh-CN"/>
              </w:rPr>
            </w:pPr>
            <w:r>
              <w:rPr>
                <w:rFonts w:hint="eastAsia" w:ascii="宋体" w:hAnsi="宋体" w:cs="宋体"/>
                <w:color w:val="auto"/>
                <w:sz w:val="22"/>
                <w:szCs w:val="22"/>
                <w:highlight w:val="none"/>
                <w:lang w:val="en-US" w:eastAsia="zh-CN"/>
              </w:rPr>
              <w:t>（4）</w:t>
            </w:r>
            <w:r>
              <w:rPr>
                <w:rFonts w:hint="eastAsia" w:ascii="宋体" w:hAnsi="宋体" w:eastAsia="宋体" w:cs="宋体"/>
                <w:color w:val="auto"/>
                <w:sz w:val="22"/>
                <w:szCs w:val="22"/>
                <w:highlight w:val="none"/>
                <w:lang w:val="en-US" w:eastAsia="zh-CN"/>
              </w:rPr>
              <w:t>办公椅</w:t>
            </w:r>
          </w:p>
          <w:p w14:paraId="3DDA9BC1">
            <w:pPr>
              <w:widowControl/>
              <w:jc w:val="left"/>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1、椅背：采用抑菌级高弹性网布，高强度PP加30%玻纤材料椅背，长期使用不变形；</w:t>
            </w:r>
          </w:p>
          <w:p w14:paraId="6B149027">
            <w:pPr>
              <w:widowControl/>
              <w:jc w:val="left"/>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2、坐垫：采用防油污，防水，防磨损及抗尘埃3M防污处理和不助燃处理，阻燃PU定型海绵，搭载加厚承重底塑壳，无木板、无胶水、不打钉、环保、绿色健康；</w:t>
            </w:r>
          </w:p>
          <w:p w14:paraId="0F7A1DC6">
            <w:pPr>
              <w:widowControl/>
              <w:jc w:val="left"/>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3、扶手：采用PP防滑臂托扶手；</w:t>
            </w:r>
          </w:p>
          <w:p w14:paraId="2BCEDF40">
            <w:pPr>
              <w:widowControl/>
              <w:jc w:val="left"/>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4、底盘：采用塑钢结构，精密准确，承受力大，并保持恒久，不变形，可追背倾仰；2段倾仰锁定并具有防撞功能、可原位以及倾仰锁定椅背，更人性化设计；</w:t>
            </w:r>
          </w:p>
          <w:p w14:paraId="6407B4AE">
            <w:pPr>
              <w:widowControl/>
              <w:jc w:val="left"/>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5、弓形脚：采用≥2.0mm壁厚钢管，管径≥28mm，表面采用抑菌防霉粉末静电喷涂处理，涂层膜厚度均匀，内外一致，抑菌、防霉、耐酸碱、耐磨、耐撞击，抗腐蚀力强。</w:t>
            </w:r>
          </w:p>
          <w:p w14:paraId="7BC53F11">
            <w:pPr>
              <w:widowControl/>
              <w:jc w:val="left"/>
              <w:rPr>
                <w:rFonts w:hint="eastAsia" w:ascii="宋体" w:hAnsi="宋体" w:eastAsia="宋体" w:cs="宋体"/>
                <w:color w:val="C00000"/>
                <w:sz w:val="22"/>
                <w:szCs w:val="22"/>
                <w:highlight w:val="none"/>
                <w:lang w:val="en-US" w:eastAsia="zh-CN"/>
              </w:rPr>
            </w:pPr>
            <w:r>
              <w:rPr>
                <w:rFonts w:hint="eastAsia" w:ascii="宋体" w:hAnsi="宋体" w:eastAsia="宋体" w:cs="宋体"/>
                <w:color w:val="C00000"/>
                <w:sz w:val="22"/>
                <w:szCs w:val="22"/>
                <w:highlight w:val="none"/>
                <w:lang w:val="en-US" w:eastAsia="zh-CN"/>
              </w:rPr>
              <w:t>大样：根据参数和产品图提供办公椅一张。</w:t>
            </w:r>
          </w:p>
          <w:p w14:paraId="50A09558">
            <w:pPr>
              <w:widowControl/>
              <w:jc w:val="left"/>
              <w:rPr>
                <w:rFonts w:hint="eastAsia" w:ascii="宋体" w:hAnsi="宋体" w:eastAsia="宋体" w:cs="宋体"/>
                <w:color w:val="auto"/>
                <w:sz w:val="22"/>
                <w:szCs w:val="22"/>
                <w:highlight w:val="none"/>
                <w:lang w:val="en-US" w:eastAsia="zh-CN"/>
              </w:rPr>
            </w:pPr>
          </w:p>
          <w:p w14:paraId="07EEA406">
            <w:pPr>
              <w:widowControl/>
              <w:jc w:val="lef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产品图</w:t>
            </w:r>
          </w:p>
          <w:tbl>
            <w:tblPr>
              <w:tblStyle w:val="4"/>
              <w:tblpPr w:leftFromText="180" w:rightFromText="180" w:vertAnchor="text" w:tblpXSpec="center" w:tblpY="1"/>
              <w:tblOverlap w:val="never"/>
              <w:tblW w:w="6803"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80"/>
              <w:gridCol w:w="822"/>
              <w:gridCol w:w="5301"/>
            </w:tblGrid>
            <w:tr w14:paraId="6E670F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80" w:type="dxa"/>
                  <w:noWrap w:val="0"/>
                  <w:vAlign w:val="center"/>
                </w:tcPr>
                <w:p w14:paraId="631E363C">
                  <w:pPr>
                    <w:widowControl/>
                    <w:jc w:val="center"/>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序号</w:t>
                  </w:r>
                </w:p>
              </w:tc>
              <w:tc>
                <w:tcPr>
                  <w:tcW w:w="822" w:type="dxa"/>
                  <w:noWrap w:val="0"/>
                  <w:vAlign w:val="center"/>
                </w:tcPr>
                <w:p w14:paraId="69DD5885">
                  <w:pPr>
                    <w:widowControl/>
                    <w:jc w:val="center"/>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图纸名称</w:t>
                  </w:r>
                </w:p>
              </w:tc>
              <w:tc>
                <w:tcPr>
                  <w:tcW w:w="5301" w:type="dxa"/>
                  <w:noWrap w:val="0"/>
                  <w:vAlign w:val="center"/>
                </w:tcPr>
                <w:p w14:paraId="52129D51">
                  <w:pPr>
                    <w:widowControl/>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图纸</w:t>
                  </w:r>
                </w:p>
              </w:tc>
            </w:tr>
            <w:tr w14:paraId="3FFB5F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103" w:hRule="atLeast"/>
              </w:trPr>
              <w:tc>
                <w:tcPr>
                  <w:tcW w:w="680" w:type="dxa"/>
                  <w:noWrap w:val="0"/>
                  <w:vAlign w:val="center"/>
                </w:tcPr>
                <w:p w14:paraId="10A1366A">
                  <w:pPr>
                    <w:widowControl/>
                    <w:jc w:val="center"/>
                    <w:rPr>
                      <w:rFonts w:hint="eastAsia" w:ascii="宋体" w:hAnsi="宋体" w:eastAsia="宋体" w:cs="宋体"/>
                      <w:color w:val="FF0000"/>
                      <w:sz w:val="22"/>
                      <w:szCs w:val="22"/>
                      <w:highlight w:val="none"/>
                    </w:rPr>
                  </w:pPr>
                  <w:r>
                    <w:rPr>
                      <w:rFonts w:hint="eastAsia" w:ascii="宋体" w:hAnsi="宋体" w:eastAsia="宋体" w:cs="宋体"/>
                      <w:color w:val="FF0000"/>
                      <w:sz w:val="22"/>
                      <w:szCs w:val="22"/>
                      <w:highlight w:val="none"/>
                    </w:rPr>
                    <w:t>1</w:t>
                  </w:r>
                </w:p>
              </w:tc>
              <w:tc>
                <w:tcPr>
                  <w:tcW w:w="822" w:type="dxa"/>
                  <w:noWrap w:val="0"/>
                  <w:vAlign w:val="center"/>
                </w:tcPr>
                <w:p w14:paraId="3102E31D">
                  <w:pPr>
                    <w:widowControl/>
                    <w:jc w:val="center"/>
                    <w:rPr>
                      <w:rFonts w:hint="eastAsia" w:ascii="宋体" w:hAnsi="宋体" w:eastAsia="宋体" w:cs="宋体"/>
                      <w:color w:val="FF0000"/>
                      <w:sz w:val="22"/>
                      <w:szCs w:val="22"/>
                      <w:highlight w:val="none"/>
                      <w:lang w:val="en-US" w:eastAsia="zh-CN"/>
                    </w:rPr>
                  </w:pPr>
                  <w:r>
                    <w:rPr>
                      <w:rFonts w:hint="eastAsia" w:ascii="宋体" w:hAnsi="宋体" w:eastAsia="宋体" w:cs="宋体"/>
                      <w:color w:val="FF0000"/>
                      <w:sz w:val="22"/>
                      <w:szCs w:val="22"/>
                      <w:highlight w:val="none"/>
                      <w:lang w:val="en-US" w:eastAsia="zh-CN"/>
                    </w:rPr>
                    <w:t>整体三视图</w:t>
                  </w:r>
                </w:p>
              </w:tc>
              <w:tc>
                <w:tcPr>
                  <w:tcW w:w="5301" w:type="dxa"/>
                  <w:noWrap w:val="0"/>
                  <w:vAlign w:val="top"/>
                </w:tcPr>
                <w:p w14:paraId="17C8F8EB">
                  <w:pPr>
                    <w:widowControl/>
                    <w:jc w:val="center"/>
                    <w:rPr>
                      <w:rFonts w:hint="eastAsia" w:ascii="宋体" w:hAnsi="宋体" w:eastAsia="宋体" w:cs="宋体"/>
                      <w:color w:val="FF0000"/>
                      <w:sz w:val="22"/>
                      <w:szCs w:val="22"/>
                      <w:highlight w:val="none"/>
                    </w:rPr>
                  </w:pPr>
                  <w:r>
                    <w:rPr>
                      <w:color w:val="FF0000"/>
                    </w:rPr>
                    <w:drawing>
                      <wp:inline distT="0" distB="0" distL="114300" distR="114300">
                        <wp:extent cx="1661160" cy="1065530"/>
                        <wp:effectExtent l="0" t="0" r="15240" b="1270"/>
                        <wp:docPr id="181"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 name="图片 22"/>
                                <pic:cNvPicPr>
                                  <a:picLocks noChangeAspect="1"/>
                                </pic:cNvPicPr>
                              </pic:nvPicPr>
                              <pic:blipFill>
                                <a:blip r:embed="rId29"/>
                                <a:stretch>
                                  <a:fillRect/>
                                </a:stretch>
                              </pic:blipFill>
                              <pic:spPr>
                                <a:xfrm>
                                  <a:off x="0" y="0"/>
                                  <a:ext cx="1661160" cy="1065530"/>
                                </a:xfrm>
                                <a:prstGeom prst="rect">
                                  <a:avLst/>
                                </a:prstGeom>
                                <a:noFill/>
                                <a:ln>
                                  <a:noFill/>
                                </a:ln>
                              </pic:spPr>
                            </pic:pic>
                          </a:graphicData>
                        </a:graphic>
                      </wp:inline>
                    </w:drawing>
                  </w:r>
                  <w:r>
                    <w:rPr>
                      <w:color w:val="FF0000"/>
                    </w:rPr>
                    <w:drawing>
                      <wp:inline distT="0" distB="0" distL="114300" distR="114300">
                        <wp:extent cx="977900" cy="968375"/>
                        <wp:effectExtent l="0" t="0" r="12700" b="3175"/>
                        <wp:docPr id="182"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 name="图片 23"/>
                                <pic:cNvPicPr>
                                  <a:picLocks noChangeAspect="1"/>
                                </pic:cNvPicPr>
                              </pic:nvPicPr>
                              <pic:blipFill>
                                <a:blip r:embed="rId30"/>
                                <a:stretch>
                                  <a:fillRect/>
                                </a:stretch>
                              </pic:blipFill>
                              <pic:spPr>
                                <a:xfrm>
                                  <a:off x="0" y="0"/>
                                  <a:ext cx="977900" cy="968375"/>
                                </a:xfrm>
                                <a:prstGeom prst="rect">
                                  <a:avLst/>
                                </a:prstGeom>
                                <a:noFill/>
                                <a:ln>
                                  <a:noFill/>
                                </a:ln>
                              </pic:spPr>
                            </pic:pic>
                          </a:graphicData>
                        </a:graphic>
                      </wp:inline>
                    </w:drawing>
                  </w:r>
                </w:p>
              </w:tc>
            </w:tr>
            <w:tr w14:paraId="1E82EE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80" w:type="dxa"/>
                  <w:noWrap w:val="0"/>
                  <w:vAlign w:val="center"/>
                </w:tcPr>
                <w:p w14:paraId="22A9CE2A">
                  <w:pPr>
                    <w:widowControl/>
                    <w:jc w:val="center"/>
                    <w:rPr>
                      <w:rFonts w:hint="eastAsia" w:ascii="宋体" w:hAnsi="宋体" w:eastAsia="宋体" w:cs="宋体"/>
                      <w:color w:val="FF0000"/>
                      <w:sz w:val="22"/>
                      <w:szCs w:val="22"/>
                      <w:highlight w:val="none"/>
                      <w:lang w:eastAsia="zh-CN"/>
                    </w:rPr>
                  </w:pPr>
                  <w:r>
                    <w:rPr>
                      <w:rFonts w:hint="eastAsia" w:ascii="宋体" w:hAnsi="宋体" w:eastAsia="宋体" w:cs="宋体"/>
                      <w:color w:val="FF0000"/>
                      <w:sz w:val="22"/>
                      <w:szCs w:val="22"/>
                      <w:highlight w:val="none"/>
                      <w:lang w:val="en-US" w:eastAsia="zh-CN"/>
                    </w:rPr>
                    <w:t>2</w:t>
                  </w:r>
                </w:p>
              </w:tc>
              <w:tc>
                <w:tcPr>
                  <w:tcW w:w="822" w:type="dxa"/>
                  <w:noWrap w:val="0"/>
                  <w:vAlign w:val="center"/>
                </w:tcPr>
                <w:p w14:paraId="45C28ADE">
                  <w:pPr>
                    <w:widowControl/>
                    <w:jc w:val="center"/>
                    <w:rPr>
                      <w:rFonts w:hint="default" w:ascii="宋体" w:hAnsi="宋体" w:eastAsia="宋体" w:cs="宋体"/>
                      <w:color w:val="FF0000"/>
                      <w:sz w:val="22"/>
                      <w:szCs w:val="22"/>
                      <w:highlight w:val="none"/>
                      <w:lang w:val="en-US" w:eastAsia="zh-CN"/>
                    </w:rPr>
                  </w:pPr>
                  <w:r>
                    <w:rPr>
                      <w:rFonts w:hint="eastAsia" w:ascii="宋体" w:hAnsi="宋体" w:eastAsia="宋体" w:cs="宋体"/>
                      <w:color w:val="FF0000"/>
                      <w:sz w:val="22"/>
                      <w:szCs w:val="22"/>
                      <w:highlight w:val="none"/>
                      <w:lang w:val="en-US" w:eastAsia="zh-CN"/>
                    </w:rPr>
                    <w:t>椅背三视图</w:t>
                  </w:r>
                </w:p>
              </w:tc>
              <w:tc>
                <w:tcPr>
                  <w:tcW w:w="5301" w:type="dxa"/>
                  <w:noWrap w:val="0"/>
                  <w:vAlign w:val="top"/>
                </w:tcPr>
                <w:p w14:paraId="796BDC79">
                  <w:pPr>
                    <w:widowControl/>
                    <w:jc w:val="center"/>
                    <w:rPr>
                      <w:rFonts w:hint="eastAsia" w:ascii="宋体" w:hAnsi="宋体" w:eastAsia="宋体" w:cs="宋体"/>
                      <w:color w:val="FF0000"/>
                      <w:sz w:val="22"/>
                      <w:szCs w:val="22"/>
                      <w:highlight w:val="none"/>
                    </w:rPr>
                  </w:pPr>
                </w:p>
                <w:p w14:paraId="5B85474F">
                  <w:pPr>
                    <w:widowControl/>
                    <w:jc w:val="center"/>
                    <w:rPr>
                      <w:rFonts w:hint="eastAsia" w:ascii="宋体" w:hAnsi="宋体" w:eastAsia="宋体" w:cs="宋体"/>
                      <w:color w:val="FF0000"/>
                      <w:sz w:val="22"/>
                      <w:szCs w:val="22"/>
                      <w:highlight w:val="none"/>
                    </w:rPr>
                  </w:pPr>
                  <w:r>
                    <w:rPr>
                      <w:color w:val="FF0000"/>
                    </w:rPr>
                    <w:drawing>
                      <wp:inline distT="0" distB="0" distL="114300" distR="114300">
                        <wp:extent cx="1181735" cy="1478280"/>
                        <wp:effectExtent l="0" t="0" r="18415" b="7620"/>
                        <wp:docPr id="183"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 name="图片 24"/>
                                <pic:cNvPicPr>
                                  <a:picLocks noChangeAspect="1"/>
                                </pic:cNvPicPr>
                              </pic:nvPicPr>
                              <pic:blipFill>
                                <a:blip r:embed="rId31"/>
                                <a:stretch>
                                  <a:fillRect/>
                                </a:stretch>
                              </pic:blipFill>
                              <pic:spPr>
                                <a:xfrm>
                                  <a:off x="0" y="0"/>
                                  <a:ext cx="1181735" cy="1478280"/>
                                </a:xfrm>
                                <a:prstGeom prst="rect">
                                  <a:avLst/>
                                </a:prstGeom>
                                <a:noFill/>
                                <a:ln>
                                  <a:noFill/>
                                </a:ln>
                              </pic:spPr>
                            </pic:pic>
                          </a:graphicData>
                        </a:graphic>
                      </wp:inline>
                    </w:drawing>
                  </w:r>
                </w:p>
              </w:tc>
            </w:tr>
            <w:tr w14:paraId="1A1990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80" w:type="dxa"/>
                  <w:noWrap w:val="0"/>
                  <w:vAlign w:val="center"/>
                </w:tcPr>
                <w:p w14:paraId="3A9C9AA8">
                  <w:pPr>
                    <w:widowControl/>
                    <w:jc w:val="center"/>
                    <w:rPr>
                      <w:rFonts w:hint="eastAsia" w:ascii="宋体" w:hAnsi="宋体" w:eastAsia="宋体" w:cs="宋体"/>
                      <w:color w:val="FF0000"/>
                      <w:sz w:val="22"/>
                      <w:szCs w:val="22"/>
                      <w:highlight w:val="none"/>
                      <w:lang w:val="en-US" w:eastAsia="zh-CN"/>
                    </w:rPr>
                  </w:pPr>
                  <w:r>
                    <w:rPr>
                      <w:rFonts w:hint="eastAsia" w:ascii="宋体" w:hAnsi="宋体" w:eastAsia="宋体" w:cs="宋体"/>
                      <w:color w:val="FF0000"/>
                      <w:sz w:val="22"/>
                      <w:szCs w:val="22"/>
                      <w:highlight w:val="none"/>
                      <w:lang w:val="en-US" w:eastAsia="zh-CN"/>
                    </w:rPr>
                    <w:t>3</w:t>
                  </w:r>
                </w:p>
              </w:tc>
              <w:tc>
                <w:tcPr>
                  <w:tcW w:w="822" w:type="dxa"/>
                  <w:noWrap w:val="0"/>
                  <w:vAlign w:val="center"/>
                </w:tcPr>
                <w:p w14:paraId="2C4422F0">
                  <w:pPr>
                    <w:widowControl/>
                    <w:jc w:val="center"/>
                    <w:rPr>
                      <w:rFonts w:hint="default" w:ascii="宋体" w:hAnsi="宋体" w:eastAsia="宋体" w:cs="宋体"/>
                      <w:color w:val="FF0000"/>
                      <w:sz w:val="22"/>
                      <w:szCs w:val="22"/>
                      <w:highlight w:val="none"/>
                      <w:lang w:val="en-US" w:eastAsia="zh-CN"/>
                    </w:rPr>
                  </w:pPr>
                  <w:r>
                    <w:rPr>
                      <w:rFonts w:hint="eastAsia" w:ascii="宋体" w:hAnsi="宋体" w:eastAsia="宋体" w:cs="宋体"/>
                      <w:color w:val="FF0000"/>
                      <w:sz w:val="22"/>
                      <w:szCs w:val="22"/>
                      <w:highlight w:val="none"/>
                      <w:lang w:val="en-US" w:eastAsia="zh-CN"/>
                    </w:rPr>
                    <w:t>椅座三视图</w:t>
                  </w:r>
                </w:p>
              </w:tc>
              <w:tc>
                <w:tcPr>
                  <w:tcW w:w="5301" w:type="dxa"/>
                  <w:noWrap w:val="0"/>
                  <w:vAlign w:val="top"/>
                </w:tcPr>
                <w:p w14:paraId="19FF6E7F">
                  <w:pPr>
                    <w:widowControl/>
                    <w:jc w:val="center"/>
                    <w:rPr>
                      <w:rFonts w:hint="eastAsia" w:ascii="宋体" w:hAnsi="宋体" w:eastAsia="宋体" w:cs="宋体"/>
                      <w:color w:val="FF0000"/>
                      <w:sz w:val="22"/>
                      <w:szCs w:val="22"/>
                      <w:highlight w:val="none"/>
                    </w:rPr>
                  </w:pPr>
                  <w:r>
                    <w:rPr>
                      <w:color w:val="FF0000"/>
                    </w:rPr>
                    <w:drawing>
                      <wp:inline distT="0" distB="0" distL="114300" distR="114300">
                        <wp:extent cx="1221740" cy="549275"/>
                        <wp:effectExtent l="0" t="0" r="16510" b="3175"/>
                        <wp:docPr id="184"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 name="图片 25"/>
                                <pic:cNvPicPr>
                                  <a:picLocks noChangeAspect="1"/>
                                </pic:cNvPicPr>
                              </pic:nvPicPr>
                              <pic:blipFill>
                                <a:blip r:embed="rId32"/>
                                <a:stretch>
                                  <a:fillRect/>
                                </a:stretch>
                              </pic:blipFill>
                              <pic:spPr>
                                <a:xfrm>
                                  <a:off x="0" y="0"/>
                                  <a:ext cx="1221740" cy="549275"/>
                                </a:xfrm>
                                <a:prstGeom prst="rect">
                                  <a:avLst/>
                                </a:prstGeom>
                                <a:noFill/>
                                <a:ln>
                                  <a:noFill/>
                                </a:ln>
                              </pic:spPr>
                            </pic:pic>
                          </a:graphicData>
                        </a:graphic>
                      </wp:inline>
                    </w:drawing>
                  </w:r>
                  <w:r>
                    <w:rPr>
                      <w:color w:val="FF0000"/>
                    </w:rPr>
                    <w:drawing>
                      <wp:inline distT="0" distB="0" distL="114300" distR="114300">
                        <wp:extent cx="939165" cy="939165"/>
                        <wp:effectExtent l="0" t="0" r="13335" b="13335"/>
                        <wp:docPr id="185"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 name="图片 26"/>
                                <pic:cNvPicPr>
                                  <a:picLocks noChangeAspect="1"/>
                                </pic:cNvPicPr>
                              </pic:nvPicPr>
                              <pic:blipFill>
                                <a:blip r:embed="rId33"/>
                                <a:stretch>
                                  <a:fillRect/>
                                </a:stretch>
                              </pic:blipFill>
                              <pic:spPr>
                                <a:xfrm>
                                  <a:off x="0" y="0"/>
                                  <a:ext cx="939165" cy="939165"/>
                                </a:xfrm>
                                <a:prstGeom prst="rect">
                                  <a:avLst/>
                                </a:prstGeom>
                                <a:noFill/>
                                <a:ln>
                                  <a:noFill/>
                                </a:ln>
                              </pic:spPr>
                            </pic:pic>
                          </a:graphicData>
                        </a:graphic>
                      </wp:inline>
                    </w:drawing>
                  </w:r>
                </w:p>
              </w:tc>
            </w:tr>
            <w:tr w14:paraId="10DFDA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80" w:type="dxa"/>
                  <w:noWrap w:val="0"/>
                  <w:vAlign w:val="center"/>
                </w:tcPr>
                <w:p w14:paraId="7C8FFBDE">
                  <w:pPr>
                    <w:widowControl/>
                    <w:jc w:val="center"/>
                    <w:rPr>
                      <w:rFonts w:hint="eastAsia" w:ascii="宋体" w:hAnsi="宋体" w:eastAsia="宋体" w:cs="宋体"/>
                      <w:color w:val="FF0000"/>
                      <w:sz w:val="22"/>
                      <w:szCs w:val="22"/>
                      <w:highlight w:val="none"/>
                      <w:lang w:val="en-US" w:eastAsia="zh-CN"/>
                    </w:rPr>
                  </w:pPr>
                  <w:r>
                    <w:rPr>
                      <w:rFonts w:hint="eastAsia" w:ascii="宋体" w:hAnsi="宋体" w:eastAsia="宋体" w:cs="宋体"/>
                      <w:color w:val="FF0000"/>
                      <w:sz w:val="22"/>
                      <w:szCs w:val="22"/>
                      <w:highlight w:val="none"/>
                      <w:lang w:val="en-US" w:eastAsia="zh-CN"/>
                    </w:rPr>
                    <w:t>4</w:t>
                  </w:r>
                </w:p>
              </w:tc>
              <w:tc>
                <w:tcPr>
                  <w:tcW w:w="822" w:type="dxa"/>
                  <w:noWrap w:val="0"/>
                  <w:vAlign w:val="center"/>
                </w:tcPr>
                <w:p w14:paraId="35DA5E76">
                  <w:pPr>
                    <w:widowControl/>
                    <w:jc w:val="center"/>
                    <w:rPr>
                      <w:rFonts w:hint="default" w:ascii="宋体" w:hAnsi="宋体" w:eastAsia="宋体" w:cs="宋体"/>
                      <w:color w:val="FF0000"/>
                      <w:sz w:val="22"/>
                      <w:szCs w:val="22"/>
                      <w:highlight w:val="none"/>
                      <w:lang w:val="en-US" w:eastAsia="zh-CN"/>
                    </w:rPr>
                  </w:pPr>
                  <w:r>
                    <w:rPr>
                      <w:rFonts w:hint="eastAsia" w:ascii="宋体" w:hAnsi="宋体" w:eastAsia="宋体" w:cs="宋体"/>
                      <w:color w:val="FF0000"/>
                      <w:sz w:val="22"/>
                      <w:szCs w:val="22"/>
                      <w:highlight w:val="none"/>
                      <w:lang w:val="en-US" w:eastAsia="zh-CN"/>
                    </w:rPr>
                    <w:t>弓形脚三视图</w:t>
                  </w:r>
                </w:p>
              </w:tc>
              <w:tc>
                <w:tcPr>
                  <w:tcW w:w="5301" w:type="dxa"/>
                  <w:noWrap w:val="0"/>
                  <w:vAlign w:val="top"/>
                </w:tcPr>
                <w:p w14:paraId="1322A451">
                  <w:pPr>
                    <w:widowControl/>
                    <w:jc w:val="center"/>
                    <w:rPr>
                      <w:rFonts w:hint="eastAsia" w:ascii="宋体" w:hAnsi="宋体" w:eastAsia="宋体" w:cs="宋体"/>
                      <w:color w:val="FF0000"/>
                      <w:sz w:val="22"/>
                      <w:szCs w:val="22"/>
                      <w:highlight w:val="none"/>
                    </w:rPr>
                  </w:pPr>
                  <w:r>
                    <w:rPr>
                      <w:color w:val="FF0000"/>
                    </w:rPr>
                    <w:drawing>
                      <wp:inline distT="0" distB="0" distL="114300" distR="114300">
                        <wp:extent cx="1243330" cy="865505"/>
                        <wp:effectExtent l="0" t="0" r="13970" b="10795"/>
                        <wp:docPr id="186"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 name="图片 27"/>
                                <pic:cNvPicPr>
                                  <a:picLocks noChangeAspect="1"/>
                                </pic:cNvPicPr>
                              </pic:nvPicPr>
                              <pic:blipFill>
                                <a:blip r:embed="rId34"/>
                                <a:stretch>
                                  <a:fillRect/>
                                </a:stretch>
                              </pic:blipFill>
                              <pic:spPr>
                                <a:xfrm>
                                  <a:off x="0" y="0"/>
                                  <a:ext cx="1243330" cy="865505"/>
                                </a:xfrm>
                                <a:prstGeom prst="rect">
                                  <a:avLst/>
                                </a:prstGeom>
                                <a:noFill/>
                                <a:ln>
                                  <a:noFill/>
                                </a:ln>
                              </pic:spPr>
                            </pic:pic>
                          </a:graphicData>
                        </a:graphic>
                      </wp:inline>
                    </w:drawing>
                  </w:r>
                  <w:r>
                    <w:rPr>
                      <w:color w:val="FF0000"/>
                    </w:rPr>
                    <w:drawing>
                      <wp:inline distT="0" distB="0" distL="114300" distR="114300">
                        <wp:extent cx="877570" cy="805815"/>
                        <wp:effectExtent l="0" t="0" r="17780" b="13335"/>
                        <wp:docPr id="187"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 name="图片 28"/>
                                <pic:cNvPicPr>
                                  <a:picLocks noChangeAspect="1"/>
                                </pic:cNvPicPr>
                              </pic:nvPicPr>
                              <pic:blipFill>
                                <a:blip r:embed="rId35"/>
                                <a:stretch>
                                  <a:fillRect/>
                                </a:stretch>
                              </pic:blipFill>
                              <pic:spPr>
                                <a:xfrm>
                                  <a:off x="0" y="0"/>
                                  <a:ext cx="877570" cy="805815"/>
                                </a:xfrm>
                                <a:prstGeom prst="rect">
                                  <a:avLst/>
                                </a:prstGeom>
                                <a:noFill/>
                                <a:ln>
                                  <a:noFill/>
                                </a:ln>
                              </pic:spPr>
                            </pic:pic>
                          </a:graphicData>
                        </a:graphic>
                      </wp:inline>
                    </w:drawing>
                  </w:r>
                  <w:r>
                    <w:rPr>
                      <w:color w:val="FF0000"/>
                    </w:rPr>
                    <w:drawing>
                      <wp:inline distT="0" distB="0" distL="114300" distR="114300">
                        <wp:extent cx="1428115" cy="988060"/>
                        <wp:effectExtent l="0" t="0" r="635" b="2540"/>
                        <wp:docPr id="188"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 name="图片 29"/>
                                <pic:cNvPicPr>
                                  <a:picLocks noChangeAspect="1"/>
                                </pic:cNvPicPr>
                              </pic:nvPicPr>
                              <pic:blipFill>
                                <a:blip r:embed="rId36"/>
                                <a:stretch>
                                  <a:fillRect/>
                                </a:stretch>
                              </pic:blipFill>
                              <pic:spPr>
                                <a:xfrm>
                                  <a:off x="0" y="0"/>
                                  <a:ext cx="1428115" cy="988060"/>
                                </a:xfrm>
                                <a:prstGeom prst="rect">
                                  <a:avLst/>
                                </a:prstGeom>
                                <a:noFill/>
                                <a:ln>
                                  <a:noFill/>
                                </a:ln>
                              </pic:spPr>
                            </pic:pic>
                          </a:graphicData>
                        </a:graphic>
                      </wp:inline>
                    </w:drawing>
                  </w:r>
                </w:p>
              </w:tc>
            </w:tr>
          </w:tbl>
          <w:p w14:paraId="010382FF">
            <w:pPr>
              <w:widowControl/>
              <w:jc w:val="left"/>
              <w:rPr>
                <w:rFonts w:hint="eastAsia" w:ascii="宋体" w:hAnsi="宋体" w:eastAsia="宋体" w:cs="宋体"/>
                <w:color w:val="auto"/>
                <w:sz w:val="22"/>
                <w:szCs w:val="22"/>
                <w:highlight w:val="none"/>
                <w:lang w:val="en-US" w:eastAsia="zh-CN"/>
              </w:rPr>
            </w:pPr>
          </w:p>
          <w:p w14:paraId="4F4B8C32">
            <w:pPr>
              <w:widowControl/>
              <w:jc w:val="left"/>
              <w:rPr>
                <w:rFonts w:hint="eastAsia" w:ascii="宋体" w:hAnsi="宋体" w:eastAsia="宋体" w:cs="宋体"/>
                <w:color w:val="auto"/>
                <w:sz w:val="22"/>
                <w:szCs w:val="22"/>
                <w:highlight w:val="none"/>
                <w:lang w:val="en-US" w:eastAsia="zh-CN"/>
              </w:rPr>
            </w:pPr>
          </w:p>
          <w:p w14:paraId="76E918C3">
            <w:pPr>
              <w:widowControl/>
              <w:jc w:val="left"/>
              <w:rPr>
                <w:rFonts w:hint="eastAsia" w:ascii="宋体" w:hAnsi="宋体" w:eastAsia="宋体" w:cs="宋体"/>
                <w:color w:val="auto"/>
                <w:sz w:val="22"/>
                <w:szCs w:val="22"/>
                <w:highlight w:val="none"/>
                <w:lang w:val="en-US" w:eastAsia="zh-CN"/>
              </w:rPr>
            </w:pPr>
          </w:p>
          <w:p w14:paraId="521CE43E">
            <w:pPr>
              <w:rPr>
                <w:rFonts w:hint="eastAsia" w:ascii="宋体" w:hAnsi="宋体" w:eastAsia="宋体" w:cs="宋体"/>
                <w:color w:val="auto"/>
                <w:sz w:val="22"/>
                <w:szCs w:val="22"/>
                <w:highlight w:val="none"/>
                <w:lang w:val="zh-CN"/>
              </w:rPr>
            </w:pPr>
            <w:bookmarkStart w:id="2" w:name="_Hlk184065652"/>
            <w:r>
              <w:rPr>
                <w:rFonts w:hint="eastAsia" w:ascii="宋体" w:hAnsi="宋体" w:cs="宋体"/>
                <w:color w:val="auto"/>
                <w:sz w:val="22"/>
                <w:szCs w:val="22"/>
                <w:highlight w:val="none"/>
                <w:lang w:eastAsia="zh-CN"/>
              </w:rPr>
              <w:t>（</w:t>
            </w:r>
            <w:r>
              <w:rPr>
                <w:rFonts w:hint="eastAsia" w:ascii="宋体" w:hAnsi="宋体" w:cs="宋体"/>
                <w:color w:val="auto"/>
                <w:sz w:val="22"/>
                <w:szCs w:val="22"/>
                <w:highlight w:val="none"/>
                <w:lang w:val="en-US" w:eastAsia="zh-CN"/>
              </w:rPr>
              <w:t>5</w:t>
            </w:r>
            <w:r>
              <w:rPr>
                <w:rFonts w:hint="eastAsia" w:ascii="宋体" w:hAnsi="宋体" w:cs="宋体"/>
                <w:color w:val="auto"/>
                <w:sz w:val="22"/>
                <w:szCs w:val="22"/>
                <w:highlight w:val="none"/>
                <w:lang w:eastAsia="zh-CN"/>
              </w:rPr>
              <w:t>）</w:t>
            </w:r>
            <w:r>
              <w:rPr>
                <w:rFonts w:hint="eastAsia" w:ascii="宋体" w:hAnsi="宋体" w:eastAsia="宋体" w:cs="宋体"/>
                <w:color w:val="auto"/>
                <w:sz w:val="22"/>
                <w:szCs w:val="22"/>
                <w:highlight w:val="none"/>
                <w:lang w:val="zh-CN"/>
              </w:rPr>
              <w:t>礼堂椅</w:t>
            </w:r>
            <w:bookmarkEnd w:id="2"/>
          </w:p>
          <w:p w14:paraId="56C22481">
            <w:pPr>
              <w:rPr>
                <w:rFonts w:hint="eastAsia" w:ascii="宋体" w:hAnsi="宋体" w:eastAsia="宋体" w:cs="宋体"/>
                <w:color w:val="auto"/>
                <w:sz w:val="22"/>
                <w:szCs w:val="22"/>
                <w:highlight w:val="none"/>
              </w:rPr>
            </w:pPr>
            <w:bookmarkStart w:id="3" w:name="OLE_LINK3"/>
            <w:r>
              <w:rPr>
                <w:rFonts w:hint="eastAsia" w:ascii="宋体" w:hAnsi="宋体" w:eastAsia="宋体" w:cs="宋体"/>
                <w:color w:val="auto"/>
                <w:sz w:val="22"/>
                <w:szCs w:val="22"/>
                <w:highlight w:val="none"/>
              </w:rPr>
              <w:t>1、</w:t>
            </w:r>
            <w:r>
              <w:rPr>
                <w:rFonts w:hint="eastAsia" w:ascii="宋体" w:hAnsi="宋体" w:eastAsia="宋体" w:cs="宋体"/>
                <w:color w:val="auto"/>
                <w:sz w:val="22"/>
                <w:szCs w:val="22"/>
                <w:highlight w:val="none"/>
                <w:lang w:val="en-US" w:eastAsia="zh-CN"/>
              </w:rPr>
              <w:t>背包</w:t>
            </w:r>
            <w:r>
              <w:rPr>
                <w:rFonts w:hint="eastAsia" w:ascii="宋体" w:hAnsi="宋体" w:eastAsia="宋体" w:cs="宋体"/>
                <w:color w:val="auto"/>
                <w:sz w:val="22"/>
                <w:szCs w:val="22"/>
                <w:highlight w:val="none"/>
              </w:rPr>
              <w:t>：采用环保高密度高回弹</w:t>
            </w:r>
            <w:r>
              <w:rPr>
                <w:rFonts w:hint="eastAsia" w:ascii="宋体" w:hAnsi="宋体" w:eastAsia="宋体" w:cs="宋体"/>
                <w:color w:val="auto"/>
                <w:sz w:val="22"/>
                <w:szCs w:val="22"/>
                <w:highlight w:val="none"/>
                <w:lang w:val="en-US" w:eastAsia="zh-CN"/>
              </w:rPr>
              <w:t>异形</w:t>
            </w:r>
            <w:r>
              <w:rPr>
                <w:rFonts w:hint="eastAsia" w:ascii="宋体" w:hAnsi="宋体" w:eastAsia="宋体" w:cs="宋体"/>
                <w:color w:val="auto"/>
                <w:sz w:val="22"/>
                <w:szCs w:val="22"/>
                <w:highlight w:val="none"/>
              </w:rPr>
              <w:t>定型海绵，</w:t>
            </w:r>
            <w:r>
              <w:rPr>
                <w:rFonts w:hint="eastAsia" w:ascii="宋体" w:hAnsi="宋体" w:eastAsia="宋体" w:cs="宋体"/>
                <w:color w:val="FF0000"/>
                <w:sz w:val="22"/>
                <w:szCs w:val="22"/>
                <w:highlight w:val="none"/>
              </w:rPr>
              <w:t>规格</w:t>
            </w:r>
            <w:r>
              <w:rPr>
                <w:rFonts w:hint="eastAsia" w:ascii="宋体" w:hAnsi="宋体" w:eastAsia="宋体" w:cs="宋体"/>
                <w:color w:val="FF0000"/>
                <w:sz w:val="22"/>
                <w:szCs w:val="22"/>
                <w:highlight w:val="none"/>
                <w:lang w:val="en-US" w:eastAsia="zh-CN"/>
              </w:rPr>
              <w:t>≥</w:t>
            </w:r>
            <w:r>
              <w:rPr>
                <w:rFonts w:hint="eastAsia" w:ascii="宋体" w:hAnsi="宋体" w:eastAsia="宋体" w:cs="宋体"/>
                <w:color w:val="FF0000"/>
                <w:sz w:val="22"/>
                <w:szCs w:val="22"/>
                <w:highlight w:val="none"/>
              </w:rPr>
              <w:t>宽470mm*高690mm*厚</w:t>
            </w:r>
            <w:r>
              <w:rPr>
                <w:rFonts w:hint="eastAsia" w:ascii="宋体" w:hAnsi="宋体" w:eastAsia="宋体" w:cs="宋体"/>
                <w:color w:val="FF0000"/>
                <w:sz w:val="22"/>
                <w:szCs w:val="22"/>
                <w:highlight w:val="none"/>
                <w:lang w:val="en-US" w:eastAsia="zh-CN"/>
              </w:rPr>
              <w:t>50</w:t>
            </w:r>
            <w:r>
              <w:rPr>
                <w:rFonts w:hint="eastAsia" w:ascii="宋体" w:hAnsi="宋体" w:eastAsia="宋体" w:cs="宋体"/>
                <w:color w:val="FF0000"/>
                <w:sz w:val="22"/>
                <w:szCs w:val="22"/>
                <w:highlight w:val="none"/>
              </w:rPr>
              <w:t>mm</w:t>
            </w:r>
          </w:p>
          <w:p w14:paraId="36286782">
            <w:pPr>
              <w:rPr>
                <w:rFonts w:hint="eastAsia" w:ascii="宋体" w:hAnsi="宋体" w:eastAsia="宋体" w:cs="宋体"/>
                <w:color w:val="FF0000"/>
                <w:sz w:val="22"/>
                <w:szCs w:val="22"/>
                <w:highlight w:val="none"/>
              </w:rPr>
            </w:pPr>
            <w:r>
              <w:rPr>
                <w:rFonts w:hint="eastAsia" w:ascii="宋体" w:hAnsi="宋体" w:eastAsia="宋体" w:cs="宋体"/>
                <w:color w:val="auto"/>
                <w:sz w:val="22"/>
                <w:szCs w:val="22"/>
                <w:highlight w:val="none"/>
              </w:rPr>
              <w:t>2、座</w:t>
            </w:r>
            <w:r>
              <w:rPr>
                <w:rFonts w:hint="eastAsia" w:ascii="宋体" w:hAnsi="宋体" w:eastAsia="宋体" w:cs="宋体"/>
                <w:color w:val="auto"/>
                <w:sz w:val="22"/>
                <w:szCs w:val="22"/>
                <w:highlight w:val="none"/>
                <w:lang w:val="en-US" w:eastAsia="zh-CN"/>
              </w:rPr>
              <w:t>包</w:t>
            </w:r>
            <w:r>
              <w:rPr>
                <w:rFonts w:hint="eastAsia" w:ascii="宋体" w:hAnsi="宋体" w:eastAsia="宋体" w:cs="宋体"/>
                <w:color w:val="auto"/>
                <w:sz w:val="22"/>
                <w:szCs w:val="22"/>
                <w:highlight w:val="none"/>
              </w:rPr>
              <w:t>：采用环保高密度高回弹</w:t>
            </w:r>
            <w:r>
              <w:rPr>
                <w:rFonts w:hint="eastAsia" w:ascii="宋体" w:hAnsi="宋体" w:eastAsia="宋体" w:cs="宋体"/>
                <w:color w:val="auto"/>
                <w:sz w:val="22"/>
                <w:szCs w:val="22"/>
                <w:highlight w:val="none"/>
                <w:lang w:val="en-US" w:eastAsia="zh-CN"/>
              </w:rPr>
              <w:t>异形</w:t>
            </w:r>
            <w:r>
              <w:rPr>
                <w:rFonts w:hint="eastAsia" w:ascii="宋体" w:hAnsi="宋体" w:eastAsia="宋体" w:cs="宋体"/>
                <w:color w:val="auto"/>
                <w:sz w:val="22"/>
                <w:szCs w:val="22"/>
                <w:highlight w:val="none"/>
              </w:rPr>
              <w:t>定型海绵，座绵内置≥1.5mm加厚钢架，采用黑色无纺布作隔层，座包不易变形，持久耐用；</w:t>
            </w:r>
            <w:r>
              <w:rPr>
                <w:rFonts w:hint="eastAsia" w:ascii="宋体" w:hAnsi="宋体" w:eastAsia="宋体" w:cs="宋体"/>
                <w:color w:val="FF0000"/>
                <w:sz w:val="22"/>
                <w:szCs w:val="22"/>
                <w:highlight w:val="none"/>
              </w:rPr>
              <w:t>规格</w:t>
            </w:r>
            <w:r>
              <w:rPr>
                <w:rFonts w:hint="eastAsia" w:ascii="宋体" w:hAnsi="宋体" w:eastAsia="宋体" w:cs="宋体"/>
                <w:color w:val="FF0000"/>
                <w:sz w:val="22"/>
                <w:szCs w:val="22"/>
                <w:highlight w:val="none"/>
                <w:lang w:val="en-US" w:eastAsia="zh-CN"/>
              </w:rPr>
              <w:t>≥</w:t>
            </w:r>
            <w:r>
              <w:rPr>
                <w:rFonts w:hint="eastAsia" w:ascii="宋体" w:hAnsi="宋体" w:eastAsia="宋体" w:cs="宋体"/>
                <w:color w:val="FF0000"/>
                <w:sz w:val="22"/>
                <w:szCs w:val="22"/>
                <w:highlight w:val="none"/>
              </w:rPr>
              <w:t>长500*宽460*</w:t>
            </w:r>
            <w:r>
              <w:rPr>
                <w:rFonts w:hint="eastAsia" w:ascii="宋体" w:hAnsi="宋体" w:eastAsia="宋体" w:cs="宋体"/>
                <w:color w:val="FF0000"/>
                <w:sz w:val="22"/>
                <w:szCs w:val="22"/>
                <w:highlight w:val="none"/>
                <w:lang w:val="en-US" w:eastAsia="zh-CN"/>
              </w:rPr>
              <w:t>厚100</w:t>
            </w:r>
            <w:r>
              <w:rPr>
                <w:rFonts w:hint="eastAsia" w:ascii="宋体" w:hAnsi="宋体" w:eastAsia="宋体" w:cs="宋体"/>
                <w:color w:val="FF0000"/>
                <w:sz w:val="22"/>
                <w:szCs w:val="22"/>
                <w:highlight w:val="none"/>
              </w:rPr>
              <w:t>mm</w:t>
            </w:r>
          </w:p>
          <w:p w14:paraId="78B50964">
            <w:pP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3、座、背外板：采用优质多层旋切桦木皮用无甲醛环保胶热压成型,表面经5次抛光，厚度≥12mm；油漆采用环保水性油漆；</w:t>
            </w:r>
          </w:p>
          <w:p w14:paraId="63915323">
            <w:pP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4、布料：采用优质麻绒面料；椅背拉线定位并加垫丝光绵；</w:t>
            </w:r>
          </w:p>
          <w:p w14:paraId="1615B903">
            <w:pP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5、扶手：扶手框架采用钢结构设计，钢制框架选用≥2.0mm冷轧钢板经模具冲压、机械手焊接成型，需结构牢固，扶手框用改善声学效能的中空结构设计，两侧用外覆薄棉及布料的装饰板装饰。扶手骨架</w:t>
            </w:r>
            <w:r>
              <w:rPr>
                <w:rFonts w:hint="eastAsia" w:ascii="宋体" w:hAnsi="宋体" w:eastAsia="宋体" w:cs="宋体"/>
                <w:color w:val="FF0000"/>
                <w:sz w:val="22"/>
                <w:szCs w:val="22"/>
                <w:highlight w:val="none"/>
              </w:rPr>
              <w:t>尺寸</w:t>
            </w:r>
            <w:r>
              <w:rPr>
                <w:rFonts w:hint="eastAsia" w:ascii="宋体" w:hAnsi="宋体" w:eastAsia="宋体" w:cs="宋体"/>
                <w:color w:val="FF0000"/>
                <w:sz w:val="22"/>
                <w:szCs w:val="22"/>
                <w:highlight w:val="none"/>
                <w:lang w:val="en-US" w:eastAsia="zh-CN"/>
              </w:rPr>
              <w:t>≥</w:t>
            </w:r>
            <w:r>
              <w:rPr>
                <w:rFonts w:hint="eastAsia" w:ascii="宋体" w:hAnsi="宋体" w:eastAsia="宋体" w:cs="宋体"/>
                <w:color w:val="FF0000"/>
                <w:sz w:val="22"/>
                <w:szCs w:val="22"/>
                <w:highlight w:val="none"/>
              </w:rPr>
              <w:t>448*410*65mm宽。</w:t>
            </w:r>
          </w:p>
          <w:p w14:paraId="44427856">
            <w:pP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6、写字板：写字板支撑板和支撑杆材质均采用冷轧钢压铸成型，通过焊接连为一体，四周做加强筋处理，使其更加美观且承重能力更强。写字板面板尺寸</w:t>
            </w:r>
            <w:r>
              <w:rPr>
                <w:rFonts w:hint="eastAsia" w:ascii="宋体" w:hAnsi="宋体" w:eastAsia="宋体" w:cs="宋体"/>
                <w:color w:val="FF0000"/>
                <w:sz w:val="22"/>
                <w:szCs w:val="22"/>
                <w:highlight w:val="none"/>
                <w:lang w:val="en-US" w:eastAsia="zh-CN"/>
              </w:rPr>
              <w:t>≥</w:t>
            </w:r>
            <w:r>
              <w:rPr>
                <w:rFonts w:hint="eastAsia" w:ascii="宋体" w:hAnsi="宋体" w:eastAsia="宋体" w:cs="宋体"/>
                <w:color w:val="FF0000"/>
                <w:sz w:val="22"/>
                <w:szCs w:val="22"/>
                <w:highlight w:val="none"/>
              </w:rPr>
              <w:t>265mm*232mm*15mm</w:t>
            </w:r>
            <w:r>
              <w:rPr>
                <w:rFonts w:hint="eastAsia" w:ascii="宋体" w:hAnsi="宋体" w:eastAsia="宋体" w:cs="宋体"/>
                <w:color w:val="auto"/>
                <w:sz w:val="22"/>
                <w:szCs w:val="22"/>
                <w:highlight w:val="none"/>
              </w:rPr>
              <w:t>。写字板面材质为高密度中纤板四周采用PVC注塑封边。写字板向上倾斜保证书写舒适自然状态，打开与回收功能顺畅。</w:t>
            </w:r>
          </w:p>
          <w:p w14:paraId="395965B8">
            <w:pP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7、椅脚：采用优质铝合金压铸，脚架与扶手框连接安装，脚架尺寸：</w:t>
            </w:r>
            <w:r>
              <w:rPr>
                <w:rFonts w:hint="eastAsia" w:ascii="宋体" w:hAnsi="宋体" w:eastAsia="宋体" w:cs="宋体"/>
                <w:color w:val="FF0000"/>
                <w:sz w:val="22"/>
                <w:szCs w:val="22"/>
                <w:highlight w:val="none"/>
              </w:rPr>
              <w:t>长</w:t>
            </w:r>
            <w:r>
              <w:rPr>
                <w:rFonts w:hint="eastAsia" w:ascii="宋体" w:hAnsi="宋体" w:eastAsia="宋体" w:cs="宋体"/>
                <w:color w:val="FF0000"/>
                <w:sz w:val="22"/>
                <w:szCs w:val="22"/>
                <w:highlight w:val="none"/>
                <w:lang w:val="en-US" w:eastAsia="zh-CN"/>
              </w:rPr>
              <w:t>≥</w:t>
            </w:r>
            <w:r>
              <w:rPr>
                <w:rFonts w:hint="eastAsia" w:ascii="宋体" w:hAnsi="宋体" w:eastAsia="宋体" w:cs="宋体"/>
                <w:color w:val="FF0000"/>
                <w:sz w:val="22"/>
                <w:szCs w:val="22"/>
                <w:highlight w:val="none"/>
              </w:rPr>
              <w:t>359mm</w:t>
            </w:r>
            <w:r>
              <w:rPr>
                <w:rFonts w:hint="eastAsia" w:ascii="宋体" w:hAnsi="宋体" w:eastAsia="宋体" w:cs="宋体"/>
                <w:color w:val="auto"/>
                <w:sz w:val="22"/>
                <w:szCs w:val="22"/>
                <w:highlight w:val="none"/>
              </w:rPr>
              <w:t>，</w:t>
            </w:r>
            <w:r>
              <w:rPr>
                <w:rFonts w:hint="eastAsia" w:ascii="宋体" w:hAnsi="宋体" w:eastAsia="宋体" w:cs="宋体"/>
                <w:color w:val="FF0000"/>
                <w:sz w:val="22"/>
                <w:szCs w:val="22"/>
                <w:highlight w:val="none"/>
              </w:rPr>
              <w:t>宽</w:t>
            </w:r>
            <w:r>
              <w:rPr>
                <w:rFonts w:hint="eastAsia" w:ascii="宋体" w:hAnsi="宋体" w:eastAsia="宋体" w:cs="宋体"/>
                <w:color w:val="FF0000"/>
                <w:sz w:val="22"/>
                <w:szCs w:val="22"/>
                <w:highlight w:val="none"/>
                <w:lang w:val="en-US" w:eastAsia="zh-CN"/>
              </w:rPr>
              <w:t>≥</w:t>
            </w:r>
            <w:r>
              <w:rPr>
                <w:rFonts w:hint="eastAsia" w:ascii="宋体" w:hAnsi="宋体" w:eastAsia="宋体" w:cs="宋体"/>
                <w:color w:val="FF0000"/>
                <w:sz w:val="22"/>
                <w:szCs w:val="22"/>
                <w:highlight w:val="none"/>
              </w:rPr>
              <w:t>70mm</w:t>
            </w:r>
            <w:r>
              <w:rPr>
                <w:rFonts w:hint="eastAsia" w:ascii="宋体" w:hAnsi="宋体" w:eastAsia="宋体" w:cs="宋体"/>
                <w:color w:val="auto"/>
                <w:sz w:val="22"/>
                <w:szCs w:val="22"/>
                <w:highlight w:val="none"/>
              </w:rPr>
              <w:t>，高151~202mm，底部地面安装孔孔距≥300mm；扶手侧板采用优质密度板覆薄棉外包布装饰，隐藏式地爆螺丝，外带地胶盖。</w:t>
            </w:r>
          </w:p>
          <w:p w14:paraId="6589C836">
            <w:pP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8、扶手盖：采用进口原木经5次抛光封漆而成，油漆采用环保水性油漆；</w:t>
            </w:r>
          </w:p>
          <w:p w14:paraId="314F263A">
            <w:pP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9、回复功能：采用弹簧加阻尼回复机构。座包采用了以上回复机构使得座包在回复时匀速运动而又无噪音。</w:t>
            </w:r>
          </w:p>
          <w:p w14:paraId="1A816259">
            <w:pP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10、地爆螺钉：采用不锈钢内六角圆柱头螺钉与镀彩锌膨胀螺母。</w:t>
            </w:r>
          </w:p>
          <w:p w14:paraId="058444BC">
            <w:pPr>
              <w:rPr>
                <w:rFonts w:hint="eastAsia" w:ascii="宋体" w:hAnsi="宋体" w:eastAsia="宋体" w:cs="宋体"/>
                <w:color w:val="FF0000"/>
                <w:sz w:val="22"/>
                <w:szCs w:val="22"/>
                <w:highlight w:val="none"/>
              </w:rPr>
            </w:pPr>
            <w:r>
              <w:rPr>
                <w:rFonts w:hint="eastAsia" w:ascii="宋体" w:hAnsi="宋体" w:eastAsia="宋体" w:cs="宋体"/>
                <w:color w:val="FF0000"/>
                <w:sz w:val="22"/>
                <w:szCs w:val="22"/>
                <w:highlight w:val="none"/>
              </w:rPr>
              <w:t>大样：根据参数和产品图</w:t>
            </w:r>
            <w:r>
              <w:rPr>
                <w:rFonts w:hint="eastAsia" w:ascii="宋体" w:hAnsi="宋体" w:eastAsia="宋体" w:cs="宋体"/>
                <w:color w:val="FF0000"/>
                <w:sz w:val="22"/>
                <w:szCs w:val="22"/>
                <w:highlight w:val="none"/>
                <w:lang w:val="en-US" w:eastAsia="zh-CN"/>
              </w:rPr>
              <w:t>提供礼堂椅</w:t>
            </w:r>
            <w:r>
              <w:rPr>
                <w:rFonts w:hint="eastAsia" w:ascii="宋体" w:hAnsi="宋体" w:eastAsia="宋体" w:cs="宋体"/>
                <w:color w:val="FF0000"/>
                <w:sz w:val="22"/>
                <w:szCs w:val="22"/>
                <w:highlight w:val="none"/>
              </w:rPr>
              <w:t>一</w:t>
            </w:r>
            <w:r>
              <w:rPr>
                <w:rFonts w:hint="eastAsia" w:ascii="宋体" w:hAnsi="宋体" w:eastAsia="宋体" w:cs="宋体"/>
                <w:color w:val="FF0000"/>
                <w:sz w:val="22"/>
                <w:szCs w:val="22"/>
                <w:highlight w:val="none"/>
                <w:lang w:val="en-US" w:eastAsia="zh-CN"/>
              </w:rPr>
              <w:t>张</w:t>
            </w:r>
            <w:r>
              <w:rPr>
                <w:rFonts w:hint="eastAsia" w:ascii="宋体" w:hAnsi="宋体" w:eastAsia="宋体" w:cs="宋体"/>
                <w:color w:val="FF0000"/>
                <w:sz w:val="22"/>
                <w:szCs w:val="22"/>
                <w:highlight w:val="none"/>
              </w:rPr>
              <w:t>。</w:t>
            </w:r>
          </w:p>
          <w:p w14:paraId="528F482B">
            <w:pP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产品图</w:t>
            </w:r>
            <w:bookmarkEnd w:id="3"/>
          </w:p>
          <w:tbl>
            <w:tblPr>
              <w:tblStyle w:val="4"/>
              <w:tblpPr w:leftFromText="180" w:rightFromText="180" w:vertAnchor="text" w:tblpXSpec="center" w:tblpY="1"/>
              <w:tblOverlap w:val="never"/>
              <w:tblW w:w="6803"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85"/>
              <w:gridCol w:w="1164"/>
              <w:gridCol w:w="4954"/>
            </w:tblGrid>
            <w:tr w14:paraId="132FD9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4" w:hRule="atLeast"/>
              </w:trPr>
              <w:tc>
                <w:tcPr>
                  <w:tcW w:w="685" w:type="dxa"/>
                  <w:noWrap w:val="0"/>
                  <w:vAlign w:val="center"/>
                </w:tcPr>
                <w:p w14:paraId="5454A752">
                  <w:pPr>
                    <w:widowControl/>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序号</w:t>
                  </w:r>
                </w:p>
              </w:tc>
              <w:tc>
                <w:tcPr>
                  <w:tcW w:w="1164" w:type="dxa"/>
                  <w:noWrap w:val="0"/>
                  <w:vAlign w:val="center"/>
                </w:tcPr>
                <w:p w14:paraId="7550F737">
                  <w:pPr>
                    <w:widowControl/>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图纸名称</w:t>
                  </w:r>
                </w:p>
              </w:tc>
              <w:tc>
                <w:tcPr>
                  <w:tcW w:w="4954" w:type="dxa"/>
                  <w:noWrap w:val="0"/>
                  <w:vAlign w:val="center"/>
                </w:tcPr>
                <w:p w14:paraId="3CF71191">
                  <w:pPr>
                    <w:widowControl/>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图纸</w:t>
                  </w:r>
                </w:p>
              </w:tc>
            </w:tr>
            <w:tr w14:paraId="52CE0E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746" w:hRule="atLeast"/>
              </w:trPr>
              <w:tc>
                <w:tcPr>
                  <w:tcW w:w="685" w:type="dxa"/>
                  <w:noWrap w:val="0"/>
                  <w:vAlign w:val="center"/>
                </w:tcPr>
                <w:p w14:paraId="468ACEA9">
                  <w:pPr>
                    <w:widowControl/>
                    <w:jc w:val="lef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1164" w:type="dxa"/>
                  <w:noWrap w:val="0"/>
                  <w:vAlign w:val="center"/>
                </w:tcPr>
                <w:p w14:paraId="74E45BB8">
                  <w:pPr>
                    <w:widowControl/>
                    <w:jc w:val="left"/>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正视图</w:t>
                  </w:r>
                </w:p>
              </w:tc>
              <w:tc>
                <w:tcPr>
                  <w:tcW w:w="4954" w:type="dxa"/>
                  <w:noWrap w:val="0"/>
                  <w:vAlign w:val="top"/>
                </w:tcPr>
                <w:p w14:paraId="2A9F0FC6">
                  <w:pPr>
                    <w:widowControl/>
                    <w:jc w:val="left"/>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lang w:eastAsia="zh-CN"/>
                    </w:rPr>
                    <w:drawing>
                      <wp:inline distT="0" distB="0" distL="114300" distR="114300">
                        <wp:extent cx="1348105" cy="2059305"/>
                        <wp:effectExtent l="0" t="0" r="4445" b="17145"/>
                        <wp:docPr id="174" name="图片 174" descr="d092930c8a7c69633a0be0f700cdaaa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 name="图片 174" descr="d092930c8a7c69633a0be0f700cdaaa0"/>
                                <pic:cNvPicPr>
                                  <a:picLocks noChangeAspect="1"/>
                                </pic:cNvPicPr>
                              </pic:nvPicPr>
                              <pic:blipFill>
                                <a:blip r:embed="rId37"/>
                                <a:stretch>
                                  <a:fillRect/>
                                </a:stretch>
                              </pic:blipFill>
                              <pic:spPr>
                                <a:xfrm>
                                  <a:off x="0" y="0"/>
                                  <a:ext cx="1348105" cy="2059305"/>
                                </a:xfrm>
                                <a:prstGeom prst="rect">
                                  <a:avLst/>
                                </a:prstGeom>
                              </pic:spPr>
                            </pic:pic>
                          </a:graphicData>
                        </a:graphic>
                      </wp:inline>
                    </w:drawing>
                  </w:r>
                </w:p>
              </w:tc>
            </w:tr>
            <w:tr w14:paraId="39C082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685" w:type="dxa"/>
                  <w:noWrap w:val="0"/>
                  <w:vAlign w:val="center"/>
                </w:tcPr>
                <w:p w14:paraId="2FA758DD">
                  <w:pPr>
                    <w:widowControl/>
                    <w:jc w:val="lef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w:t>
                  </w:r>
                </w:p>
              </w:tc>
              <w:tc>
                <w:tcPr>
                  <w:tcW w:w="1164" w:type="dxa"/>
                  <w:noWrap w:val="0"/>
                  <w:vAlign w:val="center"/>
                </w:tcPr>
                <w:p w14:paraId="63328AF5">
                  <w:pPr>
                    <w:widowControl/>
                    <w:jc w:val="left"/>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lang w:val="en-US" w:eastAsia="zh-CN"/>
                    </w:rPr>
                    <w:t>侧视图</w:t>
                  </w:r>
                </w:p>
              </w:tc>
              <w:tc>
                <w:tcPr>
                  <w:tcW w:w="4954" w:type="dxa"/>
                  <w:noWrap w:val="0"/>
                  <w:vAlign w:val="top"/>
                </w:tcPr>
                <w:p w14:paraId="27062FB7">
                  <w:pPr>
                    <w:widowControl/>
                    <w:jc w:val="left"/>
                    <w:rPr>
                      <w:rFonts w:hint="eastAsia" w:ascii="宋体" w:hAnsi="宋体" w:eastAsia="宋体" w:cs="宋体"/>
                      <w:color w:val="auto"/>
                      <w:sz w:val="22"/>
                      <w:szCs w:val="22"/>
                      <w:highlight w:val="none"/>
                    </w:rPr>
                  </w:pPr>
                </w:p>
                <w:p w14:paraId="110B2A58">
                  <w:pPr>
                    <w:widowControl/>
                    <w:jc w:val="left"/>
                    <w:rPr>
                      <w:rFonts w:hint="eastAsia" w:ascii="宋体" w:hAnsi="宋体" w:eastAsia="宋体" w:cs="宋体"/>
                      <w:color w:val="auto"/>
                      <w:sz w:val="22"/>
                      <w:szCs w:val="22"/>
                      <w:highlight w:val="none"/>
                    </w:rPr>
                  </w:pPr>
                  <w:r>
                    <w:drawing>
                      <wp:inline distT="0" distB="0" distL="114300" distR="114300">
                        <wp:extent cx="1341755" cy="1570990"/>
                        <wp:effectExtent l="0" t="0" r="10795" b="10160"/>
                        <wp:docPr id="175"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 name="图片 18"/>
                                <pic:cNvPicPr>
                                  <a:picLocks noChangeAspect="1"/>
                                </pic:cNvPicPr>
                              </pic:nvPicPr>
                              <pic:blipFill>
                                <a:blip r:embed="rId38"/>
                                <a:stretch>
                                  <a:fillRect/>
                                </a:stretch>
                              </pic:blipFill>
                              <pic:spPr>
                                <a:xfrm>
                                  <a:off x="0" y="0"/>
                                  <a:ext cx="1341755" cy="1570990"/>
                                </a:xfrm>
                                <a:prstGeom prst="rect">
                                  <a:avLst/>
                                </a:prstGeom>
                                <a:noFill/>
                                <a:ln>
                                  <a:noFill/>
                                </a:ln>
                              </pic:spPr>
                            </pic:pic>
                          </a:graphicData>
                        </a:graphic>
                      </wp:inline>
                    </w:drawing>
                  </w:r>
                </w:p>
                <w:p w14:paraId="59D97DB7">
                  <w:pPr>
                    <w:widowControl/>
                    <w:jc w:val="left"/>
                    <w:rPr>
                      <w:rFonts w:hint="eastAsia" w:ascii="宋体" w:hAnsi="宋体" w:eastAsia="宋体" w:cs="宋体"/>
                      <w:color w:val="auto"/>
                      <w:sz w:val="22"/>
                      <w:szCs w:val="22"/>
                      <w:highlight w:val="none"/>
                    </w:rPr>
                  </w:pPr>
                </w:p>
              </w:tc>
            </w:tr>
          </w:tbl>
          <w:p w14:paraId="54BF57BE">
            <w:pPr>
              <w:widowControl/>
              <w:jc w:val="left"/>
              <w:rPr>
                <w:rFonts w:hint="eastAsia" w:ascii="宋体" w:hAnsi="宋体" w:eastAsia="宋体" w:cs="宋体"/>
                <w:color w:val="auto"/>
                <w:sz w:val="22"/>
                <w:szCs w:val="22"/>
                <w:highlight w:val="none"/>
              </w:rPr>
            </w:pPr>
          </w:p>
          <w:p w14:paraId="12A605AD">
            <w:pPr>
              <w:rPr>
                <w:rFonts w:hint="eastAsia" w:ascii="宋体" w:hAnsi="宋体" w:eastAsia="宋体" w:cs="宋体"/>
                <w:color w:val="auto"/>
                <w:sz w:val="22"/>
                <w:szCs w:val="22"/>
                <w:highlight w:val="none"/>
              </w:rPr>
            </w:pPr>
          </w:p>
          <w:p w14:paraId="5761529E">
            <w:pPr>
              <w:numPr>
                <w:ilvl w:val="0"/>
                <w:numId w:val="0"/>
              </w:numPr>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bidi="ar-SA"/>
              </w:rPr>
              <w:t>（6）</w:t>
            </w:r>
            <w:r>
              <w:rPr>
                <w:rFonts w:hint="eastAsia" w:ascii="宋体" w:hAnsi="宋体" w:eastAsia="宋体" w:cs="宋体"/>
                <w:color w:val="auto"/>
                <w:sz w:val="22"/>
                <w:szCs w:val="22"/>
                <w:highlight w:val="none"/>
                <w:lang w:val="en-US" w:eastAsia="zh-CN"/>
              </w:rPr>
              <w:t>值班床</w:t>
            </w:r>
          </w:p>
          <w:p w14:paraId="7FA204B1">
            <w:pP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床立柱：采用优质冷轧钢板经特制成型线轧制成中空异形结构，立柱立面应至少有2条宽度≥5mm向内凹的加强筋，达到加强硬度作用。立柱成型后截面尺寸应≥72mm×72mm。所用材料的喷塑前厚度应≥1.3mm，立柱两端带有塑胶套；</w:t>
            </w:r>
          </w:p>
          <w:p w14:paraId="1783D11B">
            <w:pP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2.长横梁 ：采用优质冷轧钢板经特制成型线轧制成中空异形结构，正面应至少有1条宽度≥20mm向内凹的加强筋，以确保结构牢固。横梁成型后截面尺寸应≥80mm×38mm，所用材料的喷塑前厚度应≥1.3mm；</w:t>
            </w:r>
          </w:p>
          <w:p w14:paraId="77B20210">
            <w:pP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3.短横梁 结构与材质：采用优质冷轧钢板经特制成型线轧制成中空异形结构，正面应至少有1条宽度≥20mm向内凹的加强筋，以确保结构牢固。横梁成型后截面尺寸应≥80mm×38mm。所用材料的喷塑前厚度应≥1.2mm；</w:t>
            </w:r>
          </w:p>
          <w:p w14:paraId="331A95C2">
            <w:pP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4.床支撑材质与规格：采用截面不小于30mm×20mm的优质方形钢管制作。钢管喷塑前壁厚应≥0.9mm；</w:t>
            </w:r>
          </w:p>
          <w:p w14:paraId="71C19C53">
            <w:pP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5.前护栏规格：长度≥1350mm，高度≥300mm。框架：采用≥20mm×20mm方管制作，喷塑前壁厚应≥1.0mm。内嵌板：框架内应嵌装厚度≥18mm、高度≥100mm且符合E0级环保标准三聚氰胺板，四周进行封边处理，木材需经杀虫、烘干、防腐防霉处理；</w:t>
            </w:r>
          </w:p>
          <w:p w14:paraId="7F1513A8">
            <w:pPr>
              <w:rPr>
                <w:rFonts w:hint="eastAsia" w:ascii="宋体" w:hAnsi="宋体" w:eastAsia="宋体" w:cs="宋体"/>
                <w:color w:val="FF0000"/>
                <w:sz w:val="22"/>
                <w:szCs w:val="22"/>
                <w:highlight w:val="none"/>
              </w:rPr>
            </w:pPr>
            <w:r>
              <w:rPr>
                <w:rFonts w:hint="eastAsia" w:ascii="宋体" w:hAnsi="宋体" w:eastAsia="宋体" w:cs="宋体"/>
                <w:color w:val="FF0000"/>
                <w:sz w:val="22"/>
                <w:szCs w:val="22"/>
                <w:highlight w:val="none"/>
              </w:rPr>
              <w:t>6.侧护栏规格：侧护栏采用中空吹塑工艺，表面皮纹处理造型美观，材料为HDPE 高密度聚乙烯。长*宽*厚度最大尺寸要求：长度≥745mm，高度≥315mm，厚度为30±2mm。在挡头的左右两侧均有一次成型的警示线和刻度线，以确保符合国家标准的要求。挡头采用预埋2个M6螺母，以保证与立柱的连接可靠，底部凸起两个圆柱嵌入短横梁，以保证侧护栏整体稳固；</w:t>
            </w:r>
          </w:p>
          <w:p w14:paraId="27D32FAC">
            <w:pP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7.床楼梯 (爬梯)立柱：爬梯立柱采用25*25mm方形钢管制作，未喷塑钢管未喷塑厚度≥1.2mm，床梯支撑架采用20*20mm方形钢管制作，未喷塑钢管厚度≥1.2mm。踏板：踏板由一次注塑成型的荧光片内嵌于冲压成型的优质钢板所组成。脚踏板规格（总长*总宽*高）≥ 385mm * 65mm*9mm。钢板厚度≧1.7mm。踏板中间具有3条长防滑条纹，大小为7x108mm（±2mm），踏板两侧各有4条短斜防滑条纹6*20 mm（±2mm）。踏板表面内嵌4颗人字形荧光片，其大小尺寸：15 mm x15mm（±2mm）；</w:t>
            </w:r>
          </w:p>
          <w:p w14:paraId="67021DCB">
            <w:pP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8.连接件 结构与工艺：需经冲压成型为L型，并有三个连接卡口。尺寸与厚度：成型后尺寸应≥190mm×26mm×26mm。所用材料的喷塑前厚度应≥2.0mm；</w:t>
            </w:r>
          </w:p>
          <w:p w14:paraId="5A5A4A19">
            <w:pP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9.立柱防护胶套用途：安装于床架与地面接触的部位，起保护、防滑和缓冲作用。</w:t>
            </w:r>
          </w:p>
          <w:p w14:paraId="76BD35E2">
            <w:pP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10、 床板要求</w:t>
            </w:r>
          </w:p>
          <w:p w14:paraId="297E277E">
            <w:pP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材质：采用双面刨光杉木板，厚度16mm。</w:t>
            </w:r>
          </w:p>
          <w:p w14:paraId="3FEB7CED">
            <w:pP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结构：由5片或7片铺板组成，板间缝隙≤3mm。背面辅以4根四面刨光的30mm×40mm杉木条（床板档），用地板钉与铺板可靠连接。</w:t>
            </w:r>
          </w:p>
          <w:p w14:paraId="2EB05BD6">
            <w:pP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质量：无板皮、无发霉、无蛀孔、无影响结构的烂疤。整体制作牢固可靠。</w:t>
            </w:r>
          </w:p>
          <w:p w14:paraId="0642FD66">
            <w:pP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处理：木材需经过杀虫、烘干、防腐、防霉处理，含水率符合国家及地区标准。</w:t>
            </w:r>
          </w:p>
          <w:p w14:paraId="257D911D">
            <w:pP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规格：按钢架床内部实际空间尺寸定制，如图所示：</w:t>
            </w:r>
          </w:p>
          <w:p w14:paraId="2CFA7FFD">
            <w:pP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11、 安全尺寸要求</w:t>
            </w:r>
          </w:p>
          <w:p w14:paraId="3BAA1BCD">
            <w:pP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安全栏板缺口长度：500~600 mm。</w:t>
            </w:r>
          </w:p>
          <w:p w14:paraId="05F01373">
            <w:pP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扶梯净宽：≥350mm。</w:t>
            </w:r>
          </w:p>
          <w:p w14:paraId="7760A365">
            <w:pP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扶梯梯蹬净间距：300~340 mm。</w:t>
            </w:r>
          </w:p>
          <w:p w14:paraId="4818B1CA">
            <w:pP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梯蹬宽度：≥50 mm。</w:t>
            </w:r>
          </w:p>
          <w:p w14:paraId="16D0EA33">
            <w:pP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大样：根据参数和产品图</w:t>
            </w:r>
            <w:r>
              <w:rPr>
                <w:rFonts w:hint="eastAsia" w:ascii="宋体" w:hAnsi="宋体" w:eastAsia="宋体" w:cs="宋体"/>
                <w:color w:val="auto"/>
                <w:sz w:val="22"/>
                <w:szCs w:val="22"/>
                <w:highlight w:val="none"/>
                <w:lang w:val="en-US" w:eastAsia="zh-CN"/>
              </w:rPr>
              <w:t>提供值班床</w:t>
            </w:r>
            <w:r>
              <w:rPr>
                <w:rFonts w:hint="eastAsia" w:ascii="宋体" w:hAnsi="宋体" w:eastAsia="宋体" w:cs="宋体"/>
                <w:color w:val="auto"/>
                <w:sz w:val="22"/>
                <w:szCs w:val="22"/>
                <w:highlight w:val="none"/>
              </w:rPr>
              <w:t>一套</w:t>
            </w:r>
            <w:r>
              <w:rPr>
                <w:rFonts w:hint="eastAsia" w:ascii="宋体" w:hAnsi="宋体" w:eastAsia="宋体" w:cs="宋体"/>
                <w:color w:val="auto"/>
                <w:sz w:val="22"/>
                <w:szCs w:val="22"/>
                <w:highlight w:val="none"/>
                <w:lang w:eastAsia="zh-CN"/>
              </w:rPr>
              <w:t>（</w:t>
            </w:r>
            <w:r>
              <w:rPr>
                <w:rFonts w:hint="eastAsia" w:ascii="宋体" w:hAnsi="宋体" w:eastAsia="宋体" w:cs="宋体"/>
                <w:color w:val="auto"/>
                <w:sz w:val="22"/>
                <w:szCs w:val="22"/>
                <w:highlight w:val="none"/>
                <w:lang w:val="en-US" w:eastAsia="zh-CN"/>
              </w:rPr>
              <w:t>配置要求如下</w:t>
            </w:r>
            <w:r>
              <w:rPr>
                <w:rFonts w:hint="eastAsia" w:ascii="宋体" w:hAnsi="宋体" w:eastAsia="宋体" w:cs="宋体"/>
                <w:color w:val="auto"/>
                <w:sz w:val="22"/>
                <w:szCs w:val="22"/>
                <w:highlight w:val="none"/>
                <w:lang w:eastAsia="zh-CN"/>
              </w:rPr>
              <w:t>）</w:t>
            </w:r>
            <w:r>
              <w:rPr>
                <w:rFonts w:hint="eastAsia" w:ascii="宋体" w:hAnsi="宋体" w:eastAsia="宋体" w:cs="宋体"/>
                <w:color w:val="auto"/>
                <w:sz w:val="22"/>
                <w:szCs w:val="22"/>
                <w:highlight w:val="none"/>
              </w:rPr>
              <w:t>。产品外观尺寸偏差不得超过（±</w:t>
            </w:r>
            <w:r>
              <w:rPr>
                <w:rFonts w:hint="eastAsia" w:ascii="宋体" w:hAnsi="宋体" w:eastAsia="宋体" w:cs="宋体"/>
                <w:color w:val="auto"/>
                <w:sz w:val="22"/>
                <w:szCs w:val="22"/>
                <w:highlight w:val="none"/>
                <w:lang w:val="en-US" w:eastAsia="zh-CN"/>
              </w:rPr>
              <w:t>5</w:t>
            </w:r>
            <w:r>
              <w:rPr>
                <w:rFonts w:hint="eastAsia" w:ascii="宋体" w:hAnsi="宋体" w:eastAsia="宋体" w:cs="宋体"/>
                <w:color w:val="auto"/>
                <w:sz w:val="22"/>
                <w:szCs w:val="22"/>
                <w:highlight w:val="none"/>
              </w:rPr>
              <w:t>mm），部件尺寸偏差不得超过（±</w:t>
            </w:r>
            <w:r>
              <w:rPr>
                <w:rFonts w:hint="eastAsia" w:ascii="宋体" w:hAnsi="宋体" w:eastAsia="宋体" w:cs="宋体"/>
                <w:color w:val="auto"/>
                <w:sz w:val="22"/>
                <w:szCs w:val="22"/>
                <w:highlight w:val="none"/>
                <w:lang w:val="en-US" w:eastAsia="zh-CN"/>
              </w:rPr>
              <w:t>5</w:t>
            </w:r>
            <w:r>
              <w:rPr>
                <w:rFonts w:hint="eastAsia" w:ascii="宋体" w:hAnsi="宋体" w:eastAsia="宋体" w:cs="宋体"/>
                <w:color w:val="auto"/>
                <w:sz w:val="22"/>
                <w:szCs w:val="22"/>
                <w:highlight w:val="none"/>
              </w:rPr>
              <w:t>mm）。</w:t>
            </w:r>
          </w:p>
          <w:p w14:paraId="49CB50E4">
            <w:pPr>
              <w:numPr>
                <w:ilvl w:val="0"/>
                <w:numId w:val="0"/>
              </w:numPr>
              <w:rPr>
                <w:rFonts w:hint="eastAsia" w:ascii="宋体" w:hAnsi="宋体" w:eastAsia="宋体" w:cs="宋体"/>
                <w:color w:val="auto"/>
                <w:sz w:val="22"/>
                <w:szCs w:val="22"/>
                <w:highlight w:val="none"/>
                <w:lang w:val="en-US" w:eastAsia="zh-CN"/>
              </w:rPr>
            </w:pPr>
          </w:p>
          <w:p w14:paraId="6B8D7529">
            <w:pPr>
              <w:numPr>
                <w:ilvl w:val="0"/>
                <w:numId w:val="0"/>
              </w:numPr>
              <w:rPr>
                <w:rFonts w:hint="eastAsia" w:ascii="宋体" w:hAnsi="宋体" w:eastAsia="宋体" w:cs="宋体"/>
                <w:color w:val="auto"/>
                <w:sz w:val="22"/>
                <w:szCs w:val="22"/>
                <w:highlight w:val="none"/>
                <w:lang w:val="en-US" w:eastAsia="zh-CN"/>
              </w:rPr>
            </w:pPr>
          </w:p>
          <w:tbl>
            <w:tblPr>
              <w:tblStyle w:val="4"/>
              <w:tblpPr w:leftFromText="180" w:rightFromText="180" w:vertAnchor="text" w:tblpXSpec="center" w:tblpY="1"/>
              <w:tblOverlap w:val="never"/>
              <w:tblW w:w="6803"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374"/>
              <w:gridCol w:w="422"/>
              <w:gridCol w:w="6007"/>
            </w:tblGrid>
            <w:tr w14:paraId="060E97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26" w:type="dxa"/>
                  <w:noWrap w:val="0"/>
                  <w:vAlign w:val="top"/>
                </w:tcPr>
                <w:p w14:paraId="348031F6">
                  <w:pPr>
                    <w:rPr>
                      <w:rFonts w:ascii="仿宋" w:hAnsi="仿宋" w:eastAsia="仿宋" w:cs="Times New Roman"/>
                      <w:color w:val="auto"/>
                      <w:szCs w:val="24"/>
                      <w:highlight w:val="none"/>
                    </w:rPr>
                  </w:pPr>
                  <w:r>
                    <w:rPr>
                      <w:rFonts w:hint="eastAsia" w:ascii="仿宋" w:hAnsi="仿宋" w:eastAsia="仿宋" w:cs="Times New Roman"/>
                      <w:color w:val="auto"/>
                      <w:szCs w:val="24"/>
                      <w:highlight w:val="none"/>
                    </w:rPr>
                    <w:t>序号</w:t>
                  </w:r>
                </w:p>
              </w:tc>
              <w:tc>
                <w:tcPr>
                  <w:tcW w:w="490" w:type="dxa"/>
                  <w:noWrap w:val="0"/>
                  <w:vAlign w:val="top"/>
                </w:tcPr>
                <w:p w14:paraId="72F4DC0D">
                  <w:pPr>
                    <w:rPr>
                      <w:rFonts w:ascii="仿宋" w:hAnsi="仿宋" w:eastAsia="仿宋" w:cs="Times New Roman"/>
                      <w:color w:val="auto"/>
                      <w:szCs w:val="24"/>
                      <w:highlight w:val="none"/>
                    </w:rPr>
                  </w:pPr>
                </w:p>
              </w:tc>
              <w:tc>
                <w:tcPr>
                  <w:tcW w:w="7986" w:type="dxa"/>
                  <w:noWrap w:val="0"/>
                  <w:vAlign w:val="top"/>
                </w:tcPr>
                <w:p w14:paraId="22C2F8DA">
                  <w:pPr>
                    <w:rPr>
                      <w:rFonts w:ascii="仿宋" w:hAnsi="仿宋" w:eastAsia="仿宋" w:cs="Times New Roman"/>
                      <w:color w:val="auto"/>
                      <w:szCs w:val="24"/>
                      <w:highlight w:val="none"/>
                    </w:rPr>
                  </w:pPr>
                </w:p>
              </w:tc>
            </w:tr>
            <w:tr w14:paraId="606BF3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48" w:hRule="atLeast"/>
              </w:trPr>
              <w:tc>
                <w:tcPr>
                  <w:tcW w:w="426" w:type="dxa"/>
                  <w:noWrap w:val="0"/>
                  <w:vAlign w:val="center"/>
                </w:tcPr>
                <w:p w14:paraId="4AE1CD85">
                  <w:pPr>
                    <w:rPr>
                      <w:rFonts w:ascii="仿宋" w:hAnsi="仿宋" w:eastAsia="仿宋" w:cs="Times New Roman"/>
                      <w:color w:val="auto"/>
                      <w:szCs w:val="24"/>
                      <w:highlight w:val="none"/>
                    </w:rPr>
                  </w:pPr>
                  <w:r>
                    <w:rPr>
                      <w:rFonts w:hint="eastAsia" w:ascii="仿宋" w:hAnsi="仿宋" w:eastAsia="仿宋" w:cs="Times New Roman"/>
                      <w:color w:val="auto"/>
                      <w:szCs w:val="24"/>
                      <w:highlight w:val="none"/>
                    </w:rPr>
                    <w:t>1</w:t>
                  </w:r>
                </w:p>
              </w:tc>
              <w:tc>
                <w:tcPr>
                  <w:tcW w:w="490" w:type="dxa"/>
                  <w:noWrap w:val="0"/>
                  <w:vAlign w:val="center"/>
                </w:tcPr>
                <w:p w14:paraId="45571FBA">
                  <w:pPr>
                    <w:rPr>
                      <w:rFonts w:hint="default" w:ascii="仿宋" w:hAnsi="仿宋" w:eastAsia="仿宋" w:cs="Times New Roman"/>
                      <w:color w:val="auto"/>
                      <w:szCs w:val="24"/>
                      <w:highlight w:val="none"/>
                      <w:lang w:val="en-US" w:eastAsia="zh-CN"/>
                    </w:rPr>
                  </w:pPr>
                  <w:r>
                    <w:rPr>
                      <w:rFonts w:hint="eastAsia" w:ascii="仿宋" w:hAnsi="仿宋" w:eastAsia="仿宋" w:cs="Times New Roman"/>
                      <w:color w:val="auto"/>
                      <w:szCs w:val="24"/>
                      <w:highlight w:val="none"/>
                      <w:lang w:val="en-US" w:eastAsia="zh-CN"/>
                    </w:rPr>
                    <w:t>整体图</w:t>
                  </w:r>
                </w:p>
              </w:tc>
              <w:tc>
                <w:tcPr>
                  <w:tcW w:w="7986" w:type="dxa"/>
                  <w:noWrap w:val="0"/>
                  <w:vAlign w:val="top"/>
                </w:tcPr>
                <w:p w14:paraId="4F2623A0">
                  <w:pPr>
                    <w:rPr>
                      <w:rFonts w:ascii="仿宋" w:hAnsi="仿宋" w:eastAsia="仿宋" w:cs="Times New Roman"/>
                      <w:color w:val="auto"/>
                      <w:szCs w:val="24"/>
                      <w:highlight w:val="none"/>
                    </w:rPr>
                  </w:pPr>
                  <w:r>
                    <w:rPr>
                      <w:color w:val="auto"/>
                      <w:highlight w:val="none"/>
                    </w:rPr>
                    <w:drawing>
                      <wp:anchor distT="0" distB="0" distL="114300" distR="114300" simplePos="0" relativeHeight="251659264" behindDoc="0" locked="0" layoutInCell="1" allowOverlap="1">
                        <wp:simplePos x="0" y="0"/>
                        <wp:positionH relativeFrom="column">
                          <wp:posOffset>407035</wp:posOffset>
                        </wp:positionH>
                        <wp:positionV relativeFrom="paragraph">
                          <wp:posOffset>122555</wp:posOffset>
                        </wp:positionV>
                        <wp:extent cx="2075815" cy="2230120"/>
                        <wp:effectExtent l="0" t="0" r="635" b="17780"/>
                        <wp:wrapNone/>
                        <wp:docPr id="3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1"/>
                                <pic:cNvPicPr>
                                  <a:picLocks noChangeAspect="1"/>
                                </pic:cNvPicPr>
                              </pic:nvPicPr>
                              <pic:blipFill>
                                <a:blip r:embed="rId39"/>
                                <a:stretch>
                                  <a:fillRect/>
                                </a:stretch>
                              </pic:blipFill>
                              <pic:spPr>
                                <a:xfrm>
                                  <a:off x="0" y="0"/>
                                  <a:ext cx="2075815" cy="2230120"/>
                                </a:xfrm>
                                <a:prstGeom prst="rect">
                                  <a:avLst/>
                                </a:prstGeom>
                                <a:noFill/>
                                <a:ln>
                                  <a:noFill/>
                                </a:ln>
                              </pic:spPr>
                            </pic:pic>
                          </a:graphicData>
                        </a:graphic>
                      </wp:anchor>
                    </w:drawing>
                  </w:r>
                </w:p>
                <w:p w14:paraId="77522391">
                  <w:pPr>
                    <w:rPr>
                      <w:rFonts w:ascii="仿宋" w:hAnsi="仿宋" w:eastAsia="仿宋" w:cs="Times New Roman"/>
                      <w:color w:val="auto"/>
                      <w:szCs w:val="24"/>
                      <w:highlight w:val="none"/>
                    </w:rPr>
                  </w:pPr>
                </w:p>
              </w:tc>
            </w:tr>
            <w:tr w14:paraId="5D6BBC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59" w:hRule="atLeast"/>
              </w:trPr>
              <w:tc>
                <w:tcPr>
                  <w:tcW w:w="426" w:type="dxa"/>
                  <w:noWrap w:val="0"/>
                  <w:vAlign w:val="center"/>
                </w:tcPr>
                <w:p w14:paraId="60D7DF11">
                  <w:pPr>
                    <w:rPr>
                      <w:rFonts w:ascii="仿宋" w:hAnsi="仿宋" w:eastAsia="仿宋" w:cs="Times New Roman"/>
                      <w:color w:val="FF0000"/>
                      <w:szCs w:val="24"/>
                      <w:highlight w:val="none"/>
                    </w:rPr>
                  </w:pPr>
                  <w:r>
                    <w:rPr>
                      <w:rFonts w:hint="eastAsia" w:ascii="仿宋" w:hAnsi="仿宋" w:eastAsia="仿宋" w:cs="Times New Roman"/>
                      <w:color w:val="FF0000"/>
                      <w:szCs w:val="24"/>
                      <w:highlight w:val="none"/>
                    </w:rPr>
                    <w:t>2</w:t>
                  </w:r>
                </w:p>
              </w:tc>
              <w:tc>
                <w:tcPr>
                  <w:tcW w:w="490" w:type="dxa"/>
                  <w:noWrap w:val="0"/>
                  <w:vAlign w:val="center"/>
                </w:tcPr>
                <w:p w14:paraId="6A3FE429">
                  <w:pPr>
                    <w:rPr>
                      <w:rFonts w:hint="default" w:ascii="仿宋" w:hAnsi="仿宋" w:eastAsia="仿宋" w:cs="Times New Roman"/>
                      <w:color w:val="FF0000"/>
                      <w:szCs w:val="24"/>
                      <w:highlight w:val="none"/>
                      <w:lang w:val="en-US" w:eastAsia="zh-CN"/>
                    </w:rPr>
                  </w:pPr>
                  <w:r>
                    <w:rPr>
                      <w:rFonts w:hint="eastAsia" w:ascii="仿宋" w:hAnsi="仿宋" w:eastAsia="仿宋" w:cs="Times New Roman"/>
                      <w:color w:val="FF0000"/>
                      <w:szCs w:val="24"/>
                      <w:highlight w:val="none"/>
                      <w:lang w:val="en-US" w:eastAsia="zh-CN"/>
                    </w:rPr>
                    <w:t>正视图</w:t>
                  </w:r>
                </w:p>
              </w:tc>
              <w:tc>
                <w:tcPr>
                  <w:tcW w:w="7986" w:type="dxa"/>
                  <w:noWrap w:val="0"/>
                  <w:vAlign w:val="top"/>
                </w:tcPr>
                <w:p w14:paraId="5921C493">
                  <w:pPr>
                    <w:rPr>
                      <w:rFonts w:ascii="Times New Roman" w:hAnsi="Times New Roman" w:eastAsia="宋体" w:cs="Times New Roman"/>
                      <w:color w:val="FF0000"/>
                      <w:szCs w:val="24"/>
                      <w:highlight w:val="none"/>
                    </w:rPr>
                  </w:pPr>
                  <w:r>
                    <w:rPr>
                      <w:rFonts w:ascii="仿宋" w:hAnsi="仿宋" w:eastAsia="仿宋" w:cs="Calibri"/>
                      <w:color w:val="FF0000"/>
                      <w:szCs w:val="24"/>
                      <w:highlight w:val="none"/>
                    </w:rPr>
                    <w:t xml:space="preserve"> </w:t>
                  </w:r>
                  <w:r>
                    <w:rPr>
                      <w:rFonts w:ascii="Times New Roman" w:hAnsi="Times New Roman" w:eastAsia="宋体" w:cs="Times New Roman"/>
                      <w:color w:val="FF0000"/>
                      <w:szCs w:val="24"/>
                      <w:highlight w:val="none"/>
                    </w:rPr>
                    <w:t xml:space="preserve"> </w:t>
                  </w:r>
                </w:p>
                <w:p w14:paraId="736AD8A9">
                  <w:pPr>
                    <w:rPr>
                      <w:rFonts w:ascii="仿宋" w:hAnsi="仿宋" w:eastAsia="仿宋" w:cs="Times New Roman"/>
                      <w:color w:val="FF0000"/>
                      <w:szCs w:val="24"/>
                      <w:highlight w:val="none"/>
                    </w:rPr>
                  </w:pPr>
                  <w:r>
                    <w:rPr>
                      <w:color w:val="FF0000"/>
                      <w:highlight w:val="none"/>
                    </w:rPr>
                    <w:drawing>
                      <wp:inline distT="0" distB="0" distL="114300" distR="114300">
                        <wp:extent cx="2490470" cy="2304415"/>
                        <wp:effectExtent l="0" t="0" r="5080" b="635"/>
                        <wp:docPr id="172"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 name="图片 16"/>
                                <pic:cNvPicPr>
                                  <a:picLocks noChangeAspect="1"/>
                                </pic:cNvPicPr>
                              </pic:nvPicPr>
                              <pic:blipFill>
                                <a:blip r:embed="rId40"/>
                                <a:stretch>
                                  <a:fillRect/>
                                </a:stretch>
                              </pic:blipFill>
                              <pic:spPr>
                                <a:xfrm>
                                  <a:off x="0" y="0"/>
                                  <a:ext cx="2490470" cy="2304415"/>
                                </a:xfrm>
                                <a:prstGeom prst="rect">
                                  <a:avLst/>
                                </a:prstGeom>
                                <a:noFill/>
                                <a:ln>
                                  <a:noFill/>
                                </a:ln>
                              </pic:spPr>
                            </pic:pic>
                          </a:graphicData>
                        </a:graphic>
                      </wp:inline>
                    </w:drawing>
                  </w:r>
                </w:p>
              </w:tc>
            </w:tr>
            <w:tr w14:paraId="3E9435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786" w:hRule="atLeast"/>
              </w:trPr>
              <w:tc>
                <w:tcPr>
                  <w:tcW w:w="426" w:type="dxa"/>
                  <w:noWrap w:val="0"/>
                  <w:vAlign w:val="center"/>
                </w:tcPr>
                <w:p w14:paraId="1946D7DD">
                  <w:pPr>
                    <w:jc w:val="center"/>
                    <w:rPr>
                      <w:rFonts w:hint="eastAsia" w:ascii="仿宋" w:hAnsi="仿宋" w:eastAsia="仿宋" w:cs="Times New Roman"/>
                      <w:color w:val="auto"/>
                      <w:szCs w:val="24"/>
                      <w:highlight w:val="none"/>
                      <w:lang w:eastAsia="zh-CN"/>
                    </w:rPr>
                  </w:pPr>
                  <w:r>
                    <w:rPr>
                      <w:rFonts w:hint="eastAsia" w:ascii="仿宋" w:hAnsi="仿宋" w:eastAsia="仿宋" w:cs="Times New Roman"/>
                      <w:color w:val="auto"/>
                      <w:szCs w:val="24"/>
                      <w:highlight w:val="none"/>
                      <w:lang w:val="en-US" w:eastAsia="zh-CN"/>
                    </w:rPr>
                    <w:t>3</w:t>
                  </w:r>
                </w:p>
              </w:tc>
              <w:tc>
                <w:tcPr>
                  <w:tcW w:w="490" w:type="dxa"/>
                  <w:noWrap w:val="0"/>
                  <w:vAlign w:val="center"/>
                </w:tcPr>
                <w:p w14:paraId="7E0DCDF7">
                  <w:pPr>
                    <w:jc w:val="center"/>
                    <w:rPr>
                      <w:rFonts w:hint="eastAsia" w:ascii="仿宋" w:hAnsi="仿宋" w:eastAsia="仿宋" w:cs="Times New Roman"/>
                      <w:color w:val="auto"/>
                      <w:szCs w:val="24"/>
                      <w:highlight w:val="none"/>
                      <w:lang w:eastAsia="zh-CN"/>
                    </w:rPr>
                  </w:pPr>
                  <w:r>
                    <w:rPr>
                      <w:rFonts w:hint="eastAsia" w:ascii="仿宋" w:hAnsi="仿宋" w:eastAsia="仿宋" w:cs="Times New Roman"/>
                      <w:color w:val="auto"/>
                      <w:szCs w:val="24"/>
                      <w:highlight w:val="none"/>
                      <w:lang w:val="en-US" w:eastAsia="zh-CN"/>
                    </w:rPr>
                    <w:t>侧视图</w:t>
                  </w:r>
                </w:p>
              </w:tc>
              <w:tc>
                <w:tcPr>
                  <w:tcW w:w="7986" w:type="dxa"/>
                  <w:noWrap w:val="0"/>
                  <w:vAlign w:val="top"/>
                </w:tcPr>
                <w:p w14:paraId="353EFD97">
                  <w:pPr>
                    <w:jc w:val="center"/>
                    <w:rPr>
                      <w:rFonts w:ascii="仿宋" w:hAnsi="仿宋" w:eastAsia="仿宋" w:cs="Times New Roman"/>
                      <w:color w:val="auto"/>
                      <w:szCs w:val="24"/>
                      <w:highlight w:val="none"/>
                    </w:rPr>
                  </w:pPr>
                  <w:r>
                    <w:rPr>
                      <w:color w:val="auto"/>
                      <w:highlight w:val="none"/>
                    </w:rPr>
                    <w:drawing>
                      <wp:anchor distT="0" distB="0" distL="114300" distR="114300" simplePos="0" relativeHeight="251660288" behindDoc="0" locked="0" layoutInCell="1" allowOverlap="1">
                        <wp:simplePos x="0" y="0"/>
                        <wp:positionH relativeFrom="column">
                          <wp:posOffset>768350</wp:posOffset>
                        </wp:positionH>
                        <wp:positionV relativeFrom="paragraph">
                          <wp:posOffset>40640</wp:posOffset>
                        </wp:positionV>
                        <wp:extent cx="1282065" cy="2626995"/>
                        <wp:effectExtent l="0" t="0" r="13335" b="1905"/>
                        <wp:wrapSquare wrapText="bothSides"/>
                        <wp:docPr id="4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1"/>
                                <pic:cNvPicPr>
                                  <a:picLocks noChangeAspect="1"/>
                                </pic:cNvPicPr>
                              </pic:nvPicPr>
                              <pic:blipFill>
                                <a:blip r:embed="rId41"/>
                                <a:stretch>
                                  <a:fillRect/>
                                </a:stretch>
                              </pic:blipFill>
                              <pic:spPr>
                                <a:xfrm>
                                  <a:off x="0" y="0"/>
                                  <a:ext cx="1282065" cy="2626995"/>
                                </a:xfrm>
                                <a:prstGeom prst="rect">
                                  <a:avLst/>
                                </a:prstGeom>
                                <a:noFill/>
                                <a:ln>
                                  <a:noFill/>
                                </a:ln>
                              </pic:spPr>
                            </pic:pic>
                          </a:graphicData>
                        </a:graphic>
                      </wp:anchor>
                    </w:drawing>
                  </w:r>
                </w:p>
              </w:tc>
            </w:tr>
            <w:tr w14:paraId="0C6039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977" w:hRule="atLeast"/>
              </w:trPr>
              <w:tc>
                <w:tcPr>
                  <w:tcW w:w="426" w:type="dxa"/>
                  <w:noWrap w:val="0"/>
                  <w:vAlign w:val="center"/>
                </w:tcPr>
                <w:p w14:paraId="11E941F1">
                  <w:pPr>
                    <w:jc w:val="left"/>
                    <w:rPr>
                      <w:rFonts w:hint="default" w:ascii="仿宋" w:hAnsi="仿宋" w:eastAsia="仿宋" w:cs="Times New Roman"/>
                      <w:color w:val="FF0000"/>
                      <w:szCs w:val="24"/>
                      <w:highlight w:val="none"/>
                      <w:lang w:val="en-US" w:eastAsia="zh-CN"/>
                    </w:rPr>
                  </w:pPr>
                  <w:r>
                    <w:rPr>
                      <w:rFonts w:hint="eastAsia" w:ascii="仿宋" w:hAnsi="仿宋" w:eastAsia="仿宋" w:cs="Times New Roman"/>
                      <w:color w:val="FF0000"/>
                      <w:szCs w:val="24"/>
                      <w:highlight w:val="none"/>
                      <w:lang w:val="en-US" w:eastAsia="zh-CN"/>
                    </w:rPr>
                    <w:t>4</w:t>
                  </w:r>
                </w:p>
              </w:tc>
              <w:tc>
                <w:tcPr>
                  <w:tcW w:w="490" w:type="dxa"/>
                  <w:noWrap w:val="0"/>
                  <w:vAlign w:val="center"/>
                </w:tcPr>
                <w:p w14:paraId="317DE672">
                  <w:pPr>
                    <w:jc w:val="left"/>
                    <w:rPr>
                      <w:rFonts w:hint="eastAsia"/>
                      <w:color w:val="FF0000"/>
                      <w:highlight w:val="none"/>
                    </w:rPr>
                  </w:pPr>
                  <w:r>
                    <w:rPr>
                      <w:rFonts w:hint="eastAsia"/>
                      <w:color w:val="FF0000"/>
                      <w:highlight w:val="none"/>
                    </w:rPr>
                    <w:t>前护栏</w:t>
                  </w:r>
                </w:p>
              </w:tc>
              <w:tc>
                <w:tcPr>
                  <w:tcW w:w="7986" w:type="dxa"/>
                  <w:noWrap w:val="0"/>
                  <w:vAlign w:val="top"/>
                </w:tcPr>
                <w:p w14:paraId="05D4B7A2">
                  <w:pPr>
                    <w:jc w:val="left"/>
                    <w:rPr>
                      <w:rFonts w:ascii="仿宋" w:hAnsi="仿宋" w:eastAsia="仿宋" w:cs="Times New Roman"/>
                      <w:color w:val="FF0000"/>
                      <w:szCs w:val="24"/>
                      <w:highlight w:val="none"/>
                    </w:rPr>
                  </w:pPr>
                  <w:r>
                    <w:rPr>
                      <w:color w:val="FF0000"/>
                      <w:highlight w:val="none"/>
                    </w:rPr>
                    <w:drawing>
                      <wp:inline distT="0" distB="0" distL="114300" distR="114300">
                        <wp:extent cx="2762250" cy="873760"/>
                        <wp:effectExtent l="0" t="0" r="0" b="2540"/>
                        <wp:docPr id="173"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 name="图片 17"/>
                                <pic:cNvPicPr>
                                  <a:picLocks noChangeAspect="1"/>
                                </pic:cNvPicPr>
                              </pic:nvPicPr>
                              <pic:blipFill>
                                <a:blip r:embed="rId42"/>
                                <a:stretch>
                                  <a:fillRect/>
                                </a:stretch>
                              </pic:blipFill>
                              <pic:spPr>
                                <a:xfrm>
                                  <a:off x="0" y="0"/>
                                  <a:ext cx="2762250" cy="873760"/>
                                </a:xfrm>
                                <a:prstGeom prst="rect">
                                  <a:avLst/>
                                </a:prstGeom>
                                <a:noFill/>
                                <a:ln>
                                  <a:noFill/>
                                </a:ln>
                              </pic:spPr>
                            </pic:pic>
                          </a:graphicData>
                        </a:graphic>
                      </wp:inline>
                    </w:drawing>
                  </w:r>
                </w:p>
              </w:tc>
            </w:tr>
          </w:tbl>
          <w:p w14:paraId="50AD4A7D">
            <w:pPr>
              <w:rPr>
                <w:rFonts w:hint="eastAsia" w:ascii="宋体" w:hAnsi="宋体" w:cs="宋体"/>
                <w:b/>
                <w:bCs/>
                <w:color w:val="auto"/>
                <w:sz w:val="21"/>
                <w:szCs w:val="21"/>
                <w:highlight w:val="none"/>
                <w:u w:val="single"/>
                <w:lang w:val="zh-CN" w:bidi="zh-CN"/>
              </w:rPr>
            </w:pPr>
          </w:p>
          <w:p w14:paraId="38668235">
            <w:pPr>
              <w:rPr>
                <w:rFonts w:hint="eastAsia" w:ascii="宋体" w:hAnsi="宋体" w:cs="宋体"/>
                <w:color w:val="auto"/>
                <w:sz w:val="21"/>
                <w:szCs w:val="21"/>
                <w:highlight w:val="none"/>
                <w:lang w:val="zh-CN" w:bidi="zh-CN"/>
              </w:rPr>
            </w:pPr>
          </w:p>
          <w:p w14:paraId="11BEC929">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（二）样品的评审方法以及评审标准：详见评标办法；</w:t>
            </w:r>
          </w:p>
          <w:p w14:paraId="0CA046AE">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（三）是否需要随样品提交检测报告：否；，检测机构的要求：无；检测内容：无。</w:t>
            </w:r>
          </w:p>
          <w:p w14:paraId="64494F95">
            <w:pPr>
              <w:spacing w:line="360" w:lineRule="auto"/>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rPr>
              <w:t>（四）提供样品的时间：2026年8月1</w:t>
            </w:r>
            <w:r>
              <w:rPr>
                <w:rFonts w:hint="eastAsia" w:ascii="宋体" w:hAnsi="宋体" w:eastAsia="宋体" w:cs="宋体"/>
                <w:b/>
                <w:bCs/>
                <w:color w:val="auto"/>
                <w:sz w:val="21"/>
                <w:szCs w:val="21"/>
                <w:highlight w:val="none"/>
                <w:lang w:val="en-US" w:eastAsia="zh-CN"/>
              </w:rPr>
              <w:t>1</w:t>
            </w:r>
            <w:r>
              <w:rPr>
                <w:rFonts w:hint="eastAsia" w:ascii="宋体" w:hAnsi="宋体" w:eastAsia="宋体" w:cs="宋体"/>
                <w:b/>
                <w:bCs/>
                <w:color w:val="auto"/>
                <w:sz w:val="21"/>
                <w:szCs w:val="21"/>
                <w:highlight w:val="none"/>
              </w:rPr>
              <w:t>日9:00-17:00；地点：丹阳市开发区兰陵路88号4楼418室；联系人：王东，联系电话：0511-86906230 。</w:t>
            </w:r>
            <w:r>
              <w:rPr>
                <w:rFonts w:hint="eastAsia" w:ascii="宋体" w:hAnsi="宋体" w:eastAsia="宋体" w:cs="宋体"/>
                <w:color w:val="auto"/>
                <w:sz w:val="21"/>
                <w:szCs w:val="21"/>
                <w:highlight w:val="none"/>
              </w:rPr>
              <w:t>请投标人在上述时间内提供样品并按规定位置安装完毕。超过截止时间的，采购人或采购代理机构将不予接收及安装，并将清场并封闭样品现场。</w:t>
            </w:r>
          </w:p>
          <w:p w14:paraId="33F28B93">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五）采购活动结束后，对于未中标人提供的样品，采购人、采购机构将通知未中标人在规定的时间内取回，逾期未取回的，采购人、采购机构不负保管义务；对于中标人提供的样品，采购人将进行保管、封存，并作为履约验收的参考。</w:t>
            </w:r>
          </w:p>
          <w:p w14:paraId="6E16D9DB">
            <w:pPr>
              <w:spacing w:line="360" w:lineRule="auto"/>
              <w:ind w:firstLine="1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（六）制作、运输、安装和保管样品所发生的一切费用由投标人自理。</w:t>
            </w:r>
          </w:p>
          <w:p w14:paraId="446E2BC9">
            <w:pPr>
              <w:spacing w:line="360" w:lineRule="auto"/>
              <w:rPr>
                <w:rFonts w:hint="eastAsia" w:ascii="宋体" w:hAnsi="宋体" w:eastAsia="宋体" w:cs="宋体"/>
                <w:b/>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b/>
                <w:color w:val="auto"/>
                <w:sz w:val="21"/>
                <w:szCs w:val="21"/>
                <w:highlight w:val="none"/>
              </w:rPr>
              <w:t>（七）未在规定时间内提交样品或样品提交不齐全的或所提交样品与投标文件中所填报参数不一致的按无效投标处理。</w:t>
            </w:r>
          </w:p>
          <w:p w14:paraId="2E504203">
            <w:pPr>
              <w:keepNext/>
              <w:tabs>
                <w:tab w:val="left" w:pos="432"/>
              </w:tabs>
              <w:jc w:val="left"/>
              <w:outlineLvl w:val="0"/>
              <w:rPr>
                <w:rFonts w:hint="eastAsia" w:ascii="宋体" w:hAnsi="宋体" w:eastAsia="宋体" w:cs="宋体"/>
                <w:color w:val="auto"/>
                <w:kern w:val="0"/>
                <w:sz w:val="24"/>
                <w:szCs w:val="24"/>
                <w:highlight w:val="none"/>
                <w:lang w:val="en-US" w:bidi="zh-CN"/>
              </w:rPr>
            </w:pPr>
          </w:p>
        </w:tc>
        <w:tc>
          <w:tcPr>
            <w:tcW w:w="269" w:type="pct"/>
            <w:vAlign w:val="center"/>
          </w:tcPr>
          <w:p w14:paraId="0A155506">
            <w:pPr>
              <w:keepNext/>
              <w:tabs>
                <w:tab w:val="left" w:pos="432"/>
              </w:tabs>
              <w:jc w:val="left"/>
              <w:outlineLvl w:val="0"/>
              <w:rPr>
                <w:rFonts w:hint="eastAsia" w:ascii="宋体" w:hAnsi="宋体" w:cs="宋体"/>
                <w:bCs/>
                <w:color w:val="auto"/>
                <w:kern w:val="0"/>
                <w:sz w:val="24"/>
                <w:szCs w:val="24"/>
                <w:highlight w:val="none"/>
              </w:rPr>
            </w:pPr>
          </w:p>
        </w:tc>
      </w:tr>
    </w:tbl>
    <w:p w14:paraId="2A38BE44">
      <w:pPr>
        <w:numPr>
          <w:ilvl w:val="0"/>
          <w:numId w:val="0"/>
        </w:numPr>
        <w:jc w:val="left"/>
        <w:rPr>
          <w:rFonts w:hint="eastAsia" w:ascii="宋体" w:hAnsi="宋体"/>
          <w:b/>
          <w:color w:val="auto"/>
          <w:sz w:val="24"/>
          <w:szCs w:val="24"/>
          <w:lang w:val="en-US" w:eastAsia="zh-CN"/>
        </w:rPr>
      </w:pPr>
    </w:p>
    <w:p w14:paraId="15808FE2">
      <w:pPr>
        <w:numPr>
          <w:ilvl w:val="0"/>
          <w:numId w:val="0"/>
        </w:numPr>
        <w:jc w:val="left"/>
        <w:rPr>
          <w:rFonts w:hint="eastAsia" w:ascii="宋体" w:hAnsi="宋体"/>
          <w:b/>
          <w:color w:val="auto"/>
          <w:sz w:val="24"/>
          <w:szCs w:val="24"/>
          <w:lang w:val="en-US" w:eastAsia="zh-CN"/>
        </w:rPr>
      </w:pPr>
    </w:p>
    <w:p w14:paraId="56F6C172">
      <w:pPr>
        <w:numPr>
          <w:ilvl w:val="0"/>
          <w:numId w:val="0"/>
        </w:numPr>
        <w:jc w:val="left"/>
        <w:rPr>
          <w:rFonts w:hint="eastAsia" w:ascii="宋体" w:hAnsi="宋体"/>
          <w:b/>
          <w:color w:val="auto"/>
          <w:sz w:val="24"/>
          <w:szCs w:val="24"/>
          <w:lang w:val="en-US" w:eastAsia="zh-CN"/>
        </w:rPr>
      </w:pPr>
    </w:p>
    <w:p w14:paraId="3D502C38">
      <w:pPr>
        <w:numPr>
          <w:ilvl w:val="0"/>
          <w:numId w:val="0"/>
        </w:numPr>
        <w:jc w:val="left"/>
        <w:rPr>
          <w:rFonts w:hint="eastAsia" w:ascii="宋体" w:hAnsi="宋体"/>
          <w:b/>
          <w:color w:val="auto"/>
          <w:sz w:val="24"/>
          <w:szCs w:val="24"/>
          <w:lang w:val="en-US" w:eastAsia="zh-CN"/>
        </w:rPr>
      </w:pPr>
    </w:p>
    <w:p w14:paraId="3ED50A3C">
      <w:pPr>
        <w:numPr>
          <w:ilvl w:val="0"/>
          <w:numId w:val="0"/>
        </w:numPr>
        <w:jc w:val="left"/>
        <w:rPr>
          <w:rFonts w:hint="eastAsia" w:ascii="宋体" w:hAnsi="宋体"/>
          <w:b/>
          <w:color w:val="auto"/>
          <w:sz w:val="24"/>
          <w:szCs w:val="24"/>
          <w:lang w:val="en-US" w:eastAsia="zh-CN"/>
        </w:rPr>
      </w:pPr>
    </w:p>
    <w:p w14:paraId="3666CD1A">
      <w:pPr>
        <w:numPr>
          <w:ilvl w:val="0"/>
          <w:numId w:val="0"/>
        </w:numPr>
        <w:jc w:val="left"/>
        <w:rPr>
          <w:rFonts w:hint="eastAsia" w:ascii="宋体" w:hAnsi="宋体"/>
          <w:b/>
          <w:color w:val="auto"/>
          <w:sz w:val="28"/>
          <w:szCs w:val="28"/>
          <w:lang w:val="en-US" w:eastAsia="zh-CN"/>
        </w:rPr>
      </w:pPr>
      <w:r>
        <w:rPr>
          <w:rFonts w:hint="eastAsia" w:ascii="宋体" w:hAnsi="宋体"/>
          <w:b/>
          <w:color w:val="auto"/>
          <w:sz w:val="28"/>
          <w:szCs w:val="28"/>
          <w:lang w:val="en-US" w:eastAsia="zh-CN"/>
        </w:rPr>
        <w:t>注：如“附件：变更内容”中内容与更正后采购文件不符的，以更正后采购文件为准</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AFF" w:usb1="C0007841"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auto"/>
    <w:pitch w:val="default"/>
    <w:sig w:usb0="800002BF" w:usb1="38CF7CFA" w:usb2="00000016" w:usb3="00000000" w:csb0="00040001" w:csb1="00000000"/>
  </w:font>
  <w:font w:name="Gulim">
    <w:panose1 w:val="020B0600000101010101"/>
    <w:charset w:val="81"/>
    <w:family w:val="auto"/>
    <w:pitch w:val="default"/>
    <w:sig w:usb0="B00002AF" w:usb1="69D77CFB" w:usb2="00000030" w:usb3="00000000" w:csb0="4008009F" w:csb1="DFD7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855731132"/>
    </w:sdtPr>
    <w:sdtContent>
      <w:p w14:paraId="64DA2816">
        <w:pPr>
          <w:pStyle w:val="2"/>
          <w:jc w:val="center"/>
        </w:pPr>
        <w:r>
          <w:fldChar w:fldCharType="begin"/>
        </w:r>
        <w:r>
          <w:instrText xml:space="preserve">PAGE   \* MERGEFORMAT</w:instrText>
        </w:r>
        <w:r>
          <w:fldChar w:fldCharType="separate"/>
        </w:r>
        <w:r>
          <w:rPr>
            <w:lang w:val="zh-CN"/>
          </w:rPr>
          <w:t>1</w:t>
        </w:r>
        <w:r>
          <w:fldChar w:fldCharType="end"/>
        </w:r>
      </w:p>
    </w:sdtContent>
  </w:sdt>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1621"/>
    <w:rsid w:val="00077A65"/>
    <w:rsid w:val="00146ACF"/>
    <w:rsid w:val="00281621"/>
    <w:rsid w:val="00426C1A"/>
    <w:rsid w:val="004C0B16"/>
    <w:rsid w:val="006F4033"/>
    <w:rsid w:val="00CB4E53"/>
    <w:rsid w:val="04C24D15"/>
    <w:rsid w:val="05207173"/>
    <w:rsid w:val="071F3231"/>
    <w:rsid w:val="079528D4"/>
    <w:rsid w:val="098847DF"/>
    <w:rsid w:val="09C411E9"/>
    <w:rsid w:val="0A1C5067"/>
    <w:rsid w:val="0C9A3091"/>
    <w:rsid w:val="11987B90"/>
    <w:rsid w:val="13385187"/>
    <w:rsid w:val="16F120ED"/>
    <w:rsid w:val="1DA875BF"/>
    <w:rsid w:val="1DC93146"/>
    <w:rsid w:val="24077797"/>
    <w:rsid w:val="299E35EF"/>
    <w:rsid w:val="2AE00186"/>
    <w:rsid w:val="2B88085C"/>
    <w:rsid w:val="2DBF33C9"/>
    <w:rsid w:val="2F0A612C"/>
    <w:rsid w:val="30EE4C7F"/>
    <w:rsid w:val="31C10B19"/>
    <w:rsid w:val="322A1CE7"/>
    <w:rsid w:val="34911E0A"/>
    <w:rsid w:val="349F0DCD"/>
    <w:rsid w:val="359978AF"/>
    <w:rsid w:val="37FA0937"/>
    <w:rsid w:val="38637D01"/>
    <w:rsid w:val="39873EC3"/>
    <w:rsid w:val="3A0D6AF7"/>
    <w:rsid w:val="3A872302"/>
    <w:rsid w:val="3B9F54F4"/>
    <w:rsid w:val="40825DAF"/>
    <w:rsid w:val="40BF3D2E"/>
    <w:rsid w:val="41B26350"/>
    <w:rsid w:val="41F40811"/>
    <w:rsid w:val="4235693C"/>
    <w:rsid w:val="4276750D"/>
    <w:rsid w:val="446957FE"/>
    <w:rsid w:val="447B2820"/>
    <w:rsid w:val="47DB02DE"/>
    <w:rsid w:val="4F6A074D"/>
    <w:rsid w:val="51490A16"/>
    <w:rsid w:val="514F4542"/>
    <w:rsid w:val="531609B9"/>
    <w:rsid w:val="534D3630"/>
    <w:rsid w:val="53BB2926"/>
    <w:rsid w:val="53FF2B7C"/>
    <w:rsid w:val="54C3493C"/>
    <w:rsid w:val="55510FA9"/>
    <w:rsid w:val="564F0066"/>
    <w:rsid w:val="56CD0D0F"/>
    <w:rsid w:val="57F865D7"/>
    <w:rsid w:val="58D046C7"/>
    <w:rsid w:val="592425D8"/>
    <w:rsid w:val="598B4C30"/>
    <w:rsid w:val="5A1E5F78"/>
    <w:rsid w:val="5A3572F7"/>
    <w:rsid w:val="5A9E7C8D"/>
    <w:rsid w:val="5B2A58B0"/>
    <w:rsid w:val="5C0C0A1E"/>
    <w:rsid w:val="5C6D5F77"/>
    <w:rsid w:val="61466C75"/>
    <w:rsid w:val="644512B3"/>
    <w:rsid w:val="673104CE"/>
    <w:rsid w:val="68951A5F"/>
    <w:rsid w:val="691F57EC"/>
    <w:rsid w:val="69E34BFB"/>
    <w:rsid w:val="6A4B3356"/>
    <w:rsid w:val="6AC56ACD"/>
    <w:rsid w:val="6AD40467"/>
    <w:rsid w:val="6FF85E37"/>
    <w:rsid w:val="706A1AA4"/>
    <w:rsid w:val="72EC4A64"/>
    <w:rsid w:val="73DB6292"/>
    <w:rsid w:val="74261D23"/>
    <w:rsid w:val="7BF5023D"/>
    <w:rsid w:val="7C7421A3"/>
    <w:rsid w:val="7E3D047F"/>
    <w:rsid w:val="7F4E0A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table" w:styleId="5">
    <w:name w:val="Table Grid"/>
    <w:basedOn w:val="4"/>
    <w:qFormat/>
    <w:uiPriority w:val="59"/>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7">
    <w:name w:val="页眉 字符"/>
    <w:basedOn w:val="6"/>
    <w:link w:val="3"/>
    <w:qFormat/>
    <w:uiPriority w:val="99"/>
    <w:rPr>
      <w:sz w:val="18"/>
      <w:szCs w:val="18"/>
    </w:rPr>
  </w:style>
  <w:style w:type="character" w:customStyle="1" w:styleId="8">
    <w:name w:val="页脚 字符"/>
    <w:basedOn w:val="6"/>
    <w:link w:val="2"/>
    <w:qFormat/>
    <w:uiPriority w:val="99"/>
    <w:rPr>
      <w:sz w:val="18"/>
      <w:szCs w:val="18"/>
    </w:rPr>
  </w:style>
  <w:style w:type="paragraph" w:customStyle="1" w:styleId="9">
    <w:name w:val="索引 41"/>
    <w:basedOn w:val="1"/>
    <w:next w:val="1"/>
    <w:autoRedefine/>
    <w:unhideWhenUsed/>
    <w:qFormat/>
    <w:uiPriority w:val="0"/>
    <w:pPr>
      <w:ind w:left="600"/>
    </w:pPr>
    <w:rPr>
      <w:rFonts w:ascii="Times New Roman" w:hAnsi="Times New Roman" w:eastAsia="宋体" w:cs="Times New Roman"/>
      <w:kern w:val="0"/>
      <w:szCs w:val="24"/>
    </w:rPr>
  </w:style>
  <w:style w:type="table" w:customStyle="1" w:styleId="10">
    <w:name w:val="网格型10"/>
    <w:basedOn w:val="11"/>
    <w:qFormat/>
    <w:uiPriority w:val="39"/>
    <w:rPr>
      <w:rFonts w:ascii="等线" w:hAnsi="等线" w:eastAsia="等线"/>
    </w:rPr>
    <w:tblPr>
      <w:tblCellMar>
        <w:top w:w="0" w:type="dxa"/>
        <w:left w:w="0" w:type="dxa"/>
        <w:bottom w:w="0" w:type="dxa"/>
        <w:right w:w="0" w:type="dxa"/>
      </w:tblCellMar>
    </w:tblPr>
  </w:style>
  <w:style w:type="table" w:customStyle="1" w:styleId="11">
    <w:name w:val="普通表格1"/>
    <w:unhideWhenUsed/>
    <w:qFormat/>
    <w:uiPriority w:val="99"/>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png"/><Relationship Id="rId43" Type="http://schemas.openxmlformats.org/officeDocument/2006/relationships/fontTable" Target="fontTable.xml"/><Relationship Id="rId42" Type="http://schemas.openxmlformats.org/officeDocument/2006/relationships/image" Target="media/image38.png"/><Relationship Id="rId41" Type="http://schemas.openxmlformats.org/officeDocument/2006/relationships/image" Target="media/image37.png"/><Relationship Id="rId40" Type="http://schemas.openxmlformats.org/officeDocument/2006/relationships/image" Target="media/image36.png"/><Relationship Id="rId4" Type="http://schemas.openxmlformats.org/officeDocument/2006/relationships/theme" Target="theme/theme1.xml"/><Relationship Id="rId39" Type="http://schemas.openxmlformats.org/officeDocument/2006/relationships/image" Target="media/image35.png"/><Relationship Id="rId38" Type="http://schemas.openxmlformats.org/officeDocument/2006/relationships/image" Target="media/image34.png"/><Relationship Id="rId37" Type="http://schemas.openxmlformats.org/officeDocument/2006/relationships/image" Target="media/image33.png"/><Relationship Id="rId36" Type="http://schemas.openxmlformats.org/officeDocument/2006/relationships/image" Target="media/image32.png"/><Relationship Id="rId35" Type="http://schemas.openxmlformats.org/officeDocument/2006/relationships/image" Target="media/image31.png"/><Relationship Id="rId34" Type="http://schemas.openxmlformats.org/officeDocument/2006/relationships/image" Target="media/image30.png"/><Relationship Id="rId33" Type="http://schemas.openxmlformats.org/officeDocument/2006/relationships/image" Target="media/image29.png"/><Relationship Id="rId32" Type="http://schemas.openxmlformats.org/officeDocument/2006/relationships/image" Target="media/image28.png"/><Relationship Id="rId31" Type="http://schemas.openxmlformats.org/officeDocument/2006/relationships/image" Target="media/image27.png"/><Relationship Id="rId30" Type="http://schemas.openxmlformats.org/officeDocument/2006/relationships/image" Target="media/image26.png"/><Relationship Id="rId3" Type="http://schemas.openxmlformats.org/officeDocument/2006/relationships/footer" Target="footer1.xml"/><Relationship Id="rId29" Type="http://schemas.openxmlformats.org/officeDocument/2006/relationships/image" Target="media/image25.png"/><Relationship Id="rId28" Type="http://schemas.openxmlformats.org/officeDocument/2006/relationships/image" Target="media/image24.png"/><Relationship Id="rId27" Type="http://schemas.openxmlformats.org/officeDocument/2006/relationships/image" Target="media/image23.png"/><Relationship Id="rId26" Type="http://schemas.openxmlformats.org/officeDocument/2006/relationships/image" Target="media/image22.png"/><Relationship Id="rId25" Type="http://schemas.openxmlformats.org/officeDocument/2006/relationships/image" Target="media/image21.png"/><Relationship Id="rId24" Type="http://schemas.openxmlformats.org/officeDocument/2006/relationships/image" Target="media/image20.png"/><Relationship Id="rId23" Type="http://schemas.openxmlformats.org/officeDocument/2006/relationships/image" Target="media/image19.png"/><Relationship Id="rId22" Type="http://schemas.openxmlformats.org/officeDocument/2006/relationships/image" Target="media/image18.png"/><Relationship Id="rId21" Type="http://schemas.openxmlformats.org/officeDocument/2006/relationships/image" Target="media/image17.png"/><Relationship Id="rId20" Type="http://schemas.openxmlformats.org/officeDocument/2006/relationships/image" Target="media/image16.png"/><Relationship Id="rId2" Type="http://schemas.openxmlformats.org/officeDocument/2006/relationships/settings" Target="settings.xml"/><Relationship Id="rId19" Type="http://schemas.openxmlformats.org/officeDocument/2006/relationships/image" Target="media/image15.png"/><Relationship Id="rId18" Type="http://schemas.openxmlformats.org/officeDocument/2006/relationships/image" Target="media/image14.png"/><Relationship Id="rId17" Type="http://schemas.openxmlformats.org/officeDocument/2006/relationships/image" Target="media/image13.png"/><Relationship Id="rId16" Type="http://schemas.openxmlformats.org/officeDocument/2006/relationships/image" Target="media/image12.png"/><Relationship Id="rId15" Type="http://schemas.openxmlformats.org/officeDocument/2006/relationships/image" Target="media/image11.png"/><Relationship Id="rId14" Type="http://schemas.openxmlformats.org/officeDocument/2006/relationships/image" Target="media/image10.png"/><Relationship Id="rId13" Type="http://schemas.openxmlformats.org/officeDocument/2006/relationships/image" Target="media/image9.png"/><Relationship Id="rId12" Type="http://schemas.openxmlformats.org/officeDocument/2006/relationships/image" Target="media/image8.png"/><Relationship Id="rId11" Type="http://schemas.openxmlformats.org/officeDocument/2006/relationships/image" Target="media/image7.png"/><Relationship Id="rId10" Type="http://schemas.openxmlformats.org/officeDocument/2006/relationships/image" Target="media/image6.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34</Pages>
  <Words>19197</Words>
  <Characters>23336</Characters>
  <Lines>8</Lines>
  <Paragraphs>2</Paragraphs>
  <TotalTime>0</TotalTime>
  <ScaleCrop>false</ScaleCrop>
  <LinksUpToDate>false</LinksUpToDate>
  <CharactersWithSpaces>24663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2025-04-08T01:45:00Z</dcterms:created>
  <dc:creator>_xffff_</dc:creator>
  <cp:lastModifiedBy>时间货币</cp:lastModifiedBy>
  <dcterms:modified xsi:type="dcterms:W3CDTF">2026-07-27T08:20:58Z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eyJoZGlkIjoiOGMxYWJhY2UyNDczYTMwZDJkNGYxZjhlM2JiZjU5MzAiLCJ1c2VySWQiOiIxMjk1NDA4OCJ9</vt:lpwstr>
  </property>
  <property fmtid="{D5CDD505-2E9C-101B-9397-08002B2CF9AE}" pid="3" name="KSOProductBuildVer">
    <vt:lpwstr>2052-12.1.0.26895</vt:lpwstr>
  </property>
  <property fmtid="{D5CDD505-2E9C-101B-9397-08002B2CF9AE}" pid="4" name="ICV">
    <vt:lpwstr>2C65635158854E39B5F1A6CBABBE52E3_13</vt:lpwstr>
  </property>
</Properties>
</file>