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jc w:val="center"/>
        <w:spacing w:line="300" w:lineRule="auto"/>
        <w:rPr>
          <w:rFonts w:hint="eastAsia" w:ascii="黑体" w:hAnsi="华文中宋" w:eastAsia="黑体"/>
          <w:bCs/>
          <w:color w:val="000000"/>
          <w:spacing w:val="20"/>
          <w:sz w:val="72"/>
          <w:szCs w:val="72"/>
          <w:highlight w:val="none"/>
          <w:lang w:eastAsia="zh-CN"/>
        </w:rPr>
      </w:pPr>
      <w:r>
        <w:rPr>
          <w:rFonts w:hint="eastAsia" w:ascii="黑体" w:hAnsi="华文中宋" w:eastAsia="黑体"/>
          <w:bCs/>
          <w:color w:val="000000"/>
          <w:spacing w:val="20"/>
          <w:sz w:val="72"/>
          <w:szCs w:val="72"/>
          <w:highlight w:val="none"/>
          <w:lang w:eastAsia="zh-CN"/>
        </w:rPr>
        <w:t xml:space="preserve">无 锡 市 政 府 采 购</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spacing w:line="300" w:lineRule="auto"/>
        <w:rPr>
          <w:rFonts w:ascii="黑体" w:hAnsi="华文中宋" w:eastAsia="黑体"/>
          <w:b/>
          <w:color w:val="000000"/>
          <w:spacing w:val="20"/>
          <w:sz w:val="72"/>
          <w:szCs w:val="72"/>
          <w:highlight w:val="none"/>
        </w:rPr>
      </w:pPr>
      <w:r>
        <w:rPr>
          <w:rFonts w:hint="eastAsia" w:ascii="黑体" w:hAnsi="华文中宋" w:eastAsia="黑体"/>
          <w:b/>
          <w:color w:val="000000"/>
          <w:spacing w:val="20"/>
          <w:sz w:val="72"/>
          <w:szCs w:val="72"/>
          <w:highlight w:val="none"/>
        </w:rPr>
        <w:t xml:space="preserve">公</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开</w:t>
      </w:r>
      <w:r/>
    </w:p>
    <w:p>
      <w:pPr>
        <w:jc w:val="center"/>
        <w:spacing w:line="300" w:lineRule="auto"/>
        <w:rPr>
          <w:rFonts w:ascii="黑体" w:hAnsi="华文中宋" w:eastAsia="黑体"/>
          <w:b/>
          <w:color w:val="000000"/>
          <w:spacing w:val="20"/>
          <w:sz w:val="72"/>
          <w:szCs w:val="72"/>
          <w:highlight w:val="none"/>
        </w:rPr>
      </w:pPr>
      <w:r>
        <w:rPr>
          <w:rFonts w:ascii="黑体" w:hAnsi="华文中宋" w:eastAsia="黑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strokeweight="0.14pt"/>
            </w:pict>
          </mc:Fallback>
        </mc:AlternateContent>
      </w:r>
      <w:r>
        <w:rPr>
          <w:rFonts w:hint="eastAsia" w:ascii="黑体" w:hAnsi="华文中宋" w:eastAsia="黑体"/>
          <w:b/>
          <w:color w:val="000000"/>
          <w:spacing w:val="20"/>
          <w:sz w:val="72"/>
          <w:szCs w:val="72"/>
          <w:highlight w:val="none"/>
        </w:rPr>
        <w:t xml:space="preserve">招</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件</w:t>
      </w:r>
      <w:r/>
    </w:p>
    <w:p>
      <w:pPr>
        <w:jc w:val="center"/>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before="95" w:after="95" w:line="360" w:lineRule="auto"/>
        <w:rPr>
          <w:rFonts w:hint="eastAsia" w:eastAsia="黑体"/>
          <w:b/>
          <w:color w:val="000000"/>
          <w:sz w:val="32"/>
          <w:szCs w:val="32"/>
          <w:highlight w:val="none"/>
          <w:lang w:eastAsia="zh-CN"/>
        </w:rPr>
      </w:pPr>
      <w:r>
        <w:rPr>
          <w:rFonts w:hint="eastAsia"/>
          <w:b/>
          <w:color w:val="000000"/>
          <w:sz w:val="32"/>
          <w:szCs w:val="32"/>
          <w:highlight w:val="none"/>
        </w:rPr>
        <w:t xml:space="preserve">政府采购编号：JSZC-320200-WXYC-G2026-0001</w:t>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采购项目名称：</w:t>
      </w:r>
      <w:r>
        <w:rPr>
          <w:rFonts w:hint="eastAsia"/>
          <w:b/>
          <w:color w:val="000000"/>
          <w:sz w:val="32"/>
          <w:szCs w:val="32"/>
          <w:highlight w:val="none"/>
          <w:lang w:eastAsia="zh-CN"/>
        </w:rPr>
        <w:t xml:space="preserve">梅村高中家具采购项目</w:t>
      </w:r>
      <w:r/>
    </w:p>
    <w:p>
      <w:pPr>
        <w:spacing w:before="95" w:after="95" w:line="360" w:lineRule="auto"/>
        <w:rPr>
          <w:rFonts w:hint="eastAsia" w:eastAsia="宋体"/>
          <w:b/>
          <w:color w:val="000000"/>
          <w:sz w:val="24"/>
          <w:highlight w:val="none"/>
          <w:lang w:eastAsia="zh-CN"/>
        </w:rPr>
      </w:pPr>
      <w:r>
        <w:rPr>
          <w:rFonts w:hint="eastAsia"/>
          <w:b/>
          <w:color w:val="000000"/>
          <w:sz w:val="32"/>
          <w:szCs w:val="32"/>
          <w:highlight w:val="none"/>
        </w:rPr>
        <w:t xml:space="preserve">采购人：</w:t>
      </w:r>
      <w:r>
        <w:rPr>
          <w:rFonts w:hint="eastAsia"/>
          <w:b/>
          <w:color w:val="000000"/>
          <w:sz w:val="32"/>
          <w:szCs w:val="32"/>
          <w:highlight w:val="none"/>
          <w:lang w:eastAsia="zh-CN"/>
        </w:rPr>
        <w:t xml:space="preserve">江苏省梅村高级中学</w:t>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采购代理机构：</w:t>
      </w:r>
      <w:r>
        <w:rPr>
          <w:rFonts w:hint="eastAsia"/>
          <w:b/>
          <w:color w:val="000000"/>
          <w:sz w:val="32"/>
          <w:szCs w:val="32"/>
          <w:highlight w:val="none"/>
          <w:lang w:eastAsia="zh-CN"/>
        </w:rPr>
        <w:t xml:space="preserve">江苏誉诚建设咨询管理有限公司</w:t>
      </w:r>
      <w:r/>
    </w:p>
    <w:p>
      <w:pPr>
        <w:pStyle w:val="105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pStyle w:val="1057"/>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黑体" w:eastAsia="黑体"/>
          <w:color w:val="000000"/>
          <w:sz w:val="36"/>
          <w:szCs w:val="36"/>
          <w:highlight w:val="none"/>
        </w:rPr>
        <w:t xml:space="preserve">总  目  录</w:t>
      </w:r>
      <w:r/>
    </w:p>
    <w:p>
      <w:pPr>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江苏省梅村高级中学</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江苏誉诚建设咨询管理有限公司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梅村高中家具采购项目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JSZC-320200-WXYC-G2026-0001</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梅村高中家具采购项目</w:t>
      </w:r>
      <w:r>
        <w:rPr>
          <w:rFonts w:hint="eastAsia" w:ascii="宋体" w:hAnsi="宋体"/>
          <w:color w:val="000000"/>
          <w:sz w:val="24"/>
          <w:szCs w:val="24"/>
          <w:highlight w:val="none"/>
        </w:rPr>
        <w:t xml:space="preserve">的潜在投标人应在江苏政府采购网苏采云平台（</w:t>
      </w:r>
      <w:r>
        <w:rPr>
          <w:rFonts w:hint="eastAsia" w:ascii="宋体" w:hAnsi="宋体"/>
          <w:color w:val="000000"/>
          <w:sz w:val="24"/>
          <w:szCs w:val="24"/>
          <w:highlight w:val="none"/>
          <w:lang w:eastAsia="zh-CN"/>
        </w:rPr>
        <w:t xml:space="preserve">http://jszfcg.jsczt.cn/jszc/login</w:t>
      </w:r>
      <w:r>
        <w:rPr>
          <w:rFonts w:hint="eastAsia" w:ascii="宋体" w:hAnsi="宋体"/>
          <w:color w:val="000000"/>
          <w:sz w:val="24"/>
          <w:szCs w:val="24"/>
          <w:highlight w:val="none"/>
        </w:rPr>
        <w:t xml:space="preserve">）获取招标文件，并于</w:t>
      </w:r>
      <w:r>
        <w:rPr>
          <w:rFonts w:hint="eastAsia" w:ascii="宋体" w:hAnsi="宋体"/>
          <w:color w:val="000000"/>
          <w:sz w:val="24"/>
          <w:szCs w:val="24"/>
          <w:highlight w:val="none"/>
        </w:rPr>
        <w:t xml:space="preserve">2026</w:t>
      </w:r>
      <w:r>
        <w:rPr>
          <w:rFonts w:hint="eastAsia" w:ascii="宋体" w:hAnsi="宋体"/>
          <w:color w:val="000000"/>
          <w:sz w:val="24"/>
          <w:szCs w:val="24"/>
          <w:highlight w:val="none"/>
          <w:lang w:val="en-US" w:eastAsia="zh-CN"/>
        </w:rPr>
        <w:t xml:space="preserve">年7月27日</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0 （北京时间）前递交投标文件。</w:t>
      </w:r>
      <w:r/>
    </w:p>
    <w:p>
      <w:pPr>
        <w:pStyle w:val="833"/>
        <w:ind w:firstLine="452"/>
        <w:keepLines w:val="0"/>
        <w:keepNext w:val="0"/>
        <w:spacing w:before="0" w:after="0" w:line="500" w:lineRule="exact"/>
        <w:rPr>
          <w:color w:val="000000"/>
          <w:sz w:val="30"/>
          <w:szCs w:val="30"/>
          <w:highlight w:val="none"/>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val="en-US" w:eastAsia="zh-CN"/>
        </w:rPr>
        <w:t xml:space="preserve">JSZC-320200-WXYC-G2026-0001</w:t>
      </w:r>
      <w:r>
        <w:rPr>
          <w:rFonts w:hint="eastAsia" w:ascii="宋体" w:hAnsi="宋体"/>
          <w:color w:val="000000"/>
          <w:sz w:val="24"/>
          <w:szCs w:val="24"/>
          <w:highlight w:val="none"/>
          <w:lang w:val="en-US" w:eastAsia="zh-CN"/>
        </w:rPr>
        <w:t xml:space="preserve"> </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梅村高中家具采购项目</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270万元</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4.最高限价（如有）：</w:t>
      </w:r>
      <w:r>
        <w:rPr>
          <w:rFonts w:hint="eastAsia" w:ascii="宋体" w:hAnsi="宋体"/>
          <w:color w:val="000000"/>
          <w:sz w:val="24"/>
          <w:szCs w:val="24"/>
          <w:highlight w:val="none"/>
          <w:lang w:val="en-US" w:eastAsia="zh-CN"/>
        </w:rPr>
        <w:t xml:space="preserve">270万元</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olor w:val="000000"/>
          <w:sz w:val="24"/>
          <w:szCs w:val="24"/>
          <w:highlight w:val="none"/>
          <w:lang w:eastAsia="zh-CN"/>
        </w:rPr>
        <w:t xml:space="preserve">梅村高中家具采购项目</w:t>
      </w:r>
      <w:r>
        <w:rPr>
          <w:rFonts w:hint="eastAsia" w:ascii="宋体" w:hAnsi="宋体"/>
          <w:color w:val="000000"/>
          <w:sz w:val="24"/>
          <w:szCs w:val="24"/>
          <w:highlight w:val="none"/>
        </w:rPr>
        <w:t xml:space="preserve">，具体详见采购文件第四章“采购需求”。</w:t>
      </w:r>
      <w:r/>
    </w:p>
    <w:p>
      <w:pPr>
        <w:ind w:firstLine="482"/>
        <w:spacing w:line="500" w:lineRule="exact"/>
        <w:rPr>
          <w:rFonts w:hint="eastAsia" w:ascii="宋体" w:hAnsi="宋体"/>
          <w:color w:val="000000"/>
          <w:sz w:val="24"/>
          <w:highlight w:val="none"/>
        </w:rPr>
      </w:pPr>
      <w:r>
        <w:rPr>
          <w:rFonts w:hint="eastAsia" w:ascii="宋体" w:hAnsi="宋体"/>
          <w:color w:val="000000"/>
          <w:sz w:val="24"/>
          <w:szCs w:val="24"/>
          <w:highlight w:val="none"/>
        </w:rPr>
        <w:t xml:space="preserve">7.合同履行期限：</w:t>
      </w:r>
      <w:r>
        <w:rPr>
          <w:rFonts w:hint="eastAsia" w:ascii="宋体" w:hAnsi="宋体"/>
          <w:color w:val="000000"/>
          <w:sz w:val="24"/>
          <w:highlight w:val="none"/>
        </w:rPr>
        <w:t xml:space="preserve">合同签订生效后30个日历天内安装调试完毕。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highlight w:val="none"/>
        </w:rPr>
        <w:t xml:space="preserve">8</w:t>
      </w:r>
      <w:r>
        <w:rPr>
          <w:rFonts w:hint="eastAsia" w:ascii="宋体" w:hAnsi="宋体" w:cs="宋体"/>
          <w:color w:val="000000"/>
          <w:sz w:val="24"/>
          <w:szCs w:val="24"/>
          <w:highlight w:val="none"/>
        </w:rPr>
        <w:t xml:space="preserve">.本项目（是/否）接受联合体投标：否。</w:t>
      </w:r>
      <w:r/>
    </w:p>
    <w:p>
      <w:pPr>
        <w:pStyle w:val="833"/>
        <w:ind w:firstLine="452"/>
        <w:keepLines w:val="0"/>
        <w:keepNext w:val="0"/>
        <w:spacing w:before="0" w:after="0" w:line="500" w:lineRule="exact"/>
        <w:rPr>
          <w:color w:val="000000"/>
          <w:sz w:val="30"/>
          <w:szCs w:val="30"/>
          <w:highlight w:val="none"/>
        </w:rPr>
      </w:pPr>
      <w:r/>
      <w:bookmarkStart w:id="12" w:name="_Toc28359003"/>
      <w:r/>
      <w:bookmarkStart w:id="13" w:name="_Toc38985264"/>
      <w:r/>
      <w:bookmarkStart w:id="14" w:name="_Toc35393791"/>
      <w:r/>
      <w:bookmarkStart w:id="15" w:name="_Toc28359080"/>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sz w:val="24"/>
          <w:szCs w:val="24"/>
          <w:highlight w:val="none"/>
        </w:rPr>
        <w:t xml:space="preserve">（一）满足《中华人民共和国政府采购法》第二十二条规定：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2.《授权委托书》（给定格式；投标人如是自然人情形的，可不提供）。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4.投标人近一年中任意一个月份（不含投标当月）的依法缴纳税收的相关材料（提供相关主管部门证明或银行代扣证明）。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5.投标人近一年中任意一个月份（不含投标当月）的依法缴纳社会保障资金的相关材料（提供相关主管部门证明或银行代扣证明）。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6.《资格声明函》（给定格式）。</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（二）落实政府采购政策需满足的资格要求：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1.中小企业政策：本项目</w:t>
      </w:r>
      <w:r>
        <w:rPr>
          <w:rFonts w:hint="eastAsia" w:ascii="宋体" w:hAnsi="宋体"/>
          <w:color w:val="000000"/>
          <w:sz w:val="24"/>
          <w:szCs w:val="24"/>
          <w:highlight w:val="none"/>
        </w:rPr>
        <w:t xml:space="preserve">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（三）本项目的特定资格要求： </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无。</w:t>
      </w:r>
      <w:r/>
    </w:p>
    <w:p>
      <w:pPr>
        <w:pStyle w:val="83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 </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p>
    <w:p>
      <w:pPr>
        <w:ind w:firstLine="540"/>
        <w:spacing w:line="500" w:lineRule="exact"/>
        <w:rPr>
          <w:rStyle w:val="907"/>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hint="eastAsia" w:ascii="宋体" w:hAnsi="宋体"/>
          <w:color w:val="000000"/>
          <w:sz w:val="24"/>
          <w:szCs w:val="24"/>
          <w:highlight w:val="none"/>
          <w:lang w:eastAsia="zh-CN"/>
        </w:rPr>
        <w:t xml:space="preserve">http://jszfcg.jsczt.cn/jszc/login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4.售价：0.00元</w:t>
      </w:r>
      <w:r/>
    </w:p>
    <w:p>
      <w:pPr>
        <w:pStyle w:val="83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27</w:t>
      </w:r>
      <w:r>
        <w:rPr>
          <w:rFonts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14</w:t>
      </w:r>
      <w:r>
        <w:rPr>
          <w:rFonts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分（北京时</w:t>
      </w:r>
      <w:r>
        <w:rPr>
          <w:rFonts w:hint="eastAsia" w:ascii="宋体" w:hAnsi="宋体"/>
          <w:bCs/>
          <w:color w:val="000000"/>
          <w:sz w:val="24"/>
          <w:szCs w:val="24"/>
          <w:highlight w:val="none"/>
        </w:rPr>
        <w:t xml:space="preserve">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hint="eastAsia" w:ascii="宋体" w:hAnsi="宋体"/>
          <w:color w:val="000000"/>
          <w:sz w:val="24"/>
          <w:szCs w:val="24"/>
          <w:highlight w:val="none"/>
        </w:rPr>
        <w:t xml:space="preserve">网上开标大厅。</w:t>
      </w:r>
      <w:r/>
    </w:p>
    <w:p>
      <w:pPr>
        <w:pStyle w:val="833"/>
        <w:ind w:firstLine="452"/>
        <w:keepLines w:val="0"/>
        <w:keepNext w:val="0"/>
        <w:spacing w:before="0" w:after="0" w:line="500" w:lineRule="exact"/>
        <w:rPr>
          <w:color w:val="000000"/>
          <w:sz w:val="30"/>
          <w:szCs w:val="30"/>
          <w:highlight w:val="none"/>
        </w:rPr>
      </w:pPr>
      <w:r/>
      <w:bookmarkStart w:id="27" w:name="_Toc28359007"/>
      <w:r/>
      <w:bookmarkStart w:id="28" w:name="_Toc28359084"/>
      <w:r/>
      <w:bookmarkStart w:id="29" w:name="_Toc35393625"/>
      <w:r/>
      <w:bookmarkStart w:id="30" w:name="_Toc35393794"/>
      <w:r/>
      <w:bookmarkStart w:id="31" w:name="_Toc38985267"/>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p>
    <w:p>
      <w:pPr>
        <w:pStyle w:val="83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33"/>
        <w:ind w:firstLine="452"/>
        <w:keepLines w:val="0"/>
        <w:keepNext w:val="0"/>
        <w:spacing w:before="0" w:after="0" w:line="500" w:lineRule="exact"/>
        <w:rPr>
          <w:color w:val="000000"/>
          <w:sz w:val="30"/>
          <w:szCs w:val="30"/>
          <w:highlight w:val="none"/>
        </w:rPr>
      </w:pPr>
      <w:r/>
      <w:bookmarkStart w:id="35" w:name="_Toc28359008"/>
      <w:r/>
      <w:bookmarkStart w:id="36" w:name="_Toc35393796"/>
      <w:r/>
      <w:bookmarkStart w:id="37" w:name="_Toc38985269"/>
      <w:r/>
      <w:bookmarkStart w:id="38" w:name="_Toc35393627"/>
      <w:r/>
      <w:bookmarkStart w:id="39" w:name="_Toc28359085"/>
      <w:r>
        <w:rPr>
          <w:rFonts w:hint="eastAsia"/>
          <w:color w:val="000000"/>
          <w:sz w:val="30"/>
          <w:szCs w:val="30"/>
          <w:highlight w:val="none"/>
        </w:rPr>
        <w:t xml:space="preserve">七、本项目联系方式</w:t>
      </w:r>
      <w:bookmarkEnd w:id="35"/>
      <w:r/>
      <w:bookmarkEnd w:id="36"/>
      <w:r/>
      <w:bookmarkEnd w:id="37"/>
      <w:r/>
      <w:bookmarkEnd w:id="38"/>
      <w:r/>
      <w:bookmarkEnd w:id="39"/>
      <w:r/>
      <w:r/>
    </w:p>
    <w:p>
      <w:pPr>
        <w:pStyle w:val="83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江苏省梅村高级中学</w:t>
      </w:r>
      <w:r/>
    </w:p>
    <w:p>
      <w:pPr>
        <w:pStyle w:val="83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无锡市新吴区梅村街道梅育路63号</w:t>
      </w:r>
      <w:r/>
    </w:p>
    <w:p>
      <w:pPr>
        <w:pStyle w:val="833"/>
        <w:ind w:firstLine="452"/>
        <w:keepLines w:val="0"/>
        <w:keepNext w:val="0"/>
        <w:spacing w:before="0" w:after="0" w:line="50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w:t>
      </w:r>
      <w:r>
        <w:rPr>
          <w:rFonts w:hint="eastAsia" w:ascii="宋体" w:hAnsi="宋体" w:cs="宋体"/>
          <w:color w:val="000000"/>
          <w:sz w:val="24"/>
          <w:szCs w:val="24"/>
          <w:highlight w:val="none"/>
          <w:lang w:eastAsia="zh-CN"/>
        </w:rPr>
        <w:t xml:space="preserve">人</w:t>
      </w:r>
      <w:r>
        <w:rPr>
          <w:rFonts w:hint="eastAsia" w:ascii="宋体" w:hAnsi="宋体" w:cs="宋体"/>
          <w:color w:val="000000"/>
          <w:sz w:val="24"/>
          <w:szCs w:val="24"/>
          <w:highlight w:val="none"/>
        </w:rPr>
        <w:t xml:space="preserve">：江</w:t>
      </w:r>
      <w:r>
        <w:rPr>
          <w:rFonts w:hint="eastAsia" w:ascii="宋体" w:hAnsi="宋体" w:cs="宋体"/>
          <w:color w:val="000000"/>
          <w:sz w:val="24"/>
          <w:szCs w:val="24"/>
          <w:highlight w:val="none"/>
          <w:lang w:eastAsia="zh-CN"/>
        </w:rPr>
        <w:t xml:space="preserve">主任</w:t>
      </w:r>
      <w:r/>
    </w:p>
    <w:p>
      <w:pPr>
        <w:pStyle w:val="833"/>
        <w:ind w:firstLine="452"/>
        <w:keepLines w:val="0"/>
        <w:keepNext w:val="0"/>
        <w:spacing w:before="0" w:after="0" w:line="5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联系电话:0510-81859746</w:t>
      </w:r>
      <w:r/>
    </w:p>
    <w:p>
      <w:pPr>
        <w:pStyle w:val="833"/>
        <w:ind w:firstLine="452"/>
        <w:keepLines w:val="0"/>
        <w:keepNext w:val="0"/>
        <w:spacing w:before="0" w:after="0"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pStyle w:val="83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江苏誉诚建设咨询管理有限公司</w:t>
      </w:r>
      <w:r/>
    </w:p>
    <w:p>
      <w:pPr>
        <w:pStyle w:val="83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无锡市滨湖区太湖西大道 2188 号 500 室</w:t>
      </w:r>
      <w:r/>
    </w:p>
    <w:p>
      <w:pPr>
        <w:pStyle w:val="83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w:t>
      </w:r>
      <w:r>
        <w:rPr>
          <w:rFonts w:hint="eastAsia" w:ascii="宋体" w:hAnsi="宋体" w:cs="宋体"/>
          <w:color w:val="000000"/>
          <w:sz w:val="24"/>
          <w:szCs w:val="24"/>
          <w:highlight w:val="none"/>
          <w:lang w:eastAsia="zh-CN"/>
        </w:rPr>
        <w:t xml:space="preserve">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朱慧勤、于定涛</w:t>
      </w:r>
      <w:r/>
    </w:p>
    <w:p>
      <w:pPr>
        <w:pStyle w:val="833"/>
        <w:ind w:firstLine="452"/>
        <w:keepLines w:val="0"/>
        <w:keepNext w:val="0"/>
        <w:spacing w:before="0" w:after="0" w:line="500" w:lineRule="exact"/>
        <w:rPr>
          <w:rFonts w:hint="default"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联系电话:18762686711</w:t>
      </w:r>
      <w:r/>
    </w:p>
    <w:p>
      <w:pPr>
        <w:pStyle w:val="83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”点击“</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\t "_blank" \o "“苏采云”系统供应商操作手册"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江苏誉诚建设咨询管理有限公司</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20823274"/>
      <w:r/>
      <w:bookmarkStart w:id="43" w:name="_Toc16938518"/>
      <w:r/>
      <w:bookmarkStart w:id="44" w:name="_Toc513029202"/>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833"/>
        <w:ind w:firstLine="452"/>
        <w:keepLines w:val="0"/>
        <w:keepNext w:val="0"/>
        <w:spacing w:before="0" w:after="0" w:line="500" w:lineRule="exact"/>
        <w:rPr>
          <w:color w:val="000000"/>
          <w:sz w:val="30"/>
          <w:szCs w:val="30"/>
          <w:highlight w:val="none"/>
        </w:rPr>
      </w:pPr>
      <w:r/>
      <w:bookmarkStart w:id="45" w:name="_Toc20823275"/>
      <w:r/>
      <w:bookmarkStart w:id="46" w:name="_Toc16938519"/>
      <w:r/>
      <w:bookmarkStart w:id="47" w:name="_Toc120614214"/>
      <w:r/>
      <w:bookmarkStart w:id="48" w:name="_Toc513029203"/>
      <w:r>
        <w:rPr>
          <w:rFonts w:hint="eastAsia"/>
          <w:color w:val="000000"/>
          <w:sz w:val="30"/>
          <w:szCs w:val="30"/>
          <w:highlight w:val="none"/>
        </w:rPr>
        <w:t xml:space="preserve">一、总则</w:t>
      </w:r>
      <w:bookmarkEnd w:id="45"/>
      <w:r/>
      <w:bookmarkEnd w:id="46"/>
      <w:r/>
      <w:bookmarkEnd w:id="47"/>
      <w:r/>
      <w:bookmarkEnd w:id="48"/>
      <w:r/>
      <w:r/>
    </w:p>
    <w:p>
      <w:pPr>
        <w:pStyle w:val="835"/>
        <w:ind w:firstLine="422"/>
        <w:keepLines w:val="0"/>
        <w:keepNext w:val="0"/>
        <w:spacing w:before="0" w:after="0" w:line="500" w:lineRule="exact"/>
        <w:rPr>
          <w:rFonts w:ascii="宋体" w:hAnsi="宋体" w:eastAsia="宋体"/>
          <w:bCs w:val="0"/>
          <w:color w:val="000000"/>
          <w:highlight w:val="none"/>
        </w:rPr>
      </w:pPr>
      <w:r/>
      <w:bookmarkStart w:id="49" w:name="_Hlt16619475"/>
      <w:r/>
      <w:bookmarkEnd w:id="49"/>
      <w:r/>
      <w:bookmarkStart w:id="50" w:name="_Toc513029204"/>
      <w:r/>
      <w:bookmarkStart w:id="51" w:name="_Toc20823276"/>
      <w:r/>
      <w:bookmarkStart w:id="52" w:name="_Toc16938520"/>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835"/>
        <w:ind w:firstLine="422"/>
        <w:keepLines w:val="0"/>
        <w:keepNext w:val="0"/>
        <w:spacing w:before="0" w:after="0" w:line="500" w:lineRule="exact"/>
        <w:rPr>
          <w:rFonts w:ascii="宋体" w:hAnsi="宋体" w:eastAsia="宋体"/>
          <w:bCs w:val="0"/>
          <w:color w:val="000000"/>
          <w:highlight w:val="none"/>
        </w:rPr>
      </w:pPr>
      <w:r/>
      <w:bookmarkStart w:id="53" w:name="_Toc513029205"/>
      <w:r/>
      <w:bookmarkStart w:id="54" w:name="_Toc16938521"/>
      <w:r/>
      <w:bookmarkStart w:id="55" w:name="_Toc20823277"/>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35"/>
        <w:ind w:firstLine="422"/>
        <w:keepLines w:val="0"/>
        <w:keepNext w:val="0"/>
        <w:spacing w:before="0" w:after="0" w:line="500" w:lineRule="exact"/>
        <w:rPr>
          <w:rFonts w:ascii="宋体" w:hAnsi="宋体" w:eastAsia="宋体"/>
          <w:bCs w:val="0"/>
          <w:color w:val="000000"/>
          <w:highlight w:val="none"/>
        </w:rPr>
      </w:pPr>
      <w:r/>
      <w:bookmarkStart w:id="56" w:name="_Toc16938522"/>
      <w:r/>
      <w:bookmarkStart w:id="57" w:name="_Toc20823278"/>
      <w:r/>
      <w:bookmarkStart w:id="58" w:name="_Toc513029206"/>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835"/>
        <w:ind w:firstLine="422"/>
        <w:keepLines w:val="0"/>
        <w:keepNext w:val="0"/>
        <w:spacing w:before="0" w:after="0" w:line="500" w:lineRule="exact"/>
        <w:rPr>
          <w:rFonts w:ascii="宋体" w:hAnsi="宋体" w:eastAsia="宋体"/>
          <w:bCs w:val="0"/>
          <w:color w:val="000000"/>
          <w:highlight w:val="none"/>
        </w:rPr>
      </w:pPr>
      <w:r/>
      <w:bookmarkStart w:id="59" w:name="_Toc513029207"/>
      <w:r/>
      <w:bookmarkStart w:id="60" w:name="_Toc16938523"/>
      <w:r/>
      <w:bookmarkStart w:id="61" w:name="_Toc462564067"/>
      <w:r/>
      <w:bookmarkStart w:id="62" w:name="_Toc20823279"/>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4.1采购代理服务费由</w:t>
      </w:r>
      <w:r>
        <w:rPr>
          <w:rFonts w:hint="eastAsia" w:ascii="宋体" w:hAnsi="宋体"/>
          <w:bCs/>
          <w:color w:val="000000"/>
          <w:sz w:val="24"/>
          <w:highlight w:val="none"/>
          <w:lang w:eastAsia="zh-CN"/>
        </w:rPr>
        <w:t xml:space="preserve">采购人</w:t>
      </w:r>
      <w:r>
        <w:rPr>
          <w:rFonts w:hint="eastAsia" w:ascii="宋体" w:hAnsi="宋体"/>
          <w:bCs/>
          <w:color w:val="000000"/>
          <w:sz w:val="24"/>
          <w:highlight w:val="none"/>
        </w:rPr>
        <w:t xml:space="preserve">支付。</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4.2投标人应自行承担所有与参加投标有关的费用，无论投标过程中的做法和结果如何，</w:t>
      </w:r>
      <w:r>
        <w:rPr>
          <w:rFonts w:hint="eastAsia" w:ascii="宋体" w:hAnsi="宋体"/>
          <w:color w:val="000000"/>
          <w:sz w:val="24"/>
          <w:highlight w:val="none"/>
          <w:lang w:eastAsia="zh-CN"/>
        </w:rPr>
        <w:t xml:space="preserve">江苏誉诚建设咨询管理有限公司</w:t>
      </w:r>
      <w:r>
        <w:rPr>
          <w:rFonts w:hint="eastAsia" w:ascii="宋体" w:hAnsi="宋体"/>
          <w:color w:val="000000"/>
          <w:sz w:val="24"/>
          <w:highlight w:val="none"/>
        </w:rPr>
        <w:t xml:space="preserve">（以下简称代理机构）在任何情况下均无义务和责任承担这些费用。</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833"/>
        <w:ind w:firstLine="452"/>
        <w:keepLines w:val="0"/>
        <w:keepNext w:val="0"/>
        <w:spacing w:before="0" w:after="0" w:line="500" w:lineRule="exact"/>
        <w:rPr>
          <w:color w:val="000000"/>
          <w:sz w:val="30"/>
          <w:szCs w:val="30"/>
          <w:highlight w:val="none"/>
        </w:rPr>
      </w:pPr>
      <w:r/>
      <w:bookmarkStart w:id="63" w:name="_Toc16938525"/>
      <w:r/>
      <w:bookmarkStart w:id="64" w:name="_Toc20823281"/>
      <w:r/>
      <w:bookmarkStart w:id="65" w:name="_Toc120614215"/>
      <w:r/>
      <w:bookmarkStart w:id="66" w:name="_Toc513029209"/>
      <w:r>
        <w:rPr>
          <w:rFonts w:hint="eastAsia"/>
          <w:color w:val="000000"/>
          <w:sz w:val="30"/>
          <w:szCs w:val="30"/>
          <w:highlight w:val="none"/>
        </w:rPr>
        <w:t xml:space="preserve">二、招标文件</w:t>
      </w:r>
      <w:bookmarkEnd w:id="63"/>
      <w:r/>
      <w:bookmarkEnd w:id="64"/>
      <w:r/>
      <w:bookmarkEnd w:id="65"/>
      <w:r/>
      <w:bookmarkEnd w:id="66"/>
      <w:r/>
      <w:r/>
    </w:p>
    <w:p>
      <w:pPr>
        <w:pStyle w:val="835"/>
        <w:ind w:firstLine="422"/>
        <w:keepLines w:val="0"/>
        <w:keepNext w:val="0"/>
        <w:spacing w:before="0" w:after="0" w:line="500" w:lineRule="exact"/>
        <w:rPr>
          <w:rFonts w:ascii="宋体" w:hAnsi="宋体" w:eastAsia="宋体"/>
          <w:bCs w:val="0"/>
          <w:color w:val="000000"/>
          <w:highlight w:val="none"/>
        </w:rPr>
      </w:pPr>
      <w:r/>
      <w:bookmarkStart w:id="67" w:name="_Toc20823282"/>
      <w:r/>
      <w:bookmarkStart w:id="68" w:name="_Toc16938526"/>
      <w:r/>
      <w:bookmarkStart w:id="69" w:name="_Toc513029210"/>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5"/>
        <w:ind w:firstLine="422"/>
        <w:keepLines w:val="0"/>
        <w:keepNext w:val="0"/>
        <w:spacing w:before="0" w:after="0" w:line="500" w:lineRule="exact"/>
        <w:rPr>
          <w:rFonts w:ascii="宋体" w:hAnsi="宋体" w:eastAsia="宋体"/>
          <w:bCs w:val="0"/>
          <w:color w:val="000000"/>
          <w:highlight w:val="none"/>
        </w:rPr>
      </w:pPr>
      <w:r/>
      <w:bookmarkStart w:id="70" w:name="_Toc462564070"/>
      <w:r/>
      <w:bookmarkStart w:id="71" w:name="_Toc20823283"/>
      <w:r/>
      <w:bookmarkStart w:id="72" w:name="_Toc513029211"/>
      <w:r/>
      <w:bookmarkStart w:id="73" w:name="_Toc16938527"/>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pStyle w:val="835"/>
        <w:ind w:firstLine="422"/>
        <w:keepLines w:val="0"/>
        <w:keepNext w:val="0"/>
        <w:spacing w:before="0" w:after="0" w:line="500" w:lineRule="exact"/>
        <w:rPr>
          <w:rFonts w:ascii="宋体" w:hAnsi="宋体" w:eastAsia="宋体"/>
          <w:bCs w:val="0"/>
          <w:color w:val="000000"/>
          <w:highlight w:val="none"/>
        </w:rPr>
      </w:pPr>
      <w:r/>
      <w:bookmarkStart w:id="74" w:name="_Toc462564071"/>
      <w:r/>
      <w:bookmarkStart w:id="75" w:name="_Toc16938528"/>
      <w:r/>
      <w:bookmarkStart w:id="76" w:name="_Toc20823284"/>
      <w:r/>
      <w:bookmarkStart w:id="77" w:name="_Toc513029212"/>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833"/>
        <w:ind w:firstLine="452"/>
        <w:keepLines w:val="0"/>
        <w:keepNext w:val="0"/>
        <w:spacing w:before="0" w:after="0" w:line="500" w:lineRule="exact"/>
        <w:rPr>
          <w:color w:val="000000"/>
          <w:sz w:val="30"/>
          <w:szCs w:val="30"/>
          <w:highlight w:val="none"/>
        </w:rPr>
      </w:pPr>
      <w:r/>
      <w:bookmarkStart w:id="78" w:name="_Toc20823285"/>
      <w:r/>
      <w:bookmarkStart w:id="79" w:name="_Toc120614216"/>
      <w:r/>
      <w:bookmarkStart w:id="80" w:name="_Toc16938529"/>
      <w:r/>
      <w:bookmarkStart w:id="81" w:name="_Toc462564072"/>
      <w:r/>
      <w:bookmarkStart w:id="82" w:name="_Toc513029213"/>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835"/>
        <w:ind w:firstLine="422"/>
        <w:keepLines w:val="0"/>
        <w:keepNext w:val="0"/>
        <w:spacing w:before="0" w:after="0" w:line="500" w:lineRule="exact"/>
        <w:rPr>
          <w:rFonts w:ascii="宋体" w:hAnsi="宋体" w:eastAsia="宋体"/>
          <w:bCs w:val="0"/>
          <w:color w:val="000000"/>
          <w:highlight w:val="none"/>
        </w:rPr>
      </w:pPr>
      <w:r/>
      <w:bookmarkStart w:id="83" w:name="_Toc20823286"/>
      <w:r/>
      <w:bookmarkStart w:id="84" w:name="_Toc462564073"/>
      <w:r/>
      <w:bookmarkStart w:id="85" w:name="_Toc16938530"/>
      <w:r/>
      <w:bookmarkStart w:id="86" w:name="_Toc513029214"/>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9.4如无特别说明，投标人报价一律以人民币为投标结算货币，结算单位为“元”。</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9.5投标文件格式部分，应由投标人按给定格式提供，不得更改。</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9.6.投标人在制作电子投标文件时，请正确关联到对应</w:t>
      </w:r>
      <w:r>
        <w:rPr>
          <w:rFonts w:hint="eastAsia" w:ascii="宋体" w:hAnsi="宋体" w:cs="宋体"/>
          <w:bCs/>
          <w:color w:val="000000"/>
          <w:sz w:val="24"/>
          <w:szCs w:val="24"/>
          <w:highlight w:val="none"/>
          <w:lang w:eastAsia="zh-CN" w:bidi="ar"/>
        </w:rPr>
        <w:t xml:space="preserve">页面</w:t>
      </w:r>
      <w:r>
        <w:rPr>
          <w:rFonts w:hint="eastAsia" w:ascii="宋体" w:hAnsi="宋体" w:cs="宋体"/>
          <w:bCs/>
          <w:color w:val="000000"/>
          <w:sz w:val="24"/>
          <w:szCs w:val="24"/>
          <w:highlight w:val="none"/>
          <w:lang w:bidi="ar"/>
        </w:rPr>
        <w:t xml:space="preserve">，在评审过程中，评审专家如因在相对应页面找不到该相关联的文件，由此产生的后果由投标人自行承担。</w:t>
      </w:r>
      <w:r/>
    </w:p>
    <w:p>
      <w:pPr>
        <w:ind w:firstLine="480"/>
        <w:spacing w:line="500" w:lineRule="exact"/>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9.7投标费用自理。</w:t>
      </w:r>
      <w:r/>
    </w:p>
    <w:p>
      <w:pPr>
        <w:ind w:firstLine="482"/>
        <w:jc w:val="left"/>
        <w:spacing w:line="500" w:lineRule="exact"/>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9.8在评分标准中除了投标报价外，还须包含商务部分和技术部分两大部分</w:t>
      </w:r>
      <w:r>
        <w:rPr>
          <w:rFonts w:hint="eastAsia" w:ascii="宋体" w:hAnsi="宋体" w:cs="宋体"/>
          <w:b/>
          <w:bCs/>
          <w:color w:val="000000"/>
          <w:sz w:val="24"/>
          <w:szCs w:val="24"/>
          <w:highlight w:val="none"/>
          <w:lang w:eastAsia="zh-CN" w:bidi="ar"/>
        </w:rPr>
        <w:t xml:space="preserve">。</w:t>
      </w:r>
      <w:r/>
    </w:p>
    <w:p>
      <w:pPr>
        <w:pStyle w:val="835"/>
        <w:ind w:firstLine="422"/>
        <w:keepLines w:val="0"/>
        <w:keepNext w:val="0"/>
        <w:spacing w:before="0" w:after="0" w:line="500" w:lineRule="exact"/>
        <w:rPr>
          <w:rFonts w:ascii="宋体" w:hAnsi="宋体" w:eastAsia="宋体"/>
          <w:bCs w:val="0"/>
          <w:color w:val="000000"/>
          <w:highlight w:val="none"/>
        </w:rPr>
      </w:pPr>
      <w:r/>
      <w:bookmarkStart w:id="87" w:name="_Toc16938531"/>
      <w:r/>
      <w:bookmarkStart w:id="88" w:name="_Toc462564074"/>
      <w:r/>
      <w:bookmarkStart w:id="89" w:name="_Toc513029215"/>
      <w:r/>
      <w:bookmarkStart w:id="90" w:name="_Toc20823287"/>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835"/>
        <w:ind w:firstLine="422"/>
        <w:keepLines w:val="0"/>
        <w:keepNext w:val="0"/>
        <w:spacing w:before="0" w:after="0" w:line="500" w:lineRule="exact"/>
        <w:rPr>
          <w:rFonts w:ascii="宋体" w:hAnsi="宋体" w:eastAsia="宋体"/>
          <w:bCs w:val="0"/>
          <w:color w:val="000000"/>
          <w:highlight w:val="none"/>
        </w:rPr>
      </w:pPr>
      <w:r/>
      <w:bookmarkStart w:id="91" w:name="_Hlt26670360"/>
      <w:r/>
      <w:bookmarkEnd w:id="91"/>
      <w:r/>
      <w:bookmarkStart w:id="92" w:name="_Hlt26954838"/>
      <w:r/>
      <w:bookmarkEnd w:id="92"/>
      <w:r/>
      <w:bookmarkStart w:id="93" w:name="_Hlt26668975"/>
      <w:r/>
      <w:bookmarkEnd w:id="93"/>
      <w:r/>
      <w:bookmarkStart w:id="94" w:name="_Toc513029216"/>
      <w:r/>
      <w:bookmarkStart w:id="95" w:name="_Toc14577357"/>
      <w:r/>
      <w:bookmarkStart w:id="96" w:name="_Toc49090507"/>
      <w:r/>
      <w:bookmarkStart w:id="97" w:name="_Toc14577354"/>
      <w:r/>
      <w:bookmarkStart w:id="98" w:name="_Toc49090509"/>
      <w:r/>
      <w:bookmarkStart w:id="99" w:name="_Toc513029219"/>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835"/>
        <w:ind w:firstLine="422"/>
        <w:keepLines w:val="0"/>
        <w:keepNext w:val="0"/>
        <w:spacing w:before="0" w:after="0" w:line="500" w:lineRule="exact"/>
        <w:rPr>
          <w:rFonts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835"/>
        <w:ind w:firstLine="422"/>
        <w:keepLines w:val="0"/>
        <w:keepNext w:val="0"/>
        <w:spacing w:before="0" w:after="0" w:line="500" w:lineRule="exact"/>
        <w:rPr>
          <w:rFonts w:ascii="宋体" w:hAnsi="宋体" w:eastAsia="宋体"/>
          <w:bCs w:val="0"/>
          <w:color w:val="000000"/>
          <w:highlight w:val="none"/>
        </w:rPr>
      </w:pPr>
      <w:r/>
      <w:bookmarkStart w:id="106" w:name="_Hlt26954844"/>
      <w:r/>
      <w:bookmarkEnd w:id="106"/>
      <w:r/>
      <w:bookmarkStart w:id="107" w:name="_Hlt26954848"/>
      <w:r/>
      <w:bookmarkEnd w:id="107"/>
      <w:r/>
      <w:bookmarkStart w:id="108" w:name="_Hlt26954846"/>
      <w:r/>
      <w:bookmarkEnd w:id="108"/>
      <w:r/>
      <w:bookmarkStart w:id="109" w:name="_Hlt26670486"/>
      <w:r/>
      <w:bookmarkEnd w:id="109"/>
      <w:r/>
      <w:bookmarkStart w:id="110" w:name="_Hlt26668983"/>
      <w:r/>
      <w:bookmarkEnd w:id="110"/>
      <w:r/>
      <w:bookmarkStart w:id="111" w:name="_Hlt26670403"/>
      <w:r/>
      <w:bookmarkEnd w:id="111"/>
      <w:r/>
      <w:bookmarkStart w:id="112" w:name="_Hlt26670425"/>
      <w:r/>
      <w:bookmarkEnd w:id="112"/>
      <w:r/>
      <w:bookmarkStart w:id="113" w:name="_Hlt26954731"/>
      <w:r/>
      <w:bookmarkEnd w:id="113"/>
      <w:r/>
      <w:bookmarkStart w:id="114" w:name="_Hlt26954842"/>
      <w:r/>
      <w:bookmarkEnd w:id="114"/>
      <w:r/>
      <w:bookmarkStart w:id="115" w:name="_Hlt26670482"/>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835"/>
        <w:ind w:firstLine="422"/>
        <w:keepLines w:val="0"/>
        <w:keepNext w:val="0"/>
        <w:spacing w:before="0" w:after="0" w:line="500" w:lineRule="exact"/>
        <w:rPr>
          <w:rFonts w:ascii="宋体" w:hAnsi="宋体" w:eastAsia="宋体"/>
          <w:bCs w:val="0"/>
          <w:color w:val="000000"/>
          <w:highlight w:val="none"/>
        </w:rPr>
      </w:pPr>
      <w:r/>
      <w:bookmarkStart w:id="116" w:name="_Hlt26670489"/>
      <w:r/>
      <w:bookmarkEnd w:id="116"/>
      <w:r/>
      <w:bookmarkStart w:id="117" w:name="_Hlt26954850"/>
      <w:r/>
      <w:bookmarkEnd w:id="117"/>
      <w:r/>
      <w:bookmarkStart w:id="118" w:name="_Hlt26954734"/>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833"/>
        <w:ind w:firstLine="452"/>
        <w:keepLines w:val="0"/>
        <w:keepNext w:val="0"/>
        <w:spacing w:before="0" w:after="0" w:line="500" w:lineRule="exact"/>
        <w:rPr>
          <w:color w:val="000000"/>
          <w:sz w:val="30"/>
          <w:szCs w:val="30"/>
          <w:highlight w:val="none"/>
        </w:rPr>
      </w:pPr>
      <w:r/>
      <w:bookmarkStart w:id="121" w:name="_Hlt26954739"/>
      <w:r/>
      <w:bookmarkEnd w:id="121"/>
      <w:r/>
      <w:bookmarkStart w:id="122" w:name="_Hlt26954852"/>
      <w:r/>
      <w:bookmarkEnd w:id="122"/>
      <w:r/>
      <w:bookmarkStart w:id="123" w:name="_Toc120614217"/>
      <w:r/>
      <w:bookmarkStart w:id="124" w:name="_Toc513029224"/>
      <w:r/>
      <w:bookmarkStart w:id="125" w:name="_Toc20823296"/>
      <w:r/>
      <w:bookmarkStart w:id="126" w:name="_Toc16938540"/>
      <w:r>
        <w:rPr>
          <w:rFonts w:hint="eastAsia"/>
          <w:color w:val="000000"/>
          <w:sz w:val="30"/>
          <w:szCs w:val="30"/>
          <w:highlight w:val="none"/>
        </w:rPr>
        <w:t xml:space="preserve">四、投标文件的递交</w:t>
      </w:r>
      <w:bookmarkEnd w:id="123"/>
      <w:r/>
      <w:bookmarkEnd w:id="124"/>
      <w:r/>
      <w:bookmarkEnd w:id="125"/>
      <w:r/>
      <w:bookmarkEnd w:id="126"/>
      <w:r/>
      <w:r/>
    </w:p>
    <w:p>
      <w:pPr>
        <w:pStyle w:val="835"/>
        <w:ind w:firstLine="422"/>
        <w:keepLines w:val="0"/>
        <w:keepNext w:val="0"/>
        <w:spacing w:before="0" w:after="0" w:line="500" w:lineRule="exact"/>
        <w:rPr>
          <w:rFonts w:ascii="宋体" w:hAnsi="宋体" w:eastAsia="宋体"/>
          <w:bCs w:val="0"/>
          <w:color w:val="000000"/>
          <w:highlight w:val="none"/>
        </w:rPr>
      </w:pPr>
      <w:r/>
      <w:bookmarkStart w:id="127" w:name="_Toc20823297"/>
      <w:r/>
      <w:bookmarkStart w:id="128" w:name="_Toc462564084"/>
      <w:r/>
      <w:bookmarkStart w:id="129" w:name="_Toc16938541"/>
      <w:r/>
      <w:bookmarkStart w:id="130" w:name="_Toc513029225"/>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91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bookmarkStart w:id="132" w:name="_Toc513029226"/>
      <w:r/>
      <w:bookmarkStart w:id="133" w:name="_Toc20823298"/>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p>
    <w:p>
      <w:pPr>
        <w:pStyle w:val="835"/>
        <w:ind w:firstLine="422"/>
        <w:keepLines w:val="0"/>
        <w:keepNext w:val="0"/>
        <w:spacing w:before="0" w:after="0" w:line="500" w:lineRule="exact"/>
        <w:rPr>
          <w:rFonts w:ascii="宋体" w:hAnsi="宋体" w:eastAsia="宋体"/>
          <w:bCs w:val="0"/>
          <w:color w:val="000000"/>
          <w:highlight w:val="none"/>
        </w:rPr>
      </w:pPr>
      <w:r/>
      <w:bookmarkStart w:id="134" w:name="_Toc513029227"/>
      <w:r/>
      <w:bookmarkStart w:id="135" w:name="_Toc16938543"/>
      <w:r/>
      <w:bookmarkStart w:id="136" w:name="_Toc20823299"/>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p>
    <w:p>
      <w:pPr>
        <w:pStyle w:val="835"/>
        <w:ind w:firstLine="422"/>
        <w:keepLines w:val="0"/>
        <w:keepNext w:val="0"/>
        <w:spacing w:before="0" w:after="0" w:line="500" w:lineRule="exact"/>
        <w:rPr>
          <w:rFonts w:ascii="宋体" w:hAnsi="宋体" w:eastAsia="宋体"/>
          <w:bCs w:val="0"/>
          <w:color w:val="000000"/>
          <w:highlight w:val="none"/>
        </w:rPr>
      </w:pPr>
      <w:r/>
      <w:bookmarkStart w:id="137" w:name="_Toc16938544"/>
      <w:r/>
      <w:bookmarkStart w:id="138" w:name="_Toc513029228"/>
      <w:r/>
      <w:bookmarkStart w:id="139" w:name="_Toc20823300"/>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833"/>
        <w:ind w:firstLine="452"/>
        <w:keepLines w:val="0"/>
        <w:keepNext w:val="0"/>
        <w:spacing w:before="0" w:after="0" w:line="500" w:lineRule="exact"/>
        <w:rPr>
          <w:color w:val="000000"/>
          <w:sz w:val="30"/>
          <w:szCs w:val="30"/>
          <w:highlight w:val="none"/>
        </w:rPr>
      </w:pPr>
      <w:r/>
      <w:bookmarkStart w:id="140" w:name="_Toc20823301"/>
      <w:r/>
      <w:bookmarkStart w:id="141" w:name="_Toc513029229"/>
      <w:r/>
      <w:bookmarkStart w:id="142" w:name="_Toc120614218"/>
      <w:r/>
      <w:bookmarkStart w:id="143" w:name="_Toc16938545"/>
      <w:r>
        <w:rPr>
          <w:rFonts w:hint="eastAsia"/>
          <w:color w:val="000000"/>
          <w:sz w:val="30"/>
          <w:szCs w:val="30"/>
          <w:highlight w:val="none"/>
        </w:rPr>
        <w:t xml:space="preserve">五、开标与评标</w:t>
      </w:r>
      <w:bookmarkEnd w:id="140"/>
      <w:r/>
      <w:bookmarkEnd w:id="141"/>
      <w:r/>
      <w:bookmarkEnd w:id="142"/>
      <w:r/>
      <w:bookmarkEnd w:id="143"/>
      <w:r/>
      <w:r/>
    </w:p>
    <w:p>
      <w:pPr>
        <w:pStyle w:val="835"/>
        <w:ind w:firstLine="422"/>
        <w:keepLines w:val="0"/>
        <w:keepNext w:val="0"/>
        <w:spacing w:before="0" w:after="0" w:line="500" w:lineRule="exact"/>
        <w:rPr>
          <w:rFonts w:ascii="宋体" w:hAnsi="宋体" w:eastAsia="宋体"/>
          <w:bCs w:val="0"/>
          <w:color w:val="000000"/>
          <w:highlight w:val="none"/>
        </w:rPr>
      </w:pPr>
      <w:r/>
      <w:bookmarkStart w:id="144" w:name="_Toc16938546"/>
      <w:r/>
      <w:bookmarkStart w:id="145" w:name="_Toc20823302"/>
      <w:r/>
      <w:bookmarkStart w:id="146" w:name="_Toc513029230"/>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835"/>
        <w:ind w:firstLine="422"/>
        <w:keepLines w:val="0"/>
        <w:keepNext w:val="0"/>
        <w:spacing w:before="0" w:after="0" w:line="500" w:lineRule="exact"/>
        <w:rPr>
          <w:rFonts w:ascii="宋体" w:hAnsi="宋体" w:eastAsia="宋体"/>
          <w:bCs w:val="0"/>
          <w:color w:val="000000"/>
          <w:highlight w:val="none"/>
        </w:rPr>
      </w:pPr>
      <w:r/>
      <w:bookmarkStart w:id="147" w:name="_Toc16938547"/>
      <w:r/>
      <w:bookmarkStart w:id="148" w:name="_Toc513029231"/>
      <w:r/>
      <w:bookmarkStart w:id="149" w:name="_Toc20823303"/>
      <w:r>
        <w:rPr>
          <w:rFonts w:hint="eastAsia" w:ascii="宋体" w:hAnsi="宋体" w:eastAsia="宋体"/>
          <w:bCs w:val="0"/>
          <w:color w:val="000000"/>
          <w:highlight w:val="none"/>
        </w:rPr>
        <w:t xml:space="preserve">22.评标委员会</w:t>
      </w:r>
      <w:r/>
    </w:p>
    <w:p>
      <w:pPr>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835"/>
        <w:ind w:firstLine="422"/>
        <w:keepLines w:val="0"/>
        <w:keepNext w:val="0"/>
        <w:spacing w:before="0" w:after="0" w:line="500" w:lineRule="exact"/>
        <w:rPr>
          <w:rFonts w:ascii="宋体" w:hAnsi="宋体" w:eastAsia="宋体"/>
          <w:bCs w:val="0"/>
          <w:color w:val="000000"/>
          <w:highlight w:val="none"/>
        </w:rPr>
      </w:pPr>
      <w:r/>
      <w:bookmarkStart w:id="150" w:name="_Toc16938548"/>
      <w:r/>
      <w:bookmarkStart w:id="151" w:name="_Toc20823304"/>
      <w:r/>
      <w:bookmarkStart w:id="152" w:name="_Toc513029232"/>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p>
    <w:p>
      <w:pPr>
        <w:pStyle w:val="835"/>
        <w:ind w:firstLine="422"/>
        <w:keepLines w:val="0"/>
        <w:keepNext w:val="0"/>
        <w:spacing w:before="0" w:after="0" w:line="500" w:lineRule="exact"/>
        <w:rPr>
          <w:rFonts w:ascii="宋体" w:hAnsi="宋体" w:eastAsia="宋体"/>
          <w:bCs w:val="0"/>
          <w:color w:val="000000"/>
          <w:highlight w:val="none"/>
        </w:rPr>
      </w:pPr>
      <w:r/>
      <w:bookmarkStart w:id="153" w:name="_Toc20823305"/>
      <w:r/>
      <w:bookmarkStart w:id="154" w:name="_Toc513029233"/>
      <w:r/>
      <w:bookmarkStart w:id="155" w:name="_Toc16938549"/>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25.1.1资格审查：依据法律法规和招标文件的规定，由采购代理机构对投标文件中的资格证明文件进行审查。</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采购代理机构在进行资格审查的同时，将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2"/>
        <w:spacing w:line="500" w:lineRule="atLeas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highlight w:val="none"/>
        </w:rPr>
      </w:pPr>
      <w:r/>
      <w:bookmarkStart w:id="156" w:name="_Toc20823306"/>
      <w:r/>
      <w:bookmarkStart w:id="157" w:name="_Toc16938550"/>
      <w:r/>
      <w:bookmarkStart w:id="158" w:name="_Toc513029234"/>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25.7异常低价投标（响应）审查</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（1）投标（响应）报价低于全部通过符合性审查供应商投标（响应）报价平均值50%的，即投标（响应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报价＜全部通过符合性审查供应商投标（响应）报价平均值×50%；</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（2）投标（响应）报价低于通过符合性审查的次低报价供应商投标（响应）报价50%的，即投标（响应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报价＜通过符合性审查的次低报价供应商投标（响应）报价×50%；</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（3）投标（响应）报价低于采购项目最高限价45%的，即投标（响应）报价＜采购项目最高限价×45% ;</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相关法律法规对供应商报价有规定的，从其规定。</w:t>
      </w:r>
      <w:r/>
    </w:p>
    <w:p>
      <w:pPr>
        <w:pStyle w:val="110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如果项目或采购包存在有分项价格最高限价要求或单价最高限价（最高限制单价）要求时，有上述情形的，应当启动异常低价投标（响应）审查程序。</w:t>
      </w:r>
      <w:r/>
    </w:p>
    <w:p>
      <w:pPr>
        <w:pStyle w:val="110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财政部门在投诉处理、监督检查中发现评审委员会未按规定对异常低价开展审查的，依法予以纠正并追究评审专家的法律责任。</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ascii="宋体" w:hAnsi="宋体"/>
          <w:bCs/>
          <w:color w:val="000000"/>
          <w:sz w:val="24"/>
          <w:highlight w:val="none"/>
        </w:rPr>
      </w:pPr>
      <w:r/>
      <w:bookmarkStart w:id="159" w:name="_Toc513029235"/>
      <w:r/>
      <w:bookmarkStart w:id="160" w:name="_Toc16938551"/>
      <w:r/>
      <w:bookmarkStart w:id="161" w:name="_Toc20823307"/>
      <w:r>
        <w:rPr>
          <w:rFonts w:hint="eastAsia" w:ascii="宋体" w:hAnsi="宋体"/>
          <w:bCs/>
          <w:color w:val="000000"/>
          <w:sz w:val="24"/>
          <w:highlight w:val="none"/>
        </w:rPr>
        <w:t xml:space="preserve">26.1无效投标条款</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）投标总价超过本项目（本采购包、本标项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本标段</w:t>
      </w:r>
      <w:r>
        <w:rPr>
          <w:rFonts w:hint="eastAsia" w:ascii="宋体" w:hAnsi="宋体"/>
          <w:bCs/>
          <w:color w:val="000000"/>
          <w:sz w:val="24"/>
          <w:szCs w:val="24"/>
          <w:highlight w:val="none"/>
        </w:rPr>
        <w:t xml:space="preserve">）预算或最高限价的。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bCs/>
          <w:color w:val="000000"/>
          <w:sz w:val="24"/>
          <w:highlight w:val="none"/>
          <w:lang w:val="en-US" w:eastAsia="zh-CN"/>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szCs w:val="24"/>
          <w:highlight w:val="none"/>
          <w:lang w:eastAsia="zh-CN"/>
        </w:rPr>
        <w:t xml:space="preserve">。</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 </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其他法律法规及本招标文件规定的属无效投标的情形。</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833"/>
        <w:ind w:firstLine="452"/>
        <w:keepLines w:val="0"/>
        <w:keepNext w:val="0"/>
        <w:spacing w:before="0" w:after="0" w:line="500" w:lineRule="exact"/>
        <w:rPr>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835"/>
        <w:ind w:firstLine="422"/>
        <w:keepLines w:val="0"/>
        <w:keepNext w:val="0"/>
        <w:spacing w:before="0" w:after="0" w:line="500" w:lineRule="exact"/>
        <w:rPr>
          <w:rFonts w:ascii="宋体" w:hAnsi="宋体" w:eastAsia="宋体"/>
          <w:bCs w:val="0"/>
          <w:color w:val="000000"/>
          <w:highlight w:val="none"/>
        </w:rPr>
      </w:pPr>
      <w:r/>
      <w:bookmarkStart w:id="163" w:name="_Toc513029238"/>
      <w:r/>
      <w:bookmarkStart w:id="164" w:name="_Toc16938554"/>
      <w:r/>
      <w:bookmarkStart w:id="165" w:name="_Toc20823310"/>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30.代理服务费：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30.1</w:t>
      </w:r>
      <w:r>
        <w:rPr>
          <w:rFonts w:hint="eastAsia" w:ascii="宋体" w:hAnsi="宋体" w:cs="宋体"/>
          <w:color w:val="000000"/>
          <w:sz w:val="24"/>
          <w:highlight w:val="none"/>
        </w:rPr>
        <w:t xml:space="preserve">本项目招标代理服务费以中标金额为计费基础，按差额定率累进法计算后</w:t>
      </w:r>
      <w:r>
        <w:rPr>
          <w:rFonts w:hint="eastAsia" w:ascii="宋体" w:hAnsi="宋体" w:cs="宋体"/>
          <w:color w:val="000000"/>
          <w:sz w:val="24"/>
          <w:szCs w:val="24"/>
          <w:highlight w:val="none"/>
        </w:rPr>
        <w:t xml:space="preserve">打</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折计取</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100万元以下</w:t>
      </w:r>
      <w:r>
        <w:rPr>
          <w:rFonts w:hint="eastAsia" w:ascii="宋体" w:hAnsi="宋体" w:cs="宋体"/>
          <w:color w:val="000000"/>
          <w:sz w:val="24"/>
          <w:highlight w:val="none"/>
        </w:rPr>
        <w:t xml:space="preserve">费率为1.5%，</w:t>
      </w:r>
      <w:r>
        <w:rPr>
          <w:rFonts w:hint="eastAsia" w:ascii="宋体" w:hAnsi="宋体" w:cs="宋体"/>
          <w:color w:val="000000"/>
          <w:sz w:val="24"/>
          <w:highlight w:val="none"/>
          <w:lang w:eastAsia="zh-CN"/>
        </w:rPr>
        <w:t xml:space="preserve">100万—500万</w:t>
      </w:r>
      <w:r>
        <w:rPr>
          <w:rFonts w:hint="eastAsia" w:ascii="宋体" w:hAnsi="宋体" w:cs="宋体"/>
          <w:color w:val="000000"/>
          <w:sz w:val="24"/>
          <w:highlight w:val="none"/>
        </w:rPr>
        <w:t xml:space="preserve">费率为1.1%</w:t>
      </w:r>
      <w:r>
        <w:rPr>
          <w:rFonts w:hint="eastAsia" w:ascii="宋体" w:hAnsi="宋体" w:cs="宋体"/>
          <w:bCs/>
          <w:color w:val="000000"/>
          <w:sz w:val="24"/>
          <w:highlight w:val="none"/>
        </w:rPr>
        <w:t xml:space="preserve">。本项目招标代理费由</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支付。</w:t>
      </w:r>
      <w:r/>
    </w:p>
    <w:p>
      <w:pPr>
        <w:pStyle w:val="833"/>
        <w:ind w:firstLine="452"/>
        <w:keepLines w:val="0"/>
        <w:keepNext w:val="0"/>
        <w:spacing w:before="0" w:after="0" w:line="500" w:lineRule="exact"/>
        <w:rPr>
          <w:color w:val="000000"/>
          <w:sz w:val="30"/>
          <w:szCs w:val="30"/>
          <w:highlight w:val="none"/>
        </w:rPr>
      </w:pPr>
      <w:r/>
      <w:bookmarkStart w:id="167" w:name="_Toc120614220"/>
      <w:r/>
      <w:bookmarkStart w:id="168" w:name="_Toc16938552"/>
      <w:r/>
      <w:bookmarkStart w:id="169" w:name="_Toc513029236"/>
      <w:r/>
      <w:bookmarkStart w:id="170" w:name="_Toc20823308"/>
      <w:r>
        <w:rPr>
          <w:rFonts w:hint="eastAsia"/>
          <w:color w:val="000000"/>
          <w:sz w:val="30"/>
          <w:szCs w:val="30"/>
          <w:highlight w:val="none"/>
        </w:rPr>
        <w:t xml:space="preserve">七、授予合同</w:t>
      </w:r>
      <w:bookmarkEnd w:id="167"/>
      <w:r/>
      <w:bookmarkEnd w:id="168"/>
      <w:r/>
      <w:bookmarkEnd w:id="169"/>
      <w:r/>
      <w:bookmarkEnd w:id="170"/>
      <w:r/>
      <w:r/>
    </w:p>
    <w:p>
      <w:pPr>
        <w:pStyle w:val="835"/>
        <w:ind w:firstLine="422"/>
        <w:keepLines w:val="0"/>
        <w:keepNext w:val="0"/>
        <w:spacing w:before="0" w:after="0" w:line="500" w:lineRule="exact"/>
        <w:rPr>
          <w:rFonts w:ascii="宋体" w:hAnsi="宋体" w:eastAsia="宋体"/>
          <w:bCs w:val="0"/>
          <w:color w:val="000000"/>
          <w:highlight w:val="none"/>
        </w:rPr>
      </w:pPr>
      <w:r/>
      <w:bookmarkStart w:id="171" w:name="_Toc16938553"/>
      <w:r/>
      <w:bookmarkStart w:id="172" w:name="_Toc20823309"/>
      <w:r/>
      <w:bookmarkStart w:id="173" w:name="_Toc513029237"/>
      <w:r>
        <w:rPr>
          <w:rFonts w:hint="eastAsia" w:ascii="宋体" w:hAnsi="宋体" w:eastAsia="宋体"/>
          <w:bCs w:val="0"/>
          <w:color w:val="000000"/>
          <w:highlight w:val="none"/>
        </w:rPr>
        <w:t xml:space="preserve">31.签订合同</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3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32.服务（包含与服务相关的货物）的追加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830"/>
        <w:jc w:val="center"/>
        <w:spacing w:line="500" w:lineRule="exact"/>
        <w:rPr>
          <w:rFonts w:ascii="黑体" w:eastAsia="黑体"/>
          <w:bCs/>
          <w:color w:val="000000"/>
          <w:sz w:val="36"/>
          <w:szCs w:val="36"/>
          <w:highlight w:val="none"/>
        </w:rPr>
      </w:pPr>
      <w:r/>
      <w:bookmarkStart w:id="174" w:name="_Toc513029242"/>
      <w:r/>
      <w:bookmarkStart w:id="175" w:name="_Toc16938558"/>
      <w:r/>
      <w:bookmarkStart w:id="176" w:name="_Toc120614221"/>
      <w:r/>
      <w:bookmarkStart w:id="177" w:name="_Toc479757207"/>
      <w:r/>
      <w:bookmarkStart w:id="178" w:name="_Toc20823314"/>
      <w:r>
        <w:rPr>
          <w:rFonts w:ascii="宋体" w:hAnsi="宋体"/>
          <w:bCs/>
          <w:color w:val="000000"/>
          <w:sz w:val="24"/>
          <w:highlight w:val="none"/>
          <w:shd w:val="clear" w:color="ffffff" w:fill="d9d9d9"/>
        </w:rPr>
        <w:br w:type="page" w:clear="all"/>
      </w:r>
      <w:r>
        <w:rPr>
          <w:rFonts w:hint="eastAsia" w:ascii="黑体" w:eastAsia="黑体"/>
          <w:bCs/>
          <w:color w:val="000000"/>
          <w:sz w:val="36"/>
          <w:szCs w:val="36"/>
          <w:highlight w:val="none"/>
        </w:rPr>
        <w:t xml:space="preserve">第三章  合同</w:t>
      </w:r>
      <w:bookmarkEnd w:id="174"/>
      <w:r/>
      <w:bookmarkEnd w:id="175"/>
      <w:r/>
      <w:bookmarkEnd w:id="176"/>
      <w:r/>
      <w:bookmarkEnd w:id="177"/>
      <w:r/>
      <w:bookmarkEnd w:id="178"/>
      <w:r>
        <w:rPr>
          <w:rFonts w:hint="eastAsia" w:ascii="黑体" w:eastAsia="黑体"/>
          <w:bCs/>
          <w:color w:val="000000"/>
          <w:sz w:val="36"/>
          <w:szCs w:val="36"/>
          <w:highlight w:val="none"/>
        </w:rPr>
        <w:t xml:space="preserve">文本</w:t>
      </w:r>
      <w:r/>
    </w:p>
    <w:p>
      <w:pPr>
        <w:spacing w:line="360" w:lineRule="exact"/>
        <w:rPr>
          <w:rFonts w:ascii="宋体" w:hAnsi="宋体"/>
          <w:bCs/>
          <w:color w:val="000000"/>
          <w:sz w:val="24"/>
          <w:highlight w:val="none"/>
        </w:rPr>
      </w:pPr>
      <w:r/>
      <w:bookmarkStart w:id="179" w:name="_Toc20823346"/>
      <w:r/>
      <w:bookmarkEnd w:id="179"/>
      <w:r/>
      <w:bookmarkStart w:id="180" w:name="_Hlt16619350"/>
      <w:r/>
      <w:bookmarkEnd w:id="180"/>
      <w:r/>
      <w:bookmarkStart w:id="181" w:name="_Toc16938590"/>
      <w:r/>
      <w:bookmarkEnd w:id="181"/>
      <w:r/>
      <w:bookmarkStart w:id="182" w:name="_Toc120614244"/>
      <w:r/>
      <w:bookmarkEnd w:id="182"/>
      <w:r/>
      <w:bookmarkStart w:id="183" w:name="_Toc479757211"/>
      <w:r/>
      <w:bookmarkStart w:id="184" w:name="_Toc462564139"/>
      <w:r/>
      <w:r/>
    </w:p>
    <w:p>
      <w:pPr>
        <w:ind w:firstLine="480"/>
        <w:jc w:val="left"/>
        <w:spacing w:line="360" w:lineRule="auto"/>
        <w:rPr>
          <w:rFonts w:ascii="宋体" w:hAnsi="宋体" w:cs="宋体"/>
          <w:b/>
          <w:color w:val="000000"/>
          <w:sz w:val="24"/>
          <w:szCs w:val="24"/>
          <w:highlight w:val="none"/>
        </w:rPr>
      </w:pPr>
      <w:r/>
      <w:bookmarkStart w:id="185" w:name="_Toc49090575"/>
      <w:r/>
      <w:bookmarkStart w:id="186" w:name="_Toc26554093"/>
      <w:r>
        <w:rPr>
          <w:rFonts w:hint="eastAsia" w:ascii="宋体" w:hAnsi="宋体" w:cs="宋体"/>
          <w:b/>
          <w:color w:val="000000"/>
          <w:sz w:val="24"/>
          <w:szCs w:val="24"/>
          <w:highlight w:val="none"/>
        </w:rPr>
        <w:t xml:space="preserve">根据《中华人民共和国政府采购法》及相关法规、《中华人民共和国民法典》，遵循平等、自愿、公平和诚实信用的原则，甲乙双方就</w:t>
      </w:r>
      <w:r>
        <w:rPr>
          <w:rFonts w:hint="eastAsia" w:ascii="宋体" w:hAnsi="宋体" w:cs="宋体"/>
          <w:b/>
          <w:color w:val="000000"/>
          <w:sz w:val="24"/>
          <w:szCs w:val="24"/>
          <w:highlight w:val="none"/>
          <w:lang w:eastAsia="zh-CN"/>
        </w:rPr>
        <w:t xml:space="preserve">梅村高中家具采购项目</w:t>
      </w:r>
      <w:r>
        <w:rPr>
          <w:rFonts w:hint="eastAsia" w:ascii="宋体" w:hAnsi="宋体" w:cs="宋体"/>
          <w:b/>
          <w:color w:val="000000"/>
          <w:sz w:val="24"/>
          <w:szCs w:val="24"/>
          <w:highlight w:val="none"/>
        </w:rPr>
        <w:t xml:space="preserve">（项目编号：</w:t>
      </w:r>
      <w:r>
        <w:rPr>
          <w:rFonts w:hint="eastAsia" w:ascii="宋体" w:hAnsi="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rPr>
        <w:t xml:space="preserve">）采购及有关事项协商一致，共同达成如下协议：</w:t>
      </w:r>
      <w:r/>
    </w:p>
    <w:p>
      <w:pPr>
        <w:ind w:firstLine="480"/>
        <w:spacing w:line="360" w:lineRule="auto"/>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 xml:space="preserve">需方（采购人）：</w:t>
      </w:r>
      <w:r>
        <w:rPr>
          <w:rFonts w:hint="eastAsia" w:ascii="宋体" w:hAnsi="宋体" w:cs="宋体"/>
          <w:bCs/>
          <w:color w:val="000000"/>
          <w:sz w:val="24"/>
          <w:szCs w:val="24"/>
          <w:highlight w:val="none"/>
          <w:u w:val="single"/>
          <w:lang w:val="en-US" w:eastAsia="zh-CN"/>
        </w:rPr>
        <w:t xml:space="preserve">                                            </w:t>
      </w:r>
      <w:r/>
    </w:p>
    <w:p>
      <w:pPr>
        <w:ind w:firstLine="480"/>
        <w:spacing w:line="360" w:lineRule="auto"/>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 xml:space="preserve">供方（中标方）：</w:t>
      </w:r>
      <w:r>
        <w:rPr>
          <w:rFonts w:hint="eastAsia" w:ascii="宋体" w:hAnsi="宋体" w:cs="宋体"/>
          <w:bCs/>
          <w:color w:val="000000"/>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一、采购项目编号：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二、采购项目名称：</w:t>
      </w:r>
      <w:r>
        <w:rPr>
          <w:rFonts w:hint="eastAsia" w:ascii="宋体" w:hAnsi="宋体" w:cs="宋体"/>
          <w:bCs/>
          <w:color w:val="000000"/>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三、中标（成交）金额：</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（小写）；</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四、交货期或完工期：</w:t>
      </w:r>
      <w:r>
        <w:rPr>
          <w:rFonts w:hint="eastAsia" w:ascii="宋体" w:hAnsi="宋体" w:cs="宋体"/>
          <w:bCs/>
          <w:color w:val="000000"/>
          <w:sz w:val="24"/>
          <w:szCs w:val="24"/>
          <w:highlight w:val="none"/>
          <w:u w:val="single"/>
          <w:lang w:val="en-US" w:eastAsia="zh-CN"/>
        </w:rPr>
        <w:t xml:space="preserve">合同签订生效后30个日历天内安装调试完毕</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五、项目整体质保期：</w:t>
      </w:r>
      <w:r>
        <w:rPr>
          <w:rFonts w:hint="eastAsia" w:ascii="宋体" w:hAnsi="宋体" w:cs="宋体"/>
          <w:bCs/>
          <w:color w:val="000000"/>
          <w:sz w:val="24"/>
          <w:szCs w:val="24"/>
          <w:highlight w:val="none"/>
          <w:u w:val="single"/>
          <w:lang w:val="en-US" w:eastAsia="zh-CN"/>
        </w:rPr>
        <w:t xml:space="preserve">五年</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六、交货地点和方式：</w:t>
      </w:r>
      <w:r>
        <w:rPr>
          <w:rFonts w:hint="eastAsia" w:ascii="宋体" w:hAnsi="宋体" w:cs="宋体"/>
          <w:bCs/>
          <w:color w:val="000000"/>
          <w:sz w:val="24"/>
          <w:szCs w:val="24"/>
          <w:highlight w:val="none"/>
          <w:u w:val="single"/>
        </w:rPr>
        <w:t xml:space="preserve">采购人指定地点；中标方必须按采购人要求将本项目中货物送到指定地点（包括可能的分布范围），并按照要求实施安装调试。</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七、货款支付步骤和办法：</w:t>
      </w:r>
      <w:r>
        <w:rPr>
          <w:rFonts w:hint="eastAsia" w:ascii="宋体" w:hAnsi="宋体" w:cs="宋体"/>
          <w:bCs/>
          <w:color w:val="000000"/>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八、合同书不可分割部分：</w:t>
      </w:r>
      <w:r/>
    </w:p>
    <w:p>
      <w:pPr>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招标（采购）文件、投标（报价）文件、合同条款及中标</w:t>
      </w:r>
      <w:r>
        <w:rPr>
          <w:rFonts w:hint="eastAsia" w:ascii="宋体" w:hAnsi="宋体" w:cs="宋体"/>
          <w:color w:val="000000"/>
          <w:sz w:val="24"/>
          <w:szCs w:val="24"/>
          <w:highlight w:val="none"/>
        </w:rPr>
        <w:t xml:space="preserve">（成交）</w:t>
      </w:r>
      <w:r>
        <w:rPr>
          <w:rFonts w:hint="eastAsia" w:ascii="宋体" w:hAnsi="宋体" w:cs="宋体"/>
          <w:bCs/>
          <w:color w:val="000000"/>
          <w:sz w:val="24"/>
          <w:szCs w:val="24"/>
          <w:highlight w:val="none"/>
        </w:rPr>
        <w:t xml:space="preserve">通知书，供方在投标（响应）、评标（评审）过程中所作其他有关承诺、声明、书面澄清等均为合同不可分割的部分，与主合同具有同等法律效力。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九、合同书组成：</w:t>
      </w:r>
      <w:r/>
    </w:p>
    <w:p>
      <w:pPr>
        <w:ind w:firstLine="480"/>
        <w:spacing w:line="360" w:lineRule="auto"/>
        <w:tabs>
          <w:tab w:val="left" w:pos="210" w:leader="none"/>
          <w:tab w:val="left" w:pos="735" w:leader="none"/>
          <w:tab w:val="left" w:pos="1155" w:leader="none"/>
        </w:tabs>
        <w:rPr>
          <w:rFonts w:ascii="宋体" w:hAnsi="宋体" w:cs="宋体"/>
          <w:bCs/>
          <w:color w:val="000000"/>
          <w:sz w:val="24"/>
          <w:szCs w:val="24"/>
          <w:highlight w:val="none"/>
        </w:rPr>
      </w:pPr>
      <w:r>
        <w:rPr>
          <w:rFonts w:hint="eastAsia" w:ascii="宋体" w:hAnsi="宋体" w:cs="宋体"/>
          <w:color w:val="000000"/>
          <w:sz w:val="24"/>
          <w:szCs w:val="24"/>
          <w:highlight w:val="none"/>
        </w:rPr>
        <w:t xml:space="preserve">合同书由格式条款</w:t>
      </w:r>
      <w:r>
        <w:rPr>
          <w:rFonts w:hint="eastAsia" w:ascii="宋体" w:hAnsi="宋体" w:cs="宋体"/>
          <w:bCs/>
          <w:color w:val="000000"/>
          <w:sz w:val="24"/>
          <w:szCs w:val="24"/>
          <w:highlight w:val="none"/>
        </w:rPr>
        <w:t xml:space="preserve">和合同条款两部分组成。合同条款应当包含法定必备条款和采购需求的所有内容，并应与“合同书不可分割部分”的内容一致，包括但不限于</w:t>
      </w:r>
      <w:r>
        <w:rPr>
          <w:rFonts w:hint="eastAsia" w:ascii="宋体" w:hAnsi="宋体" w:cs="宋体"/>
          <w:color w:val="000000"/>
          <w:sz w:val="24"/>
          <w:szCs w:val="24"/>
          <w:highlight w:val="none"/>
        </w:rPr>
        <w:t xml:space="preserve">合同类型，</w:t>
      </w:r>
      <w:r>
        <w:rPr>
          <w:rFonts w:hint="eastAsia" w:ascii="宋体" w:hAnsi="宋体" w:cs="宋体"/>
          <w:bCs/>
          <w:color w:val="000000"/>
          <w:sz w:val="24"/>
          <w:szCs w:val="24"/>
          <w:highlight w:val="none"/>
        </w:rPr>
        <w:t xml:space="preserve">标的名称、采购标的质量、数量，履行时间、地点和方式，包装方式，履约保证金要求，价款或报酬、付款进度安排、</w:t>
      </w:r>
      <w:r>
        <w:rPr>
          <w:rFonts w:hint="eastAsia" w:ascii="宋体" w:hAnsi="宋体" w:cs="宋体"/>
          <w:color w:val="000000"/>
          <w:sz w:val="24"/>
          <w:szCs w:val="24"/>
          <w:highlight w:val="none"/>
        </w:rPr>
        <w:t xml:space="preserve">与履约验收挂钩的资金支付条件及时间</w:t>
      </w:r>
      <w:r>
        <w:rPr>
          <w:rFonts w:hint="eastAsia" w:ascii="宋体" w:hAnsi="宋体" w:cs="宋体"/>
          <w:bCs/>
          <w:color w:val="000000"/>
          <w:sz w:val="24"/>
          <w:szCs w:val="24"/>
          <w:highlight w:val="none"/>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十、合同书生效及注意事项：</w:t>
      </w:r>
      <w:r/>
    </w:p>
    <w:p>
      <w:pPr>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书格式条款与合同条款共同组成完整合同书。采购人在确定中标（成交）供应商之日起十五个日历天内，完成合同书签订工作。供需双方在合同书上确认签章后，合同即生效并经系统自动将合同书推送“江苏政府采购网”进行公示。</w:t>
      </w:r>
      <w:r/>
    </w:p>
    <w:p>
      <w:pPr>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十二、根据《中华人民共和国政府采购法》第四十九、五十条规定，甲乙双方不得擅自变更、中止或终止合同。</w:t>
      </w:r>
      <w:r/>
    </w:p>
    <w:p>
      <w:pPr>
        <w:widowControl/>
        <w:rPr>
          <w:rFonts w:hint="eastAsia" w:ascii="宋体" w:hAnsi="宋体"/>
          <w:bCs/>
          <w:color w:val="auto"/>
          <w:sz w:val="24"/>
          <w:highlight w:val="none"/>
          <w:lang w:eastAsia="zh-CN"/>
        </w:rPr>
      </w:pPr>
      <w:r>
        <w:rPr>
          <w:rFonts w:hint="eastAsia" w:ascii="宋体" w:hAnsi="宋体"/>
          <w:bCs/>
          <w:color w:val="auto"/>
          <w:sz w:val="24"/>
          <w:highlight w:val="none"/>
          <w:lang w:eastAsia="zh-CN"/>
        </w:rPr>
      </w:r>
      <w:r/>
    </w:p>
    <w:p>
      <w:pPr>
        <w:widowControl/>
        <w:rPr>
          <w:rFonts w:hint="eastAsia" w:ascii="宋体" w:hAnsi="宋体"/>
          <w:bCs/>
          <w:color w:val="auto"/>
          <w:sz w:val="24"/>
          <w:highlight w:val="none"/>
          <w:lang w:eastAsia="zh-CN"/>
        </w:rPr>
      </w:pPr>
      <w:r>
        <w:rPr>
          <w:rFonts w:hint="eastAsia" w:ascii="宋体" w:hAnsi="宋体"/>
          <w:bCs/>
          <w:color w:val="auto"/>
          <w:sz w:val="24"/>
          <w:highlight w:val="none"/>
          <w:lang w:eastAsia="zh-CN"/>
        </w:rPr>
      </w:r>
      <w:r/>
    </w:p>
    <w:p>
      <w:pPr>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需方（采购人）：（</w:t>
      </w:r>
      <w:r>
        <w:rPr>
          <w:rFonts w:hint="eastAsia" w:ascii="宋体" w:hAnsi="宋体" w:cs="宋体"/>
          <w:bCs/>
          <w:color w:val="000000"/>
          <w:sz w:val="24"/>
          <w:szCs w:val="24"/>
          <w:highlight w:val="none"/>
          <w:lang w:eastAsia="en-US"/>
        </w:rPr>
        <w:t xml:space="preserve">盖</w:t>
      </w:r>
      <w:r>
        <w:rPr>
          <w:rFonts w:hint="eastAsia" w:ascii="宋体" w:hAnsi="宋体" w:cs="宋体"/>
          <w:bCs/>
          <w:color w:val="000000"/>
          <w:sz w:val="24"/>
          <w:szCs w:val="24"/>
          <w:highlight w:val="none"/>
        </w:rPr>
        <w:t xml:space="preserve">章）                 供方（中标方）：（</w:t>
      </w:r>
      <w:r>
        <w:rPr>
          <w:rFonts w:hint="eastAsia" w:ascii="宋体" w:hAnsi="宋体" w:cs="宋体"/>
          <w:bCs/>
          <w:color w:val="000000"/>
          <w:sz w:val="24"/>
          <w:szCs w:val="24"/>
          <w:highlight w:val="none"/>
          <w:lang w:eastAsia="en-US"/>
        </w:rPr>
        <w:t xml:space="preserve">盖</w:t>
      </w:r>
      <w:r>
        <w:rPr>
          <w:rFonts w:hint="eastAsia" w:ascii="宋体" w:hAnsi="宋体" w:cs="宋体"/>
          <w:bCs/>
          <w:color w:val="000000"/>
          <w:sz w:val="24"/>
          <w:szCs w:val="24"/>
          <w:highlight w:val="none"/>
        </w:rPr>
        <w:t xml:space="preserve">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                     法定（授权）代表人：</w:t>
      </w:r>
      <w:r/>
    </w:p>
    <w:p>
      <w:pPr>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地址：                                   地址：</w:t>
      </w:r>
      <w:r/>
    </w:p>
    <w:p>
      <w:pPr>
        <w:ind w:firstLine="480"/>
        <w:widowControl/>
        <w:rPr>
          <w:rFonts w:ascii="宋体" w:hAnsi="宋体"/>
          <w:bCs/>
          <w:color w:val="auto"/>
          <w:sz w:val="24"/>
          <w:highlight w:val="none"/>
        </w:rPr>
      </w:pPr>
      <w:r>
        <w:rPr>
          <w:rFonts w:hint="eastAsia" w:ascii="宋体" w:hAnsi="宋体" w:cs="宋体"/>
          <w:bCs/>
          <w:color w:val="000000"/>
          <w:sz w:val="24"/>
          <w:szCs w:val="24"/>
          <w:highlight w:val="none"/>
        </w:rPr>
        <w:t xml:space="preserve">年    月    日                           年      月       日</w:t>
      </w:r>
      <w:r/>
    </w:p>
    <w:p>
      <w:pPr>
        <w:ind w:firstLine="4838"/>
        <w:widowControl/>
        <w:rPr>
          <w:rFonts w:ascii="Arial" w:hAnsi="Arial" w:eastAsia="仿宋" w:cs="Arial"/>
          <w:color w:val="auto"/>
          <w:sz w:val="24"/>
          <w:szCs w:val="24"/>
          <w:highlight w:val="none"/>
        </w:rPr>
      </w:pPr>
      <w:r>
        <w:rPr>
          <w:rFonts w:ascii="Arial" w:hAnsi="Arial" w:eastAsia="仿宋" w:cs="Arial"/>
          <w:color w:val="auto"/>
          <w:sz w:val="24"/>
          <w:szCs w:val="24"/>
          <w:highlight w:val="none"/>
        </w:rPr>
        <w:t xml:space="preserve">                                     </w:t>
      </w:r>
      <w:r/>
    </w:p>
    <w:p>
      <w:pPr>
        <w:ind w:firstLine="41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供方户名：</w:t>
      </w:r>
      <w:r>
        <w:rPr>
          <w:rFonts w:hint="eastAsia" w:ascii="宋体" w:hAnsi="宋体" w:eastAsia="宋体" w:cs="宋体"/>
          <w:bCs/>
          <w:sz w:val="24"/>
          <w:szCs w:val="24"/>
          <w:highlight w:val="none"/>
          <w:u w:val="single"/>
        </w:rPr>
        <w:t xml:space="preserve">                          </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供方开户银行：</w:t>
      </w:r>
      <w:r>
        <w:rPr>
          <w:rFonts w:hint="eastAsia" w:ascii="宋体" w:hAnsi="宋体" w:eastAsia="宋体" w:cs="宋体"/>
          <w:bCs/>
          <w:sz w:val="24"/>
          <w:szCs w:val="24"/>
          <w:highlight w:val="none"/>
          <w:u w:val="single"/>
        </w:rPr>
        <w:t xml:space="preserve">                    </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供方账号：</w:t>
      </w:r>
      <w:r>
        <w:rPr>
          <w:rFonts w:hint="eastAsia" w:ascii="宋体" w:hAnsi="宋体" w:eastAsia="宋体" w:cs="宋体"/>
          <w:bCs/>
          <w:sz w:val="24"/>
          <w:szCs w:val="24"/>
          <w:highlight w:val="none"/>
          <w:u w:val="single"/>
        </w:rPr>
        <w:t xml:space="preserve">                        </w:t>
      </w:r>
      <w:r/>
    </w:p>
    <w:p>
      <w:pPr>
        <w:ind w:firstLine="4838"/>
        <w:widowControl/>
        <w:rPr>
          <w:rFonts w:ascii="Arial" w:hAnsi="Arial" w:eastAsia="仿宋" w:cs="Arial"/>
          <w:color w:val="auto"/>
          <w:sz w:val="24"/>
          <w:szCs w:val="24"/>
          <w:highlight w:val="none"/>
        </w:rPr>
      </w:pPr>
      <w:r>
        <w:rPr>
          <w:rFonts w:ascii="Arial" w:hAnsi="Arial" w:eastAsia="仿宋" w:cs="Arial"/>
          <w:color w:val="auto"/>
          <w:sz w:val="24"/>
          <w:szCs w:val="24"/>
          <w:highlight w:val="none"/>
        </w:rPr>
        <w:t xml:space="preserve">                       </w:t>
      </w:r>
      <w:r/>
    </w:p>
    <w:p>
      <w:pPr>
        <w:jc w:val="both"/>
        <w:spacing w:line="360" w:lineRule="auto"/>
        <w:tabs>
          <w:tab w:val="left" w:pos="3163" w:leader="none"/>
        </w:tabs>
        <w:rPr>
          <w:rFonts w:hint="eastAsia" w:ascii="宋体" w:hAnsi="宋体"/>
          <w:bCs/>
          <w:color w:val="auto"/>
          <w:sz w:val="24"/>
          <w:highlight w:val="none"/>
        </w:rPr>
      </w:pPr>
      <w:r>
        <w:rPr>
          <w:rFonts w:hint="eastAsia" w:ascii="宋体" w:hAnsi="宋体"/>
          <w:bCs/>
          <w:color w:val="auto"/>
          <w:sz w:val="24"/>
          <w:highlight w:val="none"/>
        </w:rPr>
      </w:r>
      <w:r/>
    </w:p>
    <w:p>
      <w:pPr>
        <w:jc w:val="both"/>
        <w:spacing w:line="360" w:lineRule="auto"/>
        <w:tabs>
          <w:tab w:val="left" w:pos="3163" w:leader="none"/>
        </w:tabs>
        <w:rPr>
          <w:rFonts w:ascii="宋体" w:hAnsi="宋体" w:cs="宋体"/>
          <w:b/>
          <w:color w:val="000000"/>
          <w:sz w:val="28"/>
          <w:szCs w:val="28"/>
          <w:highlight w:val="none"/>
        </w:rPr>
      </w:pPr>
      <w:r>
        <w:rPr>
          <w:rFonts w:hint="eastAsia" w:ascii="宋体" w:hAnsi="宋体"/>
          <w:bCs/>
          <w:color w:val="auto"/>
          <w:sz w:val="24"/>
          <w:highlight w:val="none"/>
        </w:rPr>
        <w:t xml:space="preserve">见证方</w:t>
      </w:r>
      <w:r>
        <w:rPr>
          <w:rFonts w:hint="eastAsia" w:ascii="宋体" w:hAnsi="宋体" w:eastAsia="宋体" w:cs="宋体"/>
          <w:color w:val="auto"/>
          <w:sz w:val="24"/>
          <w:szCs w:val="20"/>
          <w:highlight w:val="none"/>
        </w:rPr>
        <w:t xml:space="preserve">（盖章）：</w:t>
      </w: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合同条款</w:t>
      </w:r>
      <w:r/>
    </w:p>
    <w:p>
      <w:pPr>
        <w:ind w:firstLine="48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（根据相关法律规定以及采购文件确定事项订立）</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（一）合同内容：需方向供方购买。</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（二）价格及支付：</w:t>
      </w:r>
      <w:r/>
    </w:p>
    <w:p>
      <w:pPr>
        <w:ind w:firstLine="480"/>
        <w:spacing w:line="360" w:lineRule="auto"/>
        <w:tabs>
          <w:tab w:val="left" w:pos="525" w:leader="none"/>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 按此次中标价格执行，合同总标的额为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元。</w:t>
      </w:r>
      <w:r/>
    </w:p>
    <w:p>
      <w:pPr>
        <w:numPr>
          <w:ilvl w:val="1"/>
          <w:numId w:val="6"/>
        </w:numPr>
        <w:ind w:left="0"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付款方式：按财政拨款进度支付，合同签订后预付合同总金额的20%，货到现场安装完成验收合格后支付至合同总价的50%，审计结束后付至审定总额的90%，余款验收满一年后支付。上述款项均不计息。中标单位应于每次付款前向采购人提供对应金额的发票，否则采购人有权相应顺延付款而无需承担逾期付款责任。</w:t>
      </w:r>
      <w:r/>
    </w:p>
    <w:p>
      <w:pPr>
        <w:numPr>
          <w:ilvl w:val="1"/>
          <w:numId w:val="6"/>
        </w:numPr>
        <w:ind w:left="0"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履约保证金的缴纳和退付：</w:t>
      </w:r>
      <w:r/>
    </w:p>
    <w:p>
      <w:pPr>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本项目是/否向采购人缴纳履约保证金：</w:t>
      </w:r>
      <w:r>
        <w:rPr>
          <w:rFonts w:hint="eastAsia" w:ascii="宋体" w:hAnsi="宋体" w:cs="宋体"/>
          <w:bCs/>
          <w:color w:val="000000"/>
          <w:sz w:val="24"/>
          <w:szCs w:val="24"/>
          <w:highlight w:val="none"/>
          <w:u w:val="single"/>
        </w:rPr>
        <w:t xml:space="preserve"> 否  </w:t>
      </w:r>
      <w:r>
        <w:rPr>
          <w:rFonts w:hint="eastAsia" w:ascii="宋体" w:hAnsi="宋体" w:cs="宋体"/>
          <w:bCs/>
          <w:color w:val="000000"/>
          <w:sz w:val="24"/>
          <w:szCs w:val="24"/>
          <w:highlight w:val="none"/>
        </w:rPr>
        <w:t xml:space="preserve"> 。</w:t>
      </w:r>
      <w:r/>
    </w:p>
    <w:p>
      <w:pPr>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履约保证金缴纳金额：</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元。</w:t>
      </w:r>
      <w:r/>
    </w:p>
    <w:p>
      <w:pPr>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履约保证金的缴纳时间：</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，缴纳形式：</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p>
    <w:p>
      <w:pPr>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履约保证金的退付时间：</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，退付办法：</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w:t>
      </w:r>
      <w:r/>
    </w:p>
    <w:p>
      <w:pPr>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履约保证金不予退还的情形：</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w:t>
      </w:r>
      <w:r/>
    </w:p>
    <w:p>
      <w:pPr>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逾期退还履约保证金的违约责任：</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w:t>
      </w:r>
      <w:r/>
    </w:p>
    <w:p>
      <w:pPr>
        <w:ind w:firstLine="480"/>
        <w:spacing w:line="360" w:lineRule="auto"/>
        <w:tabs>
          <w:tab w:val="left" w:pos="0" w:leader="none"/>
          <w:tab w:val="left" w:pos="13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（三）知识产权</w:t>
      </w:r>
      <w:r/>
    </w:p>
    <w:p>
      <w:pPr>
        <w:ind w:firstLine="480"/>
        <w:spacing w:line="360" w:lineRule="auto"/>
        <w:tabs>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（四）质量要求与检验：</w:t>
      </w:r>
      <w:r/>
    </w:p>
    <w:p>
      <w:pPr>
        <w:ind w:firstLine="480"/>
        <w:spacing w:line="360" w:lineRule="auto"/>
        <w:tabs>
          <w:tab w:val="left" w:pos="525" w:leader="none"/>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1.供方应严格按照招标文件的有关规定和供方投标文件提供合格</w:t>
      </w:r>
      <w:r>
        <w:rPr>
          <w:rFonts w:hint="eastAsia" w:ascii="宋体" w:hAnsi="宋体" w:cs="宋体"/>
          <w:bCs/>
          <w:color w:val="000000"/>
          <w:sz w:val="24"/>
          <w:szCs w:val="24"/>
          <w:highlight w:val="none"/>
          <w:lang w:val="en-US" w:eastAsia="zh-CN"/>
        </w:rPr>
        <w:t xml:space="preserve">全新</w:t>
      </w:r>
      <w:r>
        <w:rPr>
          <w:rFonts w:hint="eastAsia" w:ascii="宋体" w:hAnsi="宋体" w:cs="宋体"/>
          <w:bCs/>
          <w:color w:val="000000"/>
          <w:sz w:val="24"/>
          <w:szCs w:val="24"/>
          <w:highlight w:val="none"/>
        </w:rPr>
        <w:t xml:space="preserve">的货物及服务。</w:t>
      </w:r>
      <w:r/>
    </w:p>
    <w:p>
      <w:pPr>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（五）交货条件：</w:t>
      </w:r>
      <w:r/>
    </w:p>
    <w:p>
      <w:pPr>
        <w:ind w:firstLine="480"/>
        <w:spacing w:line="360" w:lineRule="auto"/>
        <w:tabs>
          <w:tab w:val="left" w:pos="420" w:leader="none"/>
          <w:tab w:val="left" w:pos="1155"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1.交货日期（或完工期）：</w:t>
      </w:r>
      <w:r>
        <w:rPr>
          <w:rFonts w:hint="eastAsia" w:ascii="宋体" w:hAnsi="宋体" w:cs="宋体"/>
          <w:bCs/>
          <w:color w:val="000000"/>
          <w:sz w:val="24"/>
          <w:szCs w:val="24"/>
          <w:highlight w:val="none"/>
          <w:u w:val="single"/>
          <w:lang w:val="en-US" w:eastAsia="zh-CN"/>
        </w:rPr>
        <w:t xml:space="preserve">合同签订生效后30个日历天内安装调试完毕</w:t>
      </w:r>
      <w:r/>
    </w:p>
    <w:p>
      <w:pPr>
        <w:ind w:firstLine="480"/>
        <w:spacing w:line="360" w:lineRule="auto"/>
        <w:tabs>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2.供方在验收时应先用信函、传真、电子邮件等书面方式通知需方。</w:t>
      </w:r>
      <w:r/>
    </w:p>
    <w:p>
      <w:pPr>
        <w:ind w:firstLine="480"/>
        <w:spacing w:line="360" w:lineRule="auto"/>
        <w:tabs>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4.货物交货时，所有货物必须带有货物质量检验合格证书、中文质保单、装箱单、中文货物安装使用说明书。其他附件所有部件必须原包装。</w:t>
      </w:r>
      <w:r/>
    </w:p>
    <w:p>
      <w:pPr>
        <w:ind w:firstLine="480"/>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5.运输及到货地点：由供方负责办理运输并承担所有费用，直接送到需方指定地点，即：以合同书上的地点为准。</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5.需方如要求供方提供招标文件及供方投标文件以外的其他服务，其费用另定。</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（七）违约责任：</w:t>
      </w:r>
      <w:r/>
    </w:p>
    <w:p>
      <w:pPr>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4.由于需方的原因要求延期交货，需方应按规定支付货款，并承担供方提供的代为保管费。（有关仓储规定另议）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8.招标文件及合同中所述之“不可抗力”系指不可预见、不可避免、不可克服的事件，包括但不限于：战争、洪水、台风、地震及其他法律、法规规定的事件。</w:t>
      </w:r>
      <w:r/>
    </w:p>
    <w:p>
      <w:pPr>
        <w:pStyle w:val="1094"/>
        <w:numPr>
          <w:ilvl w:val="0"/>
          <w:numId w:val="7"/>
        </w:numPr>
        <w:ind w:left="0"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合同生效及其他：</w:t>
      </w:r>
      <w:r/>
    </w:p>
    <w:p>
      <w:pPr>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1.合同经供需双方代表签字并盖章，且经</w:t>
      </w:r>
      <w:r>
        <w:rPr>
          <w:rFonts w:hint="eastAsia" w:ascii="宋体" w:hAnsi="宋体" w:cs="宋体"/>
          <w:color w:val="000000"/>
          <w:sz w:val="24"/>
          <w:highlight w:val="none"/>
          <w:lang w:val="zh-CN"/>
        </w:rPr>
        <w:t xml:space="preserve">采购代理机构</w:t>
      </w:r>
      <w:r>
        <w:rPr>
          <w:rFonts w:hint="eastAsia" w:ascii="宋体" w:hAnsi="宋体" w:cs="宋体"/>
          <w:bCs/>
          <w:color w:val="000000"/>
          <w:sz w:val="24"/>
          <w:szCs w:val="24"/>
          <w:highlight w:val="none"/>
        </w:rPr>
        <w:t xml:space="preserve">见证后即生效。</w:t>
      </w:r>
      <w:r/>
    </w:p>
    <w:p>
      <w:pPr>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s="宋体"/>
          <w:color w:val="000000"/>
          <w:sz w:val="24"/>
          <w:szCs w:val="24"/>
          <w:highlight w:val="none"/>
        </w:rPr>
        <w:t xml:space="preserve">由供需双方协商处理，若协商不成，</w:t>
      </w:r>
      <w:r>
        <w:rPr>
          <w:rFonts w:hint="eastAsia" w:ascii="宋体" w:hAnsi="宋体" w:cs="宋体"/>
          <w:bCs/>
          <w:color w:val="000000"/>
          <w:sz w:val="24"/>
          <w:szCs w:val="24"/>
          <w:highlight w:val="none"/>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5.供需双方确认：对本合同条款及后果均已知悉，一致确认不存在欺诈、胁迫、乘人之危、重大误解、显失公平等任何可能导致合同无效或被撤销的情形。</w:t>
      </w:r>
      <w:r/>
    </w:p>
    <w:p>
      <w:pPr>
        <w:pStyle w:val="1095"/>
        <w:rPr>
          <w:color w:val="000000"/>
          <w:highlight w:val="none"/>
        </w:rPr>
      </w:pPr>
      <w:r>
        <w:rPr>
          <w:color w:val="000000"/>
          <w:highlight w:val="none"/>
        </w:rPr>
      </w:r>
      <w:r/>
    </w:p>
    <w:p>
      <w:pPr>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需方（采购人）：（</w:t>
      </w:r>
      <w:r>
        <w:rPr>
          <w:rFonts w:hint="eastAsia" w:ascii="宋体" w:hAnsi="宋体" w:cs="宋体"/>
          <w:bCs/>
          <w:color w:val="000000"/>
          <w:sz w:val="24"/>
          <w:szCs w:val="24"/>
          <w:highlight w:val="none"/>
          <w:lang w:eastAsia="en-US"/>
        </w:rPr>
        <w:t xml:space="preserve">盖</w:t>
      </w:r>
      <w:r>
        <w:rPr>
          <w:rFonts w:hint="eastAsia" w:ascii="宋体" w:hAnsi="宋体" w:cs="宋体"/>
          <w:bCs/>
          <w:color w:val="000000"/>
          <w:sz w:val="24"/>
          <w:szCs w:val="24"/>
          <w:highlight w:val="none"/>
        </w:rPr>
        <w:t xml:space="preserve">章）                 供方（中标方）：（</w:t>
      </w:r>
      <w:r>
        <w:rPr>
          <w:rFonts w:hint="eastAsia" w:ascii="宋体" w:hAnsi="宋体" w:cs="宋体"/>
          <w:bCs/>
          <w:color w:val="000000"/>
          <w:sz w:val="24"/>
          <w:szCs w:val="24"/>
          <w:highlight w:val="none"/>
          <w:lang w:eastAsia="en-US"/>
        </w:rPr>
        <w:t xml:space="preserve">盖</w:t>
      </w:r>
      <w:r>
        <w:rPr>
          <w:rFonts w:hint="eastAsia" w:ascii="宋体" w:hAnsi="宋体" w:cs="宋体"/>
          <w:bCs/>
          <w:color w:val="000000"/>
          <w:sz w:val="24"/>
          <w:szCs w:val="24"/>
          <w:highlight w:val="none"/>
        </w:rPr>
        <w:t xml:space="preserve">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                     法定（授权）代表人：</w:t>
      </w:r>
      <w:r/>
    </w:p>
    <w:p>
      <w:pPr>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地址：                                   地址：</w:t>
      </w:r>
      <w:r/>
    </w:p>
    <w:p>
      <w:pPr>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年    月    日                           年      月       日</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p>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jc w:val="both"/>
        <w:spacing w:line="288" w:lineRule="auto"/>
        <w:rPr>
          <w:rFonts w:hAnsi="宋体"/>
          <w:color w:val="000000"/>
          <w:sz w:val="36"/>
          <w:szCs w:val="36"/>
          <w:highlight w:val="none"/>
        </w:rPr>
      </w:pPr>
      <w:r>
        <w:rPr>
          <w:rFonts w:hint="eastAsia" w:ascii="宋体" w:hAnsi="宋体"/>
          <w:b/>
          <w:color w:val="000000"/>
          <w:sz w:val="30"/>
          <w:szCs w:val="30"/>
          <w:highlight w:val="none"/>
        </w:rPr>
        <w:br w:type="page" w:clear="all"/>
      </w:r>
      <w:r>
        <w:rPr>
          <w:rFonts w:hint="eastAsia" w:ascii="黑体" w:eastAsia="黑体"/>
          <w:bCs/>
          <w:color w:val="000000"/>
          <w:sz w:val="36"/>
          <w:szCs w:val="36"/>
          <w:highlight w:val="none"/>
        </w:rPr>
        <w:t xml:space="preserve">第四章 采购需求</w:t>
      </w:r>
      <w:r/>
    </w:p>
    <w:p>
      <w:pPr>
        <w:jc w:val="left"/>
        <w:spacing w:line="360" w:lineRule="auto"/>
        <w:rPr>
          <w:rFonts w:hint="eastAsia" w:ascii="黑体" w:hAnsi="黑体" w:eastAsia="黑体"/>
          <w:color w:val="000000"/>
          <w:sz w:val="30"/>
          <w:szCs w:val="30"/>
          <w:highlight w:val="none"/>
        </w:rPr>
      </w:pPr>
      <w:r/>
      <w:bookmarkStart w:id="187" w:name="_Toc120614281"/>
      <w:r>
        <w:rPr>
          <w:rFonts w:hint="eastAsia" w:ascii="黑体" w:hAnsi="黑体" w:eastAsia="黑体"/>
          <w:color w:val="000000"/>
          <w:sz w:val="30"/>
          <w:szCs w:val="30"/>
          <w:highlight w:val="none"/>
        </w:rPr>
        <w:t xml:space="preserve">本项目属性：货物类项目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本项目标的物所属行业：工业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本项目中的</w:t>
      </w:r>
      <w:r>
        <w:rPr>
          <w:rFonts w:hint="eastAsia" w:ascii="宋体" w:hAnsi="宋体"/>
          <w:color w:val="000000"/>
          <w:sz w:val="24"/>
          <w:szCs w:val="24"/>
          <w:highlight w:val="none"/>
          <w:lang w:val="en-US" w:eastAsia="zh-CN"/>
        </w:rPr>
        <w:t xml:space="preserve">水槽柜</w:t>
      </w:r>
      <w:r>
        <w:rPr>
          <w:rFonts w:hint="eastAsia" w:ascii="宋体" w:hAnsi="宋体"/>
          <w:color w:val="000000"/>
          <w:sz w:val="24"/>
          <w:szCs w:val="24"/>
          <w:highlight w:val="none"/>
        </w:rPr>
        <w:t xml:space="preserve">为核心产品。</w:t>
      </w:r>
      <w:r/>
    </w:p>
    <w:p>
      <w:pP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一、</w:t>
      </w:r>
      <w:r>
        <w:rPr>
          <w:rFonts w:hint="eastAsia" w:ascii="宋体" w:hAnsi="宋体"/>
          <w:b/>
          <w:color w:val="000000"/>
          <w:sz w:val="30"/>
          <w:szCs w:val="30"/>
          <w:highlight w:val="none"/>
        </w:rPr>
        <w:tab/>
      </w:r>
      <w:r>
        <w:rPr>
          <w:rFonts w:hint="eastAsia" w:ascii="宋体" w:hAnsi="宋体"/>
          <w:b/>
          <w:color w:val="000000"/>
          <w:sz w:val="30"/>
          <w:szCs w:val="30"/>
          <w:highlight w:val="none"/>
        </w:rPr>
        <w:t xml:space="preserve">项目清单</w:t>
      </w:r>
      <w:r/>
    </w:p>
    <w:tbl>
      <w:tblPr>
        <w:tblStyle w:val="715"/>
        <w:tblW w:w="5562" w:type="pct"/>
        <w:tblInd w:w="-3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1"/>
        <w:gridCol w:w="866"/>
        <w:gridCol w:w="1159"/>
        <w:gridCol w:w="2957"/>
        <w:gridCol w:w="3181"/>
        <w:gridCol w:w="642"/>
        <w:gridCol w:w="684"/>
      </w:tblGrid>
      <w:tr>
        <w:trPr>
          <w:trHeight w:val="400"/>
        </w:trPr>
        <w:tc>
          <w:tcPr>
            <w:gridSpan w:val="7"/>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生物实验室家具清单</w:t>
            </w:r>
            <w:r/>
          </w:p>
        </w:tc>
      </w:tr>
      <w:tr>
        <w:trPr>
          <w:trHeight w:val="400"/>
        </w:trPr>
        <w:tc>
          <w:tcPr>
            <w:shd w:val="clear" w:color="auto" w:fill="auto"/>
            <w:tcBorders>
              <w:top w:val="non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non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规格/mm</w:t>
            </w:r>
            <w:r/>
          </w:p>
        </w:tc>
        <w:tc>
          <w:tcPr>
            <w:shd w:val="clear" w:color="auto" w:fill="auto"/>
            <w:tcBorders>
              <w:top w:val="none" w:color="000000" w:sz="4" w:space="0"/>
              <w:left w:val="single" w:color="000000" w:sz="4" w:space="0"/>
              <w:bottom w:val="single" w:color="auto"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图片</w:t>
            </w:r>
            <w:r/>
          </w:p>
        </w:tc>
        <w:tc>
          <w:tcPr>
            <w:shd w:val="clear" w:color="auto" w:fill="auto"/>
            <w:tcBorders>
              <w:top w:val="none" w:color="000000" w:sz="4" w:space="0"/>
              <w:left w:val="single" w:color="000000" w:sz="4" w:space="0"/>
              <w:bottom w:val="single" w:color="auto" w:sz="4" w:space="0"/>
              <w:right w:val="single" w:color="000000" w:sz="4" w:space="0"/>
            </w:tcBorders>
            <w:tcW w:w="15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none" w:color="000000" w:sz="4" w:space="0"/>
              <w:left w:val="single" w:color="000000"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00"/>
        </w:trPr>
        <w:tc>
          <w:tcPr>
            <w:gridSpan w:val="7"/>
            <w:shd w:val="clear" w:color="auto" w:fill="auto"/>
            <w:tcBorders>
              <w:top w:val="single" w:color="auto" w:sz="4" w:space="0"/>
              <w:left w:val="single" w:color="auto" w:sz="4" w:space="0"/>
              <w:bottom w:val="single" w:color="000000"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生物数码显微互动实验室</w:t>
            </w:r>
            <w:r/>
          </w:p>
        </w:tc>
      </w:tr>
      <w:tr>
        <w:trPr>
          <w:trHeight w:val="400"/>
        </w:trPr>
        <w:tc>
          <w:tcPr>
            <w:gridSpan w:val="7"/>
            <w:shd w:val="clear" w:color="auto" w:fill="auto"/>
            <w:tcBorders>
              <w:top w:val="single" w:color="000000"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基础设备</w:t>
            </w:r>
            <w:r/>
          </w:p>
        </w:tc>
      </w:tr>
      <w:tr>
        <w:trPr>
          <w:trHeight w:val="2488"/>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教师演示台</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3000*700*900mm（±10mm）</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31750</wp:posOffset>
                      </wp:positionH>
                      <wp:positionV relativeFrom="paragraph">
                        <wp:posOffset>485140</wp:posOffset>
                      </wp:positionV>
                      <wp:extent cx="1645285" cy="100012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4528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5pt;mso-position-horizontal:absolute;mso-position-vertical-relative:text;margin-top:38.2pt;mso-position-vertical:absolute;width:129.5pt;height:78.8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3.柜体：采用≥1.0mm优质镀锌钢板，采用CO2保护焊焊接，打磨处理，表面经耐酸碱EPOXY粉末烤漆处理，表面硬度附着力、耐腐蚀；整体结构设计合理，预留电脑主机、键盘托、实物展台、教师电源位置；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4.拉手：采用C型不锈钢拉手，用“强磁”测试拉手的不锈钢材质；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5.防撞胶垫：装于抽屉及门板内侧，减缓碰撞，保护柜体；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6.门板及抽面：采用双层钢板，两层组装式设计，保证两层双面都喷涂处理，中间采用隔音材料，保证关门减少噪音；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7.连接件：采用ABS专用连接组装件；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8.合页：采用优质不锈钢模具一体成型，强度必须达到一个正常成年坐在门上方合页不脱落；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9.滑轨：三节重型滚珠滑轨，承重性强，滑动性能良好，无噪音；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10.固定桌脚：采用柜体内置可调ABS调整脚，保证调整脚前后都可以调节高低。</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鹅颈</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331470</wp:posOffset>
                      </wp:positionH>
                      <wp:positionV relativeFrom="paragraph">
                        <wp:posOffset>76200</wp:posOffset>
                      </wp:positionV>
                      <wp:extent cx="732790" cy="9855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3279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6.1pt;mso-position-horizontal:absolute;mso-position-vertical-relative:text;margin-top:6.0pt;mso-position-vertical:absolute;width:57.7pt;height:77.6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1.鹅颈式实验室专用优质化验水嘴：要求防酸碱、防锈、防虹吸、防阻塞，表面环氧树脂喷涂；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2.出水嘴为铜质瓷芯，高头，便于多用途使用，可拆卸清洗阻塞；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550*450*300mm（±10mm）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179070</wp:posOffset>
                      </wp:positionH>
                      <wp:positionV relativeFrom="paragraph">
                        <wp:posOffset>190500</wp:posOffset>
                      </wp:positionV>
                      <wp:extent cx="1470660" cy="100393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70660" cy="1003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1pt;mso-position-horizontal:absolute;mso-position-vertical-relative:text;margin-top:15.0pt;mso-position-vertical:absolute;width:115.8pt;height:79.0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1.采用实验室专用高密度PP一体化成型水槽，易清洁，耐腐蚀，且利于台面残水自然回流；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2.具耐酸碱、耐有机溶剂、耐紫外线等特点。</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500*260mm（±10mm）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350520</wp:posOffset>
                      </wp:positionV>
                      <wp:extent cx="1688465" cy="12630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688465" cy="1263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2pt;mso-position-horizontal:absolute;mso-position-vertical-relative:text;margin-top:27.6pt;mso-position-vertical:absolute;width:132.9pt;height:99.4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3.220V交流输出为两位带安全门的国标五孔插座，为教师做实验提供220V电源</w:t>
            </w:r>
            <w:r/>
          </w:p>
        </w:tc>
        <w:tc>
          <w:tcPr>
            <w:shd w:val="clear" w:color="auto" w:fill="auto"/>
            <w:tcBorders>
              <w:top w:val="single" w:color="auto" w:sz="4" w:space="0"/>
              <w:left w:val="single" w:color="auto"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1200*600*780mm（±10mm）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21590</wp:posOffset>
                      </wp:positionH>
                      <wp:positionV relativeFrom="paragraph">
                        <wp:posOffset>534670</wp:posOffset>
                      </wp:positionV>
                      <wp:extent cx="1666875" cy="122428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66687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7pt;mso-position-horizontal:absolute;mso-position-vertical-relative:text;margin-top:42.1pt;mso-position-vertical:absolute;width:131.2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1.新型塑铝结构：整体≥1200*600*780mm。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厚度≥12.7mm理化板，总尺寸≥1200*600mm，四角圆弧R≥20mm。台面后方卡入学生桌铝型槽内，前方用预埋件与桌体固定。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3.结构：新型塑铝结构，学生位镂空式，符合人体工程学设计。专用书包斗ABS注塑一体注塑成型尺寸≥445*338*168mm，镂空设计，便于清理，不屯垃圾，中间设挂凳卡。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4.中间电源盒：≥200*148*250mm。采用ABS注塑外壳。可拆装，方便安装电源和检修。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侧脚采用三段式高强度铝合金结构，整体规格≥540*770mm，立柱采用倾斜式设计，内嵌入上下铸铝脚，上铝铸件造型采用斜撑加固造型，产品稳固，左右侧脚下连接梁采用≥60*30*2mm钢制椭圆管，两端与3.5mm钢制连接片焊接成型。所有金属表面经环氧树脂粉末喷涂高温固化处理。要做到承重性能强和耐酸碱、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6.背部档水板≥1155*65mm、左右挡板≥155*65mm，前横梁、中间横梁全部采用高强度挤出铝合金模具型材，各部分连接设置专用定位件，并用高强度内六角螺丝连接，便于组装及拆卸。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7.桌侧脚：桌侧脚设置专用孔位与地面固定，并配有跟台面同色ABS脚套装饰盖。</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160*105mm（±10mm）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212725</wp:posOffset>
                      </wp:positionH>
                      <wp:positionV relativeFrom="paragraph">
                        <wp:posOffset>43815</wp:posOffset>
                      </wp:positionV>
                      <wp:extent cx="1286510" cy="4991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651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6.8pt;mso-position-horizontal:absolute;mso-position-vertical-relative:text;margin-top:3.4pt;mso-position-vertical:absolute;width:101.3pt;height:39.3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1.ABS翻转式电源盒，可放置在实验台两侧，书包盒中间，也可置于台面，实验和安装都非常方便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2.学生机电源采用不低于0.56英寸数码显示界面，轻触开关操作，贴片元件生产技术，微电脑控制，3位1体数码显示电源电压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电压高低视市电高低而定，可添加倒计时功能），220V插座均为带安全门的国标五孔插座，带过载保护</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340*200*720mm（±10mm）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417195</wp:posOffset>
                      </wp:positionH>
                      <wp:positionV relativeFrom="paragraph">
                        <wp:posOffset>82550</wp:posOffset>
                      </wp:positionV>
                      <wp:extent cx="828040" cy="13709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28040" cy="1370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2.9pt;mso-position-horizontal:absolute;mso-position-vertical-relative:text;margin-top:6.5pt;mso-position-vertical:absolute;width:65.2pt;height:107.9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厚度≥1.0mm厚优质一级冷轧镀锌钢板(SPCCT)经CNC机压成形、焊接制作，四脚圆弧处理，地脚线缩进3mm，前后二块黑白相间喷涂镀锌钢板，用内六角螺丝拼接而成，可拆装，内部隐藏实验线管及通风管道，方便检修。</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2657"/>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450*610*805mm（±10mm）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71120</wp:posOffset>
                      </wp:positionH>
                      <wp:positionV relativeFrom="paragraph">
                        <wp:posOffset>894080</wp:posOffset>
                      </wp:positionV>
                      <wp:extent cx="1422400" cy="207708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22400" cy="2077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5.6pt;mso-position-horizontal:absolute;mso-position-vertical-relative:text;margin-top:70.4pt;mso-position-vertical:absolute;width:112.0pt;height:163.5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【整体结构】</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1.折叠尺寸：≥450*600*800mm；展开状态：≥450*600*950mm；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2.材质：台盆主体材质应采用耐腐蚀PRP玻璃钢材质；</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▲3.外观：台盆表面光滑顺畅，台盆表面涂层色泽均匀、结合牢固，符合QB/T 2658-2017要求 （提供经CNAS认证的检测报告证明，并加盖投标单位公章）；</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【功能要求】</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1.出水装置：可翻转收纳铜芯水龙头；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2.沥水架：需集成隐藏式试管沥水架；</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3.前门板：需配置前门板；</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4.下水管：需配置防臭罩杯；</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5.水槽内需进行防溅水设计；</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【性能要求】</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▲1.耐化学腐蚀和耐污染性能：按照QB/T 2658-2017中规定的试验方法测试台盆的耐化学腐蚀和耐污染性能，试验后测试面无不可消除的不良，如污点、损坏等（提供经CNAS认证的检测报告证明，并加盖投标单位公章）</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▲2.溢流性能：台盆带有溢流孔，按照QB/T 2658-2017中规定的试验方法测试溢流等级为CL10（提供经CNAS认证的检测报告证明，并加盖投标单位公章）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400*300*450mm（±10mm）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74295</wp:posOffset>
                      </wp:positionH>
                      <wp:positionV relativeFrom="paragraph">
                        <wp:posOffset>209550</wp:posOffset>
                      </wp:positionV>
                      <wp:extent cx="1659255" cy="92456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59255" cy="924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5.8pt;mso-position-horizontal:absolute;mso-position-vertical-relative:text;margin-top:16.5pt;mso-position-vertical:absolute;width:130.7pt;height:72.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1.凳面：采用优质白蜡木制作，环保、安全。木纹通达清晰，木质坚韧，结构稳固，具有耐磨.耐压.耐撞击等优点。所有实木均要进行蒸汽脱脂干燥处理，含水量≤12%，做到不开裂翘曲和虫蛀防腐。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产品采用环保油漆，根据款式使用全封闭或半开放工艺，三底二面，半亚光涂饰，做到视面平整光滑，光泽柔和。需要使用胶水的部分，采用优质环保胶水，无毒无害，甲醛释放量≤0.5。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凳腿：采用优质钢管，整体焊接成型，承重力强。表面经纯环氧树脂塑粉高温固化处理，平整光滑，不允许有喷涂层脱落、鼓泡、凹陷、压痕以及表面划伤、麻点、裂痕、崩角和刃口等，切割、钻孔和倒角应去毛刺，钢价底部配防滑脚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7700*400*800mm（±10mm）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273050</wp:posOffset>
                      </wp:positionV>
                      <wp:extent cx="1668145" cy="84963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668145" cy="84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4.5pt;mso-position-horizontal:absolute;mso-position-vertical-relative:text;margin-top:21.5pt;mso-position-vertical:absolute;width:131.3pt;height:66.9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1.材质：采用优质国标E0级多层板，加厚框架。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表面烤漆处理，面漆/底漆均采用环保用漆；封闭漆工艺五底三面，经打磨喷涂处理，硬度、丰满度、附着力、手感等好，漆面光亮平整，木纹整洁交错，油漆无颗粒、气泡、粗点，颜色均匀。透明度好.硬度高.耐磨性好；色泽柔和持久耐腐蚀手感良好；耐弱酸碱.耐腐蚀性.耐油性.耐湿热性良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3.五金配件：铰链：采用静音阻尼铰链，整体二段缓冲+三维调节+防腐防锈，高强承重，十万次开合测试。</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生物智慧创新实验室</w:t>
            </w:r>
            <w:r/>
          </w:p>
        </w:tc>
      </w:tr>
      <w:tr>
        <w:trPr>
          <w:trHeight w:val="90"/>
        </w:trPr>
        <w:tc>
          <w:tcPr>
            <w:shd w:val="clear" w:color="auto" w:fill="auto"/>
            <w:tcBorders>
              <w:top w:val="single" w:color="auto" w:sz="4" w:space="0"/>
              <w:left w:val="single" w:color="auto" w:sz="4" w:space="0"/>
              <w:bottom w:val="single" w:color="auto"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智控一体双屏讲台</w:t>
            </w:r>
            <w:r/>
          </w:p>
        </w:tc>
        <w:tc>
          <w:tcPr>
            <w:shd w:val="clear" w:color="auto" w:fill="auto"/>
            <w:tcBorders>
              <w:top w:val="single" w:color="auto" w:sz="4" w:space="0"/>
              <w:left w:val="single" w:color="000000"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2400*850*940mm（±10mm）</w:t>
            </w:r>
            <w:r/>
          </w:p>
        </w:tc>
        <w:tc>
          <w:tcPr>
            <w:shd w:val="clear" w:color="auto" w:fill="auto"/>
            <w:tcBorders>
              <w:top w:val="single" w:color="000000" w:sz="4" w:space="0"/>
              <w:left w:val="single" w:color="auto"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547370</wp:posOffset>
                      </wp:positionV>
                      <wp:extent cx="1668145" cy="7486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66814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0.6pt;mso-position-horizontal:absolute;mso-position-vertical-relative:text;margin-top:43.1pt;mso-position-vertical:absolute;width:131.3pt;height:58.9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一、基本参数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1.外形尺寸</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工作状态（全部件升起）：≤2400×850×1600mm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待机状态（全部件降下）：≤2400×850×950mm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 一体化操作台面</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材质选用：优质理化板</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规格参数：长度≥ 2350mm、宽度 ≥700mm、厚度≥12.5mm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有效操作区域（板面面积）：≥16650mm²</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结构特点：采用整体成型工艺，无拼接缝隙设计；▲产品符合GB/T 3325-2024《金属家具通用技术条件》中对产品金属件外观的管材、焊接件、冲压件、铆接件、喷涂层、电镀层的要求；（提供带CNAS认证的检测报告并加盖投标单位公章）；</w:t>
            </w:r>
            <w:r>
              <w:rPr>
                <w:rFonts w:hint="eastAsia" w:ascii="宋体" w:hAnsi="宋体" w:eastAsia="宋体" w:cs="宋体"/>
                <w:b/>
                <w:bCs/>
                <w:i w:val="0"/>
                <w:iCs w:val="0"/>
                <w:color w:val="c00000"/>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3.主体构成：包含分区储物单元、隐藏式键盘托、集控装置舱（带进线接口）及接线管理区（含置物架）</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储物配置：≥5 个独立分区，总容积≥0.4m³，</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▲4.产品安全性能按照GB/T 3325-2024《金属家具通用技术条件》中的要求，有害物质限量-可迁移有害元素需符合 GB 18584—2024 的相关规定；（提供带CNAS认证的检测报告并加盖投标单位公章）</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5.集控进线通道：≥90×40mm，规格接口≥2 组，具备网络线、电源线、控制线等多类型线缆双向接入</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6.接线空间：≥290×90mm，标准模块≥1 组，可容纳 ≥450×550×550mm设备安装，含专用置物架</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7.控制装置：集成实体按键操控面板，具备吊装设备、电源系统、升降机构的分组控制及紧急停止功能</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8.升降模块：设备应至少具备可升降摄像机、电源、交互演示实验屏、显示屏，以上设备采用运动零部件可根据使用需要实现独立或组合升降，减少对教师视线的遮挡和设备损坏的可能性，配置≥3 组电动升降摄像机，升降状态可控，收纳后无外露部件</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▲9.升降口防护：设备降下后，升降口净空隙（不含防尘毛条）≤6mm,覆防尘毛条后≤1mm,自动遮盖升降口。（提供专业第三方机构检测证明材料并加盖投标单位公章）</w:t>
            </w:r>
            <w:r>
              <w:rPr>
                <w:rFonts w:hint="eastAsia" w:ascii="宋体" w:hAnsi="宋体" w:eastAsia="宋体" w:cs="宋体"/>
                <w:b/>
                <w:bCs/>
                <w:i w:val="0"/>
                <w:iCs w:val="0"/>
                <w:color w:val="c00000"/>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10.三路高清摄像：正视 / 侧视摄像头≥500 万像素，俯视摄像头≥800 万像素，具备 2800K-10000K 色温自适应白平衡</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11.交互演示实验屏显示规格：≥15.6寸，分辨率≥1920×1080，交互功能：具备≥10 点多点触控</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12.内置示教互动主板：采用国产化的主控芯片，配置不低于8核心64位，最高主频不低于2.2GHz</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主机集成不低于6TOPS算力</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内存：不低于8GB，LPDDR5</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内置存储：≥64GB，eMMC</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具备不低于四路网络摄像机直连（插接端子），无需外接交换机即可实现网络摄像机数据交换；</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集成高性能网络交换芯片，具备千兆带宽</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网络性能：集成千兆网络交换芯片</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13.可升降显示屏（教师显示授课课件用）显示尺寸：≥21.5 英寸，分辨率 1920×1080</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升降特性：升起后保持垂直显示，收纳后完全隐藏</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14.接口模块：</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机械设计：按压式翻转结构，带自动弹开功能</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电源接口：220V 五孔插座≥2 组</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网络接口：≥2 个</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音视频接口：HDMI≥1 个、VGA≥1 个、3.5mm 音频接口≥1 个</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信号传输：具备双向信号切换，可实现教师设备与显示终端间的灵活连接</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配置清单：220V 五孔插座≥1 个、交流插座组 ×1、直流插座组 ×1、USB 接口 ×2</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监测功能：具备电压 / 电流 / 交直流状态实时显</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主控面板：550×260mm（±10mm）阻燃绝缘板，PC 贴膜工艺，配备 32A 漏电保护总开关及新国标 220V 插座</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交流输出：0-24V (30V) 连续可调，分辨率 1V，具备数字键盘直选，输出电流 1-3A 可调，具备短路过载保护及数显报警功能</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直流稳压：0-24V (30V) 连续可调，额定电流 2A，调压分辨率 0.1V，具备轻触按键操作及数字直选，具备完善的保护机制</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学生供电：220V 输出分 4 组独立控制，每组配备轻触开关，额定电流 10A，具备教师端统一锁定管理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▲15.运动零部件安全控制：运动零部件设独立物理开关，故障时快速停止工作（提供专业第三方机构检测证明材料并加盖投标单位公章）</w:t>
            </w:r>
            <w:r>
              <w:rPr>
                <w:rFonts w:hint="eastAsia" w:ascii="宋体" w:hAnsi="宋体" w:eastAsia="宋体" w:cs="宋体"/>
                <w:b/>
                <w:bCs/>
                <w:i w:val="0"/>
                <w:iCs w:val="0"/>
                <w:color w:val="c00000"/>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16.产品金属电镀层对抗盐雾的测试要求为合格。</w:t>
            </w:r>
            <w:r>
              <w:rPr>
                <w:rFonts w:hint="eastAsia" w:ascii="宋体" w:hAnsi="宋体" w:eastAsia="宋体" w:cs="宋体"/>
                <w:b/>
                <w:bCs/>
                <w:i w:val="0"/>
                <w:iCs w:val="0"/>
                <w:color w:val="c00000"/>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▲17.设备供电安全：设备总输入端设有独立空气开关，故障时快速切断供电（提供专业第三方机构检测证明材料并加盖投标单位公章）</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台</w:t>
            </w:r>
            <w:r/>
          </w:p>
        </w:tc>
      </w:tr>
      <w:tr>
        <w:trPr>
          <w:trHeight w:val="3669"/>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教师演示电源(仅高压）</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500*260mm（±10mm）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123190</wp:posOffset>
                      </wp:positionH>
                      <wp:positionV relativeFrom="paragraph">
                        <wp:posOffset>428625</wp:posOffset>
                      </wp:positionV>
                      <wp:extent cx="1327785" cy="99441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27785"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9.7pt;mso-position-horizontal:absolute;mso-position-vertical-relative:text;margin-top:33.8pt;mso-position-vertical:absolute;width:104.5pt;height:78.3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3.220V交流输出为两位带安全门的国标五孔插座，为教师做实验提供220V电源</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80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1200*600*780mm（±10mm）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wp:posOffset>
                      </wp:positionH>
                      <wp:positionV relativeFrom="paragraph">
                        <wp:posOffset>673100</wp:posOffset>
                      </wp:positionV>
                      <wp:extent cx="1666875" cy="122428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66687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3pt;mso-position-horizontal:absolute;mso-position-vertical-relative:text;margin-top:53.0pt;mso-position-vertical:absolute;width:131.2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1.新型塑铝结构：整体≥1200*600*780mm。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厚度≥12.7mm理化板，总尺寸为≥1200*600mm，四角圆弧R≥20mm。台面后方卡入学生桌铝型槽内，前方用预埋件与桌体固定。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3.结构：新型塑铝结构，学生位镂空式，符合人体工程学设计。专用书包斗ABS注塑一体注塑成型尺寸≥445*338*168mm，镂空设计，便于清理，不屯垃圾，中间设挂凳卡。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4.中间电源盒：≥200*148*250mm。采用ABS注塑外壳。可拆装，方便安装电源和检修。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侧脚采用三段式高强度铝合金结构，整体规格≥540*770mm，立柱采用倾斜式设计，内嵌入上下铸铝脚，上铝铸件造型采用斜撑加固造型，产品稳固，左右侧脚下连接梁采用≥60*30*2mm钢制椭圆管，两端与3.5mm钢制连接片焊接成型。所有金属表面经环氧树脂粉末喷涂高温固化处理。要做到承重性能强和耐酸碱、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6.背部档水板≥1155*65mm、左右挡板≥155*65mm，前横梁、中间横梁全部采用高强度挤出铝合金模具型材，各部分连接设置专用定位件，并用高强度内六角螺丝连接，便于组装及拆卸。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7.桌侧脚：桌侧脚设置专用孔位与地面固定，并配有跟台面同色ABS脚套装饰盖。</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20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160*105mm（±10mm）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-13969</wp:posOffset>
                      </wp:positionH>
                      <wp:positionV relativeFrom="paragraph">
                        <wp:posOffset>180975</wp:posOffset>
                      </wp:positionV>
                      <wp:extent cx="1664335" cy="98234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64335" cy="982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1pt;mso-position-horizontal:absolute;mso-position-vertical-relative:text;margin-top:14.2pt;mso-position-vertical:absolute;width:131.0pt;height:77.3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1.ABS翻转式电源盒，可放置在实验台两侧，书包盒中间，也可置于台面，实验和安装都非常方便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2.学生机电源采用不低于0.56英寸数码显示界面，轻触开关操作，贴片元件生产技术，微电脑控制，3位1体数码显示电源电压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电压高低视市电高低而定，可添加倒计时功能），220V插座均为带安全门的国标五孔插座，带过载保护</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845"/>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340*200*720mm（±10mm）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568325</wp:posOffset>
                      </wp:positionH>
                      <wp:positionV relativeFrom="paragraph">
                        <wp:posOffset>81915</wp:posOffset>
                      </wp:positionV>
                      <wp:extent cx="490220" cy="83439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90220"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44.8pt;mso-position-horizontal:absolute;mso-position-vertical-relative:text;margin-top:6.4pt;mso-position-vertical:absolute;width:38.6pt;height:65.7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厚度≥1.0mm厚优质一级冷轧镀锌钢板(SPCCT)经CNC机压成形、焊接制作，四脚圆弧处理，地脚线缩进3mm，前后二块黑白相间喷涂镀锌钢板，用内六角螺丝拼接而成，可拆装，内部隐藏实验线管及通风管道，方便检修。</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252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400*300*450mm（±10mm）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45720</wp:posOffset>
                      </wp:positionH>
                      <wp:positionV relativeFrom="paragraph">
                        <wp:posOffset>161925</wp:posOffset>
                      </wp:positionV>
                      <wp:extent cx="1659255" cy="92456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59255" cy="924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3.6pt;mso-position-horizontal:absolute;mso-position-vertical-relative:text;margin-top:12.8pt;mso-position-vertical:absolute;width:130.7pt;height:72.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1.凳面：采用优质白蜡木制作，环保、安全。木纹通达清晰，木质坚韧，结构稳固，具有耐磨.耐压.耐撞击等优点。所有实木均要进行蒸汽脱脂干燥处理，含水量≤12%，做到不开裂翘曲和虫蛀防腐。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产品采用环保油漆，根据款式使用全封闭或半开放工艺，三底二面，半亚光涂饰，做到视面平整光滑，光泽柔和。需要使用胶水的部分，采用优质环保胶水，无毒无害，甲醛释放量≤0.5。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凳腿：采用优质钢管，整体焊接成型，承重力强。表面经纯环氧树脂塑粉高温固化处理，平整光滑，不允许有喷涂层脱落、鼓泡、凹陷、压痕以及表面划伤、麻点、裂痕、崩角和刃口等，切割、钻孔和倒角应去毛刺，钢价底部配防滑脚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345"/>
        </w:trPr>
        <w:tc>
          <w:tcPr>
            <w:shd w:val="clear" w:color="auto" w:fill="auto"/>
            <w:tcBorders>
              <w:top w:val="non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450*610*805mm（±10mm）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447675</wp:posOffset>
                      </wp:positionH>
                      <wp:positionV relativeFrom="paragraph">
                        <wp:posOffset>266700</wp:posOffset>
                      </wp:positionV>
                      <wp:extent cx="851535" cy="124142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5153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35.2pt;mso-position-horizontal:absolute;mso-position-vertical-relative:text;margin-top:21.0pt;mso-position-vertical:absolute;width:67.0pt;height:97.8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【整体结构】</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1.折叠尺寸：≥450*600*800mm；展开状态：≥450*600*950mm；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2.材质：台盆主体材质应采用耐腐蚀PRP玻璃钢材质；</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▲3.外观：台盆表面光滑顺畅，台盆表面涂层色泽均匀、结合牢固，符合QB/T 2658-2017要求 （提供经CNAS认证的检测报告证明，并加盖投标单位公章）；</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【功能要求】</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1.出水装置：可翻转收纳铜芯水龙头；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2.沥水架：需集成隐藏式试管沥水架；</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3.前门板：需配置前门板；</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4.下水管：需配置防臭罩杯；</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5.水槽内需进行防溅水设计；</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【性能要求】</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▲1.耐化学腐蚀和耐污染性能：按照QB/T 2658-2017中规定的试验方法测试台盆的耐化学腐蚀和耐污染性能，试验后测试面无不可消除的不良，如污点、损坏等（提供经CNAS认证的检测报告证明，并加盖投标单位公章）</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▲2.溢流性能：台盆带有溢流孔，按照QB/T 2658-2017中规定的试验方法测试溢流等级为CL10（提供经CNAS认证的检测报告证明，并加盖投标单位公章）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台</w:t>
            </w:r>
            <w:r/>
          </w:p>
        </w:tc>
      </w:tr>
      <w:tr>
        <w:trPr>
          <w:trHeight w:val="4742"/>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准备边台</w:t>
            </w:r>
            <w:r/>
          </w:p>
        </w:tc>
        <w:tc>
          <w:tcPr>
            <w:shd w:val="clear" w:color="auto" w:fill="auto"/>
            <w:tcBorders>
              <w:top w:val="single" w:color="000000" w:sz="4" w:space="0"/>
              <w:left w:val="single" w:color="auto"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7000*650*800mm（±10mm）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65405</wp:posOffset>
                      </wp:positionH>
                      <wp:positionV relativeFrom="paragraph">
                        <wp:posOffset>99695</wp:posOffset>
                      </wp:positionV>
                      <wp:extent cx="1630045" cy="82994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30045" cy="829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5.1pt;mso-position-horizontal:absolute;mso-position-vertical-relative:text;margin-top:7.8pt;mso-position-vertical:absolute;width:128.3pt;height:65.3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2.面板：采用≥12.7mm实芯理化板制作，周边成型厚度≥25.4mm，具有防腐蚀、耐酸碱、耐高温耐磨、耐热、抗老化、无毒、易清洁、耐冲击、抗化学和污染性能；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柜体为落地式结构，可以单独或组合使用，每单面设置两个坐人位。所有底柜正面应为平装嵌入式结构设计，以避免勾住实验袍等造成意外。所有钣金的表面接缝均应满焊，焊接处均应打磨平整以保持为连续的平滑表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4.柜体：主框架采用裸板实际厚度≥1.0mm厚优质一级冷轧钢板经CNC机压成形、焊接制作，表面经磷化处理、环氧树脂静电粉末涂装处理(涂装厚度为0.75mm)；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5.固定桌脚：ABS注塑专用桌垫。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生物传感器探究实验室</w:t>
            </w:r>
            <w:r/>
          </w:p>
        </w:tc>
      </w:tr>
      <w:tr>
        <w:trPr>
          <w:trHeight w:val="267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3000*700*900mm（±10mm）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wp:posOffset>
                      </wp:positionH>
                      <wp:positionV relativeFrom="paragraph">
                        <wp:posOffset>187325</wp:posOffset>
                      </wp:positionV>
                      <wp:extent cx="1629410" cy="99060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2941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2.1pt;mso-position-horizontal:absolute;mso-position-vertical-relative:text;margin-top:14.8pt;mso-position-vertical:absolute;width:128.3pt;height:78.0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3.柜体：采用≥1.0mm优质镀锌钢板，采用CO2保护焊焊接，打磨处理，表面经耐酸碱EPOXY粉末烤漆处理，表面硬度附着力、耐腐蚀；整体结构设计合理，预留电脑主机、键盘托、实物展台、教师电源位置；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4.拉手：采用C型不锈钢拉手，用“强磁”测试拉手的不锈钢材质；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5.防撞胶垫：装于抽屉及门板内侧，减缓碰撞，保护柜体；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6.门板及抽面：采用双层钢板，两层组装式设计，保证两层双面都喷涂处理，中间采用隔音材料，保证关门减少噪音；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7.连接件：采用ABS专用连接组装件；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8.合页：采用优质不锈钢模具一体成型，强度必须达到一个正常成年坐在门上方合页不脱落；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9.滑轨：三节重型滚珠滑轨，承重性强，滑动性能良好，无噪音；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10.固定桌脚：采用柜体内置可调ABS调整脚，保证调整脚前后都可以调节高低。</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鹅颈</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466725</wp:posOffset>
                      </wp:positionH>
                      <wp:positionV relativeFrom="paragraph">
                        <wp:posOffset>15875</wp:posOffset>
                      </wp:positionV>
                      <wp:extent cx="732790" cy="98552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3279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36.8pt;mso-position-horizontal:absolute;mso-position-vertical-relative:text;margin-top:1.2pt;mso-position-vertical:absolute;width:57.7pt;height:77.6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1.鹅颈式实验室专用优质化验水嘴：要求防酸碱、防锈、防虹吸、防阻塞，表面环氧树脂喷涂；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2.出水嘴为铜质瓷芯，高头，便于多用途使用，可拆卸清洗阻塞；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3.出水嘴可拆卸，内有成型螺纹，可方便连接循环等特殊用水水管。</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550*450*300mm（±10mm）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360045</wp:posOffset>
                      </wp:positionH>
                      <wp:positionV relativeFrom="paragraph">
                        <wp:posOffset>104775</wp:posOffset>
                      </wp:positionV>
                      <wp:extent cx="1133475" cy="77533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33475"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28.3pt;mso-position-horizontal:absolute;mso-position-vertical-relative:text;margin-top:8.2pt;mso-position-vertical:absolute;width:89.2pt;height:61.0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1.采用实验室专用高密度PP一体化成型水槽，易清洁，耐腐蚀，且利于台面残水自然回流；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2.具耐酸碱、耐有机溶剂、耐紫外线等特点。</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trHeight w:val="91"/>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500*260mm（±10mm）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217170</wp:posOffset>
                      </wp:positionH>
                      <wp:positionV relativeFrom="paragraph">
                        <wp:posOffset>492125</wp:posOffset>
                      </wp:positionV>
                      <wp:extent cx="1327785" cy="99441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27785"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17.1pt;mso-position-horizontal:absolute;mso-position-vertical-relative:text;margin-top:38.8pt;mso-position-vertical:absolute;width:104.5pt;height:78.3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3.220V交流输出为两位带安全门的国标五孔插座，为教师做实验提供220V电源</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5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3200*1200*780mm（±10mm）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-21589</wp:posOffset>
                      </wp:positionH>
                      <wp:positionV relativeFrom="paragraph">
                        <wp:posOffset>100965</wp:posOffset>
                      </wp:positionV>
                      <wp:extent cx="1755140" cy="120078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755140"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1.7pt;mso-position-horizontal:absolute;mso-position-vertical-relative:text;margin-top:7.9pt;mso-position-vertical:absolute;width:138.2pt;height:94.5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由四张新型塑铝结构学生桌桌体拼接而成：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1.整体尺寸为：≥3200*1200*780mm。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为一整张：厚度≥12.7mm理化板，四角圆弧R=20mm。台面后方卡入学生桌铝型槽内，前方用预埋件与桌体固定。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3.结构：新型塑铝结构，学生位镂空式，符合人体工程学设计。专用书包斗ABS注塑一体注塑成型尺寸≥445*338*168mm，镂空设计，便于清理，不屯垃圾，中间设挂凳卡。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侧脚采用三段式高强度铝合金结构，整体规格≥540*770mm，立柱采用倾斜式设计，内嵌入上下铸铝脚，上铝铸件造型采用斜撑加固造型，产品稳固，左右侧脚下连接梁采用≥60*30*2mm钢制椭圆管，两端与3.5mm钢制连接片焊接成型。所有金属表面经环氧树脂粉末喷涂高温固化处理。要做到承重性能强和耐酸碱、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5.桌侧脚：桌侧脚设置专用孔位与地面固定，并配有跟台面同色ABS脚套装饰盖。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侧面配置1台水槽柜：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1.水槽整体外观呈现长方体形式。采用两段式设计。水槽，和柜体两部分。地面排水。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2.水槽大小≥450*600*380mm ，采用PP塑料柜体采用一体注塑成型，耐强酸碱及有机溶剂，壁厚≥3mm，具有防溢出功能。采用实验室专用三联鹅颈水龙头。水槽用螺丝与柜体固定。安全稳固。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围合式，前开门结构，安装简单，维修方便。上下底座与侧板均采用abs一体注塑成型，将侧板嵌入上下底座并用螺丝拉紧固定。外形方正，安全牢固。底座加装直径≥50MM橡胶底脚，采用≥8mm螺纹连接，牢固，防滑。</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160*105mm（±10mm）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10160</wp:posOffset>
                      </wp:positionH>
                      <wp:positionV relativeFrom="paragraph">
                        <wp:posOffset>95250</wp:posOffset>
                      </wp:positionV>
                      <wp:extent cx="1664335" cy="98234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64335" cy="982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0.8pt;mso-position-horizontal:absolute;mso-position-vertical-relative:text;margin-top:7.5pt;mso-position-vertical:absolute;width:131.0pt;height:77.3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1.ABS翻转式电源盒，可放置在实验台两侧，书包盒中间，也可置于台面，实验和安装都非常方便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2.学生机电源采用不低于0.56英寸数码显示界面，轻触开关操作，贴片元件生产技术，微电脑控制，3位1体数码显示电源电压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电压高低视市电高低而定，可添加倒计时功能），220V插座均为带安全门的国标五孔插座，带过载保护</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340*200*720mm（±10mm）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590550</wp:posOffset>
                      </wp:positionH>
                      <wp:positionV relativeFrom="paragraph">
                        <wp:posOffset>228600</wp:posOffset>
                      </wp:positionV>
                      <wp:extent cx="628015" cy="104203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28015" cy="1042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46.5pt;mso-position-horizontal:absolute;mso-position-vertical-relative:text;margin-top:18.0pt;mso-position-vertical:absolute;width:49.4pt;height:82.0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厚度≥1.0mm厚优质一级冷轧镀锌钢板(SPCCT)经CNC机压成形、焊接制作，四脚圆弧处理，地脚线缩进3mm，前后二块黑白相间喷涂镀锌钢板，用内六角螺丝拼接而成，可拆装，内部隐藏实验线管及通风管道，方便检修。</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734"/>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400*300*450mm（±10mm）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81280</wp:posOffset>
                      </wp:positionH>
                      <wp:positionV relativeFrom="paragraph">
                        <wp:posOffset>137795</wp:posOffset>
                      </wp:positionV>
                      <wp:extent cx="1659255" cy="92456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59255" cy="924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6.4pt;mso-position-horizontal:absolute;mso-position-vertical-relative:text;margin-top:10.8pt;mso-position-vertical:absolute;width:130.7pt;height:72.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1.凳面：采用优质白蜡木制作，环保、安全。木纹通达清晰，木质坚韧，结构稳固，具有耐磨.耐压.耐撞击等优点。所有实木均要进行蒸汽脱脂干燥处理，含水量≤12%，做到不开裂翘曲和虫蛀防腐。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产品采用环保油漆，根据款式使用全封闭或半开放工艺，三底二面，半亚光涂饰，做到视面平整光滑，光泽柔和。需要使用胶水的部分，采用优质环保胶水，无毒无害，甲醛释放量≤0.5。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凳腿：采用优质钢管，整体焊接成型，承重力强。表面经纯环氧树脂塑粉高温固化处理，平整光滑，不允许有喷涂层脱落、鼓泡、凹陷、压痕以及表面划伤、麻点、裂痕、崩角和刃口等，切割、钻孔和倒角应去毛刺，钢价底部配防滑脚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1000*500*2000mm（±10mm）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427355</wp:posOffset>
                      </wp:positionH>
                      <wp:positionV relativeFrom="paragraph">
                        <wp:posOffset>44450</wp:posOffset>
                      </wp:positionV>
                      <wp:extent cx="841375" cy="105537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41375"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33.6pt;mso-position-horizontal:absolute;mso-position-vertical-relative:text;margin-top:3.5pt;mso-position-vertical:absolute;width:66.2pt;height:83.1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1.全白色PP材质，上下两扇整体开门(门框为整板挖孔，不能拼接)，门板下部带通风百叶进气口，PP材质厚度为≥8mm，PP材质合页，所有连接部分不允许有金属配置；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2.整柜配置四块PP层板盒，层板高度可以上下调节，PP弓形拉手；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3.顶部通风管道连接排风设备。</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生物常规实验室</w:t>
            </w:r>
            <w:r/>
          </w:p>
        </w:tc>
      </w:tr>
      <w:tr>
        <w:trPr>
          <w:trHeight w:val="1807"/>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3000*700*900mm（±10mm）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443230</wp:posOffset>
                      </wp:positionV>
                      <wp:extent cx="1629410" cy="9906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2941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4.8pt;mso-position-horizontal:absolute;mso-position-vertical-relative:text;margin-top:34.9pt;mso-position-vertical:absolute;width:128.3pt;height:78.0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3.柜体：采用≥1.0mm优质镀锌钢板，采用CO2保护焊焊接，打磨处理，表面经耐酸碱EPOXY粉末烤漆处理，表面硬度附着力、耐腐蚀；整体结构设计合理，预留电脑主机、键盘托、实物展台、教师电源位置；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4.拉手：采用C型不锈钢拉手，用“强磁”测试拉手的不锈钢材质；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5.防撞胶垫：装于抽屉及门板内侧，减缓碰撞，保护柜体；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6.门板及抽面：采用双层钢板，两层组装式设计，保证两层双面都喷涂处理，中间采用隔音材料，保证关门减少噪音；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7.连接件：采用ABS专用连接组装件；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8.合页：采用优质不锈钢模具一体成型，强度必须达到一个正常成年坐在门上方合页不脱落；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9.滑轨：三节重型滚珠滑轨，承重性强，滑动性能良好，无噪音；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10.固定桌脚：采用柜体内置可调ABS调整脚，保证调整脚前后都可以调节高低。</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64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鹅颈</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476250</wp:posOffset>
                      </wp:positionH>
                      <wp:positionV relativeFrom="paragraph">
                        <wp:posOffset>352425</wp:posOffset>
                      </wp:positionV>
                      <wp:extent cx="732790" cy="98552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3279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37.5pt;mso-position-horizontal:absolute;mso-position-vertical-relative:text;margin-top:27.8pt;mso-position-vertical:absolute;width:57.7pt;height:77.6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1.鹅颈式实验室专用优质化验水嘴：要求防酸碱、防锈、防虹吸、防阻塞，表面环氧树脂喷涂；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2.出水嘴为铜质瓷芯，高头，便于多用途使用，可拆卸清洗阻塞；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3.出水嘴可拆卸，内有成型螺纹，可方便连接循环等特殊用水水管。</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761"/>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550*450*300mm（±10mm）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304800</wp:posOffset>
                      </wp:positionH>
                      <wp:positionV relativeFrom="paragraph">
                        <wp:posOffset>19685</wp:posOffset>
                      </wp:positionV>
                      <wp:extent cx="1133475" cy="77533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33475"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24.0pt;mso-position-horizontal:absolute;mso-position-vertical-relative:text;margin-top:1.5pt;mso-position-vertical:absolute;width:89.2pt;height:61.0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1.采用实验室专用高密度PP一体化成型水槽，易清洁，耐腐蚀，且利于台面残水自然回流；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2.具耐酸碱、耐有机溶剂、耐紫外线等特点。</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trHeight w:val="417"/>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500*260mm（±10mm）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476885</wp:posOffset>
                      </wp:positionV>
                      <wp:extent cx="1327785" cy="99441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27785"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12.1pt;mso-position-horizontal:absolute;mso-position-vertical-relative:text;margin-top:37.5pt;mso-position-vertical:absolute;width:104.5pt;height:78.3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3.220V交流输出为两位带安全门的国标五孔插座，为教师做实验提供220V电源</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1200*600*780mm（±10mm）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-20319</wp:posOffset>
                      </wp:positionH>
                      <wp:positionV relativeFrom="paragraph">
                        <wp:posOffset>235585</wp:posOffset>
                      </wp:positionV>
                      <wp:extent cx="1666875" cy="122428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66687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1.6pt;mso-position-horizontal:absolute;mso-position-vertical-relative:text;margin-top:18.6pt;mso-position-vertical:absolute;width:131.2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1.新型塑铝结构：整体≥1200*600*780mm。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厚度≥12.7mm理化板，总尺寸为≥1200*600mm，四角圆弧R=20mm。台面后方卡入学生桌铝型槽内，前方用预埋件与桌体固定。耐酸、耐碱、耐高温，坚固耐用，防潮、无细孔、不膨胀、不龟裂、不变形、不导电、便于维护及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3.结构：新型塑铝结构，学生位镂空式，符合人体工程学设计。专用书包斗ABS注塑一体注塑成型尺寸≥445*338*168mm，镂空设计，便于清理，不屯垃圾，中间设挂凳卡。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4.中间电源盒：≥200*148*250mm。采用ABS注塑外壳。可拆装，方便安装电源和检修。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侧脚采用三段式高强度铝合金结构，整体规格≥540*770mm，立柱采用倾斜式设计，内嵌入上下铸铝脚，上铝铸件造型采用斜撑加固造型，产品稳固，左右侧脚下连接梁采用≥60*30*2mm钢制椭圆管，两端与3.5mm钢制连接片焊接成型。所有金属表面经环氧树脂粉末喷涂高温固化处理。要做到承重性能强和耐酸碱、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6.背部档水板≥1155*65mm、左右挡板≥155*65mm，前横梁、中间横梁全部采用高强度挤出铝合金模具型材，各部分连接设置专用定位件，并用高强度内六角螺丝连接，便于组装及拆卸。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7.桌侧脚：桌侧脚设置专用孔位与地面固定，并配有跟台面同色ABS脚套装饰盖。</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64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学生电源（仅高压）</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160*105mm（±10mm）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104775</wp:posOffset>
                      </wp:positionH>
                      <wp:positionV relativeFrom="paragraph">
                        <wp:posOffset>209550</wp:posOffset>
                      </wp:positionV>
                      <wp:extent cx="1339215" cy="7912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39215"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8.2pt;mso-position-horizontal:absolute;mso-position-vertical-relative:text;margin-top:16.5pt;mso-position-vertical:absolute;width:105.4pt;height:62.3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1.ABS翻转式电源盒，可放置在实验台两侧，书包盒中间，也可置于台面，实验和安装都非常方便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2.学生机电源采用不低于0.56英寸数码显示界面，轻触开关操作，贴片元件生产技术，微电脑控制，3位1体数码显示电源电压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电压高低视市电高低而定，可添加倒计时功能），220V插座均为带安全门的国标五孔插座，带过载保护</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640"/>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实验专用学生灯</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常规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571500</wp:posOffset>
                      </wp:positionV>
                      <wp:extent cx="1589405" cy="55689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8940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9.0pt;mso-position-horizontal:absolute;mso-position-vertical-relative:text;margin-top:45.0pt;mso-position-vertical:absolute;width:125.1pt;height:43.9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1.灯具功率：5W，电压：AC86V-AC220V；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2.材质：镜面不锈钢材质+亚克力材质；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3.光源：LED2835光源，正白光；亮度高，控制方式：内置高精密恒流驱动电源(进口IC).有独立开关，投射角度：180度，光照角度可调。环境温度：-30-60 产品特点：绿色节能，安装简易性能稳定使用寿命长。</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多功能柱</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340*200*720mm（±10mm）</w:t>
            </w:r>
            <w:r/>
          </w:p>
        </w:tc>
        <w:tc>
          <w:tcPr>
            <w:shd w:val="clear" w:color="auto" w:fill="auto"/>
            <w:tcBorders>
              <w:top w:val="single" w:color="000000" w:sz="4" w:space="0"/>
              <w:left w:val="single" w:color="auto"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212725</wp:posOffset>
                      </wp:positionH>
                      <wp:positionV relativeFrom="paragraph">
                        <wp:posOffset>92710</wp:posOffset>
                      </wp:positionV>
                      <wp:extent cx="1140460" cy="110807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40460"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16.8pt;mso-position-horizontal:absolute;mso-position-vertical-relative:text;margin-top:7.3pt;mso-position-vertical:absolute;width:89.8pt;height:87.2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厚度≥1.0mm厚优质一级冷轧镀锌钢板(SPCCT)经CNC机压成形、焊接制作，四脚圆弧处理，地脚线缩进3mm，前后二块黑白相间喷涂镀锌钢板，用内六角螺丝拼接而成，可拆装，内部隐藏实验线管及通风管道，方便检修。</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3929"/>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450*600*850mm（±10mm）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297815</wp:posOffset>
                      </wp:positionH>
                      <wp:positionV relativeFrom="paragraph">
                        <wp:posOffset>233045</wp:posOffset>
                      </wp:positionV>
                      <wp:extent cx="1192530" cy="159448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92530" cy="159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23.4pt;mso-position-horizontal:absolute;mso-position-vertical-relative:text;margin-top:18.3pt;mso-position-vertical:absolute;width:93.9pt;height:125.5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1.结构：水槽整体外观呈现长方体形式。采用两段式设计。水槽，和柜体两部分。地面排水。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2.水槽大小≥450*600*380mm ，采用PP塑料柜体采用一体注塑成型，耐强酸碱及有机溶剂，壁厚≥3mm，具有防溢出功能。采用实验室专用三联鹅颈水龙头。可选配加装洗眼器。水槽用螺丝与柜体固定。安全稳固。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围合式，前开门结构，安装简单，维修方便。上下底座与侧板均采用abs一体注塑成型，将侧板嵌入上下底座并用螺丝拉紧固定。外形方正，安全牢固。底座加装直径≥50MM橡胶底脚，采用≥8mm螺纹连接，牢固，防滑。</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5502"/>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400*300*450mm（±10mm）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419100</wp:posOffset>
                      </wp:positionV>
                      <wp:extent cx="1659255" cy="92456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59255" cy="924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5.2pt;mso-position-horizontal:absolute;mso-position-vertical-relative:text;margin-top:33.0pt;mso-position-vertical:absolute;width:130.7pt;height:72.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1.凳面：采用优质白蜡木制作，环保、安全。木纹通达清晰，木质坚韧，结构稳固，具有耐磨.耐压.耐撞击等优点。所有实木均要进行蒸汽脱脂干燥处理，含水量≤12%，做到不开裂翘曲和虫蛀防腐。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产品采用环保油漆，根据款式使用全封闭或半开放工艺，三底二面，半亚光涂饰，做到视面平整光滑，光泽柔和。需要使用胶水的部分，采用优质环保胶水，无毒无害，甲醛释放量≤0.5。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凳腿：采用优质钢管，整体焊接成型，承重力强。表面经纯环氧树脂塑粉高温固化处理，平整光滑，不允许有喷涂层脱落、鼓泡、凹陷、压痕以及表面划伤、麻点、裂痕、崩角和刃口等，切割、钻孔和倒角应去毛刺，钢价底部配防滑脚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准备边台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7000*600*800mm（±10mm）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wp:posOffset>
                      </wp:positionH>
                      <wp:positionV relativeFrom="paragraph">
                        <wp:posOffset>33655</wp:posOffset>
                      </wp:positionV>
                      <wp:extent cx="1630045" cy="82994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30045" cy="829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1.6pt;mso-position-horizontal:absolute;mso-position-vertical-relative:text;margin-top:2.6pt;mso-position-vertical:absolute;width:128.3pt;height:65.3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柜体为落地式结构，可以单独或组合使用，每单面设置两个坐人位。所有底柜正面应为平装嵌入式结构设计，以避免勾住实验袍等造成意外。所有钣金的表面接缝均应满焊，焊接处均应打磨平整以保持为连续的平滑表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4.柜体：主框架采用裸板实际厚度≥1.0mm厚优质一级冷轧钢板经CNC机压成形、焊接制作，表面经磷化处理、环氧树脂静电粉末涂装处理(涂装厚度为0.75mm)；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5.固定桌脚：ABS注塑专用桌垫。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214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1000*500*2000mm（±10mm）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390525</wp:posOffset>
                      </wp:positionH>
                      <wp:positionV relativeFrom="paragraph">
                        <wp:posOffset>31750</wp:posOffset>
                      </wp:positionV>
                      <wp:extent cx="920750" cy="119824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20750" cy="1198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30.8pt;mso-position-horizontal:absolute;mso-position-vertical-relative:text;margin-top:2.5pt;mso-position-vertical:absolute;width:72.5pt;height:94.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1.全白色PP材质，上下两扇整体开门(门框为整板挖孔，不能拼接)，门板下部带通风百叶进气口，PP材质厚度为≥8mm，PP材质合页，所有连接部分不允许有金属配置；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2.整柜配置四块PP层板盒，层板高度可以上下调节，PP弓形拉手；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3.顶部通风管道连接排风设备。</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生物准备室1</w:t>
            </w:r>
            <w:r/>
          </w:p>
        </w:tc>
      </w:tr>
      <w:tr>
        <w:trPr>
          <w:trHeight w:val="868"/>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3000*1200*800mm（±10mm）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434975</wp:posOffset>
                      </wp:positionV>
                      <wp:extent cx="1696085" cy="65659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696085"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3.8pt;mso-position-horizontal:absolute;mso-position-vertical-relative:text;margin-top:34.2pt;mso-position-vertical:absolute;width:133.5pt;height:51.7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柜体为落地式结构，可以单独或组合使用，每单面设置两个坐人位。所有底柜正面应为平装嵌入式结构设计，以避免勾住实验袍等造成意外。所有钣金的表面接缝均应满焊，焊接处均应打磨平整以保持为连续的平滑表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4.柜体：主框架采用裸板实际厚度≥1.0mm厚优质一级冷轧钢板经CNC机压成形、焊接制作，表面经磷化处理、环氧树脂静电粉末涂装处理(涂装厚度为0.75mm)；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5.固定桌脚：ABS注塑专用桌垫。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试剂架(单层)</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1000*300*450mm（±10mm）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299085</wp:posOffset>
                      </wp:positionV>
                      <wp:extent cx="1658620" cy="89471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658620" cy="894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3.9pt;mso-position-horizontal:absolute;mso-position-vertical-relative:text;margin-top:23.5pt;mso-position-vertical:absolute;width:130.6pt;height:70.5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2.主体框架：采用≥1.0mm优质镀锌钢板，采用CO2保护焊焊接，打磨处理，表面经耐酸碱EPOXY粉末烤漆处理(烤漆膜厚度平均值≥70μm)，表面硬度附着力、耐腐蚀性；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3.配有4个实验室专用多功能插座。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1000*500*2000mm（±10mm）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200025</wp:posOffset>
                      </wp:positionV>
                      <wp:extent cx="920750" cy="119824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20750" cy="1198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27.0pt;mso-position-horizontal:absolute;mso-position-vertical-relative:text;margin-top:15.8pt;mso-position-vertical:absolute;width:72.5pt;height:94.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1.全白色PP材质，上下两扇整体开门(门框为整板挖孔，不能拼接)，门板下部带通风百叶进气口，PP材质厚度为≥8mm，PP材质合页，所有连接部分不允许有金属配置；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2.整柜配置四块PP层板盒，层板高度可以上下调节，PP弓形拉手；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3.顶部通风管道连接排风设备。</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077"/>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通风药品柜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1000*500*2000mm（±10mm）</w:t>
            </w:r>
            <w:r/>
          </w:p>
        </w:tc>
        <w:tc>
          <w:tcPr>
            <w:shd w:val="clear" w:color="auto" w:fill="auto"/>
            <w:tcBorders>
              <w:top w:val="single" w:color="000000" w:sz="4" w:space="0"/>
              <w:left w:val="single" w:color="000000" w:sz="4" w:space="0"/>
              <w:bottom w:val="single" w:color="000000" w:sz="4" w:space="0"/>
              <w:right w:val="single" w:color="auto"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745490</wp:posOffset>
                      </wp:positionV>
                      <wp:extent cx="1635125" cy="122682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635125" cy="1226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9.4pt;mso-position-horizontal:absolute;mso-position-vertical-relative:text;margin-top:58.7pt;mso-position-vertical:absolute;width:128.8pt;height:96.6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2.下储物柜门：内框采用改性PP材质注塑模一次成型，外嵌≥5mm厚钢化烤漆玻璃；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3.上柜视窗们：内框采用改性PP材质注塑模一次成型，外嵌≥5mm厚钢化烤漆玻璃，中间烤漆镂空制作；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5.门把手：采用经过改性PP材质注塑模一次成型，与柜门平行，开启方便；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6.门铰链：采用经过射出成型的PP材料制成，耐腐蚀性好；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7.螺丝：PP材质，可选不锈钢304材质；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8.备注 ：可以用于各种腐蚀性化学品的储存，如硫酸、盐酸、硝酸、乙酸、硫磺酸等。</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1500*850*2350mm（±10mm）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215265</wp:posOffset>
                      </wp:positionH>
                      <wp:positionV relativeFrom="paragraph">
                        <wp:posOffset>151130</wp:posOffset>
                      </wp:positionV>
                      <wp:extent cx="1113790" cy="181927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113790" cy="1819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16.9pt;mso-position-horizontal:absolute;mso-position-vertical-relative:text;margin-top:11.9pt;mso-position-vertical:absolute;width:87.7pt;height:143.2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1.结构组合：采用三段组合式柜体，上部柜体(教师准备演示柜)，中间(操作台面)，下部柜体(内含单侧独立抽气式组成柜及另侧独立水、电、气体管线系统容纳柜设计)；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2.外壳：采用厚≥1.0mm(含)以上优质冷轧钢板冲压成型制作，表面经耐酸碱环氧树脂喷涂处理；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3.内壳：采用≥5mm厚耐酸碱、耐高温的抗倍特板制作；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4.台面：要求采用12.7mm厚实芯理化板边缘加厚至25.4mm，边缘呈圆弧形，结构坚固致密，能抗强冲击，耐强酸碱，耐高温，更具有良好的承重性能；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5.照明：采用30W日光灯，并设有5mm厚磨沙玻璃；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6.拉手：采用ABS注塑；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气流板：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8.化验水斗：采用PP制作，耐酸碱一体成型小水杯；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9.化验水咀：采用实验室专用单口烤漆水咀；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10.窗口：采用5mm厚的钢化防暴玻璃。内部采用垂体平衡装置，可以停留在上下任何位置；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11.液晶控制系统：教师准备演示柜控制器以微控制器为核心，采用模块化设计，其主要特点是功能完备，结构简单，界面清晰，操作容易。</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仪器小车</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780*460*920mm（±10mm）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57150</wp:posOffset>
                      </wp:positionV>
                      <wp:extent cx="1369695" cy="138112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6969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12.0pt;mso-position-horizontal:absolute;mso-position-vertical-relative:text;margin-top:4.5pt;mso-position-vertical:absolute;width:107.8pt;height:108.8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1.整车加大，加厚材料，不侧翻设计，5寸刹车轮。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2.优质不锈钢，底部加强筋设计。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3.承重≥500kg，净重≥22.5kg。</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89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550*450*300mm（±10mm）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228600</wp:posOffset>
                      </wp:positionH>
                      <wp:positionV relativeFrom="paragraph">
                        <wp:posOffset>219075</wp:posOffset>
                      </wp:positionV>
                      <wp:extent cx="1196340" cy="68516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96340" cy="685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18.0pt;mso-position-horizontal:absolute;mso-position-vertical-relative:text;margin-top:17.2pt;mso-position-vertical:absolute;width:94.2pt;height:53.9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1.采用实验室专用高密度PP一体化成型水槽，易清洁，耐腐蚀，且利于台面残水自然回流；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鹅颈</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142875</wp:posOffset>
                      </wp:positionV>
                      <wp:extent cx="905510" cy="121729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05510" cy="1217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39.0pt;mso-position-horizontal:absolute;mso-position-vertical-relative:text;margin-top:11.2pt;mso-position-vertical:absolute;width:71.3pt;height:95.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1.鹅颈式实验室专用优质化验水嘴：要求防酸碱、防锈、防虹吸、防阻塞，表面环氧树脂喷涂；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2.出水嘴为铜质瓷芯，高头，便于多用途使用，可拆卸清洗阻塞；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3.出水嘴可拆卸，内有成型螺纹，可方便连接循环等特殊用水水管。</w:t>
            </w:r>
            <w:r/>
          </w:p>
        </w:tc>
        <w:tc>
          <w:tcPr>
            <w:shd w:val="clear" w:color="auto" w:fill="auto"/>
            <w:tcBorders>
              <w:top w:val="none" w:color="000000" w:sz="4" w:space="0"/>
              <w:left w:val="none" w:color="000000" w:sz="4" w:space="0"/>
              <w:bottom w:val="none" w:color="000000" w:sz="4" w:space="0"/>
              <w:right w:val="non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784"/>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400*600mm（±10mm）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499110</wp:posOffset>
                      </wp:positionH>
                      <wp:positionV relativeFrom="paragraph">
                        <wp:posOffset>118110</wp:posOffset>
                      </wp:positionV>
                      <wp:extent cx="744220" cy="87693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44220"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39.3pt;mso-position-horizontal:absolute;mso-position-vertical-relative:text;margin-top:9.3pt;mso-position-vertical:absolute;width:58.6pt;height:69.0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1.类型：单面 底部托盘中间设有排水孔 可拆卸式滴水棒，具有锁扣功能，方便使用。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紧急洗眼器</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单眼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419100</wp:posOffset>
                      </wp:positionH>
                      <wp:positionV relativeFrom="paragraph">
                        <wp:posOffset>58420</wp:posOffset>
                      </wp:positionV>
                      <wp:extent cx="755650" cy="94551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55650" cy="945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33.0pt;mso-position-horizontal:absolute;mso-position-vertical-relative:text;margin-top:4.6pt;mso-position-vertical:absolute;width:59.5pt;height:74.5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生物准备室2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3000*1200*800mm（±10mm）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122555</wp:posOffset>
                      </wp:positionV>
                      <wp:extent cx="1696085" cy="65659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696085"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2.8pt;mso-position-horizontal:absolute;mso-position-vertical-relative:text;margin-top:9.7pt;mso-position-vertical:absolute;width:133.5pt;height:51.7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柜体为落地式结构，可以单独或组合使用，每单面设置两个坐人位。所有底柜正面应为平装嵌入式结构设计，以避免勾住实验袍等造成意外。所有钣金的表面接缝均应满焊，焊接处均应打磨平整以保持为连续的平滑表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4.柜体：主框架采用裸板实际厚度≥1.0mm厚优质一级冷轧钢板经CNC机压成形、焊接制作，表面经磷化处理、环氧树脂静电粉末涂装处理(涂装厚度为0.75mm)；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5.固定桌脚：ABS注塑专用桌垫。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935"/>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试剂架(单层)</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1000*300*450mm（±10mm）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-6984</wp:posOffset>
                      </wp:positionH>
                      <wp:positionV relativeFrom="paragraph">
                        <wp:posOffset>20955</wp:posOffset>
                      </wp:positionV>
                      <wp:extent cx="1685290" cy="89408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685289" cy="894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0.5pt;mso-position-horizontal:absolute;mso-position-vertical-relative:text;margin-top:1.6pt;mso-position-vertical:absolute;width:132.7pt;height:70.4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1.全钢结构；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2.主体框架：采用≥1.0mm优质镀锌钢板，采用CO2保护焊焊接，打磨处理，表面经耐酸碱EPOXY粉末烤漆处理(烤漆膜厚度平均值≥70μm)，表面硬度附着力、耐腐蚀性；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3.配有4个实验室专用多功能插座。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1000*500*2000mm（±10mm）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287020</wp:posOffset>
                      </wp:positionH>
                      <wp:positionV relativeFrom="paragraph">
                        <wp:posOffset>46355</wp:posOffset>
                      </wp:positionV>
                      <wp:extent cx="1036955" cy="119761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3695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22.6pt;mso-position-horizontal:absolute;mso-position-vertical-relative:text;margin-top:3.6pt;mso-position-vertical:absolute;width:81.6pt;height:94.3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1.全白色PP材质，上下两扇整体开门(门框为整板挖孔，不能拼接)，门板下部带通风百叶进气口，PP材质厚度为≥8mm，PP材质合页，所有连接部分不允许有金属配置；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2.整柜配置四块PP层板盒，层板高度可以上下调节，PP弓形拉手；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3.顶部通风管道连接排风设备。</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通风药品柜</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1000*500*2000mm（±10mm）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-5714</wp:posOffset>
                      </wp:positionH>
                      <wp:positionV relativeFrom="paragraph">
                        <wp:posOffset>330200</wp:posOffset>
                      </wp:positionV>
                      <wp:extent cx="1767205" cy="126492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767205" cy="12649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0.4pt;mso-position-horizontal:absolute;mso-position-vertical-relative:text;margin-top:26.0pt;mso-position-vertical:absolute;width:139.2pt;height:99.6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2.下储物柜门：内框采用改性PP材质注塑模一次成型，外嵌≥5mm厚钢化烤漆玻璃；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3.上柜视窗们：内框采用改性PP材质注塑模一次成型，外嵌≥5mm厚钢化烤漆玻璃，中间烤漆镂空制作；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5.门把手：采用经过改性PP材质注塑模一次成型，与柜门平行，开启方便；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6.门铰链：采用经过射出成型的PP材料制成，耐腐蚀性好；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7.螺丝：PP材质，可选不锈钢304材质；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8.备注 ：可以用于各种腐蚀性化学品的储存，如硫酸、盐酸、硝酸、乙酸、硫磺酸等。</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5622"/>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1500*850*2350mm（±10mm）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126365</wp:posOffset>
                      </wp:positionH>
                      <wp:positionV relativeFrom="paragraph">
                        <wp:posOffset>323850</wp:posOffset>
                      </wp:positionV>
                      <wp:extent cx="1494790" cy="229552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94790" cy="2295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9.9pt;mso-position-horizontal:absolute;mso-position-vertical-relative:text;margin-top:25.5pt;mso-position-vertical:absolute;width:117.7pt;height:180.8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1.结构组合：采用三段组合式柜体，上部柜体(教师准备演示柜)，中间(操作台面)，下部柜体(内含单侧独立抽气式组成柜及另侧独立水、电、气体管线系统容纳柜设计)；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2.外壳：采用厚≥1.0mm(含)以上优质冷轧钢板冲压成型制作，表面经耐酸碱环氧树脂喷涂处理；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3.内壳：采用≥5mm厚耐酸碱、耐高温的抗倍特板制作；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4.台面：要求采用12.7mm厚实芯理化板边缘加厚至25.4mm，边缘呈圆弧形，结构坚固致密，能抗强冲击，耐强酸碱，耐高温，更具有良好的承重性能；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5.照明：采用30W日光灯，并设有5mm厚磨沙玻璃；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6.拉手：采用ABS注塑；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气流板：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8.化验水斗：采用PP制作，耐酸碱一体成型小水杯；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9.化验水咀：采用实验室专用单口烤漆水咀；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10.窗口：采用5mm厚的钢化防暴玻璃。内部采用垂体平衡装置，可以停留在上下任何位置；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11.液晶控制系统：教师准备演示柜控制器以微控制器为核心，采用模块化设计，其主要特点是功能完备，结构简单，界面清晰，操作容易。</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仪器小车</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780*460*920mm（±10mm）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371475</wp:posOffset>
                      </wp:positionH>
                      <wp:positionV relativeFrom="paragraph">
                        <wp:posOffset>47625</wp:posOffset>
                      </wp:positionV>
                      <wp:extent cx="1102995" cy="111188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102995" cy="1111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29.2pt;mso-position-horizontal:absolute;mso-position-vertical-relative:text;margin-top:3.8pt;mso-position-vertical:absolute;width:86.8pt;height:87.5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1.整车加大，加厚材料，不侧翻设计，5寸刹车轮。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2.优质不锈钢，底部加强筋设计。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3.承重≥500kg，净重≥22.5kg。</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550*450*300mm（±10mm）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107950</wp:posOffset>
                      </wp:positionV>
                      <wp:extent cx="1403350" cy="96202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0335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11.2pt;mso-position-horizontal:absolute;mso-position-vertical-relative:text;margin-top:8.5pt;mso-position-vertical:absolute;width:110.5pt;height:75.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1.采用实验室专用高密度PP一体化成型水槽，易清洁，耐腐蚀，且利于台面残水自然回流；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2.具耐酸碱、耐有机溶剂、耐紫外线等特点。</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鹅颈</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419100</wp:posOffset>
                      </wp:positionH>
                      <wp:positionV relativeFrom="paragraph">
                        <wp:posOffset>47625</wp:posOffset>
                      </wp:positionV>
                      <wp:extent cx="753745" cy="101346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53745" cy="1013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33.0pt;mso-position-horizontal:absolute;mso-position-vertical-relative:text;margin-top:3.8pt;mso-position-vertical:absolute;width:59.3pt;height:79.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1.鹅颈式实验室专用优质化验水嘴：要求防酸碱、防锈、防虹吸、防阻塞，表面环氧树脂喷涂；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2.出水嘴为铜质瓷芯，高头，便于多用途使用，可拆卸清洗阻塞；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3.出水嘴可拆卸，内有成型螺纹，可方便连接循环等特殊用水水管。</w:t>
            </w:r>
            <w:r/>
          </w:p>
        </w:tc>
        <w:tc>
          <w:tcPr>
            <w:shd w:val="clear" w:color="auto" w:fill="auto"/>
            <w:tcBorders>
              <w:top w:val="none" w:color="000000" w:sz="4" w:space="0"/>
              <w:left w:val="none" w:color="000000" w:sz="4" w:space="0"/>
              <w:bottom w:val="none" w:color="000000" w:sz="4" w:space="0"/>
              <w:right w:val="non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400*600mm（±10mm）</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457200</wp:posOffset>
                      </wp:positionH>
                      <wp:positionV relativeFrom="paragraph">
                        <wp:posOffset>95250</wp:posOffset>
                      </wp:positionV>
                      <wp:extent cx="650240" cy="83883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50240"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36.0pt;mso-position-horizontal:absolute;mso-position-vertical-relative:text;margin-top:7.5pt;mso-position-vertical:absolute;width:51.2pt;height:66.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1.类型：单面 底部托盘中间设有排水孔 可拆卸式滴水棒，具有锁扣功能，方便使用。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紧急洗眼器</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单眼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333375</wp:posOffset>
                      </wp:positionH>
                      <wp:positionV relativeFrom="paragraph">
                        <wp:posOffset>66675</wp:posOffset>
                      </wp:positionV>
                      <wp:extent cx="854710" cy="92138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854710" cy="921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26.2pt;mso-position-horizontal:absolute;mso-position-vertical-relative:text;margin-top:5.2pt;mso-position-vertical:absolute;width:67.3pt;height:72.5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r>
      <w:tr>
        <w:trPr>
          <w:trHeight w:val="400"/>
        </w:trPr>
        <w:tc>
          <w:tcPr>
            <w:gridSpan w:val="7"/>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艺体楼家具报价清单</w:t>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non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规格（L*W*H）</w:t>
            </w:r>
            <w:r/>
          </w:p>
        </w:tc>
        <w:tc>
          <w:tcPr>
            <w:shd w:val="clear" w:color="auto" w:fill="auto"/>
            <w:tcBorders>
              <w:top w:val="none" w:color="000000" w:sz="4" w:space="0"/>
              <w:left w:val="single" w:color="000000" w:sz="4" w:space="0"/>
              <w:bottom w:val="single" w:color="000000"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图片</w:t>
            </w:r>
            <w:r/>
          </w:p>
        </w:tc>
        <w:tc>
          <w:tcPr>
            <w:shd w:val="clear" w:color="auto" w:fill="auto"/>
            <w:tcBorders>
              <w:top w:val="none" w:color="000000" w:sz="4" w:space="0"/>
              <w:left w:val="single" w:color="000000" w:sz="4" w:space="0"/>
              <w:bottom w:val="single" w:color="000000" w:sz="4" w:space="0"/>
              <w:right w:val="single" w:color="000000" w:sz="4" w:space="0"/>
            </w:tcBorders>
            <w:tcW w:w="15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non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体育办公室</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桌子：1500*600*750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边柜：1800*300*1150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69215</wp:posOffset>
                      </wp:positionH>
                      <wp:positionV relativeFrom="paragraph">
                        <wp:posOffset>76200</wp:posOffset>
                      </wp:positionV>
                      <wp:extent cx="1647825" cy="127063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647825"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5.5pt;mso-position-horizontal:absolute;mso-position-vertical-relative:text;margin-top:6.0pt;mso-position-vertical:absolute;width:129.8pt;height:100.0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6、正面锁：采用优质锌合金材料，精工一体压铸成型，不易松动，表面电泳电镀处理，不生锈，抗氧化，耐腐蚀； </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4000*1500*750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53340</wp:posOffset>
                      </wp:positionH>
                      <wp:positionV relativeFrom="paragraph">
                        <wp:posOffset>177165</wp:posOffset>
                      </wp:positionV>
                      <wp:extent cx="1699895" cy="125603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699895" cy="125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4.2pt;mso-position-horizontal:absolute;mso-position-vertical-relative:text;margin-top:13.9pt;mso-position-vertical:absolute;width:133.8pt;height:98.9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365760</wp:posOffset>
                      </wp:positionH>
                      <wp:positionV relativeFrom="paragraph">
                        <wp:posOffset>197485</wp:posOffset>
                      </wp:positionV>
                      <wp:extent cx="1111885" cy="120523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111885" cy="1205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28.8pt;mso-position-horizontal:absolute;mso-position-vertical-relative:text;margin-top:15.5pt;mso-position-vertical:absolute;width:87.5pt;height:94.9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优质面料饰面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·靠背PP+GF材质+PA连接件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·扶手PP+GF材质+PA扶手撑可上下旋转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·坐棉采用2CM高密度切割泡棉+PP座壳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··钢架直管1.5厚，横管1.8厚表面黑色砂纹喷涂处理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·坐木板采用5MM抛压成型多层环保夹板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·整椅座板可以翻转，钢架可以折叠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.55优质椅轮</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509"/>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直径800*750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196215</wp:posOffset>
                      </wp:positionH>
                      <wp:positionV relativeFrom="paragraph">
                        <wp:posOffset>152400</wp:posOffset>
                      </wp:positionV>
                      <wp:extent cx="1287780" cy="115887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287780" cy="1158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15.4pt;mso-position-horizontal:absolute;mso-position-vertical-relative:text;margin-top:12.0pt;mso-position-vertical:absolute;width:101.4pt;height:91.2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3991"/>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洽谈椅</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124460</wp:posOffset>
                      </wp:positionH>
                      <wp:positionV relativeFrom="paragraph">
                        <wp:posOffset>97790</wp:posOffset>
                      </wp:positionV>
                      <wp:extent cx="1445260" cy="116776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445260" cy="1167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9.8pt;mso-position-horizontal:absolute;mso-position-vertical-relative:text;margin-top:7.7pt;mso-position-vertical:absolute;width:113.8pt;height:91.9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料采用优质环保皮，内架采用经过消毒、灭茵、烘干处理的优质实木框架结构，木材烘干含水率≤13%；内部采用优质阻燃环保高密度泡棉，坐垫泡棉密度&gt;45kg/m3，靠背大于35kg/m3；采用优质高精度金属材质下脚，表面喷砂（细砂）处理，具有极强的附着力及抗腐蚀能力，化学性能稳定，耐脏好清洁， 细沙附着均匀，质感优良，装饰性好，确保整体稳固性。</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艺术办公室</w:t>
            </w:r>
            <w:r/>
          </w:p>
        </w:tc>
      </w:tr>
      <w:tr>
        <w:trPr>
          <w:trHeight w:val="114"/>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784225</wp:posOffset>
                      </wp:positionH>
                      <wp:positionV relativeFrom="paragraph">
                        <wp:posOffset>97790</wp:posOffset>
                      </wp:positionV>
                      <wp:extent cx="1476375" cy="114681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476375" cy="114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61.8pt;mso-position-horizontal:absolute;mso-position-vertical-relative:text;margin-top:7.7pt;mso-position-vertical:absolute;width:116.2pt;height:90.3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1500*600*750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边柜：1800*300*1150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6、正面锁：采用优质锌合金材料，精工一体压铸成型，不易松动，表面电泳电镀处理，不生锈，抗氧化，耐腐蚀；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4000*1500*750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91440</wp:posOffset>
                      </wp:positionH>
                      <wp:positionV relativeFrom="paragraph">
                        <wp:posOffset>75565</wp:posOffset>
                      </wp:positionV>
                      <wp:extent cx="1491615" cy="110871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491615" cy="1108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7.2pt;mso-position-horizontal:absolute;mso-position-vertical-relative:text;margin-top:5.9pt;mso-position-vertical:absolute;width:117.4pt;height:87.3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7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优质面料饰面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·靠背PP+GF材质+PA连接件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·扶手PP+GF材质+PA扶手撑可上</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-1564639</wp:posOffset>
                      </wp:positionH>
                      <wp:positionV relativeFrom="paragraph">
                        <wp:posOffset>127000</wp:posOffset>
                      </wp:positionV>
                      <wp:extent cx="1111885" cy="120523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111885" cy="1205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123.2pt;mso-position-horizontal:absolute;mso-position-vertical-relative:text;margin-top:10.0pt;mso-position-vertical:absolute;width:87.5pt;height:94.9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下旋转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·坐棉采用2CM高密度切割泡棉+PP座壳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··钢架直管1.5厚，横管1.8厚表面黑色砂纹喷涂处理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·坐木板采用5MM抛压成型多层环保夹板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·整椅座板可以翻转，钢架可以折叠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.55优质椅轮</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健美操房</w:t>
            </w:r>
            <w:r/>
          </w:p>
        </w:tc>
      </w:tr>
      <w:tr>
        <w:trPr>
          <w:trHeight w:val="2200"/>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格子柜</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1300*350*1000</w:t>
            </w:r>
            <w:r/>
          </w:p>
        </w:tc>
        <w:tc>
          <w:tcPr>
            <w:shd w:val="clear" w:color="auto" w:fill="auto"/>
            <w:tcBorders>
              <w:top w:val="single" w:color="000000" w:sz="4" w:space="0"/>
              <w:left w:val="single" w:color="000000"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77470</wp:posOffset>
                      </wp:positionH>
                      <wp:positionV relativeFrom="paragraph">
                        <wp:posOffset>71120</wp:posOffset>
                      </wp:positionV>
                      <wp:extent cx="1639570" cy="113665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639570" cy="113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6.1pt;mso-position-horizontal:absolute;mso-position-vertical-relative:text;margin-top:5.6pt;mso-position-vertical:absolute;width:129.1pt;height:89.5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音乐教室</w:t>
            </w:r>
            <w:r/>
          </w:p>
        </w:tc>
      </w:tr>
      <w:tr>
        <w:trPr>
          <w:trHeight w:val="3331"/>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讲桌</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1100*780*1000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-17779</wp:posOffset>
                      </wp:positionH>
                      <wp:positionV relativeFrom="paragraph">
                        <wp:posOffset>389890</wp:posOffset>
                      </wp:positionV>
                      <wp:extent cx="1643380" cy="162814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643379" cy="162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1.4pt;mso-position-horizontal:absolute;mso-position-vertical-relative:text;margin-top:30.7pt;mso-position-vertical:absolute;width:129.4pt;height:128.2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讲台尺寸：1100*780*1000mm(长宽高)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工艺：脱脂、磷化、静电喷塑、溜平固化，重点部位须采用一次冲压成型技术；所有钣金部分均采用激光切割加工，所有尖角倒圆角不小于R3，保证使用者和维护者不划伤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1、盖门采取翻转方式，更加人性化的设计，解决了以往盖门沉重，女教师及年老教师开门比较困难的问题。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2、合理的尺寸设计，合理的设备安排，国标19英寸机架，真正做到防盗功能。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3、钢木结合材料一体成型；桌体采用1.0-1.2mm优质冷轧钢板，实木扶手；桌面黄色木质耐划台面；全封闭式结构，保障了多媒体设备的安全性。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4、整个讲台只使用一副滑轨，减少故障几率。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6、键盘采用翻转式操作，显示器、中央控制系统、键盘互不影响独立操作。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7、右侧抽屉采用隐藏抽拉式设计，可放置实物展台。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8、讲桌桌体采用开合式小柜门设计，不必打开大柜门，即可经由计算机光驱播放光碟。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9、桌面预留集成笔记本接口模块（USB两个\VGA一个\网络接口一个\ Audio一个\电源接口一个\HDMI一个\话筒接口一个。(另配)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10、桌体下层内部采用标准机柜设计，带层板，可任意调节。</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培训椅</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28575</wp:posOffset>
                      </wp:positionV>
                      <wp:extent cx="1066165" cy="126047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66165" cy="1260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6.0pt;mso-position-horizontal:absolute;mso-position-vertical-relative:text;margin-top:2.2pt;mso-position-vertical:absolute;width:84.0pt;height:99.2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1138555</wp:posOffset>
                      </wp:positionH>
                      <wp:positionV relativeFrom="paragraph">
                        <wp:posOffset>48895</wp:posOffset>
                      </wp:positionV>
                      <wp:extent cx="549910" cy="131191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49910"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89.6pt;mso-position-horizontal:absolute;mso-position-vertical-relative:text;margin-top:3.8pt;mso-position-vertical:absolute;width:43.3pt;height:103.3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A.功能：全折叠，靠背可逍遥，拢放推叠，上下活动扶手，腿部空间无障碍自由活动设计，合金角码。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B.要述：国标1.5管+定型海绵+档次底壳+1136KG静压测试+通过120KG靠背拉力测试。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C.史诗风格：时代前端设计，T字架+单横向受力舒适靠背设计。</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美术教室</w:t>
            </w:r>
            <w:r/>
          </w:p>
        </w:tc>
      </w:tr>
      <w:tr>
        <w:trPr>
          <w:trHeight w:val="5956"/>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1100*780*1000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158750</wp:posOffset>
                      </wp:positionH>
                      <wp:positionV relativeFrom="paragraph">
                        <wp:posOffset>34290</wp:posOffset>
                      </wp:positionV>
                      <wp:extent cx="1323975" cy="133096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323974" cy="1330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12.5pt;mso-position-horizontal:absolute;mso-position-vertical-relative:text;margin-top:2.7pt;mso-position-vertical:absolute;width:104.2pt;height:104.8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讲台尺寸：1100*780*1000mm(长宽高)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工艺：脱脂、磷化、静电喷塑、溜平固化，重点部位须采用一次冲压成型技术；所有钣金部分均采用激光切割加工，所有尖角倒圆角不小于R3，保证使用者和维护者不划伤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1、盖门采取翻转方式，更加人性化的设计，解决了以往盖门沉重，女教师及年老教师开门比较困难的问题。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2、合理的尺寸设计，合理的设备安排，国标19英寸机架，真正做到防盗功能。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3、钢木结合材料一体成型；桌体采用1.0-1.2mm优质冷轧钢板，实木扶手；桌面黄色木质耐划台面；全封闭式结构，保障了多媒体设备的安全性。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4、整个讲台只使用一副滑轨，减少故障几率。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6、键盘采用翻转式操作，显示器、中央控制系统、键盘互不影响独立操作。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7、右侧抽屉采用隐藏抽拉式设计，可放置实物展台。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8、讲桌桌体采用开合式小柜门设计，不必打开大柜门，即可经由计算机光驱播放光碟。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9、桌面预留集成笔记本接口模块（USB两个\VGA一个\网络接口一个\ Audio一个\电源接口一个\HDMI一个\话筒接口一个。(另配)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10、桌体下层内部采用标准机柜设计，带层板，可任意调节。</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341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绘画桌</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1800*1200*750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80010</wp:posOffset>
                      </wp:positionH>
                      <wp:positionV relativeFrom="paragraph">
                        <wp:posOffset>220345</wp:posOffset>
                      </wp:positionV>
                      <wp:extent cx="1650365" cy="85725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650365"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6.3pt;mso-position-horizontal:absolute;mso-position-vertical-relative:text;margin-top:17.3pt;mso-position-vertical:absolute;width:129.9pt;height:67.5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绘画椅</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375920</wp:posOffset>
                      </wp:positionH>
                      <wp:positionV relativeFrom="paragraph">
                        <wp:posOffset>11430</wp:posOffset>
                      </wp:positionV>
                      <wp:extent cx="1014095" cy="106235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14095" cy="1062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29.6pt;mso-position-horizontal:absolute;mso-position-vertical-relative:text;margin-top:0.9pt;mso-position-vertical:absolute;width:79.8pt;height:83.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优质面料饰面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·靠背PP+GF材质+PA连接件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·扶手PP+GF材质+PA扶手撑可上下旋转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·坐棉采用2CM高密度切割泡棉+PP座壳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··钢架直管1.5厚，横管1.8厚表面黑色砂纹喷涂处理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·坐木板采用5MM抛压成型多层环保夹板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·整椅座板可以翻转，钢架可以折叠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.55优质椅轮</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bebebe" w:themeFill="background1" w:themeFillShade="BF"/>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心理健康发展中心项目清单</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规格/mm</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图片</w: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大厅、走廊</w:t>
            </w:r>
            <w:r/>
          </w:p>
        </w:tc>
      </w:tr>
      <w:tr>
        <w:trPr>
          <w:trHeight w:val="2621"/>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造型沙发1</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2050*3200*700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133985</wp:posOffset>
                      </wp:positionH>
                      <wp:positionV relativeFrom="paragraph">
                        <wp:posOffset>314325</wp:posOffset>
                      </wp:positionV>
                      <wp:extent cx="1548130" cy="66675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548130"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10.5pt;mso-position-horizontal:absolute;mso-position-vertical-relative:text;margin-top:24.8pt;mso-position-vertical:absolute;width:121.9pt;height:52.5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auto"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1、沙发面采用优质布绒，内部采用阻燃、环保高密度聚亚安脂-树脂（CM成型座棉）。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835"/>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桌椅组合2-洽谈桌</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直径600*600</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120650</wp:posOffset>
                      </wp:positionV>
                      <wp:extent cx="1026160" cy="107061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26160" cy="1070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27.0pt;mso-position-horizontal:absolute;mso-position-vertical-relative:text;margin-top:9.5pt;mso-position-vertical:absolute;width:80.8pt;height:84.3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581"/>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桌椅组合2-洽谈椅</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30480</wp:posOffset>
                      </wp:positionV>
                      <wp:extent cx="1222375" cy="122999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222375" cy="1229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13.8pt;mso-position-horizontal:absolute;mso-position-vertical-relative:text;margin-top:2.4pt;mso-position-vertical:absolute;width:96.2pt;height:96.8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2268"/>
        </w:trPr>
        <w:tc>
          <w:tcPr>
            <w:shd w:val="clear" w:color="auto" w:fill="auto"/>
            <w:tcBorders>
              <w:top w:val="single" w:color="auto"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常规单人位</w:t>
            </w:r>
            <w:r/>
          </w:p>
        </w:tc>
        <w:tc>
          <w:tcPr>
            <w:shd w:val="clear" w:color="auto" w:fill="auto"/>
            <w:tcBorders>
              <w:top w:val="single" w:color="auto" w:sz="4" w:space="0"/>
              <w:left w:val="single" w:color="auto" w:sz="4" w:space="0"/>
              <w:bottom w:val="none" w:color="000000"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wp:posOffset>
                      </wp:positionH>
                      <wp:positionV relativeFrom="paragraph">
                        <wp:posOffset>130175</wp:posOffset>
                      </wp:positionV>
                      <wp:extent cx="1729105" cy="120904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729105"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0.1pt;mso-position-horizontal:absolute;mso-position-vertical-relative:text;margin-top:10.2pt;mso-position-vertical:absolute;width:136.2pt;height:95.2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2823"/>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常规三人位</w:t>
            </w:r>
            <w:r/>
          </w:p>
        </w:tc>
        <w:tc>
          <w:tcPr>
            <w:shd w:val="clear" w:color="auto" w:fill="auto"/>
            <w:tcBorders>
              <w:top w:val="none" w:color="000000" w:sz="4" w:space="0"/>
              <w:left w:val="single" w:color="auto" w:sz="4" w:space="0"/>
              <w:bottom w:val="single" w:color="auto"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直径600*600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282575</wp:posOffset>
                      </wp:positionH>
                      <wp:positionV relativeFrom="paragraph">
                        <wp:posOffset>38735</wp:posOffset>
                      </wp:positionV>
                      <wp:extent cx="1190625" cy="134810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190625" cy="1348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22.2pt;mso-position-horizontal:absolute;mso-position-vertical-relative:text;margin-top:3.0pt;mso-position-vertical:absolute;width:93.8pt;height:106.1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auto" w:sz="4" w:space="0"/>
              <w:left w:val="single" w:color="auto"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1、面材：优质实木木皮贴面；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3、脚架：采用优质橡木实木，经过除虫，两次烘干；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4、油漆：采用水性环保油漆，封闭式涂装；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个体辅导空间</w:t>
            </w:r>
            <w:r/>
          </w:p>
        </w:tc>
      </w:tr>
      <w:tr>
        <w:trPr>
          <w:trHeight w:val="2544"/>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定制造型书架2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1250*70*1250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192405</wp:posOffset>
                      </wp:positionV>
                      <wp:extent cx="1216025" cy="128587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216025"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15.8pt;mso-position-horizontal:absolute;mso-position-vertical-relative:text;margin-top:15.1pt;mso-position-vertical:absolute;width:95.8pt;height:101.2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5、包含书柜以及烤漆挡书条金属件</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定制造型书架3</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5500*350*2950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155575</wp:posOffset>
                      </wp:positionH>
                      <wp:positionV relativeFrom="paragraph">
                        <wp:posOffset>97790</wp:posOffset>
                      </wp:positionV>
                      <wp:extent cx="1400175" cy="89281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400175" cy="892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12.2pt;mso-position-horizontal:absolute;mso-position-vertical-relative:text;margin-top:7.7pt;mso-position-vertical:absolute;width:110.2pt;height:70.3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4、框架采用优质镀锌方管表面烤漆；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6、包含全金属书架，层板也是金属，磁吸白板，长城板</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定制造型展架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8900*300*2950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55880</wp:posOffset>
                      </wp:positionH>
                      <wp:positionV relativeFrom="paragraph">
                        <wp:posOffset>219075</wp:posOffset>
                      </wp:positionV>
                      <wp:extent cx="1583055" cy="86804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583055" cy="86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4.4pt;mso-position-horizontal:absolute;mso-position-vertical-relative:text;margin-top:17.2pt;mso-position-vertical:absolute;width:124.6pt;height:68.3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5、含灯带，不含石膏造型</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定制造型吧台1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2700*610*750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203200</wp:posOffset>
                      </wp:positionV>
                      <wp:extent cx="1661795" cy="98742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661795" cy="987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3.4pt;mso-position-horizontal:absolute;mso-position-vertical-relative:text;margin-top:16.0pt;mso-position-vertical:absolute;width:130.8pt;height:77.8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3、脚架：优质E0级中纤板；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4、油漆：采用水性环保油漆，封闭式涂装；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定制造型吧台2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3000*1000*900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205740</wp:posOffset>
                      </wp:positionH>
                      <wp:positionV relativeFrom="paragraph">
                        <wp:posOffset>57785</wp:posOffset>
                      </wp:positionV>
                      <wp:extent cx="1400175" cy="126047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00175" cy="1260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0288;o:allowoverlap:true;o:allowincell:true;mso-position-horizontal-relative:text;margin-left:16.2pt;mso-position-horizontal:absolute;mso-position-vertical-relative:text;margin-top:4.5pt;mso-position-vertical:absolute;width:110.2pt;height:99.2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1、台面：采用优质人造石台面，表面清洁易打理，耐磨耐刮耐腐蚀；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造型杂志架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350*60*1100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428625</wp:posOffset>
                      </wp:positionH>
                      <wp:positionV relativeFrom="paragraph">
                        <wp:posOffset>127635</wp:posOffset>
                      </wp:positionV>
                      <wp:extent cx="882015" cy="173164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882015" cy="1731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0288;o:allowoverlap:true;o:allowincell:true;mso-position-horizontal-relative:text;margin-left:33.8pt;mso-position-horizontal:absolute;mso-position-vertical-relative:text;margin-top:10.0pt;mso-position-vertical:absolute;width:69.5pt;height:136.3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5、前挡条：采用优质亚克力挡条，表面平整，耐磨耐刮耐腐蚀。</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139065</wp:posOffset>
                      </wp:positionV>
                      <wp:extent cx="1666240" cy="118173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666240" cy="1181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3.9pt;mso-position-horizontal:absolute;mso-position-vertical-relative:text;margin-top:10.9pt;mso-position-vertical:absolute;width:131.2pt;height:93.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座椅1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30480</wp:posOffset>
                      </wp:positionV>
                      <wp:extent cx="1248410" cy="125603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48409" cy="125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13.8pt;mso-position-horizontal:absolute;mso-position-vertical-relative:text;margin-top:2.4pt;mso-position-vertical:absolute;width:98.3pt;height:98.9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座椅2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240030</wp:posOffset>
                      </wp:positionH>
                      <wp:positionV relativeFrom="paragraph">
                        <wp:posOffset>53340</wp:posOffset>
                      </wp:positionV>
                      <wp:extent cx="1186815" cy="127317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186815" cy="1273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0288;o:allowoverlap:true;o:allowincell:true;mso-position-horizontal-relative:text;margin-left:18.9pt;mso-position-horizontal:absolute;mso-position-vertical-relative:text;margin-top:4.2pt;mso-position-vertical:absolute;width:93.4pt;height:100.2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4、椅脚：采用高精度金属材质下脚，表面喷砂（细砂）处理，具有极强的附着力及抗腐蚀能力，化学性能稳定，耐脏好清洁，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trHeight w:val="1431"/>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直径600*600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230505</wp:posOffset>
                      </wp:positionH>
                      <wp:positionV relativeFrom="paragraph">
                        <wp:posOffset>31115</wp:posOffset>
                      </wp:positionV>
                      <wp:extent cx="1056005" cy="89027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056005" cy="89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0288;o:allowoverlap:true;o:allowincell:true;mso-position-horizontal-relative:text;margin-left:18.1pt;mso-position-horizontal:absolute;mso-position-vertical-relative:text;margin-top:2.4pt;mso-position-vertical:absolute;width:83.1pt;height:70.1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直径600*600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314325</wp:posOffset>
                      </wp:positionH>
                      <wp:positionV relativeFrom="paragraph">
                        <wp:posOffset>12700</wp:posOffset>
                      </wp:positionV>
                      <wp:extent cx="992505" cy="96583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992505" cy="965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0288;o:allowoverlap:true;o:allowincell:true;mso-position-horizontal-relative:text;margin-left:24.8pt;mso-position-horizontal:absolute;mso-position-vertical-relative:text;margin-top:1.0pt;mso-position-vertical:absolute;width:78.1pt;height:76.0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1、面材：优质实木木皮贴面；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3、脚架：采用优质橡木实木，经过除虫，两次烘干；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4、油漆：采用水性环保油漆，封闭式涂装；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座凳1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234950</wp:posOffset>
                      </wp:positionH>
                      <wp:positionV relativeFrom="paragraph">
                        <wp:posOffset>5715</wp:posOffset>
                      </wp:positionV>
                      <wp:extent cx="1238250" cy="131254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238250" cy="131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0288;o:allowoverlap:true;o:allowincell:true;mso-position-horizontal-relative:text;margin-left:18.5pt;mso-position-horizontal:absolute;mso-position-vertical-relative:text;margin-top:0.4pt;mso-position-vertical:absolute;width:97.5pt;height:103.3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1、凳面采用优质布绒，内部采用阻燃、环保高密度聚亚安脂-树脂（CM成型座棉）。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4、椅脚：采用实木油漆脚。</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座凳2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445135</wp:posOffset>
                      </wp:positionH>
                      <wp:positionV relativeFrom="paragraph">
                        <wp:posOffset>142240</wp:posOffset>
                      </wp:positionV>
                      <wp:extent cx="940435" cy="121539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40435" cy="1215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0288;o:allowoverlap:true;o:allowincell:true;mso-position-horizontal-relative:text;margin-left:35.0pt;mso-position-horizontal:absolute;mso-position-vertical-relative:text;margin-top:11.2pt;mso-position-vertical:absolute;width:74.0pt;height:95.7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1、凳面采用优质布绒，内部采用阻燃、环保高密度聚亚安脂-树脂（CM成型座棉）。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220"/>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吧椅</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170815</wp:posOffset>
                      </wp:positionH>
                      <wp:positionV relativeFrom="paragraph">
                        <wp:posOffset>162560</wp:posOffset>
                      </wp:positionV>
                      <wp:extent cx="1413510" cy="103949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413510" cy="1039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0288;o:allowoverlap:true;o:allowincell:true;mso-position-horizontal-relative:text;margin-left:13.4pt;mso-position-horizontal:absolute;mso-position-vertical-relative:text;margin-top:12.8pt;mso-position-vertical:absolute;width:111.3pt;height:81.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凳面：采用优质PP一体成型，依靠舒适，贴合背部，久坐不累；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团体辅导空间</w:t>
            </w:r>
            <w:r/>
          </w:p>
        </w:tc>
      </w:tr>
      <w:tr>
        <w:trPr>
          <w:trHeight w:val="1133"/>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定制柜1</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1500*400*2950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349250</wp:posOffset>
                      </wp:positionH>
                      <wp:positionV relativeFrom="paragraph">
                        <wp:posOffset>95250</wp:posOffset>
                      </wp:positionV>
                      <wp:extent cx="923925" cy="151193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23925" cy="1511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0288;o:allowoverlap:true;o:allowincell:true;mso-position-horizontal-relative:text;margin-left:27.5pt;mso-position-horizontal:absolute;mso-position-vertical-relative:text;margin-top:7.5pt;mso-position-vertical:absolute;width:72.8pt;height:119.0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含灯带</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1750*400*2950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275590</wp:posOffset>
                      </wp:positionH>
                      <wp:positionV relativeFrom="paragraph">
                        <wp:posOffset>11430</wp:posOffset>
                      </wp:positionV>
                      <wp:extent cx="1066165" cy="159575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066165" cy="1595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0288;o:allowoverlap:true;o:allowincell:true;mso-position-horizontal-relative:text;margin-left:21.7pt;mso-position-horizontal:absolute;mso-position-vertical-relative:text;margin-top:0.9pt;mso-position-vertical:absolute;width:84.0pt;height:125.6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含灯带</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1800*400*2950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334645</wp:posOffset>
                      </wp:positionH>
                      <wp:positionV relativeFrom="paragraph">
                        <wp:posOffset>78105</wp:posOffset>
                      </wp:positionV>
                      <wp:extent cx="1083310" cy="156083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083310" cy="1560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0288;o:allowoverlap:true;o:allowincell:true;mso-position-horizontal-relative:text;margin-left:26.3pt;mso-position-horizontal:absolute;mso-position-vertical-relative:text;margin-top:6.1pt;mso-position-vertical:absolute;width:85.3pt;height:122.9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含灯带</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（6张一组）</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直径1200*750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-16509</wp:posOffset>
                      </wp:positionH>
                      <wp:positionV relativeFrom="paragraph">
                        <wp:posOffset>1142365</wp:posOffset>
                      </wp:positionV>
                      <wp:extent cx="1740535" cy="105346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740535" cy="1053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0288;o:allowoverlap:true;o:allowincell:true;mso-position-horizontal-relative:text;margin-left:-1.3pt;mso-position-horizontal:absolute;mso-position-vertical-relative:text;margin-top:89.9pt;mso-position-vertical:absolute;width:137.0pt;height:83.0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071"/>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培训椅</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椅面：采用优质PP一体成型，依靠舒适，贴合背部，久坐不累；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none" w:color="000000"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办公室</w:t>
            </w:r>
            <w:r/>
          </w:p>
        </w:tc>
      </w:tr>
      <w:tr>
        <w:trPr>
          <w:trHeight w:val="2220"/>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定制柜4</w:t>
            </w:r>
            <w:r/>
          </w:p>
        </w:tc>
        <w:tc>
          <w:tcPr>
            <w:shd w:val="clear" w:color="auto" w:fill="auto"/>
            <w:tcBorders>
              <w:top w:val="single" w:color="auto"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3250*400*2950</w:t>
            </w:r>
            <w:r/>
          </w:p>
        </w:tc>
        <w:tc>
          <w:tcPr>
            <w:shd w:val="clear" w:color="auto" w:fill="auto"/>
            <w:tcBorders>
              <w:top w:val="single" w:color="auto"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403860</wp:posOffset>
                      </wp:positionH>
                      <wp:positionV relativeFrom="paragraph">
                        <wp:posOffset>64770</wp:posOffset>
                      </wp:positionV>
                      <wp:extent cx="932815" cy="122301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932815" cy="12230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0288;o:allowoverlap:true;o:allowincell:true;mso-position-horizontal-relative:text;margin-left:31.8pt;mso-position-horizontal:absolute;mso-position-vertical-relative:text;margin-top:5.1pt;mso-position-vertical:absolute;width:73.5pt;height:96.3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含灯带</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定制柜5</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3000*450*2650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313690</wp:posOffset>
                      </wp:positionH>
                      <wp:positionV relativeFrom="paragraph">
                        <wp:posOffset>51435</wp:posOffset>
                      </wp:positionV>
                      <wp:extent cx="1183640" cy="118237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183640" cy="1182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0288;o:allowoverlap:true;o:allowincell:true;mso-position-horizontal-relative:text;margin-left:24.7pt;mso-position-horizontal:absolute;mso-position-vertical-relative:text;margin-top:4.0pt;mso-position-vertical:absolute;width:93.2pt;height:93.1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auto"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含灯带</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2200*800*750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233045</wp:posOffset>
                      </wp:positionH>
                      <wp:positionV relativeFrom="paragraph">
                        <wp:posOffset>76835</wp:posOffset>
                      </wp:positionV>
                      <wp:extent cx="1328420" cy="112014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328420"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0288;o:allowoverlap:true;o:allowincell:true;mso-position-horizontal-relative:text;margin-left:18.3pt;mso-position-horizontal:absolute;mso-position-vertical-relative:text;margin-top:6.0pt;mso-position-vertical:absolute;width:104.6pt;height:88.2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none" w:color="000000"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321310</wp:posOffset>
                      </wp:positionH>
                      <wp:positionV relativeFrom="paragraph">
                        <wp:posOffset>53340</wp:posOffset>
                      </wp:positionV>
                      <wp:extent cx="1034415" cy="125158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034415" cy="1251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0288;o:allowoverlap:true;o:allowincell:true;mso-position-horizontal-relative:text;margin-left:25.3pt;mso-position-horizontal:absolute;mso-position-vertical-relative:text;margin-top:4.2pt;mso-position-vertical:absolute;width:81.5pt;height:98.5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non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桌椅组合2-洽谈桌</w:t>
            </w:r>
            <w:r/>
          </w:p>
        </w:tc>
        <w:tc>
          <w:tcPr>
            <w:shd w:val="clear" w:color="auto" w:fill="auto"/>
            <w:tcBorders>
              <w:top w:val="single" w:color="000000" w:sz="4" w:space="0"/>
              <w:left w:val="single" w:color="000000" w:sz="4" w:space="0"/>
              <w:bottom w:val="single" w:color="000000"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直径600*600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370205</wp:posOffset>
                      </wp:positionH>
                      <wp:positionV relativeFrom="paragraph">
                        <wp:posOffset>-32384</wp:posOffset>
                      </wp:positionV>
                      <wp:extent cx="1138555" cy="118745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138555"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0288;o:allowoverlap:true;o:allowincell:true;mso-position-horizontal-relative:text;margin-left:29.1pt;mso-position-horizontal:absolute;mso-position-vertical-relative:text;margin-top:-2.5pt;mso-position-vertical:absolute;width:89.6pt;height:93.5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桌椅组合2-洽谈椅</w:t>
            </w:r>
            <w:r/>
          </w:p>
        </w:tc>
        <w:tc>
          <w:tcPr>
            <w:shd w:val="clear" w:color="auto" w:fill="auto"/>
            <w:tcBorders>
              <w:top w:val="single" w:color="000000" w:sz="4" w:space="0"/>
              <w:left w:val="single" w:color="000000" w:sz="4" w:space="0"/>
              <w:bottom w:val="single" w:color="000000"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30480</wp:posOffset>
                      </wp:positionV>
                      <wp:extent cx="1248410" cy="125603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48409" cy="125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0288;o:allowoverlap:true;o:allowincell:true;mso-position-horizontal-relative:text;margin-left:13.8pt;mso-position-horizontal:absolute;mso-position-vertical-relative:text;margin-top:2.4pt;mso-position-vertical:absolute;width:98.3pt;height:98.9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108585</wp:posOffset>
                      </wp:positionH>
                      <wp:positionV relativeFrom="paragraph">
                        <wp:posOffset>304800</wp:posOffset>
                      </wp:positionV>
                      <wp:extent cx="1569720" cy="88646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569720"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0288;o:allowoverlap:true;o:allowincell:true;mso-position-horizontal-relative:text;margin-left:8.5pt;mso-position-horizontal:absolute;mso-position-vertical-relative:text;margin-top:24.0pt;mso-position-vertical:absolute;width:123.6pt;height:69.8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auto"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边几</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直径600*600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217170</wp:posOffset>
                      </wp:positionH>
                      <wp:positionV relativeFrom="paragraph">
                        <wp:posOffset>66675</wp:posOffset>
                      </wp:positionV>
                      <wp:extent cx="1158875" cy="120840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158875"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0288;o:allowoverlap:true;o:allowincell:true;mso-position-horizontal-relative:text;margin-left:17.1pt;mso-position-horizontal:absolute;mso-position-vertical-relative:text;margin-top:5.2pt;mso-position-vertical:absolute;width:91.2pt;height:95.1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auto"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心理宣传角</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造型沙发1</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120*120</w:t>
            </w:r>
            <w:r/>
          </w:p>
        </w:tc>
        <w:tc>
          <w:tcPr>
            <w:shd w:val="clear" w:color="auto" w:fill="auto"/>
            <w:tcBorders>
              <w:top w:val="none" w:color="000000" w:sz="4" w:space="0"/>
              <w:left w:val="single" w:color="000000" w:sz="4" w:space="0"/>
              <w:bottom w:val="single" w:color="auto"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156210</wp:posOffset>
                      </wp:positionH>
                      <wp:positionV relativeFrom="paragraph">
                        <wp:posOffset>49530</wp:posOffset>
                      </wp:positionV>
                      <wp:extent cx="1552575" cy="94424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552575" cy="944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0288;o:allowoverlap:true;o:allowincell:true;mso-position-horizontal-relative:text;margin-left:12.3pt;mso-position-horizontal:absolute;mso-position-vertical-relative:text;margin-top:3.9pt;mso-position-vertical:absolute;width:122.2pt;height:74.3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沙发面采用优质棉麻面料，吸湿性号，无静电，保暖性强，康复耐热；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内部填充环保级EPP粒子，健康无毒无味，连续5次发泡成型，密度高，回弹快。</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懒人沙发</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172720</wp:posOffset>
                      </wp:positionH>
                      <wp:positionV relativeFrom="paragraph">
                        <wp:posOffset>161925</wp:posOffset>
                      </wp:positionV>
                      <wp:extent cx="1324610" cy="116840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32461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0288;o:allowoverlap:true;o:allowincell:true;mso-position-horizontal-relative:text;margin-left:13.6pt;mso-position-horizontal:absolute;mso-position-vertical-relative:text;margin-top:12.8pt;mso-position-vertical:absolute;width:104.3pt;height:92.0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auto"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面材：采用优质棉麻，吸湿性号，无静电，保暖性强，康复耐热；内部填充阻燃、环保高密度聚亚安脂-树脂（CM成型座棉）；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框架：内置实木框架，经去皮、烘干、防虫防腐处理；</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98"/>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1200*600*400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364490</wp:posOffset>
                      </wp:positionH>
                      <wp:positionV relativeFrom="paragraph">
                        <wp:posOffset>196850</wp:posOffset>
                      </wp:positionV>
                      <wp:extent cx="1127760" cy="98552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12776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0288;o:allowoverlap:true;o:allowincell:true;mso-position-horizontal-relative:text;margin-left:28.7pt;mso-position-horizontal:absolute;mso-position-vertical-relative:text;margin-top:15.5pt;mso-position-vertical:absolute;width:88.8pt;height:77.6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采用优质楠竹，稳固支撑，承重力强；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油漆：采用水性环保油漆，封闭式涂装；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胶粘剂：采用优质环保乳胶胶水，粘性强，久不分层，具有防水、防潮、耐油等特点；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优质五金配件：耐氧化、耐腐蚀，经久耐用。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定制矮柜</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1600*400*800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147320</wp:posOffset>
                      </wp:positionH>
                      <wp:positionV relativeFrom="paragraph">
                        <wp:posOffset>161925</wp:posOffset>
                      </wp:positionV>
                      <wp:extent cx="1521460" cy="104457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521460" cy="1044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0288;o:allowoverlap:true;o:allowincell:true;mso-position-horizontal-relative:text;margin-left:11.6pt;mso-position-horizontal:absolute;mso-position-vertical-relative:text;margin-top:12.8pt;mso-position-vertical:absolute;width:119.8pt;height:82.2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4、优质五金配件：耐氧化、耐腐蚀，经久耐用。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bebebe" w:themeFill="background1" w:themeFillShade="BF"/>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图书馆项目清单</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规格/mm</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图片</w: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休闲阅读区1</w:t>
            </w:r>
            <w:r/>
          </w:p>
        </w:tc>
      </w:tr>
      <w:tr>
        <w:trPr>
          <w:trHeight w:val="418"/>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圆形桌子</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800*800*750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273685</wp:posOffset>
                      </wp:positionV>
                      <wp:extent cx="1659255" cy="86804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659255" cy="86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0288;o:allowoverlap:true;o:allowincell:true;mso-position-horizontal-relative:text;margin-left:5.0pt;mso-position-horizontal:absolute;mso-position-vertical-relative:text;margin-top:21.6pt;mso-position-vertical:absolute;width:130.7pt;height:68.3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504825</wp:posOffset>
                      </wp:positionH>
                      <wp:positionV relativeFrom="paragraph">
                        <wp:posOffset>1504950</wp:posOffset>
                      </wp:positionV>
                      <wp:extent cx="867410" cy="116078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67410" cy="1160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0288;o:allowoverlap:true;o:allowincell:true;mso-position-horizontal-relative:text;margin-left:39.8pt;mso-position-horizontal:absolute;mso-position-vertical-relative:text;margin-top:118.5pt;mso-position-vertical:absolute;width:68.3pt;height:91.4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08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563245</wp:posOffset>
                      </wp:positionV>
                      <wp:extent cx="1678305" cy="76327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67830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0288;o:allowoverlap:true;o:allowincell:true;mso-position-horizontal-relative:text;margin-left:4.5pt;mso-position-horizontal:absolute;mso-position-vertical-relative:text;margin-top:44.3pt;mso-position-vertical:absolute;width:132.2pt;height:60.1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2、内架：材料为优质白蜡木实木框架，经去皮、烘干、防虫防腐处理。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65"/>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126365</wp:posOffset>
                      </wp:positionH>
                      <wp:positionV relativeFrom="paragraph">
                        <wp:posOffset>261620</wp:posOffset>
                      </wp:positionV>
                      <wp:extent cx="1649095" cy="63373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649095" cy="63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0288;o:allowoverlap:true;o:allowincell:true;mso-position-horizontal-relative:text;margin-left:9.9pt;mso-position-horizontal:absolute;mso-position-vertical-relative:text;margin-top:20.6pt;mso-position-vertical:absolute;width:129.8pt;height:49.9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2、内架：材料为优质白蜡木实木框架，经去皮、烘干、防虫防腐处理。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-1751964</wp:posOffset>
                      </wp:positionH>
                      <wp:positionV relativeFrom="paragraph">
                        <wp:posOffset>38735</wp:posOffset>
                      </wp:positionV>
                      <wp:extent cx="1601470" cy="901065"/>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601470" cy="901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0288;o:allowoverlap:true;o:allowincell:true;mso-position-horizontal-relative:text;margin-left:-137.9pt;mso-position-horizontal:absolute;mso-position-vertical-relative:text;margin-top:3.0pt;mso-position-vertical:absolute;width:126.1pt;height:71.0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4、沙发脚：高精度金属材质下脚，表面喷砂（细砂）处理，具有极强的附着力及抗腐蚀能力，化学性能稳定，耐脏好清洁，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738"/>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双人沙发</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1600*900*750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76200</wp:posOffset>
                      </wp:positionV>
                      <wp:extent cx="1667510" cy="96837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667510" cy="968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0288;o:allowoverlap:true;o:allowincell:true;mso-position-horizontal-relative:text;margin-left:3.0pt;mso-position-horizontal:absolute;mso-position-vertical-relative:text;margin-top:6.0pt;mso-position-vertical:absolute;width:131.3pt;height:76.2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2、内架：材料为优质白蜡木实木框架，经去皮、烘干、防虫防腐处理。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4、沙发脚：高精度金属材质下脚，表面喷砂（细砂）处理，具有极强的附着力及抗腐蚀能力，化学性能稳定，耐脏好清洁，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长方形桌子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1500*900*450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-2539</wp:posOffset>
                      </wp:positionH>
                      <wp:positionV relativeFrom="paragraph">
                        <wp:posOffset>-58419</wp:posOffset>
                      </wp:positionV>
                      <wp:extent cx="1676400" cy="972185"/>
                      <wp:effectExtent l="0" t="0" r="0" b="0"/>
                      <wp:wrapTopAndBottom/>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6764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0288;o:allowoverlap:true;o:allowincell:true;mso-position-horizontal-relative:text;margin-left:-0.2pt;mso-position-horizontal:absolute;mso-position-vertical-relative:text;margin-top:-4.6pt;mso-position-vertical:absolute;width:132.0pt;height:76.5pt;mso-wrap-distance-left:9.0pt;mso-wrap-distance-top:0.0pt;mso-wrap-distance-right:9.0pt;mso-wrap-distance-bottom:0.0pt;" stroked="f">
                      <v:path textboxrect="0,0,0,0"/>
                      <w10:wrap type="topAndBottom"/>
                      <v:imagedata r:id="rId105"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1.主材：优质白蜡木实木，经过除虫，两次烘干，根据南北气候差异，精密监测木材含水率控制范围8-12%。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3、漆面：采用优质环保油漆，半开放式涂装效果；水性漆不含苯、甲苯、二甲苯、甲醛、游离TDI有毒重金属，无毒无刺激气味，对人体无害，不污染环境。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4、五金件：优质五金配件，耐氧化、耐腐蚀，经久耐用。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休闲阅读区2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圆形桌子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800*800*700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wp:posOffset>
                      </wp:positionH>
                      <wp:positionV relativeFrom="paragraph">
                        <wp:posOffset>231775</wp:posOffset>
                      </wp:positionV>
                      <wp:extent cx="1713230" cy="925195"/>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713230" cy="925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0288;o:allowoverlap:true;o:allowincell:true;mso-position-horizontal-relative:text;margin-left:2.0pt;mso-position-horizontal:absolute;mso-position-vertical-relative:text;margin-top:18.2pt;mso-position-vertical:absolute;width:134.9pt;height:72.8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144145</wp:posOffset>
                      </wp:positionH>
                      <wp:positionV relativeFrom="paragraph">
                        <wp:posOffset>1482725</wp:posOffset>
                      </wp:positionV>
                      <wp:extent cx="1245235" cy="99377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245235" cy="993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0288;o:allowoverlap:true;o:allowincell:true;mso-position-horizontal-relative:text;margin-left:11.3pt;mso-position-horizontal:absolute;mso-position-vertical-relative:text;margin-top:116.8pt;mso-position-vertical:absolute;width:98.0pt;height:78.2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1.主材：优质白蜡木实木，经过除虫，两次烘干，根据南北气候差异，精密监测木材含水率控制范围8-12%。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3、漆面：采用优质环保油漆，半开放式涂装效果；水性漆不含苯、甲苯、二甲苯、甲醛、游离TDI有毒重金属，无毒无刺激气味，对人体无害，不污染环境。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4、五金件：优质五金配件，耐氧化、耐腐蚀，经久耐用。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606"/>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ffffff"/>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26035</wp:posOffset>
                      </wp:positionH>
                      <wp:positionV relativeFrom="paragraph">
                        <wp:posOffset>264160</wp:posOffset>
                      </wp:positionV>
                      <wp:extent cx="1677670" cy="1299845"/>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677670" cy="1299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0288;o:allowoverlap:true;o:allowincell:true;mso-position-horizontal-relative:text;margin-left:2.0pt;mso-position-horizontal:absolute;mso-position-vertical-relative:text;margin-top:20.8pt;mso-position-vertical:absolute;width:132.1pt;height:102.3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综合阅览室1</w:t>
            </w:r>
            <w:r/>
          </w:p>
        </w:tc>
      </w:tr>
      <w:tr>
        <w:trPr>
          <w:trHeight w:val="388"/>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圆形桌子</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800*800*750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21590</wp:posOffset>
                      </wp:positionH>
                      <wp:positionV relativeFrom="paragraph">
                        <wp:posOffset>129540</wp:posOffset>
                      </wp:positionV>
                      <wp:extent cx="1689735" cy="57531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689735"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0288;o:allowoverlap:true;o:allowincell:true;mso-position-horizontal-relative:text;margin-left:1.7pt;mso-position-horizontal:absolute;mso-position-vertical-relative:text;margin-top:10.2pt;mso-position-vertical:absolute;width:133.0pt;height:45.3pt;mso-wrap-distance-left:9.0pt;mso-wrap-distance-top:0.0pt;mso-wrap-distance-right:9.0pt;mso-wrap-distance-bottom:0.0pt;" stroked="f">
                      <v:path textboxrect="0,0,0,0"/>
                      <v:imagedata r:id="rId109"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357505</wp:posOffset>
                      </wp:positionH>
                      <wp:positionV relativeFrom="paragraph">
                        <wp:posOffset>95250</wp:posOffset>
                      </wp:positionV>
                      <wp:extent cx="868045" cy="115887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68045" cy="1158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0288;o:allowoverlap:true;o:allowincell:true;mso-position-horizontal-relative:text;margin-left:28.1pt;mso-position-horizontal:absolute;mso-position-vertical-relative:text;margin-top:7.5pt;mso-position-vertical:absolute;width:68.3pt;height:91.2pt;mso-wrap-distance-left:9.0pt;mso-wrap-distance-top:0.0pt;mso-wrap-distance-right:9.0pt;mso-wrap-distance-bottom:0.0pt;" stroked="f">
                      <v:path textboxrect="0,0,0,0"/>
                      <v:imagedata r:id="rId100"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单人椅</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92075</wp:posOffset>
                      </wp:positionH>
                      <wp:positionV relativeFrom="paragraph">
                        <wp:posOffset>62230</wp:posOffset>
                      </wp:positionV>
                      <wp:extent cx="1504950" cy="99314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504950" cy="993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0288;o:allowoverlap:true;o:allowincell:true;mso-position-horizontal-relative:text;margin-left:7.2pt;mso-position-horizontal:absolute;mso-position-vertical-relative:text;margin-top:4.9pt;mso-position-vertical:absolute;width:118.5pt;height:78.2pt;mso-wrap-distance-left:9.0pt;mso-wrap-distance-top:0.0pt;mso-wrap-distance-right:9.0pt;mso-wrap-distance-bottom:0.0pt;" stroked="f">
                      <v:path textboxrect="0,0,0,0"/>
                      <v:imagedata r:id="rId110"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2、内架主材：材料为优质白蜡木实木框架，经去皮、烘干、防虫防腐处理。                                                                   3、内架辅材：优质E0级实木多层板，所有板材均经过防虫、防腐等化学处理，符合国家绿色环保板材要求，达到国际握钉力测试标准；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综合阅览室2</w:t>
            </w:r>
            <w:r/>
          </w:p>
        </w:tc>
      </w:tr>
      <w:tr>
        <w:trPr>
          <w:trHeight w:val="1211"/>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长桌</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4400*1800*800</w:t>
            </w:r>
            <w:r/>
          </w:p>
        </w:tc>
        <w:tc>
          <w:tcPr>
            <w:shd w:val="clear" w:color="auto" w:fill="auto"/>
            <w:tcBorders>
              <w:top w:val="none" w:color="000000"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89535</wp:posOffset>
                      </wp:positionH>
                      <wp:positionV relativeFrom="paragraph">
                        <wp:posOffset>198120</wp:posOffset>
                      </wp:positionV>
                      <wp:extent cx="1660525" cy="63119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66052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0288;o:allowoverlap:true;o:allowincell:true;mso-position-horizontal-relative:text;margin-left:7.0pt;mso-position-horizontal:absolute;mso-position-vertical-relative:text;margin-top:15.6pt;mso-position-vertical:absolute;width:130.8pt;height:49.7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1.主材：优质白蜡木实木，经过除虫，两次烘干，根据南北气候差异，精密监测木材含水率控制范围8-12%。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2、辅材：优质E0级实木多层板，所有板材均经过防虫、防腐</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-1833244</wp:posOffset>
                      </wp:positionH>
                      <wp:positionV relativeFrom="paragraph">
                        <wp:posOffset>182880</wp:posOffset>
                      </wp:positionV>
                      <wp:extent cx="1538605" cy="98298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538605"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0288;o:allowoverlap:true;o:allowincell:true;mso-position-horizontal-relative:text;margin-left:-144.3pt;mso-position-horizontal:absolute;mso-position-vertical-relative:text;margin-top:14.4pt;mso-position-vertical:absolute;width:121.1pt;height:77.4pt;mso-wrap-distance-left:9.0pt;mso-wrap-distance-top:0.0pt;mso-wrap-distance-right:9.0pt;mso-wrap-distance-bottom:0.0pt;" stroked="f">
                      <v:path textboxrect="0,0,0,0"/>
                      <v:imagedata r:id="rId112"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3、油漆：采用优质环保油漆，经过五底三面十二道工序，保证产品光泽、平整、纹理清晰、环保，表面无颗粒、气泡、渣点、附着性强，色泽效果持久平整。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4、五金件：优质配套五金配件，耐氧化、耐腐蚀，经久耐用。 </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740"/>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86360</wp:posOffset>
                      </wp:positionV>
                      <wp:extent cx="1667510" cy="98298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667510"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0288;o:allowoverlap:true;o:allowincell:true;mso-position-horizontal-relative:text;margin-left:2.9pt;mso-position-horizontal:absolute;mso-position-vertical-relative:text;margin-top:6.8pt;mso-position-vertical:absolute;width:131.3pt;height:77.4pt;mso-wrap-distance-left:9.0pt;mso-wrap-distance-top:0.0pt;mso-wrap-distance-right:9.0pt;mso-wrap-distance-bottom:0.0pt;" stroked="f">
                      <v:path textboxrect="0,0,0,0"/>
                      <v:imagedata r:id="rId113"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2、内架主材：材料为优质白蜡木实木框架，经去皮、烘干、防虫防腐处理。                                                                   3、内架辅材：优质E0级实木多层板，所有板材均经过防虫、防腐等化学处理，符合国家绿色环保板材要求，达到国际握钉力测试标准；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auto" w:sz="4" w:space="0"/>
              <w:left w:val="single" w:color="auto"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藏书室</w:t>
            </w:r>
            <w:r/>
          </w:p>
        </w:tc>
      </w:tr>
      <w:tr>
        <w:trPr>
          <w:trHeight w:val="355"/>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1200*800*1300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132080</wp:posOffset>
                      </wp:positionV>
                      <wp:extent cx="1697355" cy="711835"/>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697355" cy="711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0288;o:allowoverlap:true;o:allowincell:true;mso-position-horizontal-relative:text;margin-left:0.8pt;mso-position-horizontal:absolute;mso-position-vertical-relative:text;margin-top:10.4pt;mso-position-vertical:absolute;width:133.7pt;height:56.0pt;mso-wrap-distance-left:9.0pt;mso-wrap-distance-top:0.0pt;mso-wrap-distance-right:9.0pt;mso-wrap-distance-bottom:0.0pt;" stroked="f">
                      <v:path textboxrect="0,0,0,0"/>
                      <v:imagedata r:id="rId114"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96520</wp:posOffset>
                      </wp:positionH>
                      <wp:positionV relativeFrom="paragraph">
                        <wp:posOffset>832485</wp:posOffset>
                      </wp:positionV>
                      <wp:extent cx="1566545" cy="814705"/>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566545" cy="8147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0288;o:allowoverlap:true;o:allowincell:true;mso-position-horizontal-relative:text;margin-left:7.6pt;mso-position-horizontal:absolute;mso-position-vertical-relative:text;margin-top:65.5pt;mso-position-vertical:absolute;width:123.3pt;height:64.1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auto" w:sz="4" w:space="0"/>
              <w:left w:val="single" w:color="auto"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1.主材：优质白蜡木实木，经过除虫，两次烘干，根据南北气候差异，精密监测木材含水率控制范围8-12%。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3、油漆：采用优质环保油漆，经过五底三面十二道工序，保证产品光泽、平整、纹理清晰、环保，表面无颗粒、气泡、渣点、附着性强，色泽效果持久平整。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4、五金件：优质配套五金配件，耐氧化、耐腐蚀，经久耐用。 </w:t>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691"/>
        </w:trPr>
        <w:tc>
          <w:tcPr>
            <w:shd w:val="clear" w:color="auto" w:fill="auto"/>
            <w:tcBorders>
              <w:top w:val="single" w:color="000000" w:sz="4" w:space="0"/>
              <w:left w:val="single" w:color="000000"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highlight w:val="none"/>
              </w:rPr>
              <w:suppressLineNumbers w:val="0"/>
            </w:pPr>
            <w:r>
              <w:rPr>
                <w:highlight w:val="none"/>
              </w:rPr>
            </w:r>
            <w:r/>
          </w:p>
          <w:p>
            <w:pPr>
              <w:jc w:val="left"/>
              <w:keepLines w:val="0"/>
              <w:keepNext w:val="0"/>
              <w:widowControl/>
              <w:rPr>
                <w:highlight w:val="none"/>
              </w:rPr>
              <w:suppressLineNumbers w:val="0"/>
            </w:pPr>
            <w:r>
              <w:rPr>
                <w:highlight w:val="none"/>
              </w:rPr>
              <mc:AlternateContent>
                <mc:Choice Requires="wpg">
                  <w:drawing>
                    <wp:inline xmlns:wp="http://schemas.openxmlformats.org/drawingml/2006/wordprocessingDrawing" distT="0" distB="0" distL="0" distR="0">
                      <wp:extent cx="1647825" cy="1292225"/>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647825"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129.8pt;height:101.8pt;mso-wrap-distance-left:0.0pt;mso-wrap-distance-top:0.0pt;mso-wrap-distance-right:0.0pt;mso-wrap-distance-bottom:0.0pt;" stroked="f">
                      <v:path textboxrect="0,0,0,0"/>
                      <v:imagedata r:id="rId116" o:title=""/>
                    </v:shape>
                  </w:pict>
                </mc:Fallback>
              </mc:AlternateContent>
            </w:r>
            <w:r/>
          </w:p>
          <w:p>
            <w:pPr>
              <w:jc w:val="left"/>
              <w:keepLines w:val="0"/>
              <w:keepNext w:val="0"/>
              <w:widowControl/>
              <w:rPr>
                <w:highlight w:val="none"/>
              </w:rPr>
              <w:suppressLineNumbers w:val="0"/>
            </w:pPr>
            <w:r>
              <w:rPr>
                <w:highlight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2、内架主材：材料为优质白蜡木实木框架，经去皮、烘干、防虫防腐处理。                                                                   3、内架辅材：优质E0级实木多层板，所有板材均经过防虫、防腐等化学处理，符合国家绿色环保板材要求，达到国际握钉力测试标准；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auto"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多功能阅读区</w:t>
            </w:r>
            <w:r/>
          </w:p>
        </w:tc>
      </w:tr>
      <w:tr>
        <w:trPr>
          <w:trHeight w:val="3920"/>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圆形桌子</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800*800*500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427355</wp:posOffset>
                      </wp:positionH>
                      <wp:positionV relativeFrom="paragraph">
                        <wp:posOffset>205740</wp:posOffset>
                      </wp:positionV>
                      <wp:extent cx="889635" cy="1030605"/>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889635" cy="1030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0288;o:allowoverlap:true;o:allowincell:true;mso-position-horizontal-relative:text;margin-left:33.6pt;mso-position-horizontal:absolute;mso-position-vertical-relative:text;margin-top:16.2pt;mso-position-vertical:absolute;width:70.0pt;height:81.1pt;mso-wrap-distance-left:9.0pt;mso-wrap-distance-top:0.0pt;mso-wrap-distance-right:9.0pt;mso-wrap-distance-bottom:0.0pt;" stroked="f">
                      <v:path textboxrect="0,0,0,0"/>
                      <v:imagedata r:id="rId11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-22859</wp:posOffset>
                      </wp:positionH>
                      <wp:positionV relativeFrom="paragraph">
                        <wp:posOffset>1535430</wp:posOffset>
                      </wp:positionV>
                      <wp:extent cx="1649095" cy="78930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649095" cy="789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0288;o:allowoverlap:true;o:allowincell:true;mso-position-horizontal-relative:text;margin-left:-1.8pt;mso-position-horizontal:absolute;mso-position-vertical-relative:text;margin-top:120.9pt;mso-position-vertical:absolute;width:129.8pt;height:62.1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3、五金件：优质配套五金配件，耐氧化、耐腐蚀，经久耐用。 </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476885</wp:posOffset>
                      </wp:positionH>
                      <wp:positionV relativeFrom="paragraph">
                        <wp:posOffset>1148715</wp:posOffset>
                      </wp:positionV>
                      <wp:extent cx="822325" cy="120269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822325" cy="1202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0288;o:allowoverlap:true;o:allowincell:true;mso-position-horizontal-relative:text;margin-left:37.5pt;mso-position-horizontal:absolute;mso-position-vertical-relative:text;margin-top:90.4pt;mso-position-vertical:absolute;width:64.8pt;height:94.7pt;mso-wrap-distance-left:9.0pt;mso-wrap-distance-top:0.0pt;mso-wrap-distance-right:9.0pt;mso-wrap-distance-bottom:0.0pt;" stroked="f">
                      <v:path textboxrect="0,0,0,0"/>
                      <v:imagedata r:id="rId11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58420</wp:posOffset>
                      </wp:positionH>
                      <wp:positionV relativeFrom="paragraph">
                        <wp:posOffset>132715</wp:posOffset>
                      </wp:positionV>
                      <wp:extent cx="1404620" cy="925195"/>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404620" cy="925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60288;o:allowoverlap:true;o:allowincell:true;mso-position-horizontal-relative:text;margin-left:4.6pt;mso-position-horizontal:absolute;mso-position-vertical-relative:text;margin-top:10.4pt;mso-position-vertical:absolute;width:110.6pt;height:72.8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1、椅面:环保pp全新工程塑料，一次注塑成型，通过BS7174-1995安全测试标准，各项指标均达国家标准。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2、钢脚：高精度金属材质下脚，表面喷砂（细砂）处理，具有极强的附着力及抗腐蚀能力，化学性能稳定，耐脏好清洁， 细沙附着均匀，质感优良，装饰性好，确保整体稳固性；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3、坐垫：面材采用优质布绒，内部采用阻燃、环保高密度聚亚安脂-树脂（CM成型座棉）。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4、五金件：优质配套五金配件，耐氧化、耐腐蚀，经久耐用。 </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10795</wp:posOffset>
                      </wp:positionH>
                      <wp:positionV relativeFrom="paragraph">
                        <wp:posOffset>31750</wp:posOffset>
                      </wp:positionV>
                      <wp:extent cx="1676400" cy="1021715"/>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676400" cy="1021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60288;o:allowoverlap:true;o:allowincell:true;mso-position-horizontal-relative:text;margin-left:0.8pt;mso-position-horizontal:absolute;mso-position-vertical-relative:text;margin-top:2.5pt;mso-position-vertical:absolute;width:132.0pt;height:80.5pt;mso-wrap-distance-left:9.0pt;mso-wrap-distance-top:0.0pt;mso-wrap-distance-right:9.0pt;mso-wrap-distance-bottom:0.0pt;" stroked="f">
                      <v:path textboxrect="0,0,0,0"/>
                      <v:imagedata r:id="rId121"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4、椅脚：高精度金属材质下脚，表面喷砂（细砂）处理，具有极强的附着力及抗腐蚀能力，化学性能稳定，耐脏好清洁， 细沙附着均匀，质感优良，装饰性好，确保整体稳固性； </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圆形椅子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直径350*350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99695</wp:posOffset>
                      </wp:positionH>
                      <wp:positionV relativeFrom="paragraph">
                        <wp:posOffset>187325</wp:posOffset>
                      </wp:positionV>
                      <wp:extent cx="1602105" cy="102235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602105" cy="1022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0288;o:allowoverlap:true;o:allowincell:true;mso-position-horizontal-relative:text;margin-left:7.8pt;mso-position-horizontal:absolute;mso-position-vertical-relative:text;margin-top:14.8pt;mso-position-vertical:absolute;width:126.1pt;height:80.5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811"/>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组合沙发</w:t>
            </w:r>
            <w:r/>
          </w:p>
        </w:tc>
        <w:tc>
          <w:tcPr>
            <w:shd w:val="clear" w:color="auto" w:fill="ffffff"/>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4400*4000*600</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643255</wp:posOffset>
                      </wp:positionH>
                      <wp:positionV relativeFrom="paragraph">
                        <wp:posOffset>147955</wp:posOffset>
                      </wp:positionV>
                      <wp:extent cx="627380" cy="73152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2738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60288;o:allowoverlap:true;o:allowincell:true;mso-position-horizontal-relative:text;margin-left:50.6pt;mso-position-horizontal:absolute;mso-position-vertical-relative:text;margin-top:11.6pt;mso-position-vertical:absolute;width:49.4pt;height:57.6pt;mso-wrap-distance-left:9.0pt;mso-wrap-distance-top:0.0pt;mso-wrap-distance-right:9.0pt;mso-wrap-distance-bottom:0.0pt;" stroked="f">
                      <v:path textboxrect="0,0,0,0"/>
                      <v:imagedata r:id="rId12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131445</wp:posOffset>
                      </wp:positionH>
                      <wp:positionV relativeFrom="paragraph">
                        <wp:posOffset>1044575</wp:posOffset>
                      </wp:positionV>
                      <wp:extent cx="1503045" cy="727075"/>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503045" cy="727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60288;o:allowoverlap:true;o:allowincell:true;mso-position-horizontal-relative:text;margin-left:10.3pt;mso-position-horizontal:absolute;mso-position-vertical-relative:text;margin-top:82.2pt;mso-position-vertical:absolute;width:118.3pt;height:57.2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1、椅面采用优质布绒，内部采用阻燃、环保高密度聚亚安脂-树脂（CM成型座棉）。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3、优质五金件：耐氧化、耐腐蚀，经久耐用 </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办公区</w:t>
            </w:r>
            <w:r/>
          </w:p>
        </w:tc>
      </w:tr>
      <w:tr>
        <w:trPr>
          <w:trHeight w:val="617"/>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1200*1200*750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62230</wp:posOffset>
                      </wp:positionV>
                      <wp:extent cx="1659255" cy="95631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659255" cy="956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60288;o:allowoverlap:true;o:allowincell:true;mso-position-horizontal-relative:text;margin-left:0.6pt;mso-position-horizontal:absolute;mso-position-vertical-relative:text;margin-top:4.9pt;mso-position-vertical:absolute;width:130.7pt;height:75.3pt;mso-wrap-distance-left:9.0pt;mso-wrap-distance-top:0.0pt;mso-wrap-distance-right:9.0pt;mso-wrap-distance-bottom:0.0pt;" stroked="f">
                      <v:path textboxrect="0,0,0,0"/>
                      <v:imagedata r:id="rId125"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1245235</wp:posOffset>
                      </wp:positionV>
                      <wp:extent cx="1704340" cy="88582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70434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60288;o:allowoverlap:true;o:allowincell:true;mso-position-horizontal-relative:text;margin-left:3.0pt;mso-position-horizontal:absolute;mso-position-vertical-relative:text;margin-top:98.0pt;mso-position-vertical:absolute;width:134.2pt;height:69.8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253365</wp:posOffset>
                      </wp:positionH>
                      <wp:positionV relativeFrom="paragraph">
                        <wp:posOffset>654050</wp:posOffset>
                      </wp:positionV>
                      <wp:extent cx="1208405" cy="163068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1208405" cy="163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60288;o:allowoverlap:true;o:allowincell:true;mso-position-horizontal-relative:text;margin-left:19.9pt;mso-position-horizontal:absolute;mso-position-vertical-relative:text;margin-top:51.5pt;mso-position-vertical:absolute;width:95.1pt;height:128.4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1、椅面采用优质3D网面设计，内部采用阻燃、环保高密度聚亚安脂-树脂（CM成型座棉）；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2、坐垫采用15mm多层曲木板热压成型；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3.采用优质气压棒，升降自如，升降时基本无声响，升降30万次无损；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4.椅架采用PP加纤一次冲压成型。采用320mm优质五星脚，经防污处理，机构稳定，承重性能好，底部独有的加强筋（肋状设计）保证受力均匀，滑动时无杂音；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数学学科交流中心家具清单</w:t>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non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规格（L*W*H）</w:t>
            </w:r>
            <w:r/>
          </w:p>
        </w:tc>
        <w:tc>
          <w:tcPr>
            <w:shd w:val="clear" w:color="auto" w:fill="auto"/>
            <w:tcBorders>
              <w:top w:val="none" w:color="000000" w:sz="4" w:space="0"/>
              <w:left w:val="single" w:color="000000" w:sz="4" w:space="0"/>
              <w:bottom w:val="single" w:color="auto" w:sz="4" w:space="0"/>
              <w:right w:val="single" w:color="000000" w:sz="4" w:space="0"/>
            </w:tcBorders>
            <w:tcW w:w="144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图片</w:t>
            </w:r>
            <w:r/>
          </w:p>
        </w:tc>
        <w:tc>
          <w:tcPr>
            <w:shd w:val="clear" w:color="auto" w:fill="auto"/>
            <w:tcBorders>
              <w:top w:val="none" w:color="000000" w:sz="4" w:space="0"/>
              <w:left w:val="single" w:color="000000" w:sz="4" w:space="0"/>
              <w:bottom w:val="single" w:color="auto" w:sz="4" w:space="0"/>
              <w:right w:val="single" w:color="000000" w:sz="4" w:space="0"/>
            </w:tcBorders>
            <w:tcW w:w="15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non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数学学科交流中心讲台</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1200*636*970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43180</wp:posOffset>
                      </wp:positionV>
                      <wp:extent cx="1210945" cy="101028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210945" cy="101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60288;o:allowoverlap:true;o:allowincell:true;mso-position-horizontal-relative:text;margin-left:30.0pt;mso-position-horizontal:absolute;mso-position-vertical-relative:text;margin-top:3.4pt;mso-position-vertical:absolute;width:95.3pt;height:79.5pt;mso-wrap-distance-left:9.0pt;mso-wrap-distance-top:0.0pt;mso-wrap-distance-right:9.0pt;mso-wrap-distance-bottom:0.0pt;" stroked="f">
                      <v:path textboxrect="0,0,0,0"/>
                      <v:imagedata r:id="rId128"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325755</wp:posOffset>
                      </wp:positionH>
                      <wp:positionV relativeFrom="paragraph">
                        <wp:posOffset>1187450</wp:posOffset>
                      </wp:positionV>
                      <wp:extent cx="1123950" cy="117284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123950" cy="1172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60288;o:allowoverlap:true;o:allowincell:true;mso-position-horizontal-relative:text;margin-left:25.6pt;mso-position-horizontal:absolute;mso-position-vertical-relative:text;margin-top:93.5pt;mso-position-vertical:absolute;width:88.5pt;height:92.3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1、桌面：面板基材为 25 ㎜中纤板，表面为吸塑工艺，尺寸不小于 1125*535mm，防磨耐刮。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2、桌面前挡板：采用优质钢架，挡板外观厚度 30mm，壁厚 0.8mm，高围挡设计 120mm，可防止桌面物品滚落。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前视面可定制 LOGO。</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3、桌架：采用优质钢架精准焊接后抛光处理，表面防氧化处理后做静电喷涂。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4、箱体：外饰板采用 0.8mm 厚的优质钢材激光切割成型。箱体内设可活动主机收纳架，方便放置主机等设备。桌面底部配有一个置物抽屉，方便收纳小物品或键盘。箱体内设过线槽，用于穿插箱体内置的设备和箱体外置设备之间的连接线缆，避免绊脚拉线，提高使用的安全性。</w:t>
            </w:r>
            <w:r/>
          </w:p>
        </w:tc>
        <w:tc>
          <w:tcPr>
            <w:shd w:val="clear" w:color="auto" w:fill="auto"/>
            <w:tcBorders>
              <w:top w:val="single" w:color="000000" w:sz="4" w:space="0"/>
              <w:left w:val="single" w:color="auto"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5684"/>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数学学科交流中心培训桌</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1400*600*750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127000</wp:posOffset>
                      </wp:positionH>
                      <wp:positionV relativeFrom="paragraph">
                        <wp:posOffset>194945</wp:posOffset>
                      </wp:positionV>
                      <wp:extent cx="1449705" cy="103187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449705" cy="1031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60288;o:allowoverlap:true;o:allowincell:true;mso-position-horizontal-relative:text;margin-left:10.0pt;mso-position-horizontal:absolute;mso-position-vertical-relative:text;margin-top:15.3pt;mso-position-vertical:absolute;width:114.1pt;height:81.2pt;mso-wrap-distance-left:9.0pt;mso-wrap-distance-top:0.0pt;mso-wrap-distance-right:9.0pt;mso-wrap-distance-bottom:0.0pt;" stroked="f">
                      <v:path textboxrect="0,0,0,0"/>
                      <v:imagedata r:id="rId13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194945</wp:posOffset>
                      </wp:positionH>
                      <wp:positionV relativeFrom="paragraph">
                        <wp:posOffset>1323975</wp:posOffset>
                      </wp:positionV>
                      <wp:extent cx="1455420" cy="115252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455420"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60288;o:allowoverlap:true;o:allowincell:true;mso-position-horizontal-relative:text;margin-left:15.3pt;mso-position-horizontal:absolute;mso-position-vertical-relative:text;margin-top:104.2pt;mso-position-vertical:absolute;width:114.6pt;height:90.8pt;mso-wrap-distance-left:9.0pt;mso-wrap-distance-top:0.0pt;mso-wrap-distance-right:9.0pt;mso-wrap-distance-bottom:0.0pt;" stroked="f">
                      <v:path textboxrect="0,0,0,0"/>
                      <v:imagedata r:id="rId131"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3301"/>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数学学科交流中心培训椅</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wp:posOffset>
                      </wp:positionH>
                      <wp:positionV relativeFrom="paragraph">
                        <wp:posOffset>457835</wp:posOffset>
                      </wp:positionV>
                      <wp:extent cx="1138555" cy="151892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1138555" cy="151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60288;o:allowoverlap:true;o:allowincell:true;mso-position-horizontal-relative:text;margin-left:22.8pt;mso-position-horizontal:absolute;mso-position-vertical-relative:text;margin-top:36.0pt;mso-position-vertical:absolute;width:89.6pt;height:119.6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1、椅面采用优质3D网面设计，内部采用阻燃、环保高密度聚亚安脂-树脂（CM成型座棉）；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2、坐垫采用15mm多层曲木板热压成型；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3、椅架采用优质电镀不锈钢管折弯而成；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auto"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数学学科交流中心定制边柜</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8000*400*600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wp:posOffset>
                      </wp:positionH>
                      <wp:positionV relativeFrom="paragraph">
                        <wp:posOffset>1691640</wp:posOffset>
                      </wp:positionV>
                      <wp:extent cx="1622425" cy="81661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1622425"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60288;o:allowoverlap:true;o:allowincell:true;mso-position-horizontal-relative:text;margin-left:4.1pt;mso-position-horizontal:absolute;mso-position-vertical-relative:text;margin-top:133.2pt;mso-position-vertical:absolute;width:127.8pt;height:64.3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892"/>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数学学科交流中心定制边柜</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4000*400*600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名师工作室办公桌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（4人位）</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2400*1200*750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135890</wp:posOffset>
                      </wp:positionH>
                      <wp:positionV relativeFrom="paragraph">
                        <wp:posOffset>92710</wp:posOffset>
                      </wp:positionV>
                      <wp:extent cx="1555115" cy="744855"/>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555115" cy="744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60288;o:allowoverlap:true;o:allowincell:true;mso-position-horizontal-relative:text;margin-left:10.7pt;mso-position-horizontal:absolute;mso-position-vertical-relative:text;margin-top:7.3pt;mso-position-vertical:absolute;width:122.4pt;height:58.6pt;mso-wrap-distance-left:9.0pt;mso-wrap-distance-top:0.0pt;mso-wrap-distance-right:9.0pt;mso-wrap-distance-bottom:0.0pt;" stroked="f">
                      <v:path textboxrect="0,0,0,0"/>
                      <v:imagedata r:id="rId134" o:title=""/>
                    </v:shape>
                  </w:pict>
                </mc:Fallback>
              </mc:AlternateConten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wp:posOffset>
                      </wp:positionH>
                      <wp:positionV relativeFrom="paragraph">
                        <wp:posOffset>911860</wp:posOffset>
                      </wp:positionV>
                      <wp:extent cx="1492885" cy="116649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1492885" cy="1166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60288;o:allowoverlap:true;o:allowincell:true;mso-position-horizontal-relative:text;margin-left:2.6pt;mso-position-horizontal:absolute;mso-position-vertical-relative:text;margin-top:71.8pt;mso-position-vertical:absolute;width:117.5pt;height:91.8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3359"/>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名师工作室办公椅</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584835</wp:posOffset>
                      </wp:positionV>
                      <wp:extent cx="1208405" cy="163068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1208405" cy="163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60288;o:allowoverlap:true;o:allowincell:true;mso-position-horizontal-relative:text;margin-left:30.6pt;mso-position-horizontal:absolute;mso-position-vertical-relative:text;margin-top:46.0pt;mso-position-vertical:absolute;width:95.1pt;height:128.4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1、椅面采用优质3D网面设计，内部采用阻燃、环保高密度聚亚安脂-树脂（CM成型座棉）；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2、坐垫采用15mm多层曲木板热压成型；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3.采用优质气压棒，升降自如，升降时基本无声响，升降30万次无损；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4.椅架采用PP加纤一次冲压成型。采用320mm优质五星脚，经防污处理，机构稳定，承重性能好，底部独有的加强筋（肋状设计）保证受力均匀，滑动时无杂音；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3712"/>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名师工作室资料柜</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850*390*1800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248285</wp:posOffset>
                      </wp:positionH>
                      <wp:positionV relativeFrom="paragraph">
                        <wp:posOffset>768350</wp:posOffset>
                      </wp:positionV>
                      <wp:extent cx="1299210" cy="1825625"/>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1299210" cy="182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60288;o:allowoverlap:true;o:allowincell:true;mso-position-horizontal-relative:text;margin-left:19.6pt;mso-position-horizontal:absolute;mso-position-vertical-relative:text;margin-top:60.5pt;mso-position-vertical:absolute;width:102.3pt;height:143.8pt;mso-wrap-distance-left:9.0pt;mso-wrap-distance-top:0.0pt;mso-wrap-distance-right:9.0pt;mso-wrap-distance-bottom:0.0pt;" stroked="f">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冷轧钢板，各部件经除锈、酸洗、磷化、水洗、烘干等工序，高频焊接，焊接表面均匀一致，无飞溅、脱焊、虚焊、焊穿等现象，所有表面无明显焊接痕迹。所有部位钢板厚度为0.8mm，不包含外表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2、喷涂：采用优质环氧树脂粉末静电喷涂，环保无毒害，无气味。美观大方，光亮平整，表面无颗粒、气泡、渣点，颜色均匀；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3、正面锁和拉手：采用优质锁具，锁芯可换，方便管理。拉手为ABS塑料制作，颜色可任意搭配；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4、柜面具有耐压、强度大、防水、防污、抗冲击、不易变形、防潮防腐等优点；</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名师工作室三人沙发</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2150*900*850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-3809</wp:posOffset>
                      </wp:positionH>
                      <wp:positionV relativeFrom="paragraph">
                        <wp:posOffset>1315085</wp:posOffset>
                      </wp:positionV>
                      <wp:extent cx="1682750" cy="87376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1682750" cy="873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60288;o:allowoverlap:true;o:allowincell:true;mso-position-horizontal-relative:text;margin-left:-0.3pt;mso-position-horizontal:absolute;mso-position-vertical-relative:text;margin-top:103.5pt;mso-position-vertical:absolute;width:132.5pt;height:68.8pt;mso-wrap-distance-left:9.0pt;mso-wrap-distance-top:0.0pt;mso-wrap-distance-right:9.0pt;mso-wrap-distance-bottom:0.0pt;" stroked="f">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1、面材：采用优质牛皮，表面涂层厚度≥0.025mm，涂层粘着牢度≥10N/10mm,无裂纹，无明显损伤、剥落，游离甲醛≤1.8mg/kg,禁用偶氮染料未检出，TVOC未检出；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2、海绵：座面表观密度≥45kg/m³、回弹率≥50%、断裂伸长率≥110%、甲醛释放量未检出、通过抗引燃特性试验。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3、框架：优质实木框架，经过除虫，两次烘干，根据南北气候差异，精密监测木材含水率控制范围8-12%。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4、漆面：采用优质环保油漆，半开放式涂装效果；水性漆不含苯、甲苯、二甲苯、甲醛、游离TDI有毒重金属，无毒无刺激气味，对人体无害，不污染环境。</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名师工作室单人沙发</w:t>
            </w:r>
            <w:r/>
          </w:p>
        </w:tc>
        <w:tc>
          <w:tcPr>
            <w:shd w:val="clear" w:color="auto" w:fill="ffffff"/>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1050*900*850</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名师工作室茶几组合</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1200*600*450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1.主材：优质白蜡木实木，经过除虫，两次烘干，根据南北气候差异，精密监测木材含水率控制范围8-12%。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2、辅材：优质E0级实木多层板，所有板材均经过防虫、防腐等化学处理，符合国家绿色环保板材要求，达到国际握钉力测试标准；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3、漆面：采用优质嘉宝莉环保油漆，半开放式涂装效果；水性漆不含苯、甲苯、二甲苯、甲醛、游离TDI有毒重金属，无毒无刺激气味，对人体无害，不污染环境。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4、五金件：优质五金配件，耐氧化、耐腐蚀，经久耐用。</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走廊东面接待沙发1</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4200*700*900</w:t>
            </w:r>
            <w:r/>
          </w:p>
        </w:tc>
        <w:tc>
          <w:tcPr>
            <w:shd w:val="clear" w:color="auto" w:fill="auto"/>
            <w:tcBorders>
              <w:top w:val="single" w:color="auto" w:sz="4" w:space="0"/>
              <w:left w:val="single" w:color="auto" w:sz="4" w:space="0"/>
              <w:bottom w:val="none" w:color="000000" w:sz="4" w:space="0"/>
              <w:right w:val="single" w:color="auto"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2409190</wp:posOffset>
                      </wp:positionV>
                      <wp:extent cx="1640840" cy="97409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1640840" cy="974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60288;o:allowoverlap:true;o:allowincell:true;mso-position-horizontal-relative:text;margin-left:1.9pt;mso-position-horizontal:absolute;mso-position-vertical-relative:text;margin-top:189.7pt;mso-position-vertical:absolute;width:129.2pt;height:76.7pt;mso-wrap-distance-left:9.0pt;mso-wrap-distance-top:0.0pt;mso-wrap-distance-right:9.0pt;mso-wrap-distance-bottom:0.0pt;" stroked="f">
                      <v:path textboxrect="0,0,0,0"/>
                      <v:imagedata r:id="rId13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1、沙发面采用优质超纤皮，内部采用阻燃、环保高密度聚亚安脂-树脂（CM成型座棉）；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3、沙发脚：采用喷塑粉五金脚；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44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走廊东面接待沙发2</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3600*700*900</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1、沙发面采用优质超纤皮，内部采用阻燃、环保高密度聚亚安脂-树脂（CM成型座棉）；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3、沙发脚：采用喷塑粉五金脚；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走廊东面单人椅</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抱枕</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1、面材：采用优质超纤皮，表面涂层厚度≥0.025mm，涂层粘着牢度≥10N/10mm,无裂纹，无明显损伤、剥落，游离甲醛≤1.8mg/kg,禁用偶氮染料未检出，TVOC未检出；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2、海绵：表观密度≥45kg/m³、回弹率≥50%、断裂伸长率≥110%、甲醛释放量未检出、通过抗引燃特性试验。</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走廊东面茶几</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直径800*330；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直径500*500；</w:t>
            </w:r>
            <w:r/>
          </w:p>
        </w:tc>
        <w:tc>
          <w:tcPr>
            <w:shd w:val="clear" w:color="auto" w:fill="auto"/>
            <w:tcBorders>
              <w:top w:val="none" w:color="000000" w:sz="4" w:space="0"/>
              <w:left w:val="single" w:color="000000" w:sz="4" w:space="0"/>
              <w:bottom w:val="single" w:color="000000"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走廊东面接待沙发</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3600*1800*750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-25399</wp:posOffset>
                      </wp:positionH>
                      <wp:positionV relativeFrom="paragraph">
                        <wp:posOffset>2646680</wp:posOffset>
                      </wp:positionV>
                      <wp:extent cx="1617345" cy="100520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617345"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60288;o:allowoverlap:true;o:allowincell:true;mso-position-horizontal-relative:text;margin-left:-2.0pt;mso-position-horizontal:absolute;mso-position-vertical-relative:text;margin-top:208.4pt;mso-position-vertical:absolute;width:127.3pt;height:79.1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1、沙发面采用优质超纤皮，内部采用阻燃、环保高密度聚亚安脂-树脂（CM成型座棉）；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3、沙发脚：采用喷塑粉五金脚；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抱枕</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1、面材：采用优质超纤皮，表面涂层厚度≥0.025mm，涂层粘着牢度≥10N/10mm,无裂纹，无明显损伤、剥落，游离甲醛≤1.8mg/kg,禁用偶氮染料未检出，TVOC未检出；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2、海绵：表观密度≥45kg/m³、回弹率≥50%、断裂伸长率≥110%、甲醛释放量未检出、通过抗引燃特性试验。</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走廊东面单人椅</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800*660*780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走廊东面茶几组合</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直径650*570；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直径900*470；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1、框架：采用优质原木框架，经过除虫，两次烘干；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2、面材：采用优质猫抓皮扪皮工艺，质感柔韧，亲肤手感细腻，抗皱耐用；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走廊西面沙发</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3600*700*900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wp:posOffset>
                      </wp:positionH>
                      <wp:positionV relativeFrom="paragraph">
                        <wp:posOffset>3124200</wp:posOffset>
                      </wp:positionV>
                      <wp:extent cx="1631950" cy="1048385"/>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631950"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60288;o:allowoverlap:true;o:allowincell:true;mso-position-horizontal-relative:text;margin-left:2.1pt;mso-position-horizontal:absolute;mso-position-vertical-relative:text;margin-top:246.0pt;mso-position-vertical:absolute;width:128.5pt;height:82.5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1、沙发面采用优质超纤皮，内部采用阻燃、环保高密度聚亚安脂-树脂（CM成型座棉）；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3、沙发脚：采用喷塑粉五金脚；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2"/>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抱枕</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828040</wp:posOffset>
                      </wp:positionH>
                      <wp:positionV relativeFrom="paragraph">
                        <wp:posOffset>1619885</wp:posOffset>
                      </wp:positionV>
                      <wp:extent cx="1631950" cy="104838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631950"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61312;o:allowoverlap:true;o:allowincell:true;mso-position-horizontal-relative:text;margin-left:65.2pt;mso-position-horizontal:absolute;mso-position-vertical-relative:text;margin-top:127.5pt;mso-position-vertical:absolute;width:128.5pt;height:82.5pt;mso-wrap-distance-left:9.0pt;mso-wrap-distance-top:0.0pt;mso-wrap-distance-right:9.0pt;mso-wrap-distance-bottom:0.0pt;" stroked="f">
                      <v:path textboxrect="0,0,0,0"/>
                      <v:imagedata r:id="rId140"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1、面材：采用优质超纤皮，表面涂层厚度≥0.025mm，涂层粘着牢度≥10N/10mm,无裂纹，无明显损伤、剥落，游离甲醛≤1.8mg/kg,禁用偶氮染料未检出，TVOC未检出；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2、海绵：表观密度≥45kg/m³、回弹率≥50%、断裂伸长率≥110%、甲醛释放量未检出、通过抗引燃特性试验。</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走廊西面单人椅</w:t>
            </w:r>
            <w:r/>
          </w:p>
        </w:tc>
        <w:tc>
          <w:tcPr>
            <w:shd w:val="clear" w:color="auto" w:fill="ffffff"/>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900*700*750</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走廊西面茶几组合</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直径800*330；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直径500*500；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auto"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144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走廊西面单人椅</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900*700*750</w:t>
            </w:r>
            <w:r/>
          </w:p>
        </w:tc>
        <w:tc>
          <w:tcPr>
            <w:shd w:val="clear" w:color="auto" w:fill="auto"/>
            <w:tcBorders>
              <w:top w:val="single" w:color="auto" w:sz="4" w:space="0"/>
              <w:left w:val="single" w:color="auto" w:sz="4" w:space="0"/>
              <w:bottom w:val="none" w:color="000000" w:sz="4" w:space="0"/>
              <w:right w:val="single" w:color="auto"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1610995</wp:posOffset>
                      </wp:positionV>
                      <wp:extent cx="1672590" cy="109347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672590" cy="1093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60288;o:allowoverlap:true;o:allowincell:true;mso-position-horizontal-relative:text;margin-left:3.4pt;mso-position-horizontal:absolute;mso-position-vertical-relative:text;margin-top:126.8pt;mso-position-vertical:absolute;width:131.7pt;height:86.1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抱枕</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1、面材：采用优质超纤皮，表面涂层厚度≥0.025mm，涂层粘着牢度≥10N/10mm,无裂纹，无明显损伤、剥落，游离甲醛≤1.8mg/kg,禁用偶氮染料未检出，TVOC未检出；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2、海绵：表观密度≥45kg/m³、回弹率≥50%、断裂伸长率≥110%、甲醛释放量未检出、通过抗引燃特性试验。</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20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走廊西面茶几</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直径800*750</w:t>
            </w:r>
            <w:r/>
          </w:p>
        </w:tc>
        <w:tc>
          <w:tcPr>
            <w:shd w:val="clear" w:color="auto" w:fill="auto"/>
            <w:tcBorders>
              <w:top w:val="none" w:color="000000" w:sz="4" w:space="0"/>
              <w:left w:val="single" w:color="auto" w:sz="4" w:space="0"/>
              <w:bottom w:val="single" w:color="auto" w:sz="4" w:space="0"/>
              <w:right w:val="single" w:color="auto"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台面：采用优质岩板，高档时尚上档次；易清洁，易保养；耐高温，耐腐蚀；材质硬，承重好；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钢脚：高精度金属材质下脚，表面喷砂（细砂）处理，具有极强的附着力及抗腐蚀能力，化学性能稳定，耐脏好清洁， 细沙附着均匀，质感优良，装饰性好。</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auto"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走廊西面U型沙发</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5200*1950*720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-20319</wp:posOffset>
                      </wp:positionH>
                      <wp:positionV relativeFrom="paragraph">
                        <wp:posOffset>1779905</wp:posOffset>
                      </wp:positionV>
                      <wp:extent cx="1717040" cy="964565"/>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1717040" cy="9645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60288;o:allowoverlap:true;o:allowincell:true;mso-position-horizontal-relative:text;margin-left:-1.6pt;mso-position-horizontal:absolute;mso-position-vertical-relative:text;margin-top:140.2pt;mso-position-vertical:absolute;width:135.2pt;height:76.0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auto"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走廊西面圆凳</w:t>
            </w:r>
            <w:r/>
          </w:p>
        </w:tc>
        <w:tc>
          <w:tcPr>
            <w:shd w:val="clear" w:color="auto" w:fill="ffffff"/>
            <w:tcBorders>
              <w:top w:val="single" w:color="auto"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直径600*400</w:t>
            </w:r>
            <w:r/>
          </w:p>
        </w:tc>
        <w:tc>
          <w:tcPr>
            <w:shd w:val="clear" w:color="auto" w:fill="auto"/>
            <w:tcBorders>
              <w:top w:val="single" w:color="auto" w:sz="4" w:space="0"/>
              <w:left w:val="single" w:color="000000" w:sz="4" w:space="0"/>
              <w:bottom w:val="non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1、椅面采用优质超纤皮，内部采用阻燃、环保高密度聚亚安脂-树脂（CM成型座棉）；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2、内架：材料为优质实木框架，经去皮、烘干、防虫防腐处理；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3、椅脚：采用喷塑粉五金脚；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4、优质五金件：耐氧化、耐腐蚀，经久耐用。</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走廊西面洽谈桌</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直径800*750</w:t>
            </w:r>
            <w:r/>
          </w:p>
        </w:tc>
        <w:tc>
          <w:tcPr>
            <w:shd w:val="clear" w:color="auto" w:fill="auto"/>
            <w:tcBorders>
              <w:top w:val="none" w:color="000000" w:sz="4" w:space="0"/>
              <w:left w:val="single" w:color="000000" w:sz="4" w:space="0"/>
              <w:bottom w:val="non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1、基材：优质E0级实木颗粒板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2、面材：采用优质三聚氰胺贴面，美观耐用，台面外侧圆角。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6、优质五金配件：耐氧化、耐腐蚀，经久耐用，阻尼导轨和铰链；</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r>
      <w:tr>
        <w:trPr>
          <w:trHeight w:val="400"/>
        </w:trPr>
        <w:tc>
          <w:tcPr>
            <w:gridSpan w:val="7"/>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图书馆项目定制家具清单</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规格（L*W*H）</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一层校报区</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单面柜子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770*290*2400</w:t>
            </w:r>
            <w:r/>
          </w:p>
        </w:tc>
        <w:tc>
          <w:tcPr>
            <w:shd w:val="clear" w:color="auto" w:fill="auto"/>
            <w:tcBorders>
              <w:top w:val="none" w:color="000000" w:sz="4" w:space="0"/>
              <w:left w:val="single" w:color="000000" w:sz="4" w:space="0"/>
              <w:bottom w:val="single" w:color="000000" w:sz="4" w:space="0"/>
              <w:right w:val="single" w:color="000000" w:sz="4" w:space="0"/>
            </w:tcBorders>
            <w:tcW w:w="1449" w:type="pct"/>
            <w:vAlign w:val="bottom"/>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84455</wp:posOffset>
                      </wp:positionH>
                      <wp:positionV relativeFrom="paragraph">
                        <wp:posOffset>383540</wp:posOffset>
                      </wp:positionV>
                      <wp:extent cx="1614170" cy="1086485"/>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1614170" cy="1086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60288;o:allowoverlap:true;o:allowincell:true;mso-position-horizontal-relative:text;margin-left:6.6pt;mso-position-horizontal:absolute;mso-position-vertical-relative:text;margin-top:30.2pt;mso-position-vertical:absolute;width:127.1pt;height:85.5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单面柜子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820*290*2400</w:t>
            </w:r>
            <w:r/>
          </w:p>
        </w:tc>
        <w:tc>
          <w:tcPr>
            <w:shd w:val="clear" w:color="auto" w:fill="auto"/>
            <w:tcBorders>
              <w:top w:val="non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门洞架</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1500*290*2400</w:t>
            </w:r>
            <w:r/>
          </w:p>
        </w:tc>
        <w:tc>
          <w:tcPr>
            <w:shd w:val="clear" w:color="auto" w:fill="auto"/>
            <w:tcBorders>
              <w:top w:val="non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单面柜子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802005</wp:posOffset>
                      </wp:positionH>
                      <wp:positionV relativeFrom="paragraph">
                        <wp:posOffset>60960</wp:posOffset>
                      </wp:positionV>
                      <wp:extent cx="1604010" cy="138938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1604010" cy="1389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60288;o:allowoverlap:true;o:allowincell:true;mso-position-horizontal-relative:text;margin-left:63.1pt;mso-position-horizontal:absolute;mso-position-vertical-relative:text;margin-top:4.8pt;mso-position-vertical:absolute;width:126.3pt;height:109.4pt;mso-wrap-distance-left:9.0pt;mso-wrap-distance-top:0.0pt;mso-wrap-distance-right:9.0pt;mso-wrap-distance-bottom:0.0pt;" stroked="f">
                      <v:path textboxrect="0,0,0,0"/>
                      <v:imagedata r:id="rId14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600*290*3000</w:t>
            </w:r>
            <w:r/>
          </w:p>
        </w:tc>
        <w:tc>
          <w:tcPr>
            <w:shd w:val="clear" w:color="auto" w:fill="auto"/>
            <w:tcBorders>
              <w:top w:val="non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625" cy="9525"/>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476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60288;o:allowoverlap:true;o:allowincell:true;mso-position-horizontal-relative:text;margin-left:0.0pt;mso-position-horizontal:absolute;mso-position-vertical-relative:text;margin-top:0.0pt;mso-position-vertical:absolute;width:3.8pt;height:0.8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625" cy="9525"/>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476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60288;o:allowoverlap:true;o:allowincell:true;mso-position-horizontal-relative:text;margin-left:0.0pt;mso-position-horizontal:absolute;mso-position-vertical-relative:text;margin-top:0.0pt;mso-position-vertical:absolute;width:3.8pt;height:0.8pt;mso-wrap-distance-left:9.0pt;mso-wrap-distance-top:0.0pt;mso-wrap-distance-right:9.0pt;mso-wrap-distance-bottom:0.0pt;" stroked="f">
                      <v:path textboxrect="0,0,0,0"/>
                      <v:imagedata r:id="rId14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600075</wp:posOffset>
                      </wp:positionH>
                      <wp:positionV relativeFrom="paragraph">
                        <wp:posOffset>0</wp:posOffset>
                      </wp:positionV>
                      <wp:extent cx="47625" cy="9525"/>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476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60288;o:allowoverlap:true;o:allowincell:true;mso-position-horizontal-relative:text;margin-left:47.2pt;mso-position-horizontal:absolute;mso-position-vertical-relative:text;margin-top:0.0pt;mso-position-vertical:absolute;width:3.8pt;height:0.8pt;mso-wrap-distance-left:9.0pt;mso-wrap-distance-top:0.0pt;mso-wrap-distance-right:9.0pt;mso-wrap-distance-bottom:0.0pt;" stroked="f">
                      <v:path textboxrect="0,0,0,0"/>
                      <v:imagedata r:id="rId14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600075</wp:posOffset>
                      </wp:positionH>
                      <wp:positionV relativeFrom="paragraph">
                        <wp:posOffset>0</wp:posOffset>
                      </wp:positionV>
                      <wp:extent cx="47625" cy="9525"/>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476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60288;o:allowoverlap:true;o:allowincell:true;mso-position-horizontal-relative:text;margin-left:47.2pt;mso-position-horizontal:absolute;mso-position-vertical-relative:text;margin-top:0.0pt;mso-position-vertical:absolute;width:3.8pt;height:0.8pt;mso-wrap-distance-left:9.0pt;mso-wrap-distance-top:0.0pt;mso-wrap-distance-right:9.0pt;mso-wrap-distance-bottom:0.0pt;" stroked="f">
                      <v:path textboxrect="0,0,0,0"/>
                      <v:imagedata r:id="rId148"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单面柜子</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800*290*3000</w:t>
            </w:r>
            <w:r/>
          </w:p>
        </w:tc>
        <w:tc>
          <w:tcPr>
            <w:shd w:val="clear" w:color="auto" w:fill="auto"/>
            <w:tcBorders>
              <w:top w:val="none" w:color="000000" w:sz="4" w:space="0"/>
              <w:left w:val="single" w:color="000000" w:sz="4" w:space="0"/>
              <w:bottom w:val="single" w:color="000000"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043"/>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单面柜子</w:t>
            </w:r>
            <w:r/>
          </w:p>
        </w:tc>
        <w:tc>
          <w:tcPr>
            <w:shd w:val="clear" w:color="auto" w:fill="ffffff"/>
            <w:tcBorders>
              <w:top w:val="single" w:color="000000" w:sz="4" w:space="0"/>
              <w:left w:val="single" w:color="000000" w:sz="4" w:space="0"/>
              <w:bottom w:val="single" w:color="auto"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950*290*3000</w:t>
            </w:r>
            <w:r/>
          </w:p>
        </w:tc>
        <w:tc>
          <w:tcPr>
            <w:shd w:val="clear" w:color="auto" w:fill="auto"/>
            <w:tcBorders>
              <w:top w:val="none" w:color="000000" w:sz="4" w:space="0"/>
              <w:left w:val="single" w:color="000000" w:sz="4" w:space="0"/>
              <w:bottom w:val="single" w:color="auto" w:sz="4" w:space="0"/>
              <w:right w:val="single" w:color="000000" w:sz="4" w:space="0"/>
            </w:tcBorders>
            <w:tcW w:w="1449" w:type="pct"/>
            <w:vAlign w:val="bottom"/>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98"/>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双面通透架</w:t>
            </w:r>
            <w:r/>
          </w:p>
        </w:tc>
        <w:tc>
          <w:tcPr>
            <w:shd w:val="clear" w:color="auto" w:fill="ffffff"/>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950*600*1700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bottom"/>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107315</wp:posOffset>
                      </wp:positionH>
                      <wp:positionV relativeFrom="paragraph">
                        <wp:posOffset>224155</wp:posOffset>
                      </wp:positionV>
                      <wp:extent cx="1614170" cy="1115695"/>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614170" cy="1115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60288;o:allowoverlap:true;o:allowincell:true;mso-position-horizontal-relative:text;margin-left:8.4pt;mso-position-horizontal:absolute;mso-position-vertical-relative:text;margin-top:17.6pt;mso-position-vertical:absolute;width:127.1pt;height:87.8pt;mso-wrap-distance-left:9.0pt;mso-wrap-distance-top:0.0pt;mso-wrap-distance-right:9.0pt;mso-wrap-distance-bottom:0.0pt;" stroked="f">
                      <v:path textboxrect="0,0,0,0"/>
                      <v:imagedata r:id="rId14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1591945</wp:posOffset>
                      </wp:positionV>
                      <wp:extent cx="1623695" cy="1207135"/>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1623695"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60288;o:allowoverlap:true;o:allowincell:true;mso-position-horizontal-relative:text;margin-left:1.1pt;mso-position-horizontal:absolute;mso-position-vertical-relative:text;margin-top:125.3pt;mso-position-vertical:absolute;width:127.8pt;height:95.0pt;mso-wrap-distance-left:9.0pt;mso-wrap-distance-top:0.0pt;mso-wrap-distance-right:9.0pt;mso-wrap-distance-bottom:0.0pt;" stroked="f">
                      <v:path textboxrect="0,0,0,0"/>
                      <v:imagedata r:id="rId150"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一层休闲阅读区1</w:t>
            </w:r>
            <w:r/>
          </w:p>
        </w:tc>
      </w:tr>
      <w:tr>
        <w:trPr>
          <w:trHeight w:val="3360"/>
        </w:trPr>
        <w:tc>
          <w:tcPr>
            <w:shd w:val="clear" w:color="auto" w:fill="auto"/>
            <w:tcBorders>
              <w:top w:val="single" w:color="000000" w:sz="4" w:space="0"/>
              <w:left w:val="single" w:color="000000" w:sz="4" w:space="0"/>
              <w:bottom w:val="single" w:color="auto"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玻璃背板架</w:t>
            </w:r>
            <w:r/>
          </w:p>
        </w:tc>
        <w:tc>
          <w:tcPr>
            <w:shd w:val="clear" w:color="auto" w:fill="auto"/>
            <w:tcBorders>
              <w:top w:val="single" w:color="000000" w:sz="4" w:space="0"/>
              <w:left w:val="single" w:color="000000" w:sz="4" w:space="0"/>
              <w:bottom w:val="single" w:color="auto"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1170*350*3000</w:t>
            </w:r>
            <w:r/>
          </w:p>
        </w:tc>
        <w:tc>
          <w:tcPr>
            <w:shd w:val="clear" w:color="auto" w:fill="auto"/>
            <w:tcBorders>
              <w:top w:val="single" w:color="000000" w:sz="4" w:space="0"/>
              <w:left w:val="single" w:color="000000" w:sz="4" w:space="0"/>
              <w:bottom w:val="single" w:color="auto" w:sz="4" w:space="0"/>
              <w:right w:val="single" w:color="000000" w:sz="4" w:space="0"/>
            </w:tcBorders>
            <w:tcW w:w="1449" w:type="pct"/>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55880</wp:posOffset>
                      </wp:positionH>
                      <wp:positionV relativeFrom="paragraph">
                        <wp:posOffset>5080</wp:posOffset>
                      </wp:positionV>
                      <wp:extent cx="1629410" cy="908685"/>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1629410" cy="908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60288;o:allowoverlap:true;o:allowincell:true;mso-position-horizontal-relative:text;margin-left:4.4pt;mso-position-horizontal:absolute;mso-position-vertical-relative:text;margin-top:0.4pt;mso-position-vertical:absolute;width:128.3pt;height:71.5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131445</wp:posOffset>
                      </wp:positionH>
                      <wp:positionV relativeFrom="paragraph">
                        <wp:posOffset>990600</wp:posOffset>
                      </wp:positionV>
                      <wp:extent cx="1595755" cy="109093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1595755" cy="1090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0288;o:allowoverlap:true;o:allowincell:true;mso-position-horizontal-relative:text;margin-left:10.3pt;mso-position-horizontal:absolute;mso-position-vertical-relative:text;margin-top:78.0pt;mso-position-vertical:absolute;width:125.6pt;height:85.9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000000"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一层休闲阅读区2</w:t>
            </w:r>
            <w:r/>
          </w:p>
        </w:tc>
      </w:tr>
      <w:tr>
        <w:trPr>
          <w:trHeight w:val="82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670*290*3000</w:t>
            </w:r>
            <w:r/>
          </w:p>
        </w:tc>
        <w:tc>
          <w:tcPr>
            <w:shd w:val="clear" w:color="auto" w:fill="auto"/>
            <w:tcBorders>
              <w:top w:val="single" w:color="auto" w:sz="4" w:space="0"/>
              <w:left w:val="single" w:color="auto" w:sz="4" w:space="0"/>
              <w:bottom w:val="none" w:color="000000"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顶部长城板</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82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927735</wp:posOffset>
                      </wp:positionH>
                      <wp:positionV relativeFrom="paragraph">
                        <wp:posOffset>50165</wp:posOffset>
                      </wp:positionV>
                      <wp:extent cx="1427480" cy="1269365"/>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1427480" cy="1269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60288;o:allowoverlap:true;o:allowincell:true;mso-position-horizontal-relative:text;margin-left:73.0pt;mso-position-horizontal:absolute;mso-position-vertical-relative:text;margin-top:3.9pt;mso-position-vertical:absolute;width:112.4pt;height:99.9pt;mso-wrap-distance-left:9.0pt;mso-wrap-distance-top:0.0pt;mso-wrap-distance-right:9.0pt;mso-wrap-distance-bottom:0.0pt;" stroked="f">
                      <v:path textboxrect="0,0,0,0"/>
                      <v:imagedata r:id="rId15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750*290*3000</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82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950*290*3000</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82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门洞架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1550*290*3000</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82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馆情展示架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707390</wp:posOffset>
                      </wp:positionH>
                      <wp:positionV relativeFrom="paragraph">
                        <wp:posOffset>-186054</wp:posOffset>
                      </wp:positionV>
                      <wp:extent cx="1637030" cy="81788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1637030" cy="817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60288;o:allowoverlap:true;o:allowincell:true;mso-position-horizontal-relative:text;margin-left:55.7pt;mso-position-horizontal:absolute;mso-position-vertical-relative:text;margin-top:-14.6pt;mso-position-vertical:absolute;width:128.9pt;height:64.4pt;mso-wrap-distance-left:9.0pt;mso-wrap-distance-top:0.0pt;mso-wrap-distance-right:9.0pt;mso-wrap-distance-bottom:0.0pt;" stroked="f">
                      <v:path textboxrect="0,0,0,0"/>
                      <v:imagedata r:id="rId154"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2870*290*3000</w:t>
            </w:r>
            <w:r/>
          </w:p>
        </w:tc>
        <w:tc>
          <w:tcPr>
            <w:shd w:val="clear" w:color="auto" w:fill="auto"/>
            <w:tcBorders>
              <w:top w:val="none" w:color="000000" w:sz="4" w:space="0"/>
              <w:left w:val="single" w:color="auto" w:sz="4" w:space="0"/>
              <w:bottom w:val="single" w:color="auto"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729"/>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000000" w:sz="4" w:space="0"/>
              <w:bottom w:val="single" w:color="000000"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双面架（主架）   顶部带灯架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855*600*1000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23495</wp:posOffset>
                      </wp:positionH>
                      <wp:positionV relativeFrom="paragraph">
                        <wp:posOffset>279400</wp:posOffset>
                      </wp:positionV>
                      <wp:extent cx="1595755" cy="94615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1595755" cy="94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60288;o:allowoverlap:true;o:allowincell:true;mso-position-horizontal-relative:text;margin-left:1.8pt;mso-position-horizontal:absolute;mso-position-vertical-relative:text;margin-top:22.0pt;mso-position-vertical:absolute;width:125.6pt;height:74.5pt;mso-wrap-distance-left:9.0pt;mso-wrap-distance-top:0.0pt;mso-wrap-distance-right:9.0pt;mso-wrap-distance-bottom:0.0pt;" stroked="f">
                      <v:path textboxrect="0,0,0,0"/>
                      <v:imagedata r:id="rId15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wp:posOffset>
                      </wp:positionH>
                      <wp:positionV relativeFrom="paragraph">
                        <wp:posOffset>1760220</wp:posOffset>
                      </wp:positionV>
                      <wp:extent cx="1577340" cy="84582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1577340"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60288;o:allowoverlap:true;o:allowincell:true;mso-position-horizontal-relative:text;margin-left:1.9pt;mso-position-horizontal:absolute;mso-position-vertical-relative:text;margin-top:138.6pt;mso-position-vertical:absolute;width:124.2pt;height:66.6pt;mso-wrap-distance-left:9.0pt;mso-wrap-distance-top:0.0pt;mso-wrap-distance-right:9.0pt;mso-wrap-distance-bottom:0.0pt;" stroked="f">
                      <v:path textboxrect="0,0,0,0"/>
                      <v:imagedata r:id="rId156"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auto"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729"/>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双面架（副架）   顶部带灯架</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840*600*1000</w:t>
            </w:r>
            <w:r/>
          </w:p>
        </w:tc>
        <w:tc>
          <w:tcPr>
            <w:shd w:val="clear" w:color="auto" w:fill="auto"/>
            <w:tcBorders>
              <w:top w:val="single" w:color="auto" w:sz="4" w:space="0"/>
              <w:left w:val="single" w:color="000000" w:sz="4" w:space="0"/>
              <w:bottom w:val="single" w:color="000000"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729"/>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双面架（主架）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885*600*1000</w:t>
            </w:r>
            <w:r/>
          </w:p>
        </w:tc>
        <w:tc>
          <w:tcPr>
            <w:shd w:val="clear" w:color="auto" w:fill="auto"/>
            <w:tcBorders>
              <w:top w:val="single" w:color="000000" w:sz="4" w:space="0"/>
              <w:left w:val="single" w:color="000000" w:sz="4" w:space="0"/>
              <w:bottom w:val="single" w:color="000000"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1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坐椅架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700*600*450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95250</wp:posOffset>
                      </wp:positionV>
                      <wp:extent cx="1576070" cy="848995"/>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1576069" cy="848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60288;o:allowoverlap:true;o:allowincell:true;mso-position-horizontal-relative:text;margin-left:7.5pt;mso-position-horizontal:absolute;mso-position-vertical-relative:text;margin-top:7.5pt;mso-position-vertical:absolute;width:124.1pt;height:66.8pt;mso-wrap-distance-left:9.0pt;mso-wrap-distance-top:0.0pt;mso-wrap-distance-right:9.0pt;mso-wrap-distance-bottom:0.0pt;" stroked="f">
                      <v:path textboxrect="0,0,0,0"/>
                      <v:imagedata r:id="rId157"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含坐垫</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993"/>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700*290*3000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1377315</wp:posOffset>
                      </wp:positionV>
                      <wp:extent cx="1593850" cy="1443355"/>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1593850" cy="1443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60288;o:allowoverlap:true;o:allowincell:true;mso-position-horizontal-relative:text;margin-left:8.8pt;mso-position-horizontal:absolute;mso-position-vertical-relative:text;margin-top:108.4pt;mso-position-vertical:absolute;width:125.5pt;height:113.6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168275</wp:posOffset>
                      </wp:positionH>
                      <wp:positionV relativeFrom="paragraph">
                        <wp:posOffset>93345</wp:posOffset>
                      </wp:positionV>
                      <wp:extent cx="1228725" cy="1024255"/>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228725" cy="1024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60288;o:allowoverlap:true;o:allowincell:true;mso-position-horizontal-relative:text;margin-left:13.2pt;mso-position-horizontal:absolute;mso-position-vertical-relative:text;margin-top:7.3pt;mso-position-vertical:absolute;width:96.8pt;height:80.6pt;mso-wrap-distance-left:9.0pt;mso-wrap-distance-top:0.0pt;mso-wrap-distance-right:9.0pt;mso-wrap-distance-bottom:0.0pt;" stroked="f">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顶部长城板</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950*290*3000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转角板（两面）</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290*120*3000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一层综合阅览区1</w:t>
            </w:r>
            <w:r/>
          </w:p>
        </w:tc>
      </w:tr>
      <w:tr>
        <w:trPr>
          <w:trHeight w:val="166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双面书架（主架）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1010*700*2400</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58420</wp:posOffset>
                      </wp:positionH>
                      <wp:positionV relativeFrom="paragraph">
                        <wp:posOffset>1515110</wp:posOffset>
                      </wp:positionV>
                      <wp:extent cx="1625600" cy="96901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1625600" cy="969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60288;o:allowoverlap:true;o:allowincell:true;mso-position-horizontal-relative:text;margin-left:4.6pt;mso-position-horizontal:absolute;mso-position-vertical-relative:text;margin-top:119.3pt;mso-position-vertical:absolute;width:128.0pt;height:76.3pt;mso-wrap-distance-left:9.0pt;mso-wrap-distance-top:0.0pt;mso-wrap-distance-right:9.0pt;mso-wrap-distance-bottom:0.0pt;" stroked="f">
                      <v:path textboxrect="0,0,0,0"/>
                      <v:imagedata r:id="rId16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46355</wp:posOffset>
                      </wp:positionH>
                      <wp:positionV relativeFrom="paragraph">
                        <wp:posOffset>77470</wp:posOffset>
                      </wp:positionV>
                      <wp:extent cx="1635760" cy="908685"/>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1635760" cy="908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60288;o:allowoverlap:true;o:allowincell:true;mso-position-horizontal-relative:text;margin-left:3.6pt;mso-position-horizontal:absolute;mso-position-vertical-relative:text;margin-top:6.1pt;mso-position-vertical:absolute;width:128.8pt;height:71.5pt;mso-wrap-distance-left:9.0pt;mso-wrap-distance-top:0.0pt;mso-wrap-distance-right:9.0pt;mso-wrap-distance-bottom:0.0pt;" stroked="f">
                      <v:path textboxrect="0,0,0,0"/>
                      <v:imagedata r:id="rId161"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660"/>
        </w:trPr>
        <w:tc>
          <w:tcPr>
            <w:shd w:val="clear" w:color="auto" w:fill="auto"/>
            <w:tcBorders>
              <w:top w:val="single" w:color="000000" w:sz="4" w:space="0"/>
              <w:left w:val="single" w:color="000000"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双面书架（副架）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950*700*2400</w:t>
            </w:r>
            <w:r/>
          </w:p>
        </w:tc>
        <w:tc>
          <w:tcPr>
            <w:shd w:val="clear" w:color="auto" w:fill="auto"/>
            <w:tcBorders>
              <w:top w:val="none" w:color="000000" w:sz="4" w:space="0"/>
              <w:left w:val="single" w:color="auto" w:sz="4" w:space="0"/>
              <w:bottom w:val="single" w:color="auto"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一层综合阅览区2</w:t>
            </w:r>
            <w:r/>
          </w:p>
        </w:tc>
      </w:tr>
      <w:tr>
        <w:trPr>
          <w:trHeight w:val="1940"/>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auto"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auto"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900*290*3000</w:t>
            </w:r>
            <w:r/>
          </w:p>
        </w:tc>
        <w:tc>
          <w:tcPr>
            <w:shd w:val="clear" w:color="auto" w:fill="auto"/>
            <w:tcBorders>
              <w:top w:val="single" w:color="auto" w:sz="4" w:space="0"/>
              <w:left w:val="single" w:color="000000" w:sz="4" w:space="0"/>
              <w:bottom w:val="single" w:color="000000" w:sz="4" w:space="0"/>
              <w:right w:val="single" w:color="000000"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104140</wp:posOffset>
                      </wp:positionH>
                      <wp:positionV relativeFrom="paragraph">
                        <wp:posOffset>1161415</wp:posOffset>
                      </wp:positionV>
                      <wp:extent cx="1578610" cy="116332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1578610" cy="1163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60288;o:allowoverlap:true;o:allowincell:true;mso-position-horizontal-relative:text;margin-left:8.2pt;mso-position-horizontal:absolute;mso-position-vertical-relative:text;margin-top:91.4pt;mso-position-vertical:absolute;width:124.3pt;height:91.6pt;mso-wrap-distance-left:9.0pt;mso-wrap-distance-top:0.0pt;mso-wrap-distance-right:9.0pt;mso-wrap-distance-bottom:0.0pt;" stroked="f">
                      <v:path textboxrect="0,0,0,0"/>
                      <v:imagedata r:id="rId16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80010</wp:posOffset>
                      </wp:positionH>
                      <wp:positionV relativeFrom="paragraph">
                        <wp:posOffset>115570</wp:posOffset>
                      </wp:positionV>
                      <wp:extent cx="1614170" cy="101727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1614170" cy="1017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60288;o:allowoverlap:true;o:allowincell:true;mso-position-horizontal-relative:text;margin-left:6.3pt;mso-position-horizontal:absolute;mso-position-vertical-relative:text;margin-top:9.1pt;mso-position-vertical:absolute;width:127.1pt;height:80.1pt;mso-wrap-distance-left:9.0pt;mso-wrap-distance-top:0.0pt;mso-wrap-distance-right:9.0pt;mso-wrap-distance-bottom:0.0pt;" stroked="f">
                      <v:path textboxrect="0,0,0,0"/>
                      <v:imagedata r:id="rId163"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950*290*3000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一层综合藏书区</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770*290*3000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144780</wp:posOffset>
                      </wp:positionH>
                      <wp:positionV relativeFrom="paragraph">
                        <wp:posOffset>1103630</wp:posOffset>
                      </wp:positionV>
                      <wp:extent cx="1461770" cy="176784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1461770" cy="176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60288;o:allowoverlap:true;o:allowincell:true;mso-position-horizontal-relative:text;margin-left:11.4pt;mso-position-horizontal:absolute;mso-position-vertical-relative:text;margin-top:86.9pt;mso-position-vertical:absolute;width:115.1pt;height:139.2pt;mso-wrap-distance-left:9.0pt;mso-wrap-distance-top:0.0pt;mso-wrap-distance-right:9.0pt;mso-wrap-distance-bottom:0.0pt;" stroked="f">
                      <v:path textboxrect="0,0,0,0"/>
                      <v:imagedata r:id="rId16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393065</wp:posOffset>
                      </wp:positionV>
                      <wp:extent cx="1615440" cy="666115"/>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1615440"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60288;o:allowoverlap:true;o:allowincell:true;mso-position-horizontal-relative:text;margin-left:4.1pt;mso-position-horizontal:absolute;mso-position-vertical-relative:text;margin-top:30.9pt;mso-position-vertical:absolute;width:127.2pt;height:52.4pt;mso-wrap-distance-left:9.0pt;mso-wrap-distance-top:0.0pt;mso-wrap-distance-right:9.0pt;mso-wrap-distance-bottom:0.0pt;" stroked="f">
                      <v:path textboxrect="0,0,0,0"/>
                      <v:imagedata r:id="rId1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顶部长城板</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950*290*3000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950*600*3000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950*600*2400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133985</wp:posOffset>
                      </wp:positionH>
                      <wp:positionV relativeFrom="paragraph">
                        <wp:posOffset>1187450</wp:posOffset>
                      </wp:positionV>
                      <wp:extent cx="1592580" cy="1450975"/>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1592580" cy="1450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60288;o:allowoverlap:true;o:allowincell:true;mso-position-horizontal-relative:text;margin-left:10.5pt;mso-position-horizontal:absolute;mso-position-vertical-relative:text;margin-top:93.5pt;mso-position-vertical:absolute;width:125.4pt;height:114.2pt;mso-wrap-distance-left:9.0pt;mso-wrap-distance-top:0.0pt;mso-wrap-distance-right:9.0pt;mso-wrap-distance-bottom:0.0pt;" stroked="f">
                      <v:path textboxrect="0,0,0,0"/>
                      <v:imagedata r:id="rId16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wp:posOffset>
                      </wp:positionH>
                      <wp:positionV relativeFrom="paragraph">
                        <wp:posOffset>251460</wp:posOffset>
                      </wp:positionV>
                      <wp:extent cx="1642745" cy="78613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1642745" cy="786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60288;o:allowoverlap:true;o:allowincell:true;mso-position-horizontal-relative:text;margin-left:1.1pt;mso-position-horizontal:absolute;mso-position-vertical-relative:text;margin-top:19.8pt;mso-position-vertical:absolute;width:129.3pt;height:61.9pt;mso-wrap-distance-left:9.0pt;mso-wrap-distance-top:0.0pt;mso-wrap-distance-right:9.0pt;mso-wrap-distance-bottom:0.0pt;" stroked="f">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双面中空书架</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950*600*2400</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00"/>
        </w:trPr>
        <w:tc>
          <w:tcPr>
            <w:gridSpan w:val="7"/>
            <w:shd w:val="clear" w:color="auto" w:fill="auto"/>
            <w:tcBorders>
              <w:top w:val="none" w:color="000000" w:sz="4" w:space="0"/>
              <w:left w:val="single" w:color="000000" w:sz="4" w:space="0"/>
              <w:bottom w:val="single" w:color="000000" w:sz="4" w:space="0"/>
              <w:right w:val="non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一层多功能阅读区</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000000"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870*290*3000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55245</wp:posOffset>
                      </wp:positionH>
                      <wp:positionV relativeFrom="paragraph">
                        <wp:posOffset>148590</wp:posOffset>
                      </wp:positionV>
                      <wp:extent cx="1632585" cy="111252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1632585" cy="111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60288;o:allowoverlap:true;o:allowincell:true;mso-position-horizontal-relative:text;margin-left:4.3pt;mso-position-horizontal:absolute;mso-position-vertical-relative:text;margin-top:11.7pt;mso-position-vertical:absolute;width:128.5pt;height:87.6pt;mso-wrap-distance-left:9.0pt;mso-wrap-distance-top:0.0pt;mso-wrap-distance-right:9.0pt;mso-wrap-distance-bottom:0.0pt;" stroked="f">
                      <v:path textboxrect="0,0,0,0"/>
                      <v:imagedata r:id="rId168"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顶部长城板</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auto"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772795</wp:posOffset>
                      </wp:positionH>
                      <wp:positionV relativeFrom="paragraph">
                        <wp:posOffset>-140334</wp:posOffset>
                      </wp:positionV>
                      <wp:extent cx="1609090" cy="138684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609090" cy="1386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60288;o:allowoverlap:true;o:allowincell:true;mso-position-horizontal-relative:text;margin-left:60.8pt;mso-position-horizontal:absolute;mso-position-vertical-relative:text;margin-top:-11.0pt;mso-position-vertical:absolute;width:126.7pt;height:109.2pt;mso-wrap-distance-left:9.0pt;mso-wrap-distance-top:0.0pt;mso-wrap-distance-right:9.0pt;mso-wrap-distance-bottom:0.0pt;" stroked="f">
                      <v:path textboxrect="0,0,0,0"/>
                      <v:imagedata r:id="rId16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950*290*3000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auto"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74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675*450*2400</w:t>
            </w:r>
            <w:r/>
          </w:p>
        </w:tc>
        <w:tc>
          <w:tcPr>
            <w:shd w:val="clear" w:color="auto" w:fill="auto"/>
            <w:tcBorders>
              <w:top w:val="single" w:color="auto" w:sz="4" w:space="0"/>
              <w:left w:val="single" w:color="auto" w:sz="4" w:space="0"/>
              <w:bottom w:val="none" w:color="000000"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80645</wp:posOffset>
                      </wp:positionH>
                      <wp:positionV relativeFrom="paragraph">
                        <wp:posOffset>1889760</wp:posOffset>
                      </wp:positionV>
                      <wp:extent cx="1602105" cy="915035"/>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1602105"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60288;o:allowoverlap:true;o:allowincell:true;mso-position-horizontal-relative:text;margin-left:6.3pt;mso-position-horizontal:absolute;mso-position-vertical-relative:text;margin-top:148.8pt;mso-position-vertical:absolute;width:126.1pt;height:72.0pt;mso-wrap-distance-left:9.0pt;mso-wrap-distance-top:0.0pt;mso-wrap-distance-right:9.0pt;mso-wrap-distance-bottom:0.0pt;" stroked="f">
                      <v:path textboxrect="0,0,0,0"/>
                      <v:imagedata r:id="rId17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480060</wp:posOffset>
                      </wp:positionV>
                      <wp:extent cx="1617345" cy="79121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1617345"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60288;o:allowoverlap:true;o:allowincell:true;mso-position-horizontal-relative:text;margin-left:3.0pt;mso-position-horizontal:absolute;mso-position-vertical-relative:text;margin-top:37.8pt;mso-position-vertical:absolute;width:127.3pt;height:62.3pt;mso-wrap-distance-left:9.0pt;mso-wrap-distance-top:0.0pt;mso-wrap-distance-right:9.0pt;mso-wrap-distance-bottom:0.0pt;" stroked="f">
                      <v:path textboxrect="0,0,0,0"/>
                      <v:imagedata r:id="rId171"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电器：每层层板埋藏LED灯带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顶部长城板</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740"/>
        </w:trPr>
        <w:tc>
          <w:tcPr>
            <w:shd w:val="clear" w:color="auto" w:fill="auto"/>
            <w:tcBorders>
              <w:top w:val="single" w:color="000000" w:sz="4" w:space="0"/>
              <w:left w:val="single" w:color="000000" w:sz="4" w:space="0"/>
              <w:bottom w:val="single" w:color="000000"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710*450*2400</w:t>
            </w:r>
            <w:r/>
          </w:p>
        </w:tc>
        <w:tc>
          <w:tcPr>
            <w:shd w:val="clear" w:color="auto" w:fill="auto"/>
            <w:tcBorders>
              <w:top w:val="none" w:color="000000" w:sz="4" w:space="0"/>
              <w:left w:val="single" w:color="auto" w:sz="4" w:space="0"/>
              <w:bottom w:val="none" w:color="000000"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377"/>
        </w:trPr>
        <w:tc>
          <w:tcPr>
            <w:shd w:val="clear" w:color="auto" w:fill="auto"/>
            <w:tcBorders>
              <w:top w:val="single" w:color="000000" w:sz="4" w:space="0"/>
              <w:left w:val="single" w:color="000000"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单面书架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950*450*2400</w:t>
            </w:r>
            <w:r/>
          </w:p>
        </w:tc>
        <w:tc>
          <w:tcPr>
            <w:shd w:val="clear" w:color="auto" w:fill="auto"/>
            <w:tcBorders>
              <w:top w:val="none" w:color="000000" w:sz="4" w:space="0"/>
              <w:left w:val="single" w:color="auto" w:sz="4" w:space="0"/>
              <w:bottom w:val="single" w:color="auto"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600"/>
        </w:trPr>
        <w:tc>
          <w:tcPr>
            <w:shd w:val="clear" w:color="auto" w:fill="auto"/>
            <w:tcBorders>
              <w:top w:val="single" w:color="auto" w:sz="4" w:space="0"/>
              <w:left w:val="single" w:color="auto" w:sz="4" w:space="0"/>
              <w:bottom w:val="single" w:color="auto" w:sz="4" w:space="0"/>
              <w:right w:val="single" w:color="auto"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中空架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1850*450*2400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84455</wp:posOffset>
                      </wp:positionH>
                      <wp:positionV relativeFrom="paragraph">
                        <wp:posOffset>790575</wp:posOffset>
                      </wp:positionV>
                      <wp:extent cx="1600835" cy="121158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1600835" cy="1211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60288;o:allowoverlap:true;o:allowincell:true;mso-position-horizontal-relative:text;margin-left:6.6pt;mso-position-horizontal:absolute;mso-position-vertical-relative:text;margin-top:62.2pt;mso-position-vertical:absolute;width:126.0pt;height:95.4pt;mso-wrap-distance-left:9.0pt;mso-wrap-distance-top:0.0pt;mso-wrap-distance-right:9.0pt;mso-wrap-distance-bottom:0.0pt;" stroked="f">
                      <v:path textboxrect="0,0,0,0"/>
                      <v:imagedata r:id="rId170"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55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1、基材：优质E0级实木多层板，所有板材均经过防虫、防腐等化学处理，符合国家绿色环保板材要求，达到国际握钉力测试标准；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2、面材：采用优质三聚氰胺贴面，美观耐用；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3、封边：采用优质同色PVC封边条，耐干热、耐磨、耐老化，封边条厚度为2mm；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4、胶粘剂：采用优质环保乳胶胶水，粘性强，久不分层，具有防水、防潮、耐油等特点；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5、优质五金配件：耐氧化、耐腐蚀，经久耐用，阻尼导轨和铰链</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1600"/>
        </w:trPr>
        <w:tc>
          <w:tcPr>
            <w:shd w:val="clear" w:color="auto" w:fill="auto"/>
            <w:tcBorders>
              <w:top w:val="single" w:color="auto" w:sz="4" w:space="0"/>
              <w:left w:val="single" w:color="000000" w:sz="4" w:space="0"/>
              <w:bottom w:val="single" w:color="000000" w:sz="4" w:space="0"/>
              <w:right w:val="single" w:color="000000" w:sz="4" w:space="0"/>
            </w:tcBorders>
            <w:tcW w:w="3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auto" w:sz="4" w:space="0"/>
              <w:left w:val="single" w:color="000000" w:sz="4" w:space="0"/>
              <w:bottom w:val="single" w:color="000000" w:sz="4" w:space="0"/>
              <w:right w:val="single" w:color="auto"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门洞架</w:t>
            </w:r>
            <w:r/>
          </w:p>
        </w:tc>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1045*450*2400</w:t>
            </w:r>
            <w:r/>
          </w:p>
        </w:tc>
        <w:tc>
          <w:tcPr>
            <w:shd w:val="clear" w:color="auto" w:fill="auto"/>
            <w:tcBorders>
              <w:top w:val="single" w:color="auto" w:sz="4" w:space="0"/>
              <w:left w:val="single" w:color="auto" w:sz="4" w:space="0"/>
              <w:bottom w:val="single" w:color="auto" w:sz="4" w:space="0"/>
              <w:right w:val="single" w:color="auto" w:sz="4" w:space="0"/>
            </w:tcBorders>
            <w:tcW w:w="1449"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1559" w:type="pct"/>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bl>
    <w:p>
      <w:pP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通过中国海关报关验放进入中国境内且产自关境外的产品不在本项目的报价范围。</w:t>
      </w:r>
      <w:r/>
    </w:p>
    <w:p>
      <w:pPr>
        <w:numPr>
          <w:ilvl w:val="1"/>
          <w:numId w:val="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3.</w:t>
      </w: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bCs/>
          <w:color w:val="000000"/>
          <w:sz w:val="24"/>
          <w:szCs w:val="24"/>
          <w:highlight w:val="none"/>
        </w:rPr>
        <w:t xml:space="preserve">投标人必须在满足招标文件要求的基础上进行报价，如有技术偏离请于投标偏离表中说明。</w:t>
      </w:r>
      <w:r/>
    </w:p>
    <w:p>
      <w:pPr>
        <w:numPr>
          <w:ilvl w:val="1"/>
          <w:numId w:val="0"/>
        </w:numPr>
        <w:ind w:left="0" w:firstLine="480"/>
        <w:jc w:val="left"/>
        <w:spacing w:line="360" w:lineRule="auto"/>
        <w:shd w:val="clear" w:color="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项目概况：为满足</w:t>
      </w:r>
      <w:r>
        <w:rPr>
          <w:rFonts w:hint="eastAsia" w:ascii="宋体"/>
          <w:bCs/>
          <w:color w:val="000000"/>
          <w:sz w:val="24"/>
          <w:szCs w:val="24"/>
          <w:highlight w:val="none"/>
          <w:lang w:eastAsia="zh-CN"/>
        </w:rPr>
        <w:t xml:space="preserve">梅村高中</w:t>
      </w:r>
      <w:r>
        <w:rPr>
          <w:rFonts w:hint="eastAsia" w:ascii="宋体"/>
          <w:bCs/>
          <w:color w:val="000000"/>
          <w:sz w:val="24"/>
          <w:szCs w:val="24"/>
          <w:highlight w:val="none"/>
        </w:rPr>
        <w:t xml:space="preserve">家具采购项目使用需求，现采购家具一批</w:t>
      </w:r>
      <w:r>
        <w:rPr>
          <w:rFonts w:hint="eastAsia" w:ascii="宋体"/>
          <w:bCs/>
          <w:color w:val="000000"/>
          <w:sz w:val="24"/>
          <w:szCs w:val="24"/>
          <w:highlight w:val="none"/>
          <w:lang w:eastAsia="zh-CN"/>
        </w:rPr>
        <w:t xml:space="preserve">，其中</w:t>
      </w:r>
      <w:r>
        <w:rPr>
          <w:rFonts w:hint="eastAsia" w:ascii="宋体"/>
          <w:bCs/>
          <w:color w:val="000000"/>
          <w:sz w:val="24"/>
          <w:szCs w:val="24"/>
          <w:highlight w:val="none"/>
        </w:rPr>
        <w:t xml:space="preserve">艺体楼、图书馆及心理健康发展中心需配套采购书架、办公教学桌椅等家具</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生物实验室6间</w:t>
      </w:r>
      <w:r>
        <w:rPr>
          <w:rFonts w:hint="eastAsia" w:ascii="宋体"/>
          <w:bCs/>
          <w:color w:val="000000"/>
          <w:sz w:val="24"/>
          <w:szCs w:val="24"/>
          <w:highlight w:val="none"/>
          <w:lang w:eastAsia="zh-CN"/>
        </w:rPr>
        <w:t xml:space="preserve">，面积约</w:t>
      </w:r>
      <w:r>
        <w:rPr>
          <w:rFonts w:hint="eastAsia" w:ascii="宋体"/>
          <w:bCs/>
          <w:color w:val="000000"/>
          <w:sz w:val="24"/>
          <w:szCs w:val="24"/>
          <w:highlight w:val="none"/>
          <w:lang w:val="en-US" w:eastAsia="zh-CN"/>
        </w:rPr>
        <w:t xml:space="preserve">646.06㎡，</w:t>
      </w:r>
      <w:r>
        <w:rPr>
          <w:rFonts w:hint="eastAsia" w:ascii="宋体"/>
          <w:bCs/>
          <w:color w:val="000000"/>
          <w:sz w:val="24"/>
          <w:szCs w:val="24"/>
          <w:highlight w:val="none"/>
        </w:rPr>
        <w:t xml:space="preserve">需配套采购仪器柜、实验桌等实验室家具</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生物实验室</w:t>
      </w:r>
      <w:r>
        <w:rPr>
          <w:rFonts w:hint="eastAsia" w:ascii="宋体"/>
          <w:bCs/>
          <w:color w:val="000000"/>
          <w:sz w:val="24"/>
          <w:szCs w:val="24"/>
          <w:highlight w:val="none"/>
          <w:lang w:eastAsia="zh-CN"/>
        </w:rPr>
        <w:t xml:space="preserve">平面图详见附件</w:t>
      </w:r>
      <w:r>
        <w:rPr>
          <w:rFonts w:hint="eastAsia" w:ascii="宋体"/>
          <w:bCs/>
          <w:color w:val="000000"/>
          <w:sz w:val="24"/>
          <w:szCs w:val="24"/>
          <w:highlight w:val="none"/>
        </w:rPr>
        <w:t xml:space="preserve">。</w:t>
      </w:r>
      <w:r/>
    </w:p>
    <w:p>
      <w:pPr>
        <w:numPr>
          <w:ilvl w:val="1"/>
          <w:numId w:val="0"/>
        </w:numPr>
        <w:ind w:left="0" w:firstLine="480"/>
        <w:jc w:val="left"/>
        <w:spacing w:line="360" w:lineRule="auto"/>
        <w:shd w:val="clear" w:color="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6.</w:t>
      </w:r>
      <w:r>
        <w:rPr>
          <w:rFonts w:hint="eastAsia" w:ascii="宋体"/>
          <w:bCs/>
          <w:color w:val="000000"/>
          <w:sz w:val="24"/>
          <w:szCs w:val="24"/>
          <w:highlight w:val="none"/>
        </w:rPr>
        <w:t xml:space="preserve">服务期/完工期：合同签订生效后</w:t>
      </w:r>
      <w:r>
        <w:rPr>
          <w:rFonts w:hint="eastAsia" w:ascii="宋体"/>
          <w:bCs/>
          <w:color w:val="000000"/>
          <w:sz w:val="24"/>
          <w:szCs w:val="24"/>
          <w:highlight w:val="none"/>
          <w:lang w:val="en-US" w:eastAsia="zh-CN"/>
        </w:rPr>
        <w:t xml:space="preserve">3</w:t>
      </w:r>
      <w:r>
        <w:rPr>
          <w:rFonts w:hint="eastAsia" w:ascii="宋体"/>
          <w:bCs/>
          <w:color w:val="000000"/>
          <w:sz w:val="24"/>
          <w:szCs w:val="24"/>
          <w:highlight w:val="none"/>
        </w:rPr>
        <w:t xml:space="preserve">0个日历天内安装调试完毕</w:t>
      </w:r>
      <w:r/>
    </w:p>
    <w:p>
      <w:pPr>
        <w:numPr>
          <w:ilvl w:val="1"/>
          <w:numId w:val="0"/>
        </w:numPr>
        <w:ind w:left="0" w:firstLine="480"/>
        <w:spacing w:line="360" w:lineRule="auto"/>
        <w:shd w:val="clear" w:color="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7.</w:t>
      </w:r>
      <w:r>
        <w:rPr>
          <w:rFonts w:hint="eastAsia" w:ascii="宋体"/>
          <w:bCs/>
          <w:color w:val="000000"/>
          <w:sz w:val="24"/>
          <w:szCs w:val="24"/>
          <w:highlight w:val="none"/>
        </w:rPr>
        <w:t xml:space="preserve">项目整体质保期：</w:t>
      </w:r>
      <w:r>
        <w:rPr>
          <w:rFonts w:hint="eastAsia" w:ascii="宋体"/>
          <w:bCs/>
          <w:color w:val="000000"/>
          <w:sz w:val="24"/>
          <w:szCs w:val="24"/>
          <w:highlight w:val="none"/>
          <w:lang w:val="en-US" w:eastAsia="zh-CN"/>
        </w:rPr>
        <w:t xml:space="preserve">五</w:t>
      </w:r>
      <w:r>
        <w:rPr>
          <w:rFonts w:hint="eastAsia" w:ascii="宋体"/>
          <w:bCs/>
          <w:color w:val="000000"/>
          <w:sz w:val="24"/>
          <w:szCs w:val="24"/>
          <w:highlight w:val="none"/>
        </w:rPr>
        <w:t xml:space="preserve">年。</w:t>
      </w:r>
      <w:r/>
    </w:p>
    <w:p>
      <w:pPr>
        <w:numPr>
          <w:ilvl w:val="1"/>
          <w:numId w:val="0"/>
        </w:numPr>
        <w:ind w:firstLine="480"/>
        <w:spacing w:line="360" w:lineRule="auto"/>
        <w:shd w:val="clear" w:color="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8.</w:t>
      </w:r>
      <w:r>
        <w:rPr>
          <w:rFonts w:hint="eastAsia" w:ascii="宋体" w:hAnsi="宋体"/>
          <w:bCs/>
          <w:color w:val="000000"/>
          <w:sz w:val="24"/>
          <w:szCs w:val="24"/>
          <w:highlight w:val="none"/>
        </w:rPr>
        <w:t xml:space="preserve">付款方式：</w:t>
      </w:r>
      <w:r>
        <w:rPr>
          <w:rFonts w:hint="eastAsia" w:ascii="宋体" w:hAnsi="宋体"/>
          <w:bCs/>
          <w:color w:val="000000"/>
          <w:sz w:val="24"/>
          <w:szCs w:val="24"/>
          <w:highlight w:val="none"/>
          <w:lang w:val="en-US" w:eastAsia="zh-CN"/>
        </w:rPr>
        <w:t xml:space="preserve">按财政拨款进度支付，</w:t>
      </w:r>
      <w:r>
        <w:rPr>
          <w:rFonts w:hint="eastAsia" w:ascii="宋体" w:hAnsi="宋体"/>
          <w:bCs/>
          <w:color w:val="000000"/>
          <w:sz w:val="24"/>
          <w:szCs w:val="24"/>
          <w:highlight w:val="none"/>
        </w:rPr>
        <w:t xml:space="preserve">合同签订后预付合同总金额的</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0%，货到现场安装完成验收合格后支付至合同总价的</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0%，审计结束后付至审定总额的9</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%，余款验收满一年后支付。上述款项均不计息。中标单位应于每次付款前向采购人提供</w:t>
      </w:r>
      <w:r>
        <w:rPr>
          <w:rFonts w:hint="eastAsia" w:ascii="宋体" w:hAnsi="宋体"/>
          <w:bCs/>
          <w:color w:val="000000"/>
          <w:sz w:val="24"/>
          <w:szCs w:val="24"/>
          <w:highlight w:val="none"/>
        </w:rPr>
        <w:t xml:space="preserve">对应金额的发票，否则采购人有权相应顺延付款而无需承担逾期付款责任。</w:t>
      </w:r>
      <w:r/>
    </w:p>
    <w:p>
      <w:pPr>
        <w:numPr>
          <w:ilvl w:val="1"/>
          <w:numId w:val="0"/>
        </w:numPr>
        <w:ind w:left="0" w:firstLine="480"/>
        <w:spacing w:line="360" w:lineRule="auto"/>
        <w:shd w:val="clear" w:color="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9.</w:t>
      </w:r>
      <w:r>
        <w:rPr>
          <w:rFonts w:hint="eastAsia" w:ascii="宋体" w:hAnsi="宋体"/>
          <w:bCs/>
          <w:color w:val="000000"/>
          <w:sz w:val="24"/>
          <w:szCs w:val="24"/>
          <w:highlight w:val="none"/>
        </w:rPr>
        <w:t xml:space="preserve">本项目合同履行地点：无锡 ，具体地点以合同书约定为准。中标方必须按采购人要求将本项目中货物送到指定地点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10</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cs="Times New Roman"/>
          <w:bCs/>
          <w:color w:val="000000"/>
          <w:sz w:val="24"/>
          <w:szCs w:val="24"/>
          <w:highlight w:val="none"/>
          <w:lang w:val="en-US" w:eastAsia="zh-CN" w:bidi="ar-SA"/>
        </w:rPr>
        <w:t xml:space="preserve">1</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cs="Times New Roman"/>
          <w:bCs/>
          <w:color w:val="000000"/>
          <w:sz w:val="24"/>
          <w:szCs w:val="24"/>
          <w:highlight w:val="none"/>
          <w:lang w:val="en-US" w:eastAsia="zh-CN" w:bidi="ar-SA"/>
        </w:rPr>
        <w:t xml:space="preserve">2</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eastAsia="宋体" w:cs="Times New Roman"/>
          <w:bCs/>
          <w:color w:val="000000"/>
          <w:sz w:val="24"/>
          <w:szCs w:val="21"/>
          <w:highlight w:val="none"/>
          <w:lang w:val="en-US" w:eastAsia="zh-CN" w:bidi="ar-SA"/>
        </w:rPr>
        <w:t xml:space="preserve">1</w:t>
      </w:r>
      <w:r>
        <w:rPr>
          <w:rFonts w:hint="eastAsia" w:ascii="宋体" w:hAnsi="宋体" w:cs="Times New Roman"/>
          <w:bCs/>
          <w:color w:val="000000"/>
          <w:sz w:val="24"/>
          <w:szCs w:val="21"/>
          <w:highlight w:val="none"/>
          <w:lang w:val="en-US" w:eastAsia="zh-CN" w:bidi="ar-SA"/>
        </w:rPr>
        <w:t xml:space="preserve">3</w:t>
      </w:r>
      <w:r>
        <w:rPr>
          <w:rFonts w:hint="eastAsia" w:ascii="宋体" w:hAnsi="宋体" w:eastAsia="宋体" w:cs="Times New Roman"/>
          <w:bCs/>
          <w:color w:val="000000"/>
          <w:sz w:val="24"/>
          <w:szCs w:val="21"/>
          <w:highlight w:val="none"/>
          <w:lang w:val="en-US" w:eastAsia="zh-CN" w:bidi="ar-SA"/>
        </w:rPr>
        <w:t xml:space="preserve">.</w:t>
      </w: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中标、成交供应商可以采用电子履约保函形式，具体操作可登陆江苏政府采购网的保险保函模块进行办理。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rPr>
          <w:highlight w:val="none"/>
        </w:rPr>
      </w:pPr>
      <w:r>
        <w:rPr>
          <w:highlight w:val="none"/>
        </w:rPr>
      </w:r>
      <w:r/>
    </w:p>
    <w:p>
      <w:pPr>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p>
    <w:p>
      <w:pPr>
        <w:jc w:val="both"/>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57"/>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p>
    <w:p>
      <w:pPr>
        <w:pStyle w:val="1057"/>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p>
    <w:p>
      <w:pPr>
        <w:pStyle w:val="1057"/>
        <w:spacing w:before="0" w:after="0" w:line="500" w:lineRule="exact"/>
        <w:rPr>
          <w:rFonts w:cs="Arial"/>
          <w:color w:val="000000"/>
          <w:highlight w:val="none"/>
        </w:rPr>
      </w:pPr>
      <w:r>
        <w:rPr>
          <w:rFonts w:hint="eastAsia" w:cs="Arial"/>
          <w:color w:val="000000"/>
          <w:highlight w:val="none"/>
        </w:rPr>
        <w:t xml:space="preserve">比较与评价采用综合评分法。</w:t>
      </w:r>
      <w:r/>
    </w:p>
    <w:p>
      <w:pPr>
        <w:pStyle w:val="1057"/>
        <w:spacing w:before="0" w:after="0" w:line="500" w:lineRule="exact"/>
        <w:rPr>
          <w:rFonts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57"/>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57"/>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57"/>
        <w:ind w:firstLine="0"/>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pStyle w:val="1057"/>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w:t>
      </w:r>
      <w:r>
        <w:rPr>
          <w:rFonts w:hint="eastAsia" w:ascii="宋体" w:hAnsi="宋体"/>
          <w:b/>
          <w:bCs/>
          <w:color w:val="000000"/>
          <w:sz w:val="24"/>
          <w:szCs w:val="24"/>
          <w:highlight w:val="none"/>
          <w:lang w:val="en-US" w:eastAsia="zh-CN"/>
        </w:rPr>
        <w:t xml:space="preserve">非</w:t>
      </w:r>
      <w:r>
        <w:rPr>
          <w:rFonts w:hint="eastAsia" w:ascii="宋体" w:hAnsi="宋体"/>
          <w:b/>
          <w:bCs/>
          <w:color w:val="000000"/>
          <w:sz w:val="24"/>
          <w:szCs w:val="24"/>
          <w:highlight w:val="none"/>
        </w:rPr>
        <w:t xml:space="preserve">专门面向中小企业的，本项目或采购包享受小微型企业价格扣除政策。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sz w:val="24"/>
          <w:szCs w:val="24"/>
          <w:highlight w:val="none"/>
        </w:rPr>
        <w:t xml:space="preserve">201</w:t>
      </w:r>
      <w:r>
        <w:rPr>
          <w:rFonts w:hint="eastAsia" w:ascii="宋体" w:hAnsi="宋体"/>
          <w:bCs/>
          <w:color w:val="000000"/>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p>
    <w:p>
      <w:pPr>
        <w:pStyle w:val="1057"/>
        <w:numPr>
          <w:ilvl w:val="0"/>
          <w:numId w:val="0"/>
        </w:numPr>
        <w:ind w:firstLine="0"/>
        <w:jc w:val="both"/>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二、</w:t>
      </w:r>
      <w:r>
        <w:rPr>
          <w:rFonts w:hint="eastAsia" w:ascii="宋体" w:hAnsi="宋体"/>
          <w:b/>
          <w:color w:val="000000"/>
          <w:sz w:val="28"/>
          <w:szCs w:val="28"/>
          <w:highlight w:val="none"/>
        </w:rPr>
        <w:t xml:space="preserve">评分标准</w:t>
      </w:r>
      <w:r/>
    </w:p>
    <w:p>
      <w:pPr>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630" w:leader="none"/>
        </w:tabs>
        <w:rPr>
          <w:color w:val="000000"/>
          <w:sz w:val="24"/>
          <w:highlight w:val="none"/>
        </w:rPr>
      </w:pPr>
      <w:r>
        <w:rPr>
          <w:rFonts w:hint="eastAsia"/>
          <w:color w:val="000000"/>
          <w:sz w:val="24"/>
          <w:highlight w:val="none"/>
        </w:rPr>
        <w:t xml:space="preserve">投标报价得分=（评标基准价/投标报价）×</w:t>
      </w:r>
      <w:r>
        <w:rPr>
          <w:rFonts w:hint="eastAsia"/>
          <w:color w:val="000000"/>
          <w:sz w:val="24"/>
          <w:highlight w:val="none"/>
          <w:lang w:val="en-US" w:eastAsia="zh-CN"/>
        </w:rPr>
        <w:t xml:space="preserve">3</w:t>
      </w:r>
      <w:r>
        <w:rPr>
          <w:rFonts w:hint="eastAsia"/>
          <w:color w:val="000000"/>
          <w:sz w:val="24"/>
          <w:highlight w:val="none"/>
        </w:rPr>
        <w:t xml:space="preserve">0。</w:t>
      </w:r>
      <w:r/>
    </w:p>
    <w:p>
      <w:pPr>
        <w:ind w:firstLine="480"/>
        <w:spacing w:line="360" w:lineRule="auto"/>
        <w:tabs>
          <w:tab w:val="left" w:pos="945" w:leader="none"/>
          <w:tab w:val="left" w:pos="1155"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关于价格扣除详见本章第二部分“一、落实政府采购政策的价格调整”。</w:t>
      </w:r>
      <w:r/>
    </w:p>
    <w:p>
      <w:pPr>
        <w:ind w:firstLine="0"/>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val="en-US" w:eastAsia="en-US"/>
        </w:rPr>
        <w:t xml:space="preserve">投标人综合情况（</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eastAsia="en-US"/>
        </w:rPr>
        <w:t xml:space="preserve">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2.1业绩（</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分）：投标人提供202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年1月1日以来（以合同签订时间为准）具有类似项目成功案例的，每有一个项目得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分，本项最高得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分。须提供合同、验收证明（能够证明本项目已完成的证明材料）及资金往来凭证（</w:t>
      </w:r>
      <w:r>
        <w:rPr>
          <w:rFonts w:hint="eastAsia" w:ascii="宋体" w:hAnsi="宋体" w:eastAsia="宋体" w:cs="宋体"/>
          <w:sz w:val="24"/>
          <w:szCs w:val="24"/>
          <w:highlight w:val="none"/>
          <w:lang w:val="en-US" w:eastAsia="zh-CN"/>
        </w:rPr>
        <w:t xml:space="preserve">汇款凭证</w:t>
      </w:r>
      <w:r>
        <w:rPr>
          <w:rFonts w:hint="eastAsia" w:ascii="宋体" w:hAnsi="宋体" w:eastAsia="宋体" w:cs="宋体"/>
          <w:sz w:val="24"/>
          <w:szCs w:val="24"/>
          <w:highlight w:val="none"/>
          <w:lang w:eastAsia="zh-CN"/>
        </w:rPr>
        <w:t xml:space="preserve">）的原件扫描件，不提供或未按要求提供不得分。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体系认证证书（3分）：投标人具有有效期内质量管理体系认证、环境管理体系认证、职业健康安全管理体系认证。每项有效证书得1分，本项最高得3分。【提供在有效期内的认证证书原件的扫描件，同时还须提供该证书在“国家市场监督管理总局-全国认证认可信息公共服务平台”网站查询到的有效认证截图并加盖投标人公章，不提供不得分】。</w:t>
      </w:r>
      <w:r/>
    </w:p>
    <w:p>
      <w:pPr>
        <w:pStyle w:val="909"/>
        <w:ind w:left="0"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lang w:eastAsia="zh-CN"/>
        </w:rPr>
        <w:t xml:space="preserve">中国绿色产品认证证书（</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投标人具有有效期内的中国绿色产品认证证书。【提供在有效期内的认证证书原件的扫描件，同时还须提供该证书在“国家市场监督管理总局-全国认证认可信息公共服务平台”网站查询到的有效认证截图并加盖投标人公章，不提供不得分】。</w:t>
      </w:r>
      <w:r/>
    </w:p>
    <w:p>
      <w:pPr>
        <w:ind w:firstLine="0"/>
        <w:spacing w:line="360" w:lineRule="auto"/>
        <w:tabs>
          <w:tab w:val="left" w:pos="945" w:leader="none"/>
          <w:tab w:val="left" w:pos="1155"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eastAsia="zh-CN" w:bidi="ar"/>
        </w:rPr>
        <w:t xml:space="preserve">（</w:t>
      </w:r>
      <w:r>
        <w:rPr>
          <w:rFonts w:hint="eastAsia" w:ascii="宋体" w:hAnsi="宋体" w:cs="宋体"/>
          <w:b/>
          <w:color w:val="000000"/>
          <w:sz w:val="24"/>
          <w:szCs w:val="24"/>
          <w:highlight w:val="none"/>
          <w:lang w:val="en-US" w:eastAsia="zh-CN" w:bidi="ar"/>
        </w:rPr>
        <w:t xml:space="preserve">三）</w:t>
      </w:r>
      <w:r>
        <w:rPr>
          <w:rFonts w:hint="eastAsia" w:ascii="宋体" w:hAnsi="宋体" w:cs="宋体"/>
          <w:b/>
          <w:color w:val="000000"/>
          <w:sz w:val="24"/>
          <w:szCs w:val="24"/>
          <w:highlight w:val="none"/>
          <w:lang w:bidi="ar"/>
        </w:rPr>
        <w:t xml:space="preserve">产品技术 （</w:t>
      </w:r>
      <w:r>
        <w:rPr>
          <w:rFonts w:hint="eastAsia" w:ascii="宋体" w:hAnsi="宋体" w:cs="宋体"/>
          <w:b/>
          <w:color w:val="000000"/>
          <w:sz w:val="24"/>
          <w:szCs w:val="24"/>
          <w:highlight w:val="none"/>
          <w:lang w:val="en-US" w:eastAsia="zh-CN" w:bidi="ar"/>
        </w:rPr>
        <w:t xml:space="preserve">6</w:t>
      </w:r>
      <w:r>
        <w:rPr>
          <w:rFonts w:hint="eastAsia" w:ascii="宋体" w:hAnsi="宋体" w:cs="宋体"/>
          <w:b/>
          <w:color w:val="000000"/>
          <w:sz w:val="24"/>
          <w:szCs w:val="24"/>
          <w:highlight w:val="none"/>
          <w:lang w:bidi="ar"/>
        </w:rPr>
        <w:t xml:space="preserve">分）</w:t>
      </w:r>
      <w:r/>
    </w:p>
    <w:p>
      <w:pPr>
        <w:numPr>
          <w:ilvl w:val="0"/>
          <w:numId w:val="0"/>
        </w:numPr>
        <w:ind w:firstLine="480"/>
        <w:spacing w:line="360" w:lineRule="auto"/>
        <w:rPr>
          <w:rFonts w:hint="eastAsia" w:ascii="宋体" w:hAnsi="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投标单位或生产厂家须提供国家认可的权威检测机构出具的检测报告扫描件，检测项目需涵盖要求中的所有项目，与要求中所对应的产品名称不同但内容实质相同的视作等同。提供有效的检测报告得分，不提供或提供不完整不得分。</w:t>
      </w:r>
      <w:r/>
    </w:p>
    <w:p>
      <w:pPr>
        <w:numPr>
          <w:ilvl w:val="0"/>
          <w:numId w:val="0"/>
        </w:numPr>
        <w:ind w:firstLine="480"/>
        <w:jc w:val="left"/>
        <w:keepLines w:val="0"/>
        <w:keepNext w:val="0"/>
        <w:pageBreakBefore w:val="0"/>
        <w:spacing w:line="360" w:lineRule="auto"/>
        <w:shd w:val="clear" w:color="auto" w:fill="ffffff" w:themeFill="background1"/>
        <w:widowControl w:val="off"/>
        <w:rPr>
          <w:rFonts w:hint="eastAsia" w:ascii="宋体" w:hAnsi="宋体" w:eastAsia="宋体"/>
          <w:b w:val="0"/>
          <w:bCs w:val="0"/>
          <w:color w:val="000000"/>
          <w:sz w:val="24"/>
          <w:szCs w:val="24"/>
          <w:highlight w:val="none"/>
          <w:lang w:val="en-US" w:eastAsia="zh-CN"/>
        </w:rPr>
      </w:pPr>
      <w:r>
        <w:rPr>
          <w:rFonts w:hint="eastAsia" w:ascii="宋体" w:hAnsi="宋体"/>
          <w:b w:val="0"/>
          <w:bCs w:val="0"/>
          <w:color w:val="auto"/>
          <w:sz w:val="24"/>
          <w:szCs w:val="24"/>
          <w:highlight w:val="none"/>
          <w:shd w:val="clear" w:color="auto"/>
          <w:lang w:val="en-US" w:eastAsia="zh-CN"/>
        </w:rPr>
        <w:t xml:space="preserve">3.1智控一体双屏讲台</w:t>
      </w:r>
      <w:r>
        <w:rPr>
          <w:rFonts w:hint="eastAsia" w:ascii="宋体" w:hAnsi="宋体" w:eastAsia="宋体"/>
          <w:b w:val="0"/>
          <w:bCs w:val="0"/>
          <w:color w:val="000000"/>
          <w:sz w:val="24"/>
          <w:szCs w:val="24"/>
          <w:highlight w:val="none"/>
          <w:lang w:val="en-US" w:eastAsia="zh-CN"/>
        </w:rPr>
        <w:t xml:space="preserve">（1分）</w:t>
      </w:r>
      <w:r/>
    </w:p>
    <w:p>
      <w:pPr>
        <w:numPr>
          <w:ilvl w:val="0"/>
          <w:numId w:val="0"/>
        </w:numPr>
        <w:ind w:firstLine="480"/>
        <w:jc w:val="left"/>
        <w:keepLines w:val="0"/>
        <w:keepNext w:val="0"/>
        <w:pageBreakBefore w:val="0"/>
        <w:spacing w:line="360" w:lineRule="auto"/>
        <w:widowControl w:val="off"/>
        <w:rPr>
          <w:rFonts w:hint="eastAsia"/>
          <w:sz w:val="24"/>
          <w:szCs w:val="32"/>
          <w:highlight w:val="none"/>
        </w:rPr>
      </w:pPr>
      <w:r>
        <w:rPr>
          <w:rFonts w:hint="eastAsia" w:ascii="宋体" w:hAnsi="宋体" w:eastAsia="宋体"/>
          <w:bCs/>
          <w:color w:val="000000"/>
          <w:sz w:val="24"/>
          <w:szCs w:val="24"/>
          <w:highlight w:val="none"/>
          <w:lang w:val="en-US" w:eastAsia="zh-CN"/>
        </w:rPr>
        <w:t xml:space="preserve">检测依据：GB/T 24820-2024、GB/T 3325-2024</w:t>
      </w:r>
      <w:r>
        <w:rPr>
          <w:rFonts w:hint="eastAsia" w:ascii="宋体" w:cs="Times New Roman"/>
          <w:bCs/>
          <w:color w:val="000000"/>
          <w:sz w:val="24"/>
          <w:szCs w:val="24"/>
          <w:highlight w:val="none"/>
          <w:lang w:val="en-US" w:eastAsia="zh-CN"/>
        </w:rPr>
        <w:t xml:space="preserve">，</w:t>
      </w:r>
      <w:r>
        <w:rPr>
          <w:rFonts w:hint="eastAsia"/>
          <w:sz w:val="24"/>
          <w:szCs w:val="32"/>
          <w:highlight w:val="none"/>
        </w:rPr>
        <w:t xml:space="preserve">或达到上述标准的最新有效版本；</w:t>
      </w:r>
      <w:r/>
    </w:p>
    <w:p>
      <w:pPr>
        <w:ind w:firstLine="480"/>
        <w:rPr>
          <w:rFonts w:hint="eastAsia"/>
          <w:sz w:val="24"/>
          <w:szCs w:val="32"/>
          <w:highlight w:val="none"/>
        </w:rPr>
      </w:pPr>
      <w:r>
        <w:rPr>
          <w:rFonts w:hint="eastAsia"/>
          <w:sz w:val="24"/>
          <w:szCs w:val="32"/>
          <w:highlight w:val="none"/>
        </w:rPr>
        <w:t xml:space="preserve">检测项目及合格要求：</w:t>
      </w:r>
      <w:r/>
    </w:p>
    <w:p>
      <w:pPr>
        <w:numPr>
          <w:ilvl w:val="0"/>
          <w:numId w:val="0"/>
        </w:numPr>
        <w:ind w:left="479" w:firstLine="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①金属件外观：管材、焊接件、冲压件、铆接件、喷涂层、电镀层均符合要求；②</w:t>
      </w:r>
      <w:r>
        <w:rPr>
          <w:rFonts w:hint="eastAsia" w:ascii="宋体" w:hAnsi="宋体" w:eastAsia="宋体"/>
          <w:bCs/>
          <w:color w:val="000000"/>
          <w:sz w:val="24"/>
          <w:szCs w:val="24"/>
          <w:highlight w:val="none"/>
          <w:lang w:val="en-US" w:eastAsia="zh-CN"/>
        </w:rPr>
        <w:t xml:space="preserve">有害物质限量：可迁移有害元素锑、砷、钡、镉、</w:t>
      </w:r>
      <w:r>
        <w:rPr>
          <w:rFonts w:hint="default" w:ascii="宋体" w:hAnsi="宋体" w:eastAsia="宋体"/>
          <w:bCs/>
          <w:color w:val="000000"/>
          <w:sz w:val="24"/>
          <w:szCs w:val="24"/>
          <w:highlight w:val="none"/>
          <w:lang w:val="en-US" w:eastAsia="zh-CN"/>
        </w:rPr>
        <w:t xml:space="preserve">铬</w:t>
      </w:r>
      <w:r>
        <w:rPr>
          <w:rFonts w:hint="eastAsia" w:ascii="宋体" w:hAnsi="宋体" w:eastAsia="宋体"/>
          <w:bCs/>
          <w:color w:val="000000"/>
          <w:sz w:val="24"/>
          <w:szCs w:val="24"/>
          <w:highlight w:val="none"/>
          <w:lang w:val="en-US" w:eastAsia="zh-CN"/>
        </w:rPr>
        <w:t xml:space="preserve">、铅、汞、硒</w:t>
      </w:r>
      <w:r>
        <w:rPr>
          <w:rFonts w:hint="eastAsia" w:ascii="宋体" w:hAnsi="宋体" w:eastAsia="宋体" w:cs="宋体"/>
          <w:bCs/>
          <w:color w:val="000000"/>
          <w:sz w:val="24"/>
          <w:szCs w:val="24"/>
          <w:highlight w:val="none"/>
          <w:lang w:val="en-US" w:eastAsia="zh-CN"/>
        </w:rPr>
        <w:t xml:space="preserve">均未检出；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③升降口防护:设备降下后，升降口净空隙(不含防尘毛条)≤6rm,覆防尘毛条后≤lnm,自动遮盖升降口；</w:t>
      </w:r>
      <w:r/>
    </w:p>
    <w:p>
      <w:pPr>
        <w:numPr>
          <w:ilvl w:val="0"/>
          <w:numId w:val="0"/>
        </w:numPr>
        <w:ind w:firstLine="480"/>
        <w:jc w:val="left"/>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bCs/>
          <w:color w:val="000000"/>
          <w:sz w:val="24"/>
          <w:szCs w:val="24"/>
          <w:highlight w:val="none"/>
          <w:lang w:val="en-US" w:eastAsia="zh-CN"/>
        </w:rPr>
        <w:t xml:space="preserve">设备供电安全:设备总输入端设有独立空气开关，故障时快速切断供电；</w:t>
      </w:r>
      <w:r/>
    </w:p>
    <w:p>
      <w:pPr>
        <w:numPr>
          <w:ilvl w:val="0"/>
          <w:numId w:val="0"/>
        </w:numPr>
        <w:ind w:firstLine="480"/>
        <w:jc w:val="left"/>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⑤运动零部件安全控制:运动零部件设独立物理开关，故障时快速停止工作</w:t>
      </w:r>
      <w:r>
        <w:rPr>
          <w:rFonts w:hint="eastAsia" w:ascii="宋体" w:hAnsi="宋体" w:eastAsia="宋体"/>
          <w:bCs/>
          <w:color w:val="000000"/>
          <w:sz w:val="24"/>
          <w:szCs w:val="24"/>
          <w:highlight w:val="none"/>
          <w:lang w:val="en-US" w:eastAsia="zh-CN"/>
        </w:rPr>
        <w:t xml:space="preserve">；</w:t>
      </w:r>
      <w:r/>
    </w:p>
    <w:p>
      <w:pPr>
        <w:ind w:firstLine="480"/>
        <w:jc w:val="left"/>
        <w:spacing w:line="360" w:lineRule="auto"/>
        <w:shd w:val="clear" w:color="auto" w:fill="ffffff" w:themeFill="background1"/>
        <w:rPr>
          <w:rFonts w:hint="eastAsia"/>
          <w:sz w:val="24"/>
          <w:szCs w:val="32"/>
          <w:highlight w:val="none"/>
        </w:rPr>
      </w:pPr>
      <w:r>
        <w:rPr>
          <w:rFonts w:hint="eastAsia"/>
          <w:sz w:val="24"/>
          <w:szCs w:val="32"/>
          <w:highlight w:val="none"/>
        </w:rPr>
        <w:t xml:space="preserve">全部检测参数满足要求得1分，任意参数不满足要求或存在检测缺项不得分。</w:t>
      </w:r>
      <w:r/>
    </w:p>
    <w:p>
      <w:pPr>
        <w:ind w:firstLine="480"/>
        <w:jc w:val="left"/>
        <w:spacing w:line="360" w:lineRule="auto"/>
        <w:shd w:val="clear" w:color="auto" w:fill="ffffff" w:themeFill="background1"/>
        <w:rPr>
          <w:rFonts w:hint="eastAsia" w:ascii="宋体" w:hAnsi="宋体" w:eastAsia="宋体"/>
          <w:b w:val="0"/>
          <w:bCs/>
          <w:color w:val="000000"/>
          <w:sz w:val="24"/>
          <w:szCs w:val="24"/>
          <w:highlight w:val="none"/>
          <w:lang w:val="en-US" w:eastAsia="zh-CN"/>
        </w:rPr>
      </w:pPr>
      <w:r>
        <w:rPr>
          <w:rFonts w:hint="eastAsia" w:ascii="宋体" w:hAnsi="宋体" w:eastAsia="宋体" w:cs="宋体"/>
          <w:b w:val="0"/>
          <w:bCs/>
          <w:sz w:val="24"/>
          <w:szCs w:val="24"/>
          <w:highlight w:val="none"/>
          <w:lang w:val="en-US" w:eastAsia="zh-CN"/>
        </w:rPr>
        <w:t xml:space="preserve">3.2水槽柜</w:t>
      </w:r>
      <w:r>
        <w:rPr>
          <w:rFonts w:hint="eastAsia" w:ascii="宋体" w:hAnsi="宋体" w:eastAsia="宋体"/>
          <w:b w:val="0"/>
          <w:bCs/>
          <w:color w:val="000000"/>
          <w:sz w:val="24"/>
          <w:szCs w:val="24"/>
          <w:highlight w:val="none"/>
          <w:lang w:val="en-US" w:eastAsia="zh-CN"/>
        </w:rPr>
        <w:t xml:space="preserve">（1分）</w:t>
      </w:r>
      <w:r/>
    </w:p>
    <w:p>
      <w:pPr>
        <w:numPr>
          <w:ilvl w:val="0"/>
          <w:numId w:val="0"/>
        </w:numPr>
        <w:ind w:firstLine="482"/>
        <w:jc w:val="left"/>
        <w:keepLines w:val="0"/>
        <w:keepNext w:val="0"/>
        <w:pageBreakBefore w:val="0"/>
        <w:spacing w:line="360" w:lineRule="auto"/>
        <w:widowControl w:val="off"/>
        <w:rPr>
          <w:rFonts w:hint="eastAsia"/>
          <w:sz w:val="24"/>
          <w:szCs w:val="32"/>
          <w:highlight w:val="none"/>
        </w:rPr>
      </w:pPr>
      <w:r>
        <w:rPr>
          <w:rFonts w:hint="eastAsia" w:ascii="宋体" w:hAnsi="宋体" w:eastAsia="宋体"/>
          <w:b/>
          <w:bCs w:val="0"/>
          <w:color w:val="000000"/>
          <w:sz w:val="24"/>
          <w:szCs w:val="24"/>
          <w:highlight w:val="none"/>
          <w:lang w:val="en-US" w:eastAsia="zh-CN"/>
        </w:rPr>
        <w:t xml:space="preserve"> </w:t>
      </w:r>
      <w:r>
        <w:rPr>
          <w:rFonts w:hint="eastAsia" w:ascii="宋体" w:hAnsi="宋体" w:eastAsia="宋体"/>
          <w:bCs/>
          <w:color w:val="000000"/>
          <w:sz w:val="24"/>
          <w:szCs w:val="24"/>
          <w:highlight w:val="none"/>
          <w:lang w:val="en-US" w:eastAsia="zh-CN"/>
        </w:rPr>
        <w:t xml:space="preserve">检测依据：QB/T 2658-2017</w:t>
      </w:r>
      <w:r>
        <w:rPr>
          <w:rFonts w:hint="eastAsia" w:ascii="宋体" w:cs="Times New Roman"/>
          <w:bCs/>
          <w:color w:val="000000"/>
          <w:sz w:val="24"/>
          <w:szCs w:val="24"/>
          <w:highlight w:val="none"/>
          <w:lang w:val="en-US" w:eastAsia="zh-CN"/>
        </w:rPr>
        <w:t xml:space="preserve">，</w:t>
      </w:r>
      <w:r>
        <w:rPr>
          <w:rFonts w:hint="eastAsia"/>
          <w:sz w:val="24"/>
          <w:szCs w:val="32"/>
          <w:highlight w:val="none"/>
        </w:rPr>
        <w:t xml:space="preserve">或达到上述标准的最新有效版本；</w:t>
      </w:r>
      <w:r/>
    </w:p>
    <w:p>
      <w:pPr>
        <w:ind w:firstLine="480"/>
        <w:rPr>
          <w:rFonts w:hint="eastAsia"/>
          <w:sz w:val="24"/>
          <w:szCs w:val="32"/>
          <w:highlight w:val="none"/>
        </w:rPr>
      </w:pPr>
      <w:r>
        <w:rPr>
          <w:rFonts w:hint="eastAsia"/>
          <w:sz w:val="24"/>
          <w:szCs w:val="32"/>
          <w:highlight w:val="none"/>
        </w:rPr>
        <w:t xml:space="preserve">检测项目及合格要求：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①外观：产品使用表面应光滑顺畅，不应有划伤、裂纹、气泡、爆边等明显缺陷；台盆表面涂层应色泽均匀，结合牢固，不应有流挂、波纹、露底等缺陷；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②排水性能：沿台盆内部的上边缘均匀倒入IL水，除表面张力引起的残留水外，所有水都应被排出；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③冷、热稳定性：试验后，不应有裂纹等缺陷；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④耐化学腐蚀和耐污染性能：试验后，测试面无不可消除的不良，如污点、损坏等；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⑤溢流性能：台盆带有溢流孔，溢流等级CL10；</w:t>
      </w:r>
      <w:r/>
    </w:p>
    <w:p>
      <w:pPr>
        <w:numPr>
          <w:ilvl w:val="0"/>
          <w:numId w:val="0"/>
        </w:numPr>
        <w:ind w:firstLine="480"/>
        <w:spacing w:line="360" w:lineRule="auto"/>
        <w:shd w:val="clear" w:color="auto" w:fill="ffffff" w:themeFill="background1"/>
        <w:rPr>
          <w:rFonts w:hint="eastAsia"/>
          <w:sz w:val="24"/>
          <w:szCs w:val="32"/>
          <w:highlight w:val="none"/>
        </w:rPr>
      </w:pPr>
      <w:r>
        <w:rPr>
          <w:rFonts w:hint="eastAsia"/>
          <w:sz w:val="24"/>
          <w:szCs w:val="32"/>
          <w:highlight w:val="none"/>
        </w:rPr>
        <w:t xml:space="preserve">全部检测参数满足要求得1分，任意参数不满足要求或存在检测缺项不得分。</w:t>
      </w:r>
      <w:r/>
    </w:p>
    <w:p>
      <w:pPr>
        <w:numPr>
          <w:ilvl w:val="0"/>
          <w:numId w:val="0"/>
        </w:numPr>
        <w:ind w:firstLine="480"/>
        <w:spacing w:line="360" w:lineRule="auto"/>
        <w:shd w:val="clear" w:color="auto" w:fill="ffffff" w:themeFill="background1"/>
        <w:rPr>
          <w:rFonts w:hint="default" w:ascii="宋体" w:hAnsi="宋体" w:eastAsia="宋体" w:cs="宋体"/>
          <w:b/>
          <w:bCs/>
          <w:color w:val="auto"/>
          <w:sz w:val="24"/>
          <w:szCs w:val="24"/>
          <w:highlight w:val="none"/>
          <w:lang w:val="en-US" w:eastAsia="zh-CN"/>
        </w:rPr>
      </w:pPr>
      <w:r>
        <w:rPr>
          <w:rFonts w:hint="eastAsia" w:ascii="宋体" w:hAnsi="宋体"/>
          <w:b w:val="0"/>
          <w:bCs w:val="0"/>
          <w:color w:val="auto"/>
          <w:sz w:val="24"/>
          <w:szCs w:val="24"/>
          <w:highlight w:val="none"/>
          <w:shd w:val="clear" w:color="auto"/>
          <w:lang w:val="en-US" w:eastAsia="zh-CN"/>
        </w:rPr>
        <w:t xml:space="preserve">3.3 封边条</w:t>
      </w:r>
      <w:r>
        <w:rPr>
          <w:rFonts w:hint="eastAsia" w:ascii="宋体" w:hAnsi="宋体" w:eastAsia="宋体" w:cs="宋体"/>
          <w:b w:val="0"/>
          <w:bCs w:val="0"/>
          <w:color w:val="auto"/>
          <w:sz w:val="24"/>
          <w:szCs w:val="24"/>
          <w:highlight w:val="none"/>
          <w:lang w:val="en-US" w:eastAsia="zh-CN"/>
        </w:rPr>
        <w:t xml:space="preserve">（1分）</w:t>
      </w:r>
      <w:r>
        <w:rPr>
          <w:rFonts w:hint="default"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sz w:val="24"/>
          <w:szCs w:val="32"/>
          <w:highlight w:val="none"/>
        </w:rPr>
      </w:pPr>
      <w:r>
        <w:rPr>
          <w:rFonts w:hint="eastAsia" w:ascii="宋体" w:hAnsi="宋体" w:eastAsia="宋体" w:cs="宋体"/>
          <w:b w:val="0"/>
          <w:bCs/>
          <w:color w:val="auto"/>
          <w:sz w:val="24"/>
          <w:szCs w:val="24"/>
          <w:highlight w:val="none"/>
          <w:lang w:val="en-US" w:eastAsia="zh-CN"/>
        </w:rPr>
        <w:t xml:space="preserve">检测依据：GB/T 40908-2021、GB/T 40906-2021、GB/T 42998-2023、GB/T 40971-2021、GB/T 24128-2018、QB/T 4371-2012</w:t>
      </w:r>
      <w:r>
        <w:rPr>
          <w:rFonts w:hint="eastAsia" w:ascii="宋体" w:hAnsi="宋体" w:cs="宋体"/>
          <w:b w:val="0"/>
          <w:bCs/>
          <w:color w:val="auto"/>
          <w:sz w:val="24"/>
          <w:szCs w:val="24"/>
          <w:highlight w:val="none"/>
          <w:lang w:val="en-US" w:eastAsia="zh-CN"/>
        </w:rPr>
        <w:t xml:space="preserve">，</w:t>
      </w:r>
      <w:r>
        <w:rPr>
          <w:rFonts w:hint="eastAsia"/>
          <w:sz w:val="24"/>
          <w:szCs w:val="32"/>
          <w:highlight w:val="none"/>
        </w:rPr>
        <w:t xml:space="preserve">或达到上述标准的最新有效版本；</w:t>
      </w:r>
      <w:r/>
    </w:p>
    <w:p>
      <w:pPr>
        <w:ind w:firstLine="480"/>
        <w:rPr>
          <w:rFonts w:hint="eastAsia"/>
          <w:sz w:val="24"/>
          <w:szCs w:val="32"/>
          <w:highlight w:val="none"/>
        </w:rPr>
      </w:pPr>
      <w:r>
        <w:rPr>
          <w:rFonts w:hint="eastAsia"/>
          <w:sz w:val="24"/>
          <w:szCs w:val="32"/>
          <w:highlight w:val="none"/>
        </w:rPr>
        <w:t xml:space="preserve">检测项目及合格要求：</w:t>
      </w:r>
      <w:r/>
    </w:p>
    <w:p>
      <w:pPr>
        <w:ind w:firstLine="480"/>
        <w:jc w:val="left"/>
        <w:spacing w:line="360" w:lineRule="auto"/>
        <w:shd w:val="clear" w:color="auto" w:fill="ffffff" w:themeFill="background1"/>
        <w:rPr>
          <w:rFonts w:hint="eastAsia" w:ascii="宋体" w:hAnsi="Times New Roman" w:eastAsia="宋体" w:cs="Times New Roman"/>
          <w:b w:val="0"/>
          <w:bCs/>
          <w:i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①塑料封边条：耐光色牢度</w:t>
      </w:r>
      <w:r>
        <w:rPr>
          <w:rFonts w:hint="eastAsia" w:ascii="宋体" w:hAnsi="Times New Roman" w:eastAsia="宋体" w:cs="Times New Roman"/>
          <w:b w:val="0"/>
          <w:bCs/>
          <w:iCs w:val="0"/>
          <w:color w:val="auto"/>
          <w:sz w:val="24"/>
          <w:szCs w:val="24"/>
          <w:highlight w:val="none"/>
          <w:lang w:val="en-US" w:eastAsia="zh-CN" w:bidi="ar-SA"/>
        </w:rPr>
        <w:t xml:space="preserve">≥4级；</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iCs w:val="0"/>
          <w:color w:val="auto"/>
          <w:sz w:val="24"/>
          <w:szCs w:val="24"/>
          <w:highlight w:val="none"/>
          <w:lang w:val="en-US" w:eastAsia="zh-CN" w:bidi="ar-SA"/>
        </w:rPr>
        <w:t xml:space="preserve">②</w:t>
      </w:r>
      <w:r>
        <w:rPr>
          <w:rFonts w:hint="eastAsia" w:ascii="宋体" w:hAnsi="宋体" w:eastAsia="宋体" w:cs="宋体"/>
          <w:b w:val="0"/>
          <w:bCs/>
          <w:color w:val="auto"/>
          <w:sz w:val="24"/>
          <w:szCs w:val="24"/>
          <w:highlight w:val="none"/>
          <w:lang w:val="en-US" w:eastAsia="zh-CN"/>
        </w:rPr>
        <w:t xml:space="preserve">邻苯二甲酸酯（DBP、BBP、DEHP、DNOP、DINP、DIDP）未检出；</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③多溴联苯未检出；</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④邻苯二甲酸酯增塑剂（DBP、BBP、DEHP、DNOP、DINP、DIDP）未检出；</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⑤醛酮类化合物未检出；</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⑥多环芳烃</w:t>
      </w:r>
      <w:r>
        <w:rPr>
          <w:rFonts w:hint="eastAsia" w:ascii="宋体" w:hAnsi="宋体" w:eastAsia="宋体" w:cs="宋体"/>
          <w:b w:val="0"/>
          <w:bCs/>
          <w:color w:val="auto"/>
          <w:sz w:val="24"/>
          <w:szCs w:val="24"/>
          <w:highlight w:val="none"/>
          <w:lang w:val="en-US" w:eastAsia="zh-CN"/>
        </w:rPr>
        <w:t xml:space="preserve">未检出；</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⑦防霉等级（≥3个菌种）0级；</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⑧抗菌性能（≥2个菌种）抑菌率≥99.9%；</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⑨燃烧性能B</w:t>
      </w:r>
      <w:r>
        <w:rPr>
          <w:rFonts w:hint="eastAsia" w:ascii="宋体" w:hAnsi="宋体" w:eastAsia="宋体" w:cs="宋体"/>
          <w:b w:val="0"/>
          <w:bCs/>
          <w:color w:val="auto"/>
          <w:sz w:val="16"/>
          <w:szCs w:val="16"/>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级。</w:t>
      </w:r>
      <w:r/>
    </w:p>
    <w:p>
      <w:pPr>
        <w:ind w:firstLine="480"/>
        <w:jc w:val="left"/>
        <w:spacing w:line="360" w:lineRule="auto"/>
        <w:shd w:val="clear" w:color="auto" w:fill="ffffff" w:themeFill="background1"/>
        <w:rPr>
          <w:rFonts w:hint="eastAsia" w:ascii="宋体" w:hAnsi="宋体" w:eastAsia="宋体" w:cs="宋体"/>
          <w:b w:val="0"/>
          <w:bCs/>
          <w:color w:val="auto"/>
          <w:sz w:val="24"/>
          <w:szCs w:val="24"/>
          <w:highlight w:val="none"/>
          <w:lang w:val="en-US" w:eastAsia="zh-CN"/>
        </w:rPr>
      </w:pPr>
      <w:r>
        <w:rPr>
          <w:rFonts w:hint="eastAsia"/>
          <w:sz w:val="24"/>
          <w:szCs w:val="32"/>
          <w:highlight w:val="none"/>
        </w:rPr>
        <w:t xml:space="preserve">全部检测参数满足要求得1分，任意参数不满足要求或存在检测缺项不得分。</w:t>
      </w:r>
      <w:r/>
    </w:p>
    <w:p>
      <w:pPr>
        <w:numPr>
          <w:ilvl w:val="0"/>
          <w:numId w:val="0"/>
        </w:numPr>
        <w:ind w:firstLine="480"/>
        <w:spacing w:line="360" w:lineRule="auto"/>
        <w:shd w:val="clear" w:color="auto" w:fill="ffffff" w:themeFill="background1"/>
        <w:rPr>
          <w:rFonts w:hint="default" w:ascii="宋体" w:hAnsi="宋体" w:eastAsia="宋体" w:cs="宋体"/>
          <w:b/>
          <w:bCs/>
          <w:color w:val="auto"/>
          <w:sz w:val="24"/>
          <w:szCs w:val="24"/>
          <w:highlight w:val="none"/>
          <w:lang w:val="en-US" w:eastAsia="zh-CN"/>
        </w:rPr>
      </w:pPr>
      <w:r>
        <w:rPr>
          <w:rFonts w:hint="eastAsia" w:ascii="宋体" w:hAnsi="宋体"/>
          <w:b w:val="0"/>
          <w:bCs w:val="0"/>
          <w:color w:val="auto"/>
          <w:sz w:val="24"/>
          <w:szCs w:val="24"/>
          <w:highlight w:val="none"/>
          <w:shd w:val="clear" w:color="auto"/>
          <w:lang w:val="en-US" w:eastAsia="zh-CN"/>
        </w:rPr>
        <w:t xml:space="preserve">3.4阻尼铰链</w:t>
      </w:r>
      <w:r>
        <w:rPr>
          <w:rFonts w:hint="eastAsia" w:ascii="宋体" w:hAnsi="宋体" w:eastAsia="宋体" w:cs="宋体"/>
          <w:b w:val="0"/>
          <w:bCs w:val="0"/>
          <w:color w:val="auto"/>
          <w:sz w:val="24"/>
          <w:szCs w:val="24"/>
          <w:highlight w:val="none"/>
          <w:lang w:val="en-US" w:eastAsia="zh-CN"/>
        </w:rPr>
        <w:t xml:space="preserve">（1分）</w:t>
      </w:r>
      <w:r>
        <w:rPr>
          <w:rFonts w:hint="default"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sz w:val="24"/>
          <w:szCs w:val="32"/>
          <w:highlight w:val="none"/>
        </w:rPr>
      </w:pPr>
      <w:r>
        <w:rPr>
          <w:rFonts w:hint="eastAsia" w:ascii="宋体" w:hAnsi="宋体" w:eastAsia="宋体" w:cs="宋体"/>
          <w:bCs/>
          <w:color w:val="auto"/>
          <w:sz w:val="24"/>
          <w:szCs w:val="24"/>
          <w:highlight w:val="none"/>
          <w:lang w:val="en-US" w:eastAsia="zh-CN"/>
        </w:rPr>
        <w:t xml:space="preserve">检测依据：QB/T 2189-2013、QB/T 3826-1999、QB/T 3827-1999、QB/T 3828-1999、GB/T 10125-2021、GB/T 1865-2009、GB/T 1741-2020、QB/T 4371-2012</w:t>
      </w:r>
      <w:r>
        <w:rPr>
          <w:rFonts w:hint="eastAsia" w:ascii="宋体" w:hAnsi="宋体" w:cs="宋体"/>
          <w:bCs/>
          <w:color w:val="auto"/>
          <w:sz w:val="24"/>
          <w:szCs w:val="24"/>
          <w:highlight w:val="none"/>
          <w:lang w:val="en-US" w:eastAsia="zh-CN"/>
        </w:rPr>
        <w:t xml:space="preserve">，</w:t>
      </w:r>
      <w:r>
        <w:rPr>
          <w:rFonts w:hint="eastAsia"/>
          <w:sz w:val="24"/>
          <w:szCs w:val="32"/>
          <w:highlight w:val="none"/>
        </w:rPr>
        <w:t xml:space="preserve">或达到上述标准的最新有效版本；</w:t>
      </w:r>
      <w:r/>
    </w:p>
    <w:p>
      <w:pPr>
        <w:ind w:firstLine="480"/>
        <w:rPr>
          <w:rFonts w:hint="eastAsia"/>
          <w:sz w:val="24"/>
          <w:szCs w:val="32"/>
          <w:highlight w:val="none"/>
        </w:rPr>
      </w:pPr>
      <w:r>
        <w:rPr>
          <w:rFonts w:hint="eastAsia"/>
          <w:sz w:val="24"/>
          <w:szCs w:val="32"/>
          <w:highlight w:val="none"/>
        </w:rPr>
        <w:t xml:space="preserve">检测项目及合格要求：</w:t>
      </w:r>
      <w:r/>
    </w:p>
    <w:p>
      <w:pPr>
        <w:numPr>
          <w:ilvl w:val="0"/>
          <w:numId w:val="0"/>
        </w:numPr>
        <w:ind w:firstLine="480"/>
        <w:spacing w:line="360" w:lineRule="auto"/>
        <w:shd w:val="clear" w:color="auto" w:fill="ffffff" w:themeFill="background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①过载（垂直静载荷、水平静载荷）符合要求；</w:t>
      </w:r>
      <w:r/>
    </w:p>
    <w:p>
      <w:pPr>
        <w:numPr>
          <w:ilvl w:val="0"/>
          <w:numId w:val="0"/>
        </w:numPr>
        <w:ind w:firstLine="480"/>
        <w:spacing w:line="360" w:lineRule="auto"/>
        <w:shd w:val="clear" w:color="auto" w:fill="ffffff" w:themeFill="background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②中性盐雾试验（NSS）法100h 10级、乙酸盐雾试验（ASS）法100h 10级、铜盐加速乙酸盐雾试验（CASS）法100h 10级、铜加速乙酸盐雾试验（CASS试验）100h 10级；</w:t>
      </w:r>
      <w:r/>
    </w:p>
    <w:p>
      <w:pPr>
        <w:numPr>
          <w:ilvl w:val="0"/>
          <w:numId w:val="0"/>
        </w:numPr>
        <w:ind w:firstLine="480"/>
        <w:spacing w:line="360" w:lineRule="auto"/>
        <w:shd w:val="clear" w:color="auto" w:fill="ffffff" w:themeFill="background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③人工气候老化100h 变色0级、粉化0级、开裂0级、起泡0级、长霉0级、生锈0级、剥落0级、综合等级0级；</w:t>
      </w:r>
      <w:r/>
    </w:p>
    <w:p>
      <w:pPr>
        <w:numPr>
          <w:ilvl w:val="0"/>
          <w:numId w:val="0"/>
        </w:numPr>
        <w:ind w:firstLine="480"/>
        <w:spacing w:line="360" w:lineRule="auto"/>
        <w:shd w:val="clear" w:color="auto" w:fill="ffffff" w:themeFill="background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④耐霉菌性等级（≥3个菌种）0级；</w:t>
      </w:r>
      <w:r/>
    </w:p>
    <w:p>
      <w:pPr>
        <w:numPr>
          <w:ilvl w:val="0"/>
          <w:numId w:val="0"/>
        </w:numPr>
        <w:ind w:firstLine="480"/>
        <w:spacing w:line="360" w:lineRule="auto"/>
        <w:shd w:val="clear" w:color="auto" w:fill="ffffff" w:themeFill="background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⑤抗菌性能（≥2个菌种）抑菌率≥99.9%；</w:t>
      </w:r>
      <w:r/>
    </w:p>
    <w:p>
      <w:pPr>
        <w:numPr>
          <w:ilvl w:val="0"/>
          <w:numId w:val="0"/>
        </w:numPr>
        <w:ind w:firstLine="480"/>
        <w:spacing w:line="360" w:lineRule="auto"/>
        <w:shd w:val="clear" w:color="auto" w:fill="ffffff" w:themeFill="background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⑥功能(操作力、垂直静载荷、水平静载荷、耐久性</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12万次、下沉量)。</w:t>
      </w:r>
      <w:r/>
    </w:p>
    <w:p>
      <w:pPr>
        <w:numPr>
          <w:ilvl w:val="0"/>
          <w:numId w:val="0"/>
        </w:numPr>
        <w:ind w:firstLine="480"/>
        <w:spacing w:line="360" w:lineRule="auto"/>
        <w:shd w:val="clear" w:color="auto" w:fill="ffffff" w:themeFill="background1"/>
        <w:rPr>
          <w:rFonts w:hint="eastAsia"/>
          <w:sz w:val="24"/>
          <w:szCs w:val="32"/>
          <w:highlight w:val="none"/>
        </w:rPr>
      </w:pPr>
      <w:r>
        <w:rPr>
          <w:rFonts w:hint="eastAsia"/>
          <w:sz w:val="24"/>
          <w:szCs w:val="32"/>
          <w:highlight w:val="none"/>
        </w:rPr>
        <w:t xml:space="preserve">全部检测参数满足要求得1分，任意参数不满足要求或存在检测缺项不得分。</w:t>
      </w:r>
      <w:r/>
    </w:p>
    <w:p>
      <w:pPr>
        <w:numPr>
          <w:ilvl w:val="0"/>
          <w:numId w:val="0"/>
        </w:numPr>
        <w:ind w:firstLine="480"/>
        <w:spacing w:line="360" w:lineRule="auto"/>
        <w:shd w:val="clear" w:color="auto" w:fill="ffffff" w:themeFill="background1"/>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 E0级实木多层板（1分）</w:t>
      </w:r>
      <w:r>
        <w:rPr>
          <w:rFonts w:hint="default"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sz w:val="24"/>
          <w:szCs w:val="32"/>
          <w:highlight w:val="none"/>
        </w:rPr>
      </w:pPr>
      <w:r>
        <w:rPr>
          <w:rFonts w:hint="eastAsia" w:ascii="宋体" w:hAnsi="宋体" w:eastAsia="宋体" w:cs="宋体"/>
          <w:b w:val="0"/>
          <w:bCs w:val="0"/>
          <w:color w:val="auto"/>
          <w:sz w:val="24"/>
          <w:szCs w:val="24"/>
          <w:highlight w:val="none"/>
          <w:lang w:val="en-US" w:eastAsia="zh-CN"/>
        </w:rPr>
        <w:t xml:space="preserve">检测依据：GB/T 29899-2024、GB 8624-2012</w:t>
      </w:r>
      <w:r>
        <w:rPr>
          <w:rFonts w:hint="eastAsia" w:ascii="宋体" w:hAnsi="宋体" w:cs="宋体"/>
          <w:b w:val="0"/>
          <w:bCs w:val="0"/>
          <w:color w:val="auto"/>
          <w:sz w:val="24"/>
          <w:szCs w:val="24"/>
          <w:highlight w:val="none"/>
          <w:lang w:val="en-US" w:eastAsia="zh-CN"/>
        </w:rPr>
        <w:t xml:space="preserve">，</w:t>
      </w:r>
      <w:r>
        <w:rPr>
          <w:rFonts w:hint="eastAsia"/>
          <w:sz w:val="24"/>
          <w:szCs w:val="32"/>
          <w:highlight w:val="none"/>
        </w:rPr>
        <w:t xml:space="preserve">或达到上述标准的最新有效版本；</w:t>
      </w:r>
      <w:r/>
    </w:p>
    <w:p>
      <w:pPr>
        <w:ind w:firstLine="480"/>
        <w:rPr>
          <w:rFonts w:hint="eastAsia"/>
          <w:sz w:val="24"/>
          <w:szCs w:val="32"/>
          <w:highlight w:val="none"/>
        </w:rPr>
      </w:pPr>
      <w:r>
        <w:rPr>
          <w:rFonts w:hint="eastAsia"/>
          <w:sz w:val="24"/>
          <w:szCs w:val="32"/>
          <w:highlight w:val="none"/>
        </w:rPr>
        <w:t xml:space="preserve">检测项目及合格要求：</w:t>
      </w:r>
      <w:r/>
    </w:p>
    <w:p>
      <w:pPr>
        <w:numPr>
          <w:ilvl w:val="0"/>
          <w:numId w:val="0"/>
        </w:num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①挥发性有机化合物释放浓度(7d)：苯、甲苯、二甲苯、总挥发性有机化合物(TVOC)未检出；</w:t>
      </w:r>
      <w:r/>
    </w:p>
    <w:p>
      <w:pPr>
        <w:numPr>
          <w:ilvl w:val="0"/>
          <w:numId w:val="0"/>
        </w:num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 燃烧性能需同时满足全部要求：燃烧增长速率指数FIGRA0.2MJ≤60W/s、火焰横向蔓延未到达试样长翼边缘、600s的总放热量THR600s≤4MJ、60s内焰尖高度Fs≤3mm、60s内无燃烧滴落物引燃滤纸现象、烟气毒性等级达到准安全一级ZA</w:t>
      </w:r>
      <w:r>
        <w:rPr>
          <w:rFonts w:hint="eastAsia" w:ascii="宋体" w:hAnsi="宋体" w:eastAsia="宋体" w:cs="宋体"/>
          <w:b w:val="0"/>
          <w:bCs w:val="0"/>
          <w:color w:val="auto"/>
          <w:sz w:val="16"/>
          <w:szCs w:val="16"/>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spacing w:line="360" w:lineRule="auto"/>
        <w:shd w:val="clear" w:color="auto" w:fill="ffffff" w:themeFill="background1"/>
        <w:rPr>
          <w:rFonts w:hint="eastAsia"/>
          <w:sz w:val="24"/>
          <w:szCs w:val="32"/>
          <w:highlight w:val="none"/>
        </w:rPr>
      </w:pPr>
      <w:r>
        <w:rPr>
          <w:rFonts w:hint="eastAsia"/>
          <w:sz w:val="24"/>
          <w:szCs w:val="32"/>
          <w:highlight w:val="none"/>
        </w:rPr>
        <w:t xml:space="preserve">全部检测参数满足要求得1分，任意参数不满足要求或存在检测缺项不得分。</w:t>
      </w:r>
      <w:r/>
    </w:p>
    <w:p>
      <w:pPr>
        <w:numPr>
          <w:ilvl w:val="0"/>
          <w:numId w:val="0"/>
        </w:numPr>
        <w:ind w:firstLine="480"/>
        <w:spacing w:line="360" w:lineRule="auto"/>
        <w:shd w:val="clear" w:color="auto" w:fill="ffffff" w:themeFill="background1"/>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Cs/>
          <w:color w:val="auto"/>
          <w:sz w:val="24"/>
          <w:szCs w:val="24"/>
          <w:highlight w:val="none"/>
          <w:lang w:val="en-US" w:eastAsia="zh-CN"/>
        </w:rPr>
        <w:t xml:space="preserve">冷轧钢板（1分）</w:t>
      </w:r>
      <w:r>
        <w:rPr>
          <w:rFonts w:hint="default" w:ascii="宋体" w:hAnsi="宋体" w:eastAsia="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sz w:val="24"/>
          <w:szCs w:val="32"/>
          <w:highlight w:val="none"/>
        </w:rPr>
      </w:pPr>
      <w:r>
        <w:rPr>
          <w:rFonts w:hint="eastAsia" w:ascii="宋体" w:hAnsi="宋体" w:eastAsia="宋体" w:cs="宋体"/>
          <w:bCs/>
          <w:color w:val="auto"/>
          <w:sz w:val="24"/>
          <w:szCs w:val="24"/>
          <w:highlight w:val="none"/>
          <w:lang w:val="en-US" w:eastAsia="zh-CN"/>
        </w:rPr>
        <w:t xml:space="preserve">检测依据：GB/T 228.1-2021、GB/T 9789-2008、GB/T 10125-2021、GB/T 6461-2002、GB/T 1865-2009、GB/T 5210-2006</w:t>
      </w:r>
      <w:r>
        <w:rPr>
          <w:rFonts w:hint="eastAsia" w:ascii="宋体" w:hAnsi="宋体" w:cs="宋体"/>
          <w:bCs/>
          <w:color w:val="auto"/>
          <w:sz w:val="24"/>
          <w:szCs w:val="24"/>
          <w:highlight w:val="none"/>
          <w:lang w:val="en-US" w:eastAsia="zh-CN"/>
        </w:rPr>
        <w:t xml:space="preserve">，</w:t>
      </w:r>
      <w:r>
        <w:rPr>
          <w:rFonts w:hint="eastAsia"/>
          <w:sz w:val="24"/>
          <w:szCs w:val="32"/>
          <w:highlight w:val="none"/>
        </w:rPr>
        <w:t xml:space="preserve">或达到上述标准的最新有效版本；</w:t>
      </w:r>
      <w:r/>
    </w:p>
    <w:p>
      <w:pPr>
        <w:ind w:firstLine="480"/>
        <w:rPr>
          <w:rFonts w:hint="eastAsia"/>
          <w:sz w:val="24"/>
          <w:szCs w:val="32"/>
          <w:highlight w:val="none"/>
        </w:rPr>
      </w:pPr>
      <w:r>
        <w:rPr>
          <w:rFonts w:hint="eastAsia"/>
          <w:sz w:val="24"/>
          <w:szCs w:val="32"/>
          <w:highlight w:val="none"/>
        </w:rPr>
        <w:t xml:space="preserve">检测项目及合格要求：</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①力学性能：抗拉强度Rm (MPa)≥400；屈服强度Rp0.2 (MPa)≥235；断后伸长率A (%)≥26；</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②二氧化硫腐蚀24h试验：符合；</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③耐腐蚀试验：中性盐雾试验96h 10级；</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④耐人工气候老化性100h：无失光、变色、粉化、泛金、斑点、沾污、开裂、起泡、脱落、生锈（综合等级0级）；</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⑤附着力≥5MPa；</w:t>
      </w:r>
      <w:r/>
    </w:p>
    <w:p>
      <w:pPr>
        <w:pStyle w:val="820"/>
        <w:numPr>
          <w:ilvl w:val="0"/>
          <w:numId w:val="0"/>
        </w:numPr>
        <w:ind w:left="0" w:firstLine="480"/>
        <w:keepLines w:val="0"/>
        <w:keepNext w:val="0"/>
        <w:pageBreakBefore w:val="0"/>
        <w:spacing w:line="360" w:lineRule="auto"/>
        <w:widowControl w:val="off"/>
        <w:rPr>
          <w:rFonts w:hint="eastAsia" w:ascii="宋体" w:hAnsi="宋体"/>
          <w:b/>
          <w:color w:val="000000"/>
          <w:sz w:val="24"/>
          <w:highlight w:val="none"/>
          <w:lang w:val="en-US" w:eastAsia="zh-CN"/>
        </w:rPr>
        <w:outlineLvl w:val="0"/>
      </w:pPr>
      <w:r>
        <w:rPr>
          <w:rFonts w:hint="eastAsia"/>
          <w:sz w:val="24"/>
          <w:szCs w:val="32"/>
          <w:highlight w:val="none"/>
        </w:rPr>
        <w:t xml:space="preserve">全部检测参数满足要求得1分，任意参数不满足要求或存在检测缺项不得分。</w:t>
      </w:r>
      <w:r/>
    </w:p>
    <w:p>
      <w:pPr>
        <w:pStyle w:val="820"/>
        <w:numPr>
          <w:ilvl w:val="0"/>
          <w:numId w:val="0"/>
        </w:numPr>
        <w:ind w:left="0" w:firstLine="0"/>
        <w:spacing w:line="360" w:lineRule="auto"/>
        <w:rPr>
          <w:rFonts w:hint="eastAsia" w:ascii="宋体" w:hAnsi="宋体"/>
          <w:b/>
          <w:color w:val="000000"/>
          <w:sz w:val="24"/>
          <w:highlight w:val="none"/>
        </w:rPr>
        <w:outlineLvl w:val="0"/>
      </w:pPr>
      <w:r>
        <w:rPr>
          <w:rFonts w:hint="eastAsia" w:ascii="宋体" w:hAnsi="宋体"/>
          <w:b/>
          <w:color w:val="000000"/>
          <w:sz w:val="24"/>
          <w:highlight w:val="none"/>
          <w:lang w:val="en-US" w:eastAsia="zh-CN"/>
        </w:rPr>
        <w:t xml:space="preserve">（四）</w:t>
      </w:r>
      <w:r>
        <w:rPr>
          <w:rFonts w:hint="eastAsia" w:ascii="宋体" w:hAnsi="宋体" w:eastAsia="宋体" w:cs="宋体"/>
          <w:b/>
          <w:bCs/>
          <w:sz w:val="24"/>
          <w:szCs w:val="24"/>
          <w:highlight w:val="none"/>
          <w:lang w:eastAsia="zh-CN"/>
        </w:rPr>
        <w:t xml:space="preserve">项目方案</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48</w:t>
      </w:r>
      <w:r>
        <w:rPr>
          <w:rFonts w:hint="eastAsia" w:ascii="宋体" w:hAnsi="宋体"/>
          <w:b/>
          <w:color w:val="000000"/>
          <w:sz w:val="24"/>
          <w:highlight w:val="none"/>
        </w:rPr>
        <w:t xml:space="preserve">分）</w:t>
      </w:r>
      <w:r/>
    </w:p>
    <w:p>
      <w:pPr>
        <w:ind w:firstLine="480"/>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4.1项目实施方案（1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ind w:firstLine="480"/>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①整体进度计划</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进度保证措施</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w:t>
      </w:r>
      <w:r>
        <w:rPr>
          <w:rFonts w:hint="eastAsia" w:ascii="宋体" w:hAnsi="宋体" w:eastAsia="宋体" w:cs="宋体"/>
          <w:color w:val="000000"/>
          <w:sz w:val="24"/>
          <w:szCs w:val="24"/>
          <w:highlight w:val="none"/>
        </w:rPr>
        <w:t xml:space="preserve">产品生产工艺质量标准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③产品生产质量控制措施</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投标人须对上述</w:t>
      </w:r>
      <w:r>
        <w:rPr>
          <w:rFonts w:hint="eastAsia" w:ascii="宋体" w:hAnsi="宋体" w:eastAsia="宋体" w:cs="宋体"/>
          <w:sz w:val="24"/>
          <w:szCs w:val="24"/>
          <w:highlight w:val="none"/>
          <w:lang w:val="en-US" w:eastAsia="zh-CN"/>
        </w:rPr>
        <w:t xml:space="preserve">四项</w:t>
      </w:r>
      <w:r>
        <w:rPr>
          <w:rFonts w:hint="eastAsia" w:ascii="宋体" w:hAnsi="宋体" w:eastAsia="宋体" w:cs="宋体"/>
          <w:sz w:val="24"/>
          <w:szCs w:val="24"/>
          <w:highlight w:val="none"/>
          <w:lang w:eastAsia="zh-CN"/>
        </w:rPr>
        <w:t xml:space="preserve">内容</w:t>
      </w:r>
      <w:r>
        <w:rPr>
          <w:rFonts w:hint="eastAsia" w:ascii="宋体" w:hAnsi="宋体" w:eastAsia="宋体" w:cs="宋体"/>
          <w:sz w:val="24"/>
          <w:szCs w:val="24"/>
          <w:highlight w:val="none"/>
        </w:rPr>
        <w:t xml:space="preserve">逐项完整阐述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评分标准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每项</w:t>
      </w:r>
      <w:r>
        <w:rPr>
          <w:rFonts w:hint="eastAsia" w:ascii="宋体" w:hAnsi="宋体" w:eastAsia="宋体" w:cs="宋体"/>
          <w:sz w:val="24"/>
          <w:szCs w:val="24"/>
          <w:highlight w:val="none"/>
          <w:lang w:eastAsia="zh-CN"/>
        </w:rPr>
        <w:t xml:space="preserve">内容全面详实、条理清晰、</w:t>
      </w:r>
      <w:r>
        <w:rPr>
          <w:rFonts w:hint="eastAsia" w:ascii="宋体" w:hAnsi="宋体" w:eastAsia="宋体" w:cs="宋体"/>
          <w:sz w:val="24"/>
          <w:szCs w:val="24"/>
          <w:highlight w:val="none"/>
        </w:rPr>
        <w:t xml:space="preserve">与项目</w:t>
      </w:r>
      <w:r>
        <w:rPr>
          <w:rFonts w:hint="eastAsia" w:ascii="宋体" w:hAnsi="宋体" w:eastAsia="宋体" w:cs="宋体"/>
          <w:sz w:val="24"/>
          <w:szCs w:val="24"/>
          <w:highlight w:val="none"/>
          <w:lang w:eastAsia="zh-CN"/>
        </w:rPr>
        <w:t xml:space="preserve">需求贴合度高，得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分；内容比较详实、</w:t>
      </w:r>
      <w:r>
        <w:rPr>
          <w:rFonts w:hint="eastAsia" w:ascii="宋体" w:hAnsi="宋体" w:eastAsia="宋体" w:cs="宋体"/>
          <w:sz w:val="24"/>
          <w:szCs w:val="24"/>
          <w:highlight w:val="none"/>
        </w:rPr>
        <w:t xml:space="preserve">方案合理可行的</w:t>
      </w:r>
      <w:r>
        <w:rPr>
          <w:rFonts w:hint="eastAsia" w:ascii="宋体" w:hAnsi="宋体" w:eastAsia="宋体" w:cs="宋体"/>
          <w:sz w:val="24"/>
          <w:szCs w:val="24"/>
          <w:highlight w:val="none"/>
          <w:lang w:eastAsia="zh-CN"/>
        </w:rPr>
        <w:t xml:space="preserve">，得2分；</w:t>
      </w:r>
      <w:r>
        <w:rPr>
          <w:rFonts w:hint="eastAsia" w:ascii="宋体" w:hAnsi="宋体" w:eastAsia="宋体" w:cs="宋体"/>
          <w:sz w:val="24"/>
          <w:szCs w:val="24"/>
          <w:highlight w:val="none"/>
        </w:rPr>
        <w:t xml:space="preserve">内容表述简略、细节不完善的，得1分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未进行阐述、方案不可行、内容前后矛盾或违反现行相关规范的，不得分</w:t>
      </w:r>
      <w:r>
        <w:rPr>
          <w:rFonts w:hint="eastAsia" w:ascii="宋体" w:hAnsi="宋体" w:eastAsia="宋体" w:cs="宋体"/>
          <w:sz w:val="24"/>
          <w:szCs w:val="24"/>
          <w:highlight w:val="none"/>
          <w:lang w:eastAsia="zh-CN"/>
        </w:rPr>
        <w:t xml:space="preserve">。本项最高得1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4.2项目安装方案（1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①施工方案</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安装管理制度</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w:t>
      </w:r>
      <w:r>
        <w:rPr>
          <w:rFonts w:hint="eastAsia" w:ascii="宋体" w:hAnsi="宋体" w:eastAsia="宋体" w:cs="宋体"/>
          <w:color w:val="000000"/>
          <w:sz w:val="24"/>
          <w:szCs w:val="24"/>
          <w:highlight w:val="none"/>
        </w:rPr>
        <w:t xml:space="preserve">安全文明安装</w:t>
      </w:r>
      <w:r>
        <w:rPr>
          <w:rFonts w:hint="eastAsia" w:ascii="宋体" w:hAnsi="宋体" w:eastAsia="宋体" w:cs="宋体"/>
          <w:color w:val="000000"/>
          <w:sz w:val="24"/>
          <w:szCs w:val="24"/>
          <w:highlight w:val="none"/>
          <w:lang w:eastAsia="zh-CN"/>
        </w:rPr>
        <w:t xml:space="preserve">及环</w:t>
      </w:r>
      <w:r>
        <w:rPr>
          <w:rFonts w:hint="eastAsia" w:ascii="宋体" w:hAnsi="宋体" w:eastAsia="宋体" w:cs="宋体"/>
          <w:color w:val="000000"/>
          <w:sz w:val="24"/>
          <w:szCs w:val="24"/>
          <w:highlight w:val="none"/>
        </w:rPr>
        <w:t xml:space="preserve">境保护措施</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③成品保护措施</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投标人须对上述</w:t>
      </w:r>
      <w:r>
        <w:rPr>
          <w:rFonts w:hint="eastAsia" w:ascii="宋体" w:hAnsi="宋体" w:eastAsia="宋体" w:cs="宋体"/>
          <w:sz w:val="24"/>
          <w:szCs w:val="24"/>
          <w:highlight w:val="none"/>
          <w:lang w:val="en-US" w:eastAsia="zh-CN"/>
        </w:rPr>
        <w:t xml:space="preserve">四项</w:t>
      </w:r>
      <w:r>
        <w:rPr>
          <w:rFonts w:hint="eastAsia" w:ascii="宋体" w:hAnsi="宋体" w:eastAsia="宋体" w:cs="宋体"/>
          <w:sz w:val="24"/>
          <w:szCs w:val="24"/>
          <w:highlight w:val="none"/>
          <w:lang w:eastAsia="zh-CN"/>
        </w:rPr>
        <w:t xml:space="preserve">内容</w:t>
      </w:r>
      <w:r>
        <w:rPr>
          <w:rFonts w:hint="eastAsia" w:ascii="宋体" w:hAnsi="宋体" w:eastAsia="宋体" w:cs="宋体"/>
          <w:sz w:val="24"/>
          <w:szCs w:val="24"/>
          <w:highlight w:val="none"/>
        </w:rPr>
        <w:t xml:space="preserve">逐项完整阐述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评分标准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每项</w:t>
      </w:r>
      <w:r>
        <w:rPr>
          <w:rFonts w:hint="eastAsia" w:ascii="宋体" w:hAnsi="宋体" w:eastAsia="宋体" w:cs="宋体"/>
          <w:sz w:val="24"/>
          <w:szCs w:val="24"/>
          <w:highlight w:val="none"/>
          <w:lang w:eastAsia="zh-CN"/>
        </w:rPr>
        <w:t xml:space="preserve">内容全面详实、条理清晰、</w:t>
      </w:r>
      <w:r>
        <w:rPr>
          <w:rFonts w:hint="eastAsia" w:ascii="宋体" w:hAnsi="宋体" w:eastAsia="宋体" w:cs="宋体"/>
          <w:sz w:val="24"/>
          <w:szCs w:val="24"/>
          <w:highlight w:val="none"/>
        </w:rPr>
        <w:t xml:space="preserve">与项目</w:t>
      </w:r>
      <w:r>
        <w:rPr>
          <w:rFonts w:hint="eastAsia" w:ascii="宋体" w:hAnsi="宋体" w:eastAsia="宋体" w:cs="宋体"/>
          <w:sz w:val="24"/>
          <w:szCs w:val="24"/>
          <w:highlight w:val="none"/>
          <w:lang w:eastAsia="zh-CN"/>
        </w:rPr>
        <w:t xml:space="preserve">需求贴合度高，得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分；内容比较详实、</w:t>
      </w:r>
      <w:r>
        <w:rPr>
          <w:rFonts w:hint="eastAsia" w:ascii="宋体" w:hAnsi="宋体" w:eastAsia="宋体" w:cs="宋体"/>
          <w:sz w:val="24"/>
          <w:szCs w:val="24"/>
          <w:highlight w:val="none"/>
        </w:rPr>
        <w:t xml:space="preserve">方案合理可行的</w:t>
      </w:r>
      <w:r>
        <w:rPr>
          <w:rFonts w:hint="eastAsia" w:ascii="宋体" w:hAnsi="宋体" w:eastAsia="宋体" w:cs="宋体"/>
          <w:sz w:val="24"/>
          <w:szCs w:val="24"/>
          <w:highlight w:val="none"/>
          <w:lang w:eastAsia="zh-CN"/>
        </w:rPr>
        <w:t xml:space="preserve">，得2分；</w:t>
      </w:r>
      <w:r>
        <w:rPr>
          <w:rFonts w:hint="eastAsia" w:ascii="宋体" w:hAnsi="宋体" w:eastAsia="宋体" w:cs="宋体"/>
          <w:sz w:val="24"/>
          <w:szCs w:val="24"/>
          <w:highlight w:val="none"/>
        </w:rPr>
        <w:t xml:space="preserve">内容表述简略、细节不完善的，得1分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未进行阐述、方案不可行、内容前后矛盾或违反现行相关规范的，不得分</w:t>
      </w:r>
      <w:r>
        <w:rPr>
          <w:rFonts w:hint="eastAsia" w:ascii="宋体" w:hAnsi="宋体" w:eastAsia="宋体" w:cs="宋体"/>
          <w:sz w:val="24"/>
          <w:szCs w:val="24"/>
          <w:highlight w:val="none"/>
          <w:lang w:eastAsia="zh-CN"/>
        </w:rPr>
        <w:t xml:space="preserve">。本项最高得1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4.3质量控制保障方案（12分）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①产品质量控制方案</w:t>
      </w:r>
      <w:r/>
    </w:p>
    <w:p>
      <w:pPr>
        <w:ind w:firstLine="480"/>
        <w:keepLines w:val="0"/>
        <w:keepNext w:val="0"/>
        <w:pageBreakBefore w:val="0"/>
        <w:spacing w:line="360" w:lineRule="auto"/>
        <w:shd w:val="clear" w:color="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②投标产品加工工序质量控制点检验</w:t>
      </w:r>
      <w:r/>
    </w:p>
    <w:p>
      <w:pPr>
        <w:ind w:firstLine="480"/>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③原材料采购</w:t>
      </w:r>
      <w:r>
        <w:rPr>
          <w:rFonts w:hint="eastAsia" w:ascii="宋体" w:hAnsi="宋体" w:eastAsia="宋体" w:cs="宋体"/>
          <w:sz w:val="24"/>
          <w:szCs w:val="24"/>
          <w:highlight w:val="none"/>
          <w:lang w:val="en-US" w:eastAsia="zh-CN"/>
        </w:rPr>
        <w:t xml:space="preserve">方案及</w:t>
      </w:r>
      <w:r>
        <w:rPr>
          <w:rFonts w:hint="eastAsia" w:ascii="宋体" w:hAnsi="宋体" w:eastAsia="宋体" w:cs="宋体"/>
          <w:sz w:val="24"/>
          <w:szCs w:val="24"/>
          <w:highlight w:val="none"/>
          <w:lang w:eastAsia="zh-CN"/>
        </w:rPr>
        <w:t xml:space="preserve">应急保障措施</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投标人须对上述</w:t>
      </w:r>
      <w:r>
        <w:rPr>
          <w:rFonts w:hint="eastAsia" w:ascii="宋体" w:hAnsi="宋体" w:eastAsia="宋体" w:cs="宋体"/>
          <w:sz w:val="24"/>
          <w:szCs w:val="24"/>
          <w:highlight w:val="none"/>
          <w:lang w:val="en-US" w:eastAsia="zh-CN"/>
        </w:rPr>
        <w:t xml:space="preserve">四项</w:t>
      </w:r>
      <w:r>
        <w:rPr>
          <w:rFonts w:hint="eastAsia" w:ascii="宋体" w:hAnsi="宋体" w:eastAsia="宋体" w:cs="宋体"/>
          <w:sz w:val="24"/>
          <w:szCs w:val="24"/>
          <w:highlight w:val="none"/>
          <w:lang w:eastAsia="zh-CN"/>
        </w:rPr>
        <w:t xml:space="preserve">内容</w:t>
      </w:r>
      <w:r>
        <w:rPr>
          <w:rFonts w:hint="eastAsia" w:ascii="宋体" w:hAnsi="宋体" w:eastAsia="宋体" w:cs="宋体"/>
          <w:sz w:val="24"/>
          <w:szCs w:val="24"/>
          <w:highlight w:val="none"/>
        </w:rPr>
        <w:t xml:space="preserve">逐项完整阐述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评分标准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每项</w:t>
      </w:r>
      <w:r>
        <w:rPr>
          <w:rFonts w:hint="eastAsia" w:ascii="宋体" w:hAnsi="宋体" w:eastAsia="宋体" w:cs="宋体"/>
          <w:sz w:val="24"/>
          <w:szCs w:val="24"/>
          <w:highlight w:val="none"/>
          <w:lang w:eastAsia="zh-CN"/>
        </w:rPr>
        <w:t xml:space="preserve">内容全面详实、条理清晰、</w:t>
      </w:r>
      <w:r>
        <w:rPr>
          <w:rFonts w:hint="eastAsia" w:ascii="宋体" w:hAnsi="宋体" w:eastAsia="宋体" w:cs="宋体"/>
          <w:sz w:val="24"/>
          <w:szCs w:val="24"/>
          <w:highlight w:val="none"/>
        </w:rPr>
        <w:t xml:space="preserve">与项目</w:t>
      </w:r>
      <w:r>
        <w:rPr>
          <w:rFonts w:hint="eastAsia" w:ascii="宋体" w:hAnsi="宋体" w:eastAsia="宋体" w:cs="宋体"/>
          <w:sz w:val="24"/>
          <w:szCs w:val="24"/>
          <w:highlight w:val="none"/>
          <w:lang w:eastAsia="zh-CN"/>
        </w:rPr>
        <w:t xml:space="preserve">需求贴合度高，得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分；内容比较详实、</w:t>
      </w:r>
      <w:r>
        <w:rPr>
          <w:rFonts w:hint="eastAsia" w:ascii="宋体" w:hAnsi="宋体" w:eastAsia="宋体" w:cs="宋体"/>
          <w:sz w:val="24"/>
          <w:szCs w:val="24"/>
          <w:highlight w:val="none"/>
        </w:rPr>
        <w:t xml:space="preserve">方案合理可行的</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内容表述简略、细节不完善的，得1分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未进行阐述、方案不可行、内容前后矛盾或违反现行相关规范的，不得分</w:t>
      </w:r>
      <w:r>
        <w:rPr>
          <w:rFonts w:hint="eastAsia" w:ascii="宋体" w:hAnsi="宋体" w:eastAsia="宋体" w:cs="宋体"/>
          <w:sz w:val="24"/>
          <w:szCs w:val="24"/>
          <w:highlight w:val="none"/>
          <w:lang w:eastAsia="zh-CN"/>
        </w:rPr>
        <w:t xml:space="preserve">。本项最高得1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4.4</w:t>
      </w:r>
      <w:r>
        <w:rPr>
          <w:rFonts w:hint="eastAsia" w:ascii="宋体" w:hAnsi="宋体" w:eastAsia="宋体" w:cs="宋体"/>
          <w:sz w:val="24"/>
          <w:szCs w:val="24"/>
          <w:highlight w:val="none"/>
          <w:lang w:eastAsia="zh-CN"/>
        </w:rPr>
        <w:t xml:space="preserve">售后服务管理及措施（</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分）</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①售后服务承诺、产品质量保证承诺</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②现场服务措施、故障解决能力</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③应急服务响应时间、售后服务回访</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投标人须对上述</w:t>
      </w:r>
      <w:r>
        <w:rPr>
          <w:rFonts w:hint="eastAsia" w:ascii="宋体" w:hAnsi="宋体" w:eastAsia="宋体" w:cs="宋体"/>
          <w:sz w:val="24"/>
          <w:szCs w:val="24"/>
          <w:highlight w:val="none"/>
          <w:lang w:val="en-US" w:eastAsia="zh-CN"/>
        </w:rPr>
        <w:t xml:space="preserve">四项</w:t>
      </w:r>
      <w:r>
        <w:rPr>
          <w:rFonts w:hint="eastAsia" w:ascii="宋体" w:hAnsi="宋体" w:eastAsia="宋体" w:cs="宋体"/>
          <w:sz w:val="24"/>
          <w:szCs w:val="24"/>
          <w:highlight w:val="none"/>
          <w:lang w:eastAsia="zh-CN"/>
        </w:rPr>
        <w:t xml:space="preserve">内容</w:t>
      </w:r>
      <w:r>
        <w:rPr>
          <w:rFonts w:hint="eastAsia" w:ascii="宋体" w:hAnsi="宋体" w:eastAsia="宋体" w:cs="宋体"/>
          <w:sz w:val="24"/>
          <w:szCs w:val="24"/>
          <w:highlight w:val="none"/>
        </w:rPr>
        <w:t xml:space="preserve">逐项完整阐述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评分标准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每项</w:t>
      </w:r>
      <w:r>
        <w:rPr>
          <w:rFonts w:hint="eastAsia" w:ascii="宋体" w:hAnsi="宋体" w:eastAsia="宋体" w:cs="宋体"/>
          <w:sz w:val="24"/>
          <w:szCs w:val="24"/>
          <w:highlight w:val="none"/>
          <w:lang w:eastAsia="zh-CN"/>
        </w:rPr>
        <w:t xml:space="preserve">内容全面详实、条理清晰、</w:t>
      </w:r>
      <w:r>
        <w:rPr>
          <w:rFonts w:hint="eastAsia" w:ascii="宋体" w:hAnsi="宋体" w:eastAsia="宋体" w:cs="宋体"/>
          <w:sz w:val="24"/>
          <w:szCs w:val="24"/>
          <w:highlight w:val="none"/>
        </w:rPr>
        <w:t xml:space="preserve">与项目</w:t>
      </w:r>
      <w:r>
        <w:rPr>
          <w:rFonts w:hint="eastAsia" w:ascii="宋体" w:hAnsi="宋体" w:eastAsia="宋体" w:cs="宋体"/>
          <w:sz w:val="24"/>
          <w:szCs w:val="24"/>
          <w:highlight w:val="none"/>
          <w:lang w:eastAsia="zh-CN"/>
        </w:rPr>
        <w:t xml:space="preserve">需求贴合度高，得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分；内容比较详实、</w:t>
      </w:r>
      <w:r>
        <w:rPr>
          <w:rFonts w:hint="eastAsia" w:ascii="宋体" w:hAnsi="宋体" w:eastAsia="宋体" w:cs="宋体"/>
          <w:sz w:val="24"/>
          <w:szCs w:val="24"/>
          <w:highlight w:val="none"/>
        </w:rPr>
        <w:t xml:space="preserve">方案合理可行的</w:t>
      </w:r>
      <w:r>
        <w:rPr>
          <w:rFonts w:hint="eastAsia" w:ascii="宋体" w:hAnsi="宋体" w:eastAsia="宋体" w:cs="宋体"/>
          <w:sz w:val="24"/>
          <w:szCs w:val="24"/>
          <w:highlight w:val="none"/>
          <w:lang w:eastAsia="zh-CN"/>
        </w:rPr>
        <w:t xml:space="preserve">，得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内容表述简略、细节不完善的，得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未进行阐述、方案不可行、内容前后矛盾或违反现行相关规范的，不得分</w:t>
      </w:r>
      <w:r>
        <w:rPr>
          <w:rFonts w:hint="eastAsia" w:ascii="宋体" w:hAnsi="宋体" w:eastAsia="宋体" w:cs="宋体"/>
          <w:sz w:val="24"/>
          <w:szCs w:val="24"/>
          <w:highlight w:val="none"/>
          <w:lang w:eastAsia="zh-CN"/>
        </w:rPr>
        <w:t xml:space="preserve">。本项最高得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分。</w:t>
      </w:r>
      <w:r/>
    </w:p>
    <w:p>
      <w:pPr>
        <w:jc w:val="left"/>
        <w:spacing w:line="500" w:lineRule="exact"/>
        <w:rPr>
          <w:rFonts w:hint="eastAsia" w:ascii="宋体" w:hAnsi="宋体"/>
          <w:b/>
          <w:bCs/>
          <w:color w:val="000000"/>
          <w:sz w:val="24"/>
          <w:szCs w:val="24"/>
          <w:highlight w:val="none"/>
          <w:lang w:val="en-US" w:eastAsia="zh-CN"/>
        </w:rPr>
      </w:pPr>
      <w:r>
        <w:rPr>
          <w:rFonts w:hint="eastAsia" w:ascii="宋体" w:hAnsi="宋体"/>
          <w:b/>
          <w:color w:val="000000"/>
          <w:sz w:val="24"/>
          <w:highlight w:val="none"/>
          <w:lang w:val="en-US" w:eastAsia="zh-CN"/>
        </w:rPr>
        <w:t xml:space="preserve">（五）</w:t>
      </w:r>
      <w:r>
        <w:rPr>
          <w:rFonts w:hint="eastAsia" w:ascii="宋体" w:hAnsi="宋体"/>
          <w:b/>
          <w:bCs/>
          <w:color w:val="000000"/>
          <w:sz w:val="24"/>
          <w:szCs w:val="24"/>
          <w:highlight w:val="none"/>
          <w:lang w:val="en-US" w:eastAsia="zh-CN"/>
        </w:rPr>
        <w:t xml:space="preserve">深化设计方案（9分）</w:t>
      </w:r>
      <w:r>
        <w:rPr>
          <w:rFonts w:hint="eastAsia" w:ascii="宋体" w:hAnsi="宋体"/>
          <w:b/>
          <w:bCs/>
          <w:color w:val="000000"/>
          <w:sz w:val="24"/>
          <w:szCs w:val="24"/>
          <w:highlight w:val="none"/>
          <w:lang w:val="en-US"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投标人提供</w:t>
      </w:r>
      <w:r>
        <w:rPr>
          <w:rFonts w:hint="eastAsia" w:ascii="宋体" w:hAnsi="宋体" w:cs="宋体"/>
          <w:bCs/>
          <w:color w:val="000000"/>
          <w:sz w:val="24"/>
          <w:szCs w:val="24"/>
          <w:highlight w:val="none"/>
          <w:lang w:val="en-US" w:eastAsia="zh-CN"/>
        </w:rPr>
        <w:t xml:space="preserve">生物</w:t>
      </w:r>
      <w:r>
        <w:rPr>
          <w:rFonts w:hint="eastAsia" w:ascii="宋体" w:hAnsi="宋体" w:eastAsia="宋体" w:cs="宋体"/>
          <w:bCs/>
          <w:color w:val="000000"/>
          <w:sz w:val="24"/>
          <w:szCs w:val="24"/>
          <w:highlight w:val="none"/>
          <w:lang w:val="en-US" w:eastAsia="zh-CN"/>
        </w:rPr>
        <w:t xml:space="preserve">实验室深化设计包括但不限于以下方面：</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eastAsia="zh-CN"/>
        </w:rPr>
        <w:t xml:space="preserve">①</w:t>
      </w:r>
      <w:r>
        <w:rPr>
          <w:rFonts w:hint="eastAsia" w:ascii="宋体" w:hAnsi="宋体" w:eastAsia="宋体" w:cs="宋体"/>
          <w:bCs/>
          <w:color w:val="000000"/>
          <w:sz w:val="24"/>
          <w:szCs w:val="24"/>
          <w:highlight w:val="none"/>
          <w:lang w:val="en-US" w:eastAsia="zh-CN"/>
        </w:rPr>
        <w:t xml:space="preserve">实验室整体规划设计布置图、</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eastAsia="zh-CN"/>
        </w:rPr>
        <w:t xml:space="preserve">②</w:t>
      </w:r>
      <w:r>
        <w:rPr>
          <w:rFonts w:hint="eastAsia" w:ascii="宋体" w:hAnsi="宋体" w:eastAsia="宋体" w:cs="宋体"/>
          <w:bCs/>
          <w:color w:val="000000"/>
          <w:sz w:val="24"/>
          <w:szCs w:val="24"/>
          <w:highlight w:val="none"/>
          <w:lang w:val="en-US" w:eastAsia="zh-CN"/>
        </w:rPr>
        <w:t xml:space="preserve">匹配空间的水电风合理改造深化施工图纸、</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eastAsia="zh-CN"/>
        </w:rPr>
        <w:t xml:space="preserve">③</w:t>
      </w:r>
      <w:r>
        <w:rPr>
          <w:rFonts w:hint="eastAsia" w:ascii="宋体" w:hAnsi="宋体" w:eastAsia="宋体" w:cs="宋体"/>
          <w:bCs/>
          <w:color w:val="000000"/>
          <w:sz w:val="24"/>
          <w:szCs w:val="24"/>
          <w:highlight w:val="none"/>
          <w:lang w:val="en-US" w:eastAsia="zh-CN"/>
        </w:rPr>
        <w:t xml:space="preserve">空间与空间平面匹配的深化效果图。</w:t>
      </w:r>
      <w:r/>
    </w:p>
    <w:p>
      <w:pPr>
        <w:ind w:firstLine="480"/>
        <w:spacing w:line="500" w:lineRule="exact"/>
        <w:tabs>
          <w:tab w:val="left" w:pos="945" w:leader="none"/>
          <w:tab w:val="left" w:pos="1155" w:leader="none"/>
        </w:tabs>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投标人须针对上述每条内容进行阐述，</w:t>
      </w:r>
      <w:r>
        <w:rPr>
          <w:rFonts w:hint="eastAsia" w:ascii="宋体" w:hAnsi="宋体" w:eastAsia="宋体" w:cs="宋体"/>
          <w:bCs/>
          <w:color w:val="000000"/>
          <w:sz w:val="24"/>
          <w:szCs w:val="24"/>
          <w:highlight w:val="none"/>
          <w:lang w:val="en-US" w:eastAsia="zh-CN"/>
        </w:rPr>
        <w:t xml:space="preserve">图纸内容</w:t>
      </w:r>
      <w:r>
        <w:rPr>
          <w:rFonts w:hint="eastAsia" w:ascii="宋体" w:hAnsi="宋体" w:cs="宋体"/>
          <w:bCs/>
          <w:color w:val="000000"/>
          <w:sz w:val="24"/>
          <w:szCs w:val="24"/>
          <w:highlight w:val="none"/>
          <w:lang w:val="en-US" w:eastAsia="zh-CN"/>
        </w:rPr>
        <w:t xml:space="preserve">详实</w:t>
      </w:r>
      <w:r>
        <w:rPr>
          <w:rFonts w:hint="eastAsia" w:ascii="宋体" w:hAnsi="宋体" w:eastAsia="宋体" w:cs="宋体"/>
          <w:bCs/>
          <w:color w:val="000000"/>
          <w:sz w:val="24"/>
          <w:szCs w:val="24"/>
          <w:highlight w:val="none"/>
          <w:lang w:val="en-US" w:eastAsia="zh-CN"/>
        </w:rPr>
        <w:t xml:space="preserve">、需求贴合度高且可行性强</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sz w:val="24"/>
          <w:highlight w:val="none"/>
        </w:rPr>
        <w:t xml:space="preserve">；</w:t>
      </w:r>
      <w:r>
        <w:rPr>
          <w:rFonts w:hint="eastAsia" w:ascii="宋体" w:hAnsi="宋体" w:eastAsia="宋体" w:cs="宋体"/>
          <w:bCs/>
          <w:color w:val="000000"/>
          <w:sz w:val="24"/>
          <w:szCs w:val="24"/>
          <w:highlight w:val="none"/>
          <w:lang w:val="en-US" w:eastAsia="zh-CN"/>
        </w:rPr>
        <w:t xml:space="preserve">图纸内容较为简单、可行、细节有待完善，得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sz w:val="24"/>
          <w:highlight w:val="none"/>
        </w:rPr>
        <w:t xml:space="preserve">；</w:t>
      </w:r>
      <w:r>
        <w:rPr>
          <w:rFonts w:hint="eastAsia" w:ascii="宋体" w:hAnsi="宋体" w:eastAsia="宋体" w:cs="宋体"/>
          <w:bCs/>
          <w:color w:val="000000"/>
          <w:sz w:val="24"/>
          <w:szCs w:val="24"/>
          <w:highlight w:val="none"/>
          <w:lang w:val="en-US" w:eastAsia="zh-CN"/>
        </w:rPr>
        <w:t xml:space="preserve">图纸内容粗略、无针对性、基本满足采购需求，得</w:t>
      </w:r>
      <w:r>
        <w:rPr>
          <w:rFonts w:hint="eastAsia" w:ascii="宋体" w:hAnsi="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未提供图纸不得分。</w:t>
      </w:r>
      <w:r>
        <w:rPr>
          <w:rFonts w:hint="eastAsia" w:ascii="宋体" w:hAnsi="宋体" w:eastAsia="宋体" w:cs="宋体"/>
          <w:sz w:val="24"/>
          <w:szCs w:val="24"/>
          <w:highlight w:val="none"/>
          <w:lang w:eastAsia="zh-CN"/>
        </w:rPr>
        <w:t xml:space="preserve">本项最高得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分。</w:t>
      </w:r>
      <w:r/>
    </w:p>
    <w:p>
      <w:pPr>
        <w:ind w:firstLine="480"/>
        <w:jc w:val="left"/>
        <w:keepLines w:val="0"/>
        <w:keepNext w:val="0"/>
        <w:pageBreakBefore w:val="0"/>
        <w:spacing w:line="360" w:lineRule="auto"/>
        <w:widowControl w:val="off"/>
        <w:rPr>
          <w:color w:val="000000"/>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lang w:eastAsia="zh-CN"/>
        </w:rPr>
        <w:t xml:space="preserve">项目方案</w:t>
      </w:r>
      <w:r>
        <w:rPr>
          <w:rFonts w:hint="eastAsia" w:ascii="宋体" w:hAnsi="宋体" w:eastAsia="宋体" w:cs="宋体"/>
          <w:b/>
          <w:bCs/>
          <w:sz w:val="24"/>
          <w:szCs w:val="24"/>
          <w:highlight w:val="none"/>
          <w:lang w:val="en-US" w:eastAsia="zh-CN"/>
        </w:rPr>
        <w:t xml:space="preserve">部分（</w:t>
      </w:r>
      <w:r>
        <w:rPr>
          <w:rFonts w:hint="eastAsia" w:ascii="宋体" w:hAnsi="宋体" w:eastAsia="宋体" w:cs="宋体"/>
          <w:b/>
          <w:bCs/>
          <w:sz w:val="24"/>
          <w:szCs w:val="24"/>
          <w:highlight w:val="none"/>
          <w:lang w:eastAsia="zh-CN"/>
        </w:rPr>
        <w:t xml:space="preserve">项目实施方案、项目安装方案、质量控制保障方案、售后服务管理及措施</w:t>
      </w:r>
      <w:r>
        <w:rPr>
          <w:rFonts w:hint="eastAsia" w:ascii="宋体" w:hAnsi="宋体" w:eastAsia="宋体" w:cs="宋体"/>
          <w:b/>
          <w:bCs/>
          <w:sz w:val="24"/>
          <w:szCs w:val="24"/>
          <w:highlight w:val="none"/>
          <w:lang w:val="en-US" w:eastAsia="zh-CN"/>
        </w:rPr>
        <w:t xml:space="preserve">）的总页码控制在4000页之内，超出限定页数的内容，不予纳入评审范畴，不计评分分值。</w:t>
      </w:r>
      <w:r/>
    </w:p>
    <w:p>
      <w:pPr>
        <w:ind w:firstLine="480"/>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rPr>
        <w:t xml:space="preserve">注：评委在5人及5人以上的，取所有</w:t>
      </w:r>
      <w:r>
        <w:rPr>
          <w:rFonts w:hint="eastAsia" w:ascii="宋体" w:cs="宋体"/>
          <w:bCs/>
          <w:color w:val="000000"/>
          <w:sz w:val="24"/>
          <w:szCs w:val="24"/>
          <w:highlight w:val="none"/>
        </w:rPr>
        <w:t xml:space="preserve">评委</w:t>
      </w:r>
      <w:r>
        <w:rPr>
          <w:rFonts w:hint="eastAsia" w:ascii="宋体" w:hAnsi="宋体" w:cs="宋体"/>
          <w:color w:val="000000"/>
          <w:sz w:val="24"/>
          <w:szCs w:val="24"/>
          <w:highlight w:val="none"/>
        </w:rPr>
        <w:t xml:space="preserve">的平均值。</w:t>
      </w:r>
      <w:r>
        <w:rPr>
          <w:rFonts w:hint="eastAsia" w:ascii="宋体" w:hAnsi="宋体"/>
          <w:bCs/>
          <w:color w:val="000000"/>
          <w:sz w:val="24"/>
          <w:szCs w:val="24"/>
          <w:highlight w:val="none"/>
        </w:rPr>
        <w:t xml:space="preserve">未列入本评分细则的其他条件不作为评分内容。</w:t>
      </w:r>
      <w:r/>
    </w:p>
    <w:p>
      <w:pPr>
        <w:spacing w:line="360" w:lineRule="auto"/>
        <w:rPr>
          <w:rFonts w:hint="eastAsia" w:ascii="黑体" w:eastAsia="黑体"/>
          <w:bCs/>
          <w:color w:val="000000"/>
          <w:sz w:val="36"/>
          <w:szCs w:val="36"/>
          <w:highlight w:val="none"/>
        </w:rPr>
      </w:pPr>
      <w:r>
        <w:rPr>
          <w:rFonts w:hint="eastAsia" w:ascii="宋体" w:hAnsi="宋体" w:cs="宋体"/>
          <w:b/>
          <w:color w:val="000000"/>
          <w:sz w:val="24"/>
          <w:szCs w:val="24"/>
          <w:highlight w:val="none"/>
          <w:lang w:eastAsia="zh-CN" w:bidi="ar"/>
        </w:rPr>
        <w:t xml:space="preserve">（</w:t>
      </w:r>
      <w:r>
        <w:rPr>
          <w:rFonts w:hint="eastAsia" w:ascii="宋体" w:hAnsi="宋体" w:cs="宋体"/>
          <w:b/>
          <w:color w:val="000000"/>
          <w:sz w:val="24"/>
          <w:szCs w:val="24"/>
          <w:highlight w:val="none"/>
          <w:lang w:val="en-US" w:eastAsia="zh-CN" w:bidi="ar"/>
        </w:rPr>
        <w:t xml:space="preserve">六）</w:t>
      </w:r>
      <w:r>
        <w:rPr>
          <w:rFonts w:hint="eastAsia" w:ascii="宋体" w:hAnsi="宋体" w:eastAsia="宋体" w:cs="宋体"/>
          <w:b/>
          <w:bCs w:val="0"/>
          <w:color w:val="000000"/>
          <w:sz w:val="24"/>
          <w:szCs w:val="24"/>
          <w:highlight w:val="none"/>
          <w:lang w:val="en-US" w:eastAsia="zh-CN"/>
        </w:rPr>
        <w:t xml:space="preserve">政策性因素（2分）：</w:t>
      </w:r>
      <w:r>
        <w:rPr>
          <w:rFonts w:hint="eastAsia" w:ascii="宋体" w:hAnsi="宋体" w:eastAsia="宋体" w:cs="宋体"/>
          <w:bCs/>
          <w:color w:val="000000"/>
          <w:sz w:val="24"/>
          <w:szCs w:val="24"/>
          <w:highlight w:val="none"/>
          <w:lang w:val="en-US" w:eastAsia="zh-CN"/>
        </w:rPr>
        <w:t xml:space="preserve">依据财政部、发展改革委发布的《节能产品政府采购</w:t>
      </w:r>
      <w:r>
        <w:rPr>
          <w:rFonts w:hint="eastAsia" w:ascii="宋体" w:hAnsi="宋体" w:eastAsia="宋体" w:cs="宋体"/>
          <w:color w:val="000000"/>
          <w:sz w:val="24"/>
          <w:szCs w:val="24"/>
          <w:highlight w:val="none"/>
          <w:lang w:val="en-US" w:eastAsia="zh-CN"/>
        </w:rPr>
        <w:t xml:space="preserve">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rPr>
          <w:rFonts w:hint="eastAsia" w:ascii="宋体" w:hAnsi="宋体" w:cs="宋体"/>
          <w:color w:val="000000"/>
          <w:sz w:val="24"/>
          <w:szCs w:val="24"/>
          <w:highlight w:val="none"/>
          <w:lang w:val="en-US" w:eastAsia="zh-CN"/>
        </w:rPr>
        <w:t xml:space="preserve">。认证机构详见市场监管总局发布的《参与实施政府采购节能产品认证机构名录》和《参与实施政府采购环境标志产品认证机构名录》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黑体" w:eastAsia="黑体"/>
          <w:bCs/>
          <w:color w:val="000000"/>
          <w:sz w:val="36"/>
          <w:szCs w:val="36"/>
          <w:highlight w:val="none"/>
        </w:rPr>
        <w:br w:type="page" w:clear="all"/>
      </w:r>
      <w:r/>
    </w:p>
    <w:p>
      <w:pPr>
        <w:pStyle w:val="1057"/>
        <w:ind w:firstLine="0"/>
        <w:jc w:val="both"/>
        <w:spacing w:before="0" w:after="0" w:line="500" w:lineRule="exact"/>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85"/>
      <w:r/>
      <w:bookmarkEnd w:id="186"/>
      <w:r/>
      <w:bookmarkEnd w:id="187"/>
      <w:r>
        <w:rPr>
          <w:rFonts w:hint="eastAsia" w:ascii="黑体" w:eastAsia="黑体"/>
          <w:bCs/>
          <w:color w:val="000000"/>
          <w:sz w:val="36"/>
          <w:szCs w:val="36"/>
          <w:highlight w:val="none"/>
        </w:rPr>
        <w:t xml:space="preserve">投标文件内容与格式</w:t>
      </w:r>
      <w:r/>
    </w:p>
    <w:p>
      <w:pPr>
        <w:pStyle w:val="1057"/>
        <w:ind w:firstLine="602"/>
        <w:spacing w:before="0" w:after="0" w:line="500" w:lineRule="exact"/>
        <w:rPr>
          <w:rFonts w:cs="Arial"/>
          <w:b/>
          <w:color w:val="000000"/>
          <w:sz w:val="30"/>
          <w:szCs w:val="30"/>
          <w:highlight w:val="none"/>
        </w:rPr>
      </w:pPr>
      <w:r/>
      <w:bookmarkStart w:id="188" w:name="_Hlt26955039"/>
      <w:r/>
      <w:bookmarkEnd w:id="188"/>
      <w:r/>
      <w:bookmarkStart w:id="189" w:name="_Hlt26671244"/>
      <w:r/>
      <w:bookmarkEnd w:id="189"/>
      <w:r/>
      <w:bookmarkStart w:id="190" w:name="_Toc26554094"/>
      <w:r/>
      <w:bookmarkStart w:id="191" w:name="_Toc49090576"/>
      <w:r/>
      <w:bookmarkStart w:id="192" w:name="_Toc120614282"/>
      <w:r>
        <w:rPr>
          <w:rFonts w:hint="eastAsia" w:cs="Arial"/>
          <w:b/>
          <w:color w:val="000000"/>
          <w:sz w:val="30"/>
          <w:szCs w:val="30"/>
          <w:highlight w:val="none"/>
        </w:rPr>
        <w:t xml:space="preserve">第一部分  投标文件内容</w:t>
      </w:r>
      <w:r/>
    </w:p>
    <w:p>
      <w:pPr>
        <w:pStyle w:val="1057"/>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1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5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tcPr>
          <w:p>
            <w:pPr>
              <w:pStyle w:val="1057"/>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tcPr>
          <w:p>
            <w:pPr>
              <w:pStyle w:val="105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tcPr>
          <w:p>
            <w:pPr>
              <w:pStyle w:val="105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5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tcPr>
          <w:p>
            <w:pPr>
              <w:pStyle w:val="105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tcPr>
          <w:p>
            <w:pPr>
              <w:pStyle w:val="105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tcPr>
          <w:p>
            <w:pPr>
              <w:pStyle w:val="105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7"/>
                <w:rFonts w:hint="eastAsia" w:ascii="宋体" w:hAnsi="宋体" w:cs="宋体"/>
                <w:color w:val="000000"/>
                <w:sz w:val="24"/>
                <w:szCs w:val="24"/>
                <w:highlight w:val="none"/>
              </w:rPr>
              <w:t xml:space="preserve">。</w:t>
            </w:r>
            <w:r/>
          </w:p>
        </w:tc>
        <w:tc>
          <w:tcPr>
            <w:tcW w:w="2449" w:type="dxa"/>
            <w:vAlign w:val="center"/>
            <w:vMerge w:val="continue"/>
            <w:textDirection w:val="lrTb"/>
            <w:noWrap/>
          </w:tcPr>
          <w:p>
            <w:pPr>
              <w:pStyle w:val="105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tcPr>
          <w:p>
            <w:pPr>
              <w:pStyle w:val="105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5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tcPr>
          <w:p>
            <w:pPr>
              <w:pStyle w:val="105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5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tcPr>
          <w:p>
            <w:pPr>
              <w:pStyle w:val="105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tcPr>
          <w:p>
            <w:pPr>
              <w:pStyle w:val="105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tcPr>
          <w:p>
            <w:pPr>
              <w:pStyle w:val="105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tcPr>
          <w:p>
            <w:pPr>
              <w:pStyle w:val="105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tcPr>
          <w:p>
            <w:pPr>
              <w:pStyle w:val="105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pStyle w:val="1057"/>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tcPr>
          <w:p>
            <w:pPr>
              <w:pStyle w:val="1057"/>
              <w:ind w:firstLine="0"/>
              <w:jc w:val="both"/>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文件：无</w:t>
            </w:r>
            <w:r/>
          </w:p>
        </w:tc>
        <w:tc>
          <w:tcPr>
            <w:tcW w:w="2449" w:type="dxa"/>
            <w:vAlign w:val="center"/>
            <w:textDirection w:val="lrTb"/>
            <w:noWrap/>
          </w:tcPr>
          <w:p>
            <w:pPr>
              <w:pStyle w:val="1057"/>
              <w:ind w:firstLine="0"/>
              <w:spacing w:before="0" w:after="0" w:line="24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tcPr>
          <w:p>
            <w:pPr>
              <w:pStyle w:val="1057"/>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tcPr>
          <w:p>
            <w:pPr>
              <w:pStyle w:val="1057"/>
              <w:ind w:firstLine="0"/>
              <w:spacing w:before="0" w:after="0" w:line="24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9"/>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1～8项必须全部按要求提供（有给定格式的，必须按给定格式的要求正确填报并提供，相应格式见本章第二部分），否则投标文件无效。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rPr>
          <w:b/>
          <w:color w:val="000000"/>
          <w:sz w:val="28"/>
          <w:szCs w:val="28"/>
          <w:highlight w:val="none"/>
        </w:rPr>
      </w:pPr>
      <w:r>
        <w:rPr>
          <w:rFonts w:hint="eastAsia"/>
          <w:b/>
          <w:color w:val="000000"/>
          <w:sz w:val="28"/>
          <w:szCs w:val="28"/>
          <w:highlight w:val="none"/>
        </w:rPr>
        <w:t xml:space="preserve">（一）符合性证明文件</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57"/>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tcPr>
          <w:p>
            <w:pPr>
              <w:pStyle w:val="1057"/>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tcPr>
          <w:p>
            <w:pPr>
              <w:pStyle w:val="1057"/>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tcPr>
          <w:p>
            <w:pPr>
              <w:pStyle w:val="1057"/>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tcPr>
          <w:p>
            <w:pPr>
              <w:pStyle w:val="1057"/>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tcPr>
          <w:p>
            <w:pPr>
              <w:pStyle w:val="1057"/>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tcPr>
          <w:p>
            <w:pPr>
              <w:pStyle w:val="1057"/>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tcPr>
          <w:p>
            <w:pPr>
              <w:pStyle w:val="1057"/>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tcPr>
          <w:p>
            <w:pPr>
              <w:pStyle w:val="1057"/>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tcPr>
          <w:p>
            <w:pPr>
              <w:pStyle w:val="105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tcPr>
          <w:p>
            <w:pPr>
              <w:pStyle w:val="105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开标一览表（“苏采云”系统中给定格式）</w:t>
            </w:r>
            <w:r/>
          </w:p>
        </w:tc>
        <w:tc>
          <w:tcPr>
            <w:tcW w:w="1979" w:type="dxa"/>
            <w:vAlign w:val="center"/>
            <w:vMerge w:val="restart"/>
            <w:textDirection w:val="lrTb"/>
            <w:noWrap/>
          </w:tcPr>
          <w:p>
            <w:pPr>
              <w:pStyle w:val="1057"/>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tcPr>
          <w:p>
            <w:pPr>
              <w:pStyle w:val="105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tcPr>
          <w:p>
            <w:pPr>
              <w:pStyle w:val="105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tcPr>
          <w:p>
            <w:pPr>
              <w:pStyle w:val="1057"/>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tcPr>
          <w:p>
            <w:pPr>
              <w:pStyle w:val="105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tcPr>
          <w:p>
            <w:pPr>
              <w:pStyle w:val="105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tcPr>
          <w:p>
            <w:pPr>
              <w:pStyle w:val="1057"/>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tcPr>
          <w:p>
            <w:pPr>
              <w:pStyle w:val="105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tcPr>
          <w:p>
            <w:pPr>
              <w:pStyle w:val="1057"/>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tcPr>
          <w:p>
            <w:pPr>
              <w:pStyle w:val="1057"/>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0"/>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p>
    <w:p>
      <w:pPr>
        <w:numPr>
          <w:ilvl w:val="0"/>
          <w:numId w:val="10"/>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rFonts w:hint="eastAsia"/>
          <w:b/>
          <w:color w:val="000000"/>
          <w:sz w:val="28"/>
          <w:szCs w:val="28"/>
          <w:highlight w:val="none"/>
        </w:rPr>
        <w:t xml:space="preserve">（二）其他证明文件</w:t>
      </w:r>
      <w:r/>
    </w:p>
    <w:p>
      <w:pPr>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p>
    <w:p>
      <w:pPr>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p>
    <w:p>
      <w:pPr>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5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项目编号：JSZC-320200-WXYC-G2026-0001</w:t>
      </w:r>
      <w:r>
        <w:rPr>
          <w:rFonts w:hint="eastAsia" w:ascii="黑体" w:hAnsi="华文中宋" w:eastAsia="黑体"/>
          <w:bCs/>
          <w:color w:val="000000"/>
          <w:sz w:val="30"/>
          <w:szCs w:val="30"/>
          <w:highlight w:val="none"/>
          <w:lang w:val="en-US" w:eastAsia="zh-CN"/>
        </w:rPr>
        <w:t xml:space="preserve"> </w:t>
      </w:r>
      <w:r/>
    </w:p>
    <w:p>
      <w:pPr>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梅村高中家具采购项目</w:t>
      </w:r>
      <w:r/>
    </w:p>
    <w:p>
      <w:pPr>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bookmarkStart w:id="199" w:name="_GoBack"/>
      <w:r/>
      <w:bookmarkEnd w:id="199"/>
      <w:r/>
      <w:r/>
    </w:p>
    <w:p>
      <w:pPr>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55"/>
        <w:ind w:firstLine="480"/>
        <w:spacing w:line="360" w:lineRule="auto"/>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u w:val="single"/>
        </w:rPr>
        <w:t xml:space="preserve">梅村高中家具采购项目</w:t>
      </w:r>
      <w:r>
        <w:rPr>
          <w:rFonts w:hint="eastAsia" w:ascii="宋体" w:hAnsi="宋体"/>
          <w:bCs/>
          <w:color w:val="000000"/>
          <w:sz w:val="24"/>
          <w:szCs w:val="24"/>
          <w:highlight w:val="none"/>
        </w:rPr>
        <w:t xml:space="preserve">，兹授权：</w:t>
      </w:r>
      <w:r/>
    </w:p>
    <w:p>
      <w:pPr>
        <w:pStyle w:val="1055"/>
        <w:ind w:firstLine="480"/>
        <w:spacing w:line="360" w:lineRule="auto"/>
        <w:rPr>
          <w:color w:val="000000"/>
          <w:sz w:val="24"/>
          <w:szCs w:val="24"/>
          <w:highlight w:val="none"/>
          <w:u w:val="singl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 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p>
    <w:p>
      <w:pPr>
        <w:pStyle w:val="1055"/>
        <w:ind w:firstLine="480"/>
        <w:spacing w:line="360" w:lineRule="auto"/>
        <w:rPr>
          <w:color w:val="000000"/>
          <w:sz w:val="24"/>
          <w:szCs w:val="24"/>
          <w:highlight w:val="none"/>
          <w:u w:val="single"/>
        </w:rPr>
      </w:pPr>
      <w:r>
        <w:rPr>
          <w:rFonts w:hint="eastAsia"/>
          <w:color w:val="000000"/>
          <w:sz w:val="24"/>
          <w:szCs w:val="24"/>
          <w:highlight w:val="none"/>
        </w:rPr>
        <w:t xml:space="preserve">被授权人的身份证号码：</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联系方式：</w:t>
      </w:r>
      <w:r>
        <w:rPr>
          <w:rFonts w:hint="eastAsia"/>
          <w:color w:val="000000"/>
          <w:sz w:val="24"/>
          <w:szCs w:val="24"/>
          <w:highlight w:val="none"/>
          <w:u w:val="single"/>
          <w:lang w:val="en-US" w:eastAsia="zh-CN"/>
        </w:rPr>
        <w:t xml:space="preserve">                 </w:t>
      </w:r>
      <w:r/>
    </w:p>
    <w:p>
      <w:pPr>
        <w:pStyle w:val="1055"/>
        <w:ind w:firstLine="480"/>
        <w:spacing w:line="360" w:lineRule="auto"/>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55"/>
        <w:ind w:firstLine="480"/>
        <w:spacing w:line="360" w:lineRule="auto"/>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55"/>
        <w:ind w:firstLine="480"/>
        <w:spacing w:line="360" w:lineRule="auto"/>
        <w:rPr>
          <w:color w:val="000000"/>
          <w:sz w:val="24"/>
          <w:szCs w:val="24"/>
          <w:highlight w:val="none"/>
        </w:rPr>
      </w:pPr>
      <w:r>
        <w:rPr>
          <w:rFonts w:hint="eastAsia"/>
          <w:color w:val="000000"/>
          <w:sz w:val="24"/>
          <w:szCs w:val="24"/>
          <w:highlight w:val="none"/>
        </w:rPr>
        <w:t xml:space="preserve">特此授权委托。</w:t>
      </w:r>
      <w:r/>
    </w:p>
    <w:p>
      <w:pPr>
        <w:pStyle w:val="1055"/>
        <w:ind w:firstLine="0"/>
        <w:spacing w:line="360" w:lineRule="auto"/>
        <w:rPr>
          <w:color w:val="000000"/>
          <w:sz w:val="24"/>
          <w:szCs w:val="24"/>
          <w:highlight w:val="none"/>
          <w:u w:val="single"/>
        </w:rPr>
      </w:pPr>
      <w:r>
        <w:rPr>
          <w:rFonts w:hint="eastAsia"/>
          <w:color w:val="000000"/>
          <w:sz w:val="24"/>
          <w:szCs w:val="24"/>
          <w:highlight w:val="none"/>
        </w:rPr>
        <w:t xml:space="preserve">授权日期：年月日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55"/>
        <w:ind w:firstLine="0"/>
        <w:spacing w:line="360" w:lineRule="auto"/>
        <w:rPr>
          <w:color w:val="000000"/>
          <w:sz w:val="24"/>
          <w:szCs w:val="24"/>
          <w:highlight w:val="none"/>
        </w:rPr>
      </w:pPr>
      <w:r>
        <w:rPr>
          <w:rFonts w:hint="eastAsia"/>
          <w:color w:val="000000"/>
          <w:sz w:val="24"/>
          <w:szCs w:val="24"/>
          <w:highlight w:val="none"/>
        </w:rPr>
        <w:t xml:space="preserve">法定代表人签字或盖章：               被授权人签字或盖章：</w:t>
      </w:r>
      <w:r/>
    </w:p>
    <w:p>
      <w:pPr>
        <w:pStyle w:val="1055"/>
        <w:ind w:firstLine="0"/>
        <w:spacing w:line="360" w:lineRule="auto"/>
        <w:rPr>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055"/>
        <w:ind w:firstLine="0"/>
        <w:spacing w:line="360" w:lineRule="auto"/>
        <w:rPr>
          <w:color w:val="000000"/>
          <w:sz w:val="24"/>
          <w:szCs w:val="24"/>
          <w:highlight w:val="none"/>
        </w:rPr>
      </w:pPr>
      <w:r>
        <w:rPr>
          <w:rFonts w:hint="eastAsia"/>
          <w:color w:val="000000"/>
          <w:sz w:val="24"/>
          <w:szCs w:val="24"/>
          <w:highlight w:val="none"/>
        </w:rPr>
        <w:t xml:space="preserve">说明：</w:t>
      </w:r>
      <w:r/>
    </w:p>
    <w:p>
      <w:pPr>
        <w:pStyle w:val="1055"/>
        <w:numPr>
          <w:ilvl w:val="0"/>
          <w:numId w:val="11"/>
        </w:numPr>
        <w:ind w:firstLine="480"/>
        <w:spacing w:line="360" w:lineRule="auto"/>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55"/>
        <w:numPr>
          <w:ilvl w:val="0"/>
          <w:numId w:val="11"/>
        </w:numPr>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55"/>
        <w:numPr>
          <w:ilvl w:val="0"/>
          <w:numId w:val="11"/>
        </w:numPr>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55"/>
        <w:numPr>
          <w:ilvl w:val="0"/>
          <w:numId w:val="11"/>
        </w:num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55"/>
        <w:ind w:firstLine="0"/>
        <w:spacing w:line="360" w:lineRule="auto"/>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93" w:name="报价方关于资格的声明函（格式）"/>
      <w:r/>
      <w:bookmarkEnd w:id="193"/>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江苏誉诚建设咨询管理有限公司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2"/>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中小企业声明函（货物）</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highlight w:val="none"/>
        </w:rPr>
      </w:pPr>
      <w:r>
        <w:rPr>
          <w:rFonts w:hint="eastAsia"/>
          <w:color w:val="000000"/>
          <w:highlight w:val="none"/>
        </w:rPr>
        <w:t xml:space="preserve">（4）中标供应商的《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color w:val="000000"/>
          <w:highlight w:val="none"/>
        </w:rPr>
        <w:br w:type="page" w:clear="all"/>
      </w: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spacing w:line="360" w:lineRule="auto"/>
        <w:rPr>
          <w:rFonts w:hint="eastAsia"/>
          <w:color w:val="000000"/>
          <w:highlight w:val="none"/>
        </w:rPr>
      </w:pPr>
      <w:r>
        <w:rPr>
          <w:rFonts w:hint="eastAsia"/>
          <w:color w:val="000000"/>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br w:type="page" w:clear="all"/>
      </w:r>
      <w:r/>
    </w:p>
    <w:p>
      <w:pPr>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ind w:firstLine="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江苏誉诚建设咨询管理有限公司</w:t>
      </w:r>
      <w:r>
        <w:rPr>
          <w:rFonts w:hint="eastAsia" w:ascii="宋体" w:hAnsi="宋体"/>
          <w:bCs/>
          <w:color w:val="000000"/>
          <w:sz w:val="24"/>
          <w:szCs w:val="24"/>
          <w:highlight w:val="none"/>
        </w:rPr>
        <w:t xml:space="preserve">：</w:t>
      </w:r>
      <w:r/>
    </w:p>
    <w:p>
      <w:pPr>
        <w:ind w:firstLine="48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bCs/>
          <w:color w:val="auto"/>
          <w:sz w:val="24"/>
          <w:szCs w:val="24"/>
          <w:highlight w:val="none"/>
          <w:u w:val="single"/>
        </w:rPr>
        <w:t xml:space="preserve"> （政府采购编号）  </w:t>
      </w:r>
      <w:r>
        <w:rPr>
          <w:rFonts w:hint="eastAsia" w:ascii="宋体" w:hAnsi="宋体"/>
          <w:bCs/>
          <w:color w:val="000000"/>
          <w:sz w:val="24"/>
          <w:szCs w:val="24"/>
          <w:highlight w:val="none"/>
        </w:rPr>
        <w:t xml:space="preserve">招标文件，经仔细阅读和研究，我方决定参加此项目的投标。</w:t>
      </w:r>
      <w:r/>
    </w:p>
    <w:p>
      <w:pPr>
        <w:numPr>
          <w:ilvl w:val="0"/>
          <w:numId w:val="12"/>
        </w:numPr>
        <w:ind w:left="0" w:firstLine="525"/>
        <w:spacing w:line="24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2"/>
        </w:numPr>
        <w:ind w:left="0" w:firstLine="523"/>
        <w:spacing w:line="240" w:lineRule="auto"/>
        <w:tabs>
          <w:tab w:val="left" w:pos="0" w:leader="none"/>
          <w:tab w:val="left" w:pos="315" w:leader="none"/>
          <w:tab w:val="left" w:pos="525" w:leader="none"/>
          <w:tab w:val="left" w:pos="840" w:leader="none"/>
          <w:tab w:val="left" w:pos="945" w:leader="none"/>
          <w:tab w:val="left" w:pos="1050" w:leader="none"/>
        </w:tabs>
        <w:rPr>
          <w:rStyle w:val="90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江苏誉诚建设咨询管理有限公司</w:t>
      </w:r>
      <w:r>
        <w:rPr>
          <w:rFonts w:hint="eastAsia" w:ascii="宋体" w:hAnsi="宋体"/>
          <w:bCs/>
          <w:color w:val="000000"/>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；传真：</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lang w:val="en-US" w:eastAsia="zh-CN"/>
        </w:rPr>
        <w:t xml:space="preserve">              </w:t>
      </w:r>
      <w:r/>
    </w:p>
    <w:p>
      <w:pPr>
        <w:ind w:firstLine="480"/>
        <w:spacing w:line="400" w:lineRule="exact"/>
        <w:rPr>
          <w:rFonts w:ascii="宋体" w:hAnsi="宋体" w:eastAsia="宋体"/>
          <w:bCs/>
          <w:color w:val="000000"/>
          <w:sz w:val="24"/>
          <w:szCs w:val="24"/>
          <w:highlight w:val="none"/>
          <w:u w:val="single"/>
          <w:lang w:val="en-US" w:eastAsia="zh-CN"/>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lang w:val="en-US" w:eastAsia="zh-CN"/>
        </w:rPr>
        <w:t xml:space="preserve">                                      </w:t>
      </w:r>
      <w:r/>
    </w:p>
    <w:p>
      <w:pPr>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七</w:t>
      </w:r>
      <w:r>
        <w:rPr>
          <w:rFonts w:hint="eastAsia"/>
          <w:b/>
          <w:color w:val="000000"/>
          <w:sz w:val="28"/>
          <w:szCs w:val="28"/>
          <w:highlight w:val="none"/>
        </w:rPr>
        <w:t xml:space="preserve">、承诺书（给定格式）：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rPr>
        <w:t xml:space="preserve"> </w:t>
      </w:r>
      <w:r>
        <w:rPr>
          <w:rFonts w:hint="eastAsia"/>
          <w:bCs/>
          <w:color w:val="auto"/>
          <w:sz w:val="24"/>
          <w:szCs w:val="24"/>
          <w:highlight w:val="none"/>
          <w:u w:val="single"/>
        </w:rPr>
        <w:t xml:space="preserve"> （政府采购编号）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w:t>
      </w:r>
      <w:r>
        <w:rPr>
          <w:rFonts w:hint="eastAsia" w:ascii="宋体" w:hAnsi="宋体"/>
          <w:bCs/>
          <w:color w:val="000000"/>
          <w:sz w:val="24"/>
          <w:szCs w:val="24"/>
          <w:highlight w:val="none"/>
          <w:lang w:eastAsia="zh-CN"/>
        </w:rPr>
        <w:t xml:space="preserve">格产</w:t>
      </w:r>
      <w:r>
        <w:rPr>
          <w:rFonts w:hint="eastAsia" w:ascii="宋体" w:hAnsi="宋体"/>
          <w:bCs/>
          <w:color w:val="000000"/>
          <w:sz w:val="24"/>
          <w:szCs w:val="24"/>
          <w:highlight w:val="none"/>
        </w:rPr>
        <w:t xml:space="preserve">品，提供的服务符合采购文件要求。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）对于成交产品的包装将严格按照《关于印发〈商品包装政府采购需求标准（试行）〉、〈快递包装政府采购需求标准（试行）〉的通知》（财办库〔2020〕123号）文件执行。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《需求标准》的前提下，如采购文件中对七种软硬件有其他要求的，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满足采购文件要求。如采购人在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36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、开标一览表：</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 </w:t>
      </w:r>
      <w:r>
        <w:rPr>
          <w:rFonts w:hint="eastAsia" w:ascii="黑体" w:eastAsia="黑体"/>
          <w:bCs/>
          <w:color w:val="000000"/>
          <w:sz w:val="24"/>
          <w:szCs w:val="24"/>
          <w:highlight w:val="none"/>
          <w:lang w:val="en-US" w:eastAsia="zh-CN"/>
        </w:rPr>
        <w:t xml:space="preserve"> </w:t>
      </w:r>
      <w:r/>
    </w:p>
    <w:tbl>
      <w:tblPr>
        <w:tblStyle w:val="715"/>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5175" w:type="dxa"/>
            <w:vAlign w:val="center"/>
            <w:textDirection w:val="lrTb"/>
            <w:noWrap/>
          </w:tcPr>
          <w:p>
            <w:pPr>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3931" w:type="dxa"/>
            <w:vAlign w:val="center"/>
            <w:textDirection w:val="lrTb"/>
            <w:noWrap/>
          </w:tcPr>
          <w:p>
            <w:pPr>
              <w:pStyle w:val="1081"/>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梅村高中家具采购项目</w:t>
            </w:r>
            <w:r/>
          </w:p>
        </w:tc>
        <w:tc>
          <w:tcPr>
            <w:tcW w:w="5175" w:type="dxa"/>
            <w:vAlign w:val="center"/>
            <w:textDirection w:val="lrTb"/>
            <w:noWrap/>
          </w:tcPr>
          <w:p>
            <w:pPr>
              <w:pStyle w:val="1081"/>
              <w:jc w:val="center"/>
              <w:rPr>
                <w:rFonts w:hAnsi="宋体"/>
                <w:b/>
                <w:color w:val="000000"/>
                <w:szCs w:val="24"/>
                <w:highlight w:val="none"/>
              </w:rPr>
            </w:pPr>
            <w:r>
              <w:rPr>
                <w:rFonts w:hAnsi="宋体"/>
                <w:b/>
                <w:color w:val="000000"/>
                <w:szCs w:val="24"/>
                <w:highlight w:val="none"/>
              </w:rPr>
            </w:r>
            <w:r/>
          </w:p>
        </w:tc>
      </w:tr>
      <w:tr>
        <w:trPr>
          <w:cantSplit/>
          <w:trHeight w:val="1630"/>
        </w:trPr>
        <w:tc>
          <w:tcPr>
            <w:gridSpan w:val="2"/>
            <w:tcW w:w="9106" w:type="dxa"/>
            <w:vAlign w:val="center"/>
            <w:textDirection w:val="lrTb"/>
            <w:noWrap/>
          </w:tcPr>
          <w:p>
            <w:pPr>
              <w:pStyle w:val="1081"/>
              <w:jc w:val="left"/>
              <w:rPr>
                <w:rFonts w:hAnsi="宋体"/>
                <w:b/>
                <w:color w:val="000000"/>
                <w:szCs w:val="24"/>
                <w:highlight w:val="none"/>
              </w:rPr>
            </w:pPr>
            <w:r>
              <w:rPr>
                <w:rFonts w:hint="eastAsia" w:ascii="黑体" w:eastAsia="黑体"/>
                <w:color w:val="000000"/>
                <w:highlight w:val="none"/>
              </w:rPr>
              <w:t xml:space="preserve">投标总报价（大写）</w:t>
            </w:r>
            <w:r>
              <w:rPr>
                <w:rFonts w:hint="eastAsia" w:hAnsi="宋体"/>
                <w:bCs/>
                <w:color w:val="000000"/>
                <w:szCs w:val="24"/>
                <w:highlight w:val="none"/>
              </w:rPr>
              <w:t xml:space="preserve">：</w:t>
            </w:r>
            <w:r/>
          </w:p>
        </w:tc>
      </w:tr>
    </w:tbl>
    <w:p>
      <w:pPr>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ind w:firstLine="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法定代表人或授权委托人（签字</w:t>
      </w:r>
      <w:r>
        <w:rPr>
          <w:rFonts w:hint="eastAsia" w:ascii="黑体" w:eastAsia="黑体"/>
          <w:bCs/>
          <w:color w:val="000000"/>
          <w:sz w:val="24"/>
          <w:szCs w:val="24"/>
          <w:highlight w:val="none"/>
          <w:lang w:val="en-US" w:eastAsia="zh-CN"/>
        </w:rPr>
        <w:t xml:space="preserve">或盖章</w:t>
      </w:r>
      <w:r>
        <w:rPr>
          <w:rFonts w:hint="eastAsia" w:ascii="黑体" w:eastAsia="黑体"/>
          <w:bCs/>
          <w:color w:val="000000"/>
          <w:sz w:val="24"/>
          <w:szCs w:val="24"/>
          <w:highlight w:val="none"/>
        </w:rPr>
        <w:t xml:space="preserve">）：</w:t>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                                     日期：     年  月   日</w:t>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r/>
    </w:p>
    <w:p>
      <w:pPr>
        <w:spacing w:line="360" w:lineRule="auto"/>
        <w:rPr>
          <w:b/>
          <w:color w:val="000000"/>
          <w:sz w:val="30"/>
          <w:szCs w:val="30"/>
          <w:highlight w:val="none"/>
        </w:rPr>
      </w:pPr>
      <w:r>
        <w:rPr>
          <w:b/>
          <w:color w:val="000000"/>
          <w:sz w:val="30"/>
          <w:szCs w:val="30"/>
          <w:highlight w:val="none"/>
        </w:rPr>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 </w:t>
      </w:r>
      <w:r/>
    </w:p>
    <w:tbl>
      <w:tblPr>
        <w:tblStyle w:val="71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highlight w:val="none"/>
              </w:rPr>
            </w:pPr>
            <w:r>
              <w:rPr>
                <w:rFonts w:hint="eastAsia"/>
                <w:color w:val="000000"/>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highlight w:val="none"/>
              </w:rPr>
            </w:pPr>
            <w:r>
              <w:rPr>
                <w:rFonts w:hint="eastAsia"/>
                <w:color w:val="000000"/>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highlight w:val="none"/>
              </w:rPr>
            </w:pPr>
            <w:r>
              <w:rPr>
                <w:rFonts w:hint="eastAsia"/>
                <w:color w:val="000000"/>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highlight w:val="none"/>
              </w:rPr>
            </w:pPr>
            <w:r>
              <w:rPr>
                <w:rFonts w:hint="eastAsia"/>
                <w:color w:val="000000"/>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数量</w:t>
            </w:r>
            <w:r/>
          </w:p>
        </w:tc>
        <w:tc>
          <w:tcPr>
            <w:tcW w:w="1276"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highlight w:val="none"/>
              </w:rPr>
            </w:pPr>
            <w:r>
              <w:rPr>
                <w:rFonts w:hint="eastAsia"/>
                <w:color w:val="000000"/>
                <w:sz w:val="18"/>
                <w:highlight w:val="none"/>
              </w:rPr>
              <w:t xml:space="preserve">质保期</w:t>
            </w:r>
            <w:r/>
          </w:p>
        </w:tc>
        <w:tc>
          <w:tcPr>
            <w:tcW w:w="70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单报价</w:t>
            </w:r>
            <w:r/>
          </w:p>
        </w:tc>
        <w:tc>
          <w:tcPr>
            <w:tcW w:w="93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096"/>
              <w:spacing w:before="5"/>
              <w:tabs>
                <w:tab w:val="clear" w:pos="4153" w:leader="none"/>
                <w:tab w:val="clear" w:pos="8306" w:leader="none"/>
              </w:tabs>
              <w:rPr>
                <w:rFonts w:ascii="宋体"/>
                <w:color w:val="000000"/>
                <w:highlight w:val="none"/>
                <w:lang w:eastAsia="zh-CN"/>
              </w:rPr>
              <w:pBdr>
                <w:bottom w:val="none" w:color="000000" w:sz="0" w:space="0"/>
              </w:pBdr>
            </w:pPr>
            <w:r>
              <w:rPr>
                <w:rFonts w:hint="eastAsia" w:ascii="宋体"/>
                <w:color w:val="000000"/>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09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945" w:type="dxa"/>
            <w:vAlign w:val="center"/>
            <w:textDirection w:val="lrTb"/>
            <w:noWrap w:val="false"/>
          </w:tcPr>
          <w:p>
            <w:pPr>
              <w:pStyle w:val="109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109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109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highlight w:val="none"/>
              </w:rPr>
            </w:pPr>
            <w:r>
              <w:rPr>
                <w:rFonts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highlight w:val="none"/>
              </w:rPr>
            </w:pPr>
            <w:r>
              <w:rPr>
                <w:rFonts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投标人承诺：</w:t>
            </w:r>
            <w:r/>
          </w:p>
          <w:p>
            <w:pPr>
              <w:jc w:val="center"/>
              <w:rPr>
                <w:rFonts w:ascii="黑体" w:hAnsi="宋体" w:eastAsia="黑体"/>
                <w:b/>
                <w:bCs/>
                <w:color w:val="000000"/>
                <w:sz w:val="24"/>
                <w:szCs w:val="24"/>
                <w:highlight w:val="none"/>
              </w:rPr>
            </w:pPr>
            <w:r>
              <w:rPr>
                <w:rFonts w:hint="eastAsia" w:ascii="宋体" w:hAnsi="宋体"/>
                <w:bCs/>
                <w:color w:val="000000"/>
                <w:sz w:val="24"/>
                <w:szCs w:val="24"/>
                <w:highlight w:val="none"/>
              </w:rPr>
              <w:t xml:space="preserve">本采购</w:t>
            </w:r>
            <w:r>
              <w:rPr>
                <w:rFonts w:hint="eastAsia" w:ascii="宋体" w:hAnsi="宋体"/>
                <w:bCs/>
                <w:color w:val="000000"/>
                <w:sz w:val="24"/>
                <w:szCs w:val="24"/>
                <w:highlight w:val="none"/>
                <w:lang w:val="en-US" w:eastAsia="zh-CN"/>
              </w:rPr>
              <w:t xml:space="preserve">项目或采购</w:t>
            </w:r>
            <w:r>
              <w:rPr>
                <w:rFonts w:hint="eastAsia" w:ascii="宋体" w:hAnsi="宋体"/>
                <w:bCs/>
                <w:color w:val="000000"/>
                <w:sz w:val="24"/>
                <w:szCs w:val="24"/>
                <w:highlight w:val="none"/>
              </w:rPr>
              <w:t xml:space="preserve">包中提供的符合本国产品标准的产品成本之和占提供的全部产品成本之和的比例为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400" w:lineRule="exact"/>
        <w:rPr>
          <w:b/>
          <w:color w:val="000000"/>
          <w:sz w:val="28"/>
          <w:szCs w:val="28"/>
          <w:highlight w:val="none"/>
        </w:rPr>
        <w:outlineLvl w:val="0"/>
      </w:pPr>
      <w:r>
        <w:rPr>
          <w:rFonts w:ascii="宋体" w:hAnsi="宋体"/>
          <w:bCs/>
          <w:color w:val="000000"/>
          <w:highlight w:val="none"/>
        </w:rPr>
        <w:br w:type="page" w:clear="all"/>
      </w:r>
      <w:bookmarkEnd w:id="190"/>
      <w:r/>
      <w:bookmarkEnd w:id="191"/>
      <w:r/>
      <w:bookmarkEnd w:id="192"/>
      <w:r/>
      <w:bookmarkStart w:id="194"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 </w:t>
      </w:r>
      <w:r>
        <w:rPr>
          <w:rFonts w:hint="eastAsia" w:ascii="黑体" w:eastAsia="黑体"/>
          <w:bCs/>
          <w:color w:val="000000"/>
          <w:sz w:val="24"/>
          <w:szCs w:val="24"/>
          <w:highlight w:val="none"/>
          <w:lang w:val="en-US" w:eastAsia="zh-CN"/>
        </w:rPr>
        <w:t xml:space="preserve"> </w:t>
      </w:r>
      <w:r/>
    </w:p>
    <w:tbl>
      <w:tblPr>
        <w:tblStyle w:val="715"/>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9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bCs/>
          <w:color w:val="000000"/>
          <w:sz w:val="24"/>
          <w:szCs w:val="24"/>
          <w:highlight w:val="none"/>
          <w:lang w:eastAsia="zh-CN"/>
        </w:rPr>
        <w:t xml:space="preserve">无需</w:t>
      </w:r>
      <w:r>
        <w:rPr>
          <w:rFonts w:hint="eastAsia" w:ascii="宋体" w:hAnsi="宋体"/>
          <w:bCs/>
          <w:color w:val="000000"/>
          <w:sz w:val="24"/>
          <w:szCs w:val="24"/>
          <w:highlight w:val="none"/>
        </w:rPr>
        <w:t xml:space="preserve">赘述。</w:t>
      </w:r>
      <w:bookmarkEnd w:id="183"/>
      <w:r/>
      <w:bookmarkEnd w:id="184"/>
      <w:r/>
      <w:bookmarkEnd w:id="194"/>
      <w:r/>
      <w:bookmarkStart w:id="195" w:name="_Hlt26609389"/>
      <w:r/>
      <w:bookmarkEnd w:id="195"/>
      <w:r/>
      <w:bookmarkStart w:id="196" w:name="_Hlt26671374"/>
      <w:r/>
      <w:bookmarkEnd w:id="196"/>
      <w:r/>
      <w:bookmarkStart w:id="197" w:name="_Hlt26955066"/>
      <w:r/>
      <w:bookmarkEnd w:id="197"/>
      <w:r/>
      <w:bookmarkStart w:id="198" w:name="_格式2__法定代表人授权书"/>
      <w:r/>
      <w:bookmarkEnd w:id="198"/>
      <w:r/>
      <w:r/>
    </w:p>
    <w:p>
      <w:pPr>
        <w:rPr>
          <w:rFonts w:hint="eastAsia"/>
          <w:color w:val="000000"/>
          <w:highlight w:val="none"/>
          <w:lang w:val="en-US" w:eastAsia="zh-CN"/>
        </w:rPr>
      </w:pPr>
      <w:r>
        <w:rPr>
          <w:rFonts w:hint="eastAsia"/>
          <w:color w:val="000000"/>
          <w:highlight w:val="none"/>
          <w:lang w:val="en-US" w:eastAsia="zh-CN"/>
        </w:rPr>
        <w:t xml:space="preserve">  </w:t>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8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spacing w:line="400" w:lineRule="exact"/>
        <w:rPr>
          <w:rFonts w:hint="eastAsia" w:ascii="Times New Roman" w:hAnsi="Times New Roman" w:eastAsia="宋体" w:cs="Times New Roman"/>
          <w:b/>
          <w:bCs w:val="0"/>
          <w:color w:val="000000"/>
          <w:sz w:val="28"/>
          <w:szCs w:val="28"/>
          <w:highlight w:val="none"/>
        </w:rPr>
        <w:outlineLvl w:val="0"/>
      </w:pPr>
      <w:r>
        <w:rPr>
          <w:rFonts w:hint="eastAsia" w:ascii="Times New Roman" w:hAnsi="Times New Roman" w:eastAsia="宋体" w:cs="Times New Roman"/>
          <w:b/>
          <w:bCs w:val="0"/>
          <w:color w:val="000000"/>
          <w:sz w:val="28"/>
          <w:szCs w:val="28"/>
          <w:highlight w:val="none"/>
          <w:lang w:val="en-US" w:eastAsia="zh-CN"/>
        </w:rPr>
        <w:t xml:space="preserve">十一、服务方案</w:t>
      </w:r>
      <w:r>
        <w:rPr>
          <w:rFonts w:hint="eastAsia" w:ascii="Times New Roman" w:hAnsi="Times New Roman" w:eastAsia="宋体" w:cs="Times New Roman"/>
          <w:b/>
          <w:bCs w:val="0"/>
          <w:color w:val="000000"/>
          <w:sz w:val="28"/>
          <w:szCs w:val="28"/>
          <w:highlight w:val="none"/>
        </w:rPr>
        <w:t xml:space="preserve">（格式）：</w:t>
      </w:r>
      <w:r/>
    </w:p>
    <w:p>
      <w:pPr>
        <w:ind w:firstLine="480"/>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服务方案</w:t>
      </w:r>
      <w:r/>
    </w:p>
    <w:p>
      <w:pPr>
        <w:pStyle w:val="820"/>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rPr>
        <w:t xml:space="preserve">投标</w:t>
      </w:r>
      <w:r>
        <w:rPr>
          <w:rFonts w:hint="eastAsia" w:ascii="宋体" w:hAnsi="宋体" w:eastAsia="宋体" w:cs="宋体"/>
          <w:b w:val="0"/>
          <w:bCs/>
          <w:color w:val="000000"/>
          <w:sz w:val="24"/>
          <w:szCs w:val="24"/>
          <w:highlight w:val="none"/>
          <w:lang w:val="en-US" w:eastAsia="zh-CN"/>
        </w:rPr>
        <w:t xml:space="preserve">人</w:t>
      </w:r>
      <w:r>
        <w:rPr>
          <w:rFonts w:hint="eastAsia" w:ascii="宋体" w:hAnsi="宋体" w:eastAsia="宋体" w:cs="宋体"/>
          <w:b w:val="0"/>
          <w:bCs/>
          <w:color w:val="000000"/>
          <w:sz w:val="24"/>
          <w:szCs w:val="24"/>
          <w:highlight w:val="none"/>
        </w:rPr>
        <w:t xml:space="preserve">应按评分点编制完整的服务方案，以便评审。</w:t>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360" w:lineRule="auto"/>
        <w:rPr>
          <w:b/>
          <w:color w:val="000000"/>
          <w:sz w:val="28"/>
          <w:szCs w:val="28"/>
          <w:highlight w:val="none"/>
        </w:rPr>
      </w:pPr>
      <w:r>
        <w:rPr>
          <w:rFonts w:hint="eastAsia" w:ascii="Times New Roman" w:hAnsi="Times New Roman" w:eastAsia="宋体" w:cs="Times New Roman"/>
          <w:b/>
          <w:bCs w:val="0"/>
          <w:color w:val="000000"/>
          <w:sz w:val="28"/>
          <w:szCs w:val="28"/>
          <w:highlight w:val="none"/>
        </w:rPr>
        <w:t xml:space="preserve">十</w:t>
      </w:r>
      <w:r>
        <w:rPr>
          <w:rFonts w:hint="eastAsia" w:ascii="Times New Roman" w:hAnsi="Times New Roman" w:eastAsia="宋体" w:cs="Times New Roman"/>
          <w:b/>
          <w:bCs w:val="0"/>
          <w:color w:val="000000"/>
          <w:sz w:val="28"/>
          <w:szCs w:val="28"/>
          <w:highlight w:val="none"/>
          <w:lang w:val="en-US" w:eastAsia="zh-CN"/>
        </w:rPr>
        <w:t xml:space="preserve">二</w:t>
      </w:r>
      <w:r>
        <w:rPr>
          <w:rFonts w:hint="eastAsia"/>
          <w:b/>
          <w:color w:val="000000"/>
          <w:sz w:val="28"/>
          <w:szCs w:val="28"/>
          <w:highlight w:val="none"/>
        </w:rPr>
        <w:t xml:space="preserve">、项目人员配置清单（格式）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476"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0"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2520" w:type="dxa"/>
            <w:vAlign w:val="center"/>
            <w:textDirection w:val="lrTb"/>
            <w:noWrap w:val="false"/>
          </w:tcPr>
          <w:p>
            <w:pPr>
              <w:jc w:val="center"/>
              <w:rPr>
                <w:b/>
                <w:color w:val="000000"/>
                <w:sz w:val="24"/>
                <w:highlight w:val="none"/>
              </w:rPr>
            </w:pPr>
            <w:r>
              <w:rPr>
                <w:rFonts w:hint="eastAsia"/>
                <w:b/>
                <w:color w:val="000000"/>
                <w:sz w:val="24"/>
                <w:highlight w:val="none"/>
              </w:rPr>
              <w:t xml:space="preserve">本项目职责</w:t>
            </w:r>
            <w:r/>
          </w:p>
        </w:tc>
        <w:tc>
          <w:tcPr>
            <w:tcW w:w="3274"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hint="eastAsia" w:ascii="黑体" w:eastAsia="黑体"/>
          <w:bCs/>
          <w:sz w:val="24"/>
          <w:szCs w:val="24"/>
          <w:highlight w:val="none"/>
        </w:rPr>
      </w:pPr>
      <w:r>
        <w:rPr>
          <w:rFonts w:hint="eastAsia" w:ascii="黑体" w:eastAsia="黑体"/>
          <w:bCs/>
          <w:sz w:val="24"/>
          <w:szCs w:val="24"/>
          <w:highlight w:val="none"/>
        </w:rPr>
      </w:r>
      <w:r/>
    </w:p>
    <w:p>
      <w:pPr>
        <w:rPr>
          <w:b/>
          <w:bCs/>
          <w:sz w:val="24"/>
          <w:szCs w:val="24"/>
          <w:highlight w:val="none"/>
        </w:rPr>
      </w:pPr>
      <w:r>
        <w:rPr>
          <w:rFonts w:hint="eastAsia" w:ascii="黑体" w:eastAsia="黑体"/>
          <w:bCs/>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rPr>
          <w:rFonts w:eastAsia="宋体"/>
          <w:highlight w:val="none"/>
          <w:lang w:val="en-US" w:eastAsia="zh-CN"/>
        </w:rPr>
      </w:pPr>
      <w:r>
        <w:rPr>
          <w:rFonts w:hint="eastAsia" w:ascii="宋体" w:hAnsi="宋体"/>
          <w:bCs/>
          <w:color w:val="000000"/>
          <w:highlight w:val="none"/>
        </w:rPr>
        <w:t xml:space="preserve">2.</w:t>
      </w:r>
      <w:r>
        <w:rPr>
          <w:rFonts w:hint="eastAsia" w:ascii="宋体" w:hAnsi="宋体"/>
          <w:bCs/>
          <w:color w:val="000000"/>
          <w:highlight w:val="none"/>
          <w:lang w:val="en-US" w:eastAsia="zh-CN"/>
        </w:rPr>
        <w:t xml:space="preserve">根据评分要求提供材料。</w:t>
      </w:r>
      <w:r/>
    </w:p>
    <w:p>
      <w:pPr>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t xml:space="preserve">十</w:t>
      </w:r>
      <w:r>
        <w:rPr>
          <w:rFonts w:hint="eastAsia" w:ascii="Times New Roman" w:hAnsi="Times New Roman" w:eastAsia="宋体" w:cs="Times New Roman"/>
          <w:b/>
          <w:bCs w:val="0"/>
          <w:color w:val="000000"/>
          <w:sz w:val="28"/>
          <w:szCs w:val="28"/>
          <w:highlight w:val="none"/>
          <w:lang w:val="en-US" w:eastAsia="zh-CN"/>
        </w:rPr>
        <w:t xml:space="preserve">三、</w:t>
      </w:r>
      <w:r>
        <w:rPr>
          <w:rFonts w:hint="eastAsia" w:ascii="Times New Roman" w:hAnsi="Times New Roman" w:eastAsia="宋体" w:cs="Times New Roman"/>
          <w:b/>
          <w:bCs w:val="0"/>
          <w:color w:val="000000"/>
          <w:sz w:val="28"/>
          <w:szCs w:val="28"/>
          <w:highlight w:val="none"/>
        </w:rPr>
        <w:t xml:space="preserve">其他资料</w:t>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投标人名称（公章）：</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日期：     年  月   日</w:t>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903"/>
        <w:rFonts w:ascii="宋体" w:hAnsi="宋体"/>
      </w:rPr>
      <w:framePr w:w="271" w:wrap="around" w:vAnchor="text" w:hAnchor="page" w:x="5596" w:y="-3"/>
    </w:pPr>
    <w:r>
      <w:rPr>
        <w:rFonts w:ascii="宋体" w:hAnsi="宋体"/>
      </w:rPr>
      <w:fldChar w:fldCharType="begin"/>
    </w:r>
    <w:r>
      <w:rPr>
        <w:rStyle w:val="903"/>
        <w:rFonts w:ascii="宋体" w:hAnsi="宋体"/>
      </w:rPr>
      <w:instrText xml:space="preserve">PAGE  </w:instrText>
    </w:r>
    <w:r>
      <w:rPr>
        <w:rFonts w:ascii="宋体" w:hAnsi="宋体"/>
      </w:rPr>
      <w:fldChar w:fldCharType="separate"/>
    </w:r>
    <w:r>
      <w:rPr>
        <w:rStyle w:val="903"/>
        <w:rFonts w:ascii="宋体" w:hAnsi="宋体"/>
      </w:rPr>
      <w:t xml:space="preserve">84</w:t>
    </w:r>
    <w:r>
      <w:rPr>
        <w:rFonts w:ascii="宋体" w:hAnsi="宋体"/>
      </w:rPr>
      <w:fldChar w:fldCharType="end"/>
    </w:r>
    <w:r/>
  </w:p>
  <w:p>
    <w:pPr>
      <w:pStyle w:val="87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9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839"/>
      <w:isLgl w:val="false"/>
      <w:suff w:val="nothing"/>
      <w:lvlText w:val=""/>
      <w:lvlJc w:val="left"/>
      <w:pPr>
        <w:ind w:left="0" w:firstLine="0"/>
      </w:pPr>
      <w:rPr>
        <w:rFonts w:hint="eastAsia"/>
      </w:rPr>
    </w:lvl>
    <w:lvl w:ilvl="6">
      <w:start w:val="1"/>
      <w:numFmt w:val="decimal"/>
      <w:pStyle w:val="841"/>
      <w:isLgl w:val="false"/>
      <w:suff w:val="nothing"/>
      <w:lvlText w:val=""/>
      <w:lvlJc w:val="left"/>
      <w:pPr>
        <w:ind w:left="0" w:firstLine="0"/>
      </w:pPr>
      <w:rPr>
        <w:rFonts w:hint="eastAsia"/>
      </w:rPr>
    </w:lvl>
    <w:lvl w:ilvl="7">
      <w:start w:val="1"/>
      <w:numFmt w:val="decimal"/>
      <w:pStyle w:val="843"/>
      <w:isLgl w:val="false"/>
      <w:suff w:val="nothing"/>
      <w:lvlText w:val=""/>
      <w:lvlJc w:val="left"/>
      <w:pPr>
        <w:ind w:left="0" w:firstLine="0"/>
      </w:pPr>
      <w:rPr>
        <w:rFonts w:hint="eastAsia"/>
      </w:rPr>
    </w:lvl>
    <w:lvl w:ilvl="8">
      <w:start w:val="1"/>
      <w:numFmt w:val="decimal"/>
      <w:pStyle w:val="845"/>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1854" w:hanging="720"/>
        <w:tabs>
          <w:tab w:val="left" w:pos="1854" w:leader="none"/>
        </w:tabs>
      </w:pPr>
      <w:rPr>
        <w:rFonts w:hint="eastAsia"/>
      </w:rPr>
    </w:lvl>
    <w:lvl w:ilvl="1">
      <w:start w:val="2"/>
      <w:numFmt w:val="decimal"/>
      <w:isLgl w:val="false"/>
      <w:suff w:val="nothing"/>
      <w:lvlText w:val="%2."/>
      <w:lvlJc w:val="left"/>
      <w:pPr>
        <w:ind w:left="1914" w:hanging="360"/>
      </w:pPr>
    </w:lvl>
    <w:lvl w:ilvl="2">
      <w:start w:val="1"/>
      <w:numFmt w:val="lowerRoman"/>
      <w:isLgl w:val="false"/>
      <w:suff w:val="tab"/>
      <w:lvlText w:val="%3."/>
      <w:lvlJc w:val="right"/>
      <w:pPr>
        <w:ind w:left="2394" w:hanging="420"/>
        <w:tabs>
          <w:tab w:val="left" w:pos="2394" w:leader="none"/>
        </w:tabs>
      </w:pPr>
    </w:lvl>
    <w:lvl w:ilvl="3">
      <w:start w:val="1"/>
      <w:numFmt w:val="decimal"/>
      <w:isLgl w:val="false"/>
      <w:suff w:val="tab"/>
      <w:lvlText w:val="%4."/>
      <w:lvlJc w:val="left"/>
      <w:pPr>
        <w:ind w:left="2814" w:hanging="420"/>
        <w:tabs>
          <w:tab w:val="left" w:pos="2814" w:leader="none"/>
        </w:tabs>
      </w:pPr>
    </w:lvl>
    <w:lvl w:ilvl="4">
      <w:start w:val="1"/>
      <w:numFmt w:val="lowerLetter"/>
      <w:isLgl w:val="false"/>
      <w:suff w:val="tab"/>
      <w:lvlText w:val="%5)"/>
      <w:lvlJc w:val="left"/>
      <w:pPr>
        <w:ind w:left="3234" w:hanging="420"/>
        <w:tabs>
          <w:tab w:val="left" w:pos="3234" w:leader="none"/>
        </w:tabs>
      </w:pPr>
    </w:lvl>
    <w:lvl w:ilvl="5">
      <w:start w:val="1"/>
      <w:numFmt w:val="lowerRoman"/>
      <w:isLgl w:val="false"/>
      <w:suff w:val="tab"/>
      <w:lvlText w:val="%6."/>
      <w:lvlJc w:val="right"/>
      <w:pPr>
        <w:ind w:left="3654" w:hanging="420"/>
        <w:tabs>
          <w:tab w:val="left" w:pos="3654" w:leader="none"/>
        </w:tabs>
      </w:pPr>
    </w:lvl>
    <w:lvl w:ilvl="6">
      <w:start w:val="1"/>
      <w:numFmt w:val="decimal"/>
      <w:isLgl w:val="false"/>
      <w:suff w:val="tab"/>
      <w:lvlText w:val="%7."/>
      <w:lvlJc w:val="left"/>
      <w:pPr>
        <w:ind w:left="4074" w:hanging="420"/>
        <w:tabs>
          <w:tab w:val="left" w:pos="4074" w:leader="none"/>
        </w:tabs>
      </w:pPr>
    </w:lvl>
    <w:lvl w:ilvl="7">
      <w:start w:val="1"/>
      <w:numFmt w:val="lowerLetter"/>
      <w:isLgl w:val="false"/>
      <w:suff w:val="tab"/>
      <w:lvlText w:val="%8)"/>
      <w:lvlJc w:val="left"/>
      <w:pPr>
        <w:ind w:left="4494" w:hanging="420"/>
        <w:tabs>
          <w:tab w:val="left" w:pos="4494" w:leader="none"/>
        </w:tabs>
      </w:pPr>
    </w:lvl>
    <w:lvl w:ilvl="8">
      <w:start w:val="1"/>
      <w:numFmt w:val="lowerRoman"/>
      <w:isLgl w:val="false"/>
      <w:suff w:val="tab"/>
      <w:lvlText w:val="%9."/>
      <w:lvlJc w:val="right"/>
      <w:pPr>
        <w:ind w:left="4914" w:hanging="420"/>
        <w:tabs>
          <w:tab w:val="left" w:pos="4914"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11">
    <w:multiLevelType w:val="hybridMultilevel"/>
    <w:lvl w:ilvl="0">
      <w:start w:val="1"/>
      <w:numFmt w:val="decimal"/>
      <w:pStyle w:val="1065"/>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num w:numId="1">
    <w:abstractNumId w:val="7"/>
  </w:num>
  <w:num w:numId="2">
    <w:abstractNumId w:val="3"/>
  </w:num>
  <w:num w:numId="3">
    <w:abstractNumId w:val="11"/>
  </w:num>
  <w:num w:numId="4">
    <w:abstractNumId w:val="2"/>
  </w:num>
  <w:num w:numId="5">
    <w:abstractNumId w:val="1"/>
  </w:num>
  <w:num w:numId="6">
    <w:abstractNumId w:val="8"/>
  </w:num>
  <w:num w:numId="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110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809"/>
    <w:uiPriority w:val="9"/>
    <w:qFormat/>
    <w:pPr>
      <w:keepLines/>
      <w:keepNext/>
      <w:spacing w:before="480" w:after="200"/>
      <w:outlineLvl w:val="0"/>
    </w:pPr>
    <w:rPr>
      <w:rFonts w:ascii="Arial" w:hAnsi="Arial" w:eastAsia="Arial"/>
      <w:sz w:val="40"/>
      <w:szCs w:val="40"/>
    </w:rPr>
  </w:style>
  <w:style w:type="paragraph" w:styleId="706">
    <w:name w:val="Heading 2"/>
    <w:basedOn w:val="704"/>
    <w:next w:val="704"/>
    <w:link w:val="810"/>
    <w:uiPriority w:val="9"/>
    <w:unhideWhenUsed/>
    <w:qFormat/>
    <w:pPr>
      <w:keepLines/>
      <w:keepNext/>
      <w:spacing w:before="360" w:after="200"/>
      <w:outlineLvl w:val="1"/>
    </w:pPr>
    <w:rPr>
      <w:rFonts w:ascii="Arial" w:hAnsi="Arial" w:eastAsia="Arial"/>
      <w:sz w:val="34"/>
      <w:szCs w:val="20"/>
    </w:rPr>
  </w:style>
  <w:style w:type="paragraph" w:styleId="707">
    <w:name w:val="Heading 3"/>
    <w:basedOn w:val="704"/>
    <w:next w:val="704"/>
    <w:link w:val="811"/>
    <w:uiPriority w:val="9"/>
    <w:unhideWhenUsed/>
    <w:qFormat/>
    <w:pPr>
      <w:keepLines/>
      <w:keepNext/>
      <w:spacing w:before="320" w:after="200"/>
      <w:outlineLvl w:val="2"/>
    </w:pPr>
    <w:rPr>
      <w:rFonts w:ascii="Arial" w:hAnsi="Arial" w:eastAsia="Arial"/>
      <w:sz w:val="30"/>
      <w:szCs w:val="30"/>
    </w:rPr>
  </w:style>
  <w:style w:type="paragraph" w:styleId="708">
    <w:name w:val="Heading 4"/>
    <w:basedOn w:val="704"/>
    <w:next w:val="704"/>
    <w:link w:val="792"/>
    <w:uiPriority w:val="9"/>
    <w:unhideWhenUsed/>
    <w:qFormat/>
    <w:pPr>
      <w:keepLines/>
      <w:keepNext/>
      <w:spacing w:before="320" w:after="200"/>
      <w:outlineLvl w:val="3"/>
    </w:pPr>
    <w:rPr>
      <w:rFonts w:ascii="Arial" w:hAnsi="Arial" w:eastAsia="Arial"/>
      <w:b/>
      <w:bCs/>
      <w:sz w:val="26"/>
      <w:szCs w:val="26"/>
    </w:rPr>
  </w:style>
  <w:style w:type="paragraph" w:styleId="709">
    <w:name w:val="Heading 5"/>
    <w:basedOn w:val="704"/>
    <w:next w:val="704"/>
    <w:link w:val="812"/>
    <w:uiPriority w:val="9"/>
    <w:unhideWhenUsed/>
    <w:qFormat/>
    <w:pPr>
      <w:keepLines/>
      <w:keepNext/>
      <w:spacing w:before="320" w:after="200"/>
      <w:outlineLvl w:val="4"/>
    </w:pPr>
    <w:rPr>
      <w:rFonts w:ascii="Arial" w:hAnsi="Arial" w:eastAsia="Arial"/>
      <w:b/>
      <w:bCs/>
      <w:sz w:val="24"/>
      <w:szCs w:val="24"/>
    </w:rPr>
  </w:style>
  <w:style w:type="paragraph" w:styleId="710">
    <w:name w:val="Heading 6"/>
    <w:basedOn w:val="704"/>
    <w:next w:val="704"/>
    <w:link w:val="813"/>
    <w:uiPriority w:val="9"/>
    <w:unhideWhenUsed/>
    <w:qFormat/>
    <w:pPr>
      <w:keepLines/>
      <w:keepNext/>
      <w:spacing w:before="320" w:after="200"/>
      <w:outlineLvl w:val="5"/>
    </w:pPr>
    <w:rPr>
      <w:rFonts w:ascii="Arial" w:hAnsi="Arial" w:eastAsia="Arial"/>
      <w:b/>
      <w:bCs/>
      <w:sz w:val="22"/>
      <w:szCs w:val="22"/>
    </w:rPr>
  </w:style>
  <w:style w:type="paragraph" w:styleId="711">
    <w:name w:val="Heading 7"/>
    <w:basedOn w:val="704"/>
    <w:next w:val="704"/>
    <w:link w:val="814"/>
    <w:uiPriority w:val="9"/>
    <w:unhideWhenUsed/>
    <w:qFormat/>
    <w:pPr>
      <w:keepLines/>
      <w:keepNext/>
      <w:spacing w:before="320" w:after="200"/>
      <w:outlineLvl w:val="6"/>
    </w:pPr>
    <w:rPr>
      <w:rFonts w:ascii="Arial" w:hAnsi="Arial" w:eastAsia="Arial"/>
      <w:b/>
      <w:bCs/>
      <w:i/>
      <w:iCs/>
      <w:sz w:val="22"/>
      <w:szCs w:val="22"/>
    </w:rPr>
  </w:style>
  <w:style w:type="paragraph" w:styleId="712">
    <w:name w:val="Heading 8"/>
    <w:basedOn w:val="704"/>
    <w:next w:val="704"/>
    <w:link w:val="815"/>
    <w:uiPriority w:val="9"/>
    <w:unhideWhenUsed/>
    <w:qFormat/>
    <w:pPr>
      <w:keepLines/>
      <w:keepNext/>
      <w:spacing w:before="320" w:after="200"/>
      <w:outlineLvl w:val="7"/>
    </w:pPr>
    <w:rPr>
      <w:rFonts w:ascii="Arial" w:hAnsi="Arial" w:eastAsia="Arial"/>
      <w:i/>
      <w:iCs/>
      <w:sz w:val="22"/>
      <w:szCs w:val="22"/>
    </w:rPr>
  </w:style>
  <w:style w:type="paragraph" w:styleId="713">
    <w:name w:val="Heading 9"/>
    <w:basedOn w:val="704"/>
    <w:next w:val="704"/>
    <w:link w:val="816"/>
    <w:uiPriority w:val="9"/>
    <w:unhideWhenUsed/>
    <w:qFormat/>
    <w:pPr>
      <w:keepLines/>
      <w:keepNext/>
      <w:spacing w:before="320" w:after="200"/>
      <w:outlineLvl w:val="8"/>
    </w:pPr>
    <w:rPr>
      <w:rFonts w:ascii="Arial" w:hAnsi="Arial" w:eastAsia="Arial"/>
      <w:i/>
      <w:iC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rPr>
  </w:style>
  <w:style w:type="paragraph" w:styleId="718">
    <w:name w:val="toc 5"/>
    <w:basedOn w:val="704"/>
    <w:next w:val="704"/>
    <w:uiPriority w:val="39"/>
    <w:unhideWhenUsed/>
    <w:qFormat/>
    <w:pPr>
      <w:ind w:left="1134" w:right="0" w:firstLine="0"/>
      <w:spacing w:after="57"/>
    </w:pPr>
  </w:style>
  <w:style w:type="paragraph" w:styleId="719">
    <w:name w:val="toc 3"/>
    <w:basedOn w:val="704"/>
    <w:next w:val="704"/>
    <w:uiPriority w:val="39"/>
    <w:unhideWhenUsed/>
    <w:qFormat/>
    <w:pPr>
      <w:ind w:left="567" w:right="0" w:firstLine="0"/>
      <w:spacing w:after="57"/>
    </w:pPr>
  </w:style>
  <w:style w:type="paragraph" w:styleId="720">
    <w:name w:val="toc 8"/>
    <w:basedOn w:val="704"/>
    <w:next w:val="704"/>
    <w:uiPriority w:val="39"/>
    <w:unhideWhenUsed/>
    <w:qFormat/>
    <w:pPr>
      <w:ind w:left="1984" w:right="0" w:firstLine="0"/>
      <w:spacing w:after="57"/>
    </w:pPr>
  </w:style>
  <w:style w:type="paragraph" w:styleId="721">
    <w:name w:val="endnote text"/>
    <w:basedOn w:val="704"/>
    <w:uiPriority w:val="99"/>
    <w:semiHidden/>
    <w:unhideWhenUsed/>
    <w:qFormat/>
    <w:pPr>
      <w:spacing w:after="0" w:line="240" w:lineRule="auto"/>
    </w:pPr>
    <w:rPr>
      <w:sz w:val="20"/>
    </w:rPr>
  </w:style>
  <w:style w:type="paragraph" w:styleId="722">
    <w:name w:val="Footer"/>
    <w:basedOn w:val="704"/>
    <w:uiPriority w:val="99"/>
    <w:unhideWhenUsed/>
    <w:qFormat/>
    <w:pPr>
      <w:spacing w:after="0" w:line="240" w:lineRule="auto"/>
      <w:tabs>
        <w:tab w:val="center" w:pos="7143" w:leader="none"/>
        <w:tab w:val="right" w:pos="14287" w:leader="none"/>
      </w:tabs>
    </w:pPr>
  </w:style>
  <w:style w:type="paragraph" w:styleId="723">
    <w:name w:val="Header"/>
    <w:basedOn w:val="704"/>
    <w:uiPriority w:val="99"/>
    <w:unhideWhenUsed/>
    <w:qFormat/>
    <w:pPr>
      <w:spacing w:after="0" w:line="240" w:lineRule="auto"/>
      <w:tabs>
        <w:tab w:val="center" w:pos="7143" w:leader="none"/>
        <w:tab w:val="right" w:pos="14287" w:leader="none"/>
      </w:tabs>
    </w:pPr>
  </w:style>
  <w:style w:type="paragraph" w:styleId="724">
    <w:name w:val="toc 1"/>
    <w:basedOn w:val="704"/>
    <w:next w:val="704"/>
    <w:uiPriority w:val="39"/>
    <w:unhideWhenUsed/>
    <w:qFormat/>
    <w:pPr>
      <w:ind w:left="0" w:right="0" w:firstLine="0"/>
      <w:spacing w:after="57"/>
    </w:pPr>
  </w:style>
  <w:style w:type="paragraph" w:styleId="725">
    <w:name w:val="toc 4"/>
    <w:basedOn w:val="704"/>
    <w:next w:val="704"/>
    <w:uiPriority w:val="39"/>
    <w:unhideWhenUsed/>
    <w:qFormat/>
    <w:pPr>
      <w:ind w:left="850" w:right="0" w:firstLine="0"/>
      <w:spacing w:after="57"/>
    </w:pPr>
  </w:style>
  <w:style w:type="paragraph" w:styleId="726">
    <w:name w:val="Subtitle"/>
    <w:basedOn w:val="704"/>
    <w:next w:val="704"/>
    <w:uiPriority w:val="11"/>
    <w:qFormat/>
    <w:pPr>
      <w:spacing w:before="200" w:after="200"/>
    </w:pPr>
    <w:rPr>
      <w:sz w:val="24"/>
      <w:szCs w:val="24"/>
    </w:rPr>
  </w:style>
  <w:style w:type="paragraph" w:styleId="727">
    <w:name w:val="footnote text"/>
    <w:basedOn w:val="704"/>
    <w:uiPriority w:val="99"/>
    <w:semiHidden/>
    <w:unhideWhenUsed/>
    <w:qFormat/>
    <w:pPr>
      <w:spacing w:after="40" w:line="240" w:lineRule="auto"/>
    </w:pPr>
    <w:rPr>
      <w:sz w:val="18"/>
    </w:rPr>
  </w:style>
  <w:style w:type="paragraph" w:styleId="728">
    <w:name w:val="toc 6"/>
    <w:basedOn w:val="704"/>
    <w:next w:val="704"/>
    <w:uiPriority w:val="39"/>
    <w:unhideWhenUsed/>
    <w:qFormat/>
    <w:pPr>
      <w:ind w:left="1417" w:right="0" w:firstLine="0"/>
      <w:spacing w:after="57"/>
    </w:pPr>
  </w:style>
  <w:style w:type="paragraph" w:styleId="729">
    <w:name w:val="table of figures"/>
    <w:basedOn w:val="704"/>
    <w:next w:val="704"/>
    <w:uiPriority w:val="99"/>
    <w:unhideWhenUsed/>
    <w:qFormat/>
    <w:pPr>
      <w:spacing w:after="0" w:afterAutospacing="0"/>
    </w:pPr>
  </w:style>
  <w:style w:type="paragraph" w:styleId="730">
    <w:name w:val="toc 2"/>
    <w:basedOn w:val="704"/>
    <w:next w:val="704"/>
    <w:uiPriority w:val="39"/>
    <w:unhideWhenUsed/>
    <w:qFormat/>
    <w:pPr>
      <w:ind w:left="283" w:right="0" w:firstLine="0"/>
      <w:spacing w:after="57"/>
    </w:pPr>
  </w:style>
  <w:style w:type="paragraph" w:styleId="731">
    <w:name w:val="toc 9"/>
    <w:basedOn w:val="704"/>
    <w:next w:val="704"/>
    <w:uiPriority w:val="39"/>
    <w:unhideWhenUsed/>
    <w:qFormat/>
    <w:pPr>
      <w:ind w:left="2268" w:right="0" w:firstLine="0"/>
      <w:spacing w:after="57"/>
    </w:pPr>
  </w:style>
  <w:style w:type="paragraph" w:styleId="732">
    <w:name w:val="Title"/>
    <w:basedOn w:val="704"/>
    <w:next w:val="704"/>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name w:val="List Paragraph"/>
    <w:basedOn w:val="704"/>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paragraph" w:styleId="739">
    <w:name w:val="Quote"/>
    <w:basedOn w:val="704"/>
    <w:next w:val="704"/>
    <w:uiPriority w:val="29"/>
    <w:qFormat/>
    <w:pPr>
      <w:ind w:left="720" w:right="720"/>
    </w:pPr>
    <w:rPr>
      <w:i/>
    </w:rPr>
  </w:style>
  <w:style w:type="paragraph" w:styleId="740">
    <w:name w:val="Intense Quote"/>
    <w:basedOn w:val="704"/>
    <w:next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1" w:customStyle="1">
    <w:name w:val="TOC Heading"/>
    <w:uiPriority w:val="39"/>
    <w:unhideWhenUsed/>
    <w:qFormat/>
    <w:rPr>
      <w:rFonts w:hint="default" w:ascii="Times New Roman" w:hAnsi="Times New Roman" w:eastAsia="宋体" w:cs="Times New Roman"/>
    </w:rPr>
  </w:style>
  <w:style w:type="paragraph" w:styleId="742" w:customStyle="1">
    <w:name w:val="标题 111"/>
    <w:basedOn w:val="704"/>
    <w:next w:val="704"/>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43" w:customStyle="1">
    <w:name w:val="标题 311"/>
    <w:basedOn w:val="704"/>
    <w:next w:val="704"/>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744" w:customStyle="1">
    <w:name w:val="默认段落字体11"/>
    <w:link w:val="704"/>
    <w:uiPriority w:val="1"/>
    <w:unhideWhenUsed/>
    <w:qFormat/>
  </w:style>
  <w:style w:type="table" w:styleId="745" w:customStyle="1">
    <w:name w:val="普通表格11"/>
    <w:uiPriority w:val="99"/>
    <w:unhideWhenUsed/>
    <w:qFormat/>
    <w:tblPr/>
  </w:style>
  <w:style w:type="paragraph" w:styleId="746" w:customStyle="1">
    <w:name w:val="目录 711"/>
    <w:basedOn w:val="704"/>
    <w:next w:val="704"/>
    <w:uiPriority w:val="39"/>
    <w:unhideWhenUsed/>
    <w:qFormat/>
    <w:pPr>
      <w:ind w:left="1701"/>
      <w:spacing w:after="57"/>
    </w:pPr>
  </w:style>
  <w:style w:type="paragraph" w:styleId="747" w:customStyle="1">
    <w:name w:val="批注文字11"/>
    <w:basedOn w:val="704"/>
    <w:link w:val="748"/>
    <w:uiPriority w:val="99"/>
    <w:unhideWhenUsed/>
    <w:qFormat/>
    <w:pPr>
      <w:jc w:val="left"/>
    </w:pPr>
  </w:style>
  <w:style w:type="character" w:styleId="748" w:customStyle="1">
    <w:name w:val="批注文字 Char1"/>
    <w:link w:val="747"/>
    <w:uiPriority w:val="99"/>
    <w:semiHidden/>
    <w:qFormat/>
    <w:rPr>
      <w:sz w:val="21"/>
      <w:szCs w:val="21"/>
    </w:rPr>
  </w:style>
  <w:style w:type="paragraph" w:styleId="749" w:customStyle="1">
    <w:name w:val="正文文本13"/>
    <w:basedOn w:val="704"/>
    <w:uiPriority w:val="0"/>
    <w:qFormat/>
    <w:pPr>
      <w:spacing w:after="120"/>
    </w:pPr>
  </w:style>
  <w:style w:type="paragraph" w:styleId="750" w:customStyle="1">
    <w:name w:val="正文文本缩进11"/>
    <w:basedOn w:val="704"/>
    <w:next w:val="704"/>
    <w:uiPriority w:val="99"/>
    <w:qFormat/>
    <w:pPr>
      <w:ind w:firstLine="576"/>
    </w:pPr>
    <w:rPr>
      <w:sz w:val="20"/>
    </w:rPr>
  </w:style>
  <w:style w:type="paragraph" w:styleId="751" w:customStyle="1">
    <w:name w:val="索引 41"/>
    <w:basedOn w:val="704"/>
    <w:next w:val="704"/>
    <w:uiPriority w:val="99"/>
    <w:qFormat/>
    <w:pPr>
      <w:ind w:left="600"/>
    </w:pPr>
    <w:rPr>
      <w:szCs w:val="24"/>
    </w:rPr>
  </w:style>
  <w:style w:type="paragraph" w:styleId="752" w:customStyle="1">
    <w:name w:val="目录 511"/>
    <w:basedOn w:val="704"/>
    <w:next w:val="704"/>
    <w:uiPriority w:val="39"/>
    <w:unhideWhenUsed/>
    <w:qFormat/>
    <w:pPr>
      <w:ind w:left="1134"/>
      <w:spacing w:after="57"/>
    </w:pPr>
  </w:style>
  <w:style w:type="paragraph" w:styleId="753" w:customStyle="1">
    <w:name w:val="目录 311"/>
    <w:basedOn w:val="704"/>
    <w:next w:val="704"/>
    <w:uiPriority w:val="39"/>
    <w:unhideWhenUsed/>
    <w:qFormat/>
    <w:pPr>
      <w:ind w:left="567"/>
      <w:spacing w:after="57"/>
    </w:pPr>
  </w:style>
  <w:style w:type="paragraph" w:styleId="754" w:customStyle="1">
    <w:name w:val="目录 811"/>
    <w:basedOn w:val="704"/>
    <w:next w:val="704"/>
    <w:uiPriority w:val="39"/>
    <w:unhideWhenUsed/>
    <w:qFormat/>
    <w:pPr>
      <w:ind w:left="1984"/>
      <w:spacing w:after="57"/>
    </w:pPr>
  </w:style>
  <w:style w:type="paragraph" w:styleId="755" w:customStyle="1">
    <w:name w:val="尾注文本11"/>
    <w:basedOn w:val="704"/>
    <w:link w:val="756"/>
    <w:uiPriority w:val="99"/>
    <w:unhideWhenUsed/>
    <w:qFormat/>
    <w:rPr>
      <w:sz w:val="20"/>
    </w:rPr>
  </w:style>
  <w:style w:type="character" w:styleId="756" w:customStyle="1">
    <w:name w:val="尾注文本 Char1"/>
    <w:link w:val="755"/>
    <w:uiPriority w:val="99"/>
    <w:qFormat/>
    <w:rPr>
      <w:sz w:val="20"/>
    </w:rPr>
  </w:style>
  <w:style w:type="paragraph" w:styleId="757" w:customStyle="1">
    <w:name w:val="批注框文本11"/>
    <w:basedOn w:val="704"/>
    <w:link w:val="758"/>
    <w:uiPriority w:val="99"/>
    <w:unhideWhenUsed/>
    <w:qFormat/>
    <w:rPr>
      <w:sz w:val="18"/>
      <w:szCs w:val="18"/>
    </w:rPr>
  </w:style>
  <w:style w:type="character" w:styleId="758" w:customStyle="1">
    <w:name w:val="批注框文本 Char1"/>
    <w:link w:val="757"/>
    <w:uiPriority w:val="99"/>
    <w:semiHidden/>
    <w:qFormat/>
    <w:rPr>
      <w:sz w:val="18"/>
      <w:szCs w:val="18"/>
    </w:rPr>
  </w:style>
  <w:style w:type="paragraph" w:styleId="759" w:customStyle="1">
    <w:name w:val="页脚11"/>
    <w:basedOn w:val="704"/>
    <w:link w:val="760"/>
    <w:uiPriority w:val="99"/>
    <w:unhideWhenUsed/>
    <w:qFormat/>
    <w:pPr>
      <w:jc w:val="left"/>
      <w:tabs>
        <w:tab w:val="center" w:pos="4153" w:leader="none"/>
        <w:tab w:val="right" w:pos="8306" w:leader="none"/>
      </w:tabs>
    </w:pPr>
    <w:rPr>
      <w:sz w:val="18"/>
      <w:szCs w:val="18"/>
    </w:rPr>
  </w:style>
  <w:style w:type="character" w:styleId="760" w:customStyle="1">
    <w:name w:val="页脚 Char1"/>
    <w:link w:val="759"/>
    <w:uiPriority w:val="99"/>
    <w:qFormat/>
    <w:rPr>
      <w:sz w:val="18"/>
      <w:szCs w:val="18"/>
    </w:rPr>
  </w:style>
  <w:style w:type="paragraph" w:styleId="761" w:customStyle="1">
    <w:name w:val="页眉12"/>
    <w:basedOn w:val="704"/>
    <w:link w:val="7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62" w:customStyle="1">
    <w:name w:val="页眉 Char1"/>
    <w:link w:val="761"/>
    <w:uiPriority w:val="99"/>
    <w:qFormat/>
    <w:rPr>
      <w:sz w:val="18"/>
      <w:szCs w:val="18"/>
    </w:rPr>
  </w:style>
  <w:style w:type="paragraph" w:styleId="763" w:customStyle="1">
    <w:name w:val="目录 1111"/>
    <w:basedOn w:val="704"/>
    <w:next w:val="704"/>
    <w:uiPriority w:val="39"/>
    <w:unhideWhenUsed/>
    <w:qFormat/>
    <w:pPr>
      <w:spacing w:after="57"/>
    </w:pPr>
  </w:style>
  <w:style w:type="paragraph" w:styleId="764" w:customStyle="1">
    <w:name w:val="目录 411"/>
    <w:basedOn w:val="704"/>
    <w:next w:val="704"/>
    <w:uiPriority w:val="39"/>
    <w:unhideWhenUsed/>
    <w:qFormat/>
    <w:pPr>
      <w:ind w:left="850"/>
      <w:spacing w:after="57"/>
    </w:pPr>
  </w:style>
  <w:style w:type="paragraph" w:styleId="765" w:customStyle="1">
    <w:name w:val="副标题11"/>
    <w:basedOn w:val="704"/>
    <w:next w:val="704"/>
    <w:link w:val="766"/>
    <w:uiPriority w:val="11"/>
    <w:qFormat/>
    <w:pPr>
      <w:spacing w:before="200" w:after="200"/>
    </w:pPr>
    <w:rPr>
      <w:sz w:val="24"/>
      <w:szCs w:val="24"/>
    </w:rPr>
  </w:style>
  <w:style w:type="character" w:styleId="766" w:customStyle="1">
    <w:name w:val="副标题 Char1"/>
    <w:link w:val="765"/>
    <w:uiPriority w:val="11"/>
    <w:qFormat/>
    <w:rPr>
      <w:sz w:val="24"/>
      <w:szCs w:val="24"/>
    </w:rPr>
  </w:style>
  <w:style w:type="paragraph" w:styleId="767" w:customStyle="1">
    <w:name w:val="脚注文本11"/>
    <w:basedOn w:val="704"/>
    <w:link w:val="768"/>
    <w:uiPriority w:val="99"/>
    <w:unhideWhenUsed/>
    <w:qFormat/>
    <w:pPr>
      <w:spacing w:after="40"/>
    </w:pPr>
    <w:rPr>
      <w:sz w:val="18"/>
    </w:rPr>
  </w:style>
  <w:style w:type="character" w:styleId="768" w:customStyle="1">
    <w:name w:val="脚注文本 Char1"/>
    <w:link w:val="767"/>
    <w:uiPriority w:val="99"/>
    <w:qFormat/>
    <w:rPr>
      <w:sz w:val="18"/>
    </w:rPr>
  </w:style>
  <w:style w:type="paragraph" w:styleId="769" w:customStyle="1">
    <w:name w:val="目录 611"/>
    <w:basedOn w:val="704"/>
    <w:next w:val="704"/>
    <w:uiPriority w:val="39"/>
    <w:unhideWhenUsed/>
    <w:qFormat/>
    <w:pPr>
      <w:ind w:left="1417"/>
      <w:spacing w:after="57"/>
    </w:pPr>
  </w:style>
  <w:style w:type="paragraph" w:styleId="770" w:customStyle="1">
    <w:name w:val="图表目录11"/>
    <w:basedOn w:val="704"/>
    <w:next w:val="704"/>
    <w:uiPriority w:val="99"/>
    <w:unhideWhenUsed/>
    <w:qFormat/>
  </w:style>
  <w:style w:type="paragraph" w:styleId="771" w:customStyle="1">
    <w:name w:val="目录 211"/>
    <w:basedOn w:val="704"/>
    <w:next w:val="704"/>
    <w:uiPriority w:val="39"/>
    <w:unhideWhenUsed/>
    <w:qFormat/>
    <w:pPr>
      <w:ind w:left="283"/>
      <w:spacing w:after="57"/>
    </w:pPr>
  </w:style>
  <w:style w:type="paragraph" w:styleId="772" w:customStyle="1">
    <w:name w:val="目录 911"/>
    <w:basedOn w:val="704"/>
    <w:next w:val="704"/>
    <w:uiPriority w:val="39"/>
    <w:unhideWhenUsed/>
    <w:qFormat/>
    <w:pPr>
      <w:ind w:left="2268"/>
      <w:spacing w:after="57"/>
    </w:pPr>
  </w:style>
  <w:style w:type="paragraph" w:styleId="773" w:customStyle="1">
    <w:name w:val="普通(网站)11"/>
    <w:basedOn w:val="70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4" w:customStyle="1">
    <w:name w:val="标题12"/>
    <w:basedOn w:val="704"/>
    <w:next w:val="704"/>
    <w:link w:val="775"/>
    <w:uiPriority w:val="10"/>
    <w:qFormat/>
    <w:pPr>
      <w:contextualSpacing/>
      <w:spacing w:before="300" w:after="200"/>
    </w:pPr>
    <w:rPr>
      <w:sz w:val="48"/>
      <w:szCs w:val="48"/>
    </w:rPr>
  </w:style>
  <w:style w:type="character" w:styleId="775" w:customStyle="1">
    <w:name w:val="标题 Char1"/>
    <w:link w:val="774"/>
    <w:uiPriority w:val="10"/>
    <w:qFormat/>
    <w:rPr>
      <w:sz w:val="48"/>
      <w:szCs w:val="48"/>
    </w:rPr>
  </w:style>
  <w:style w:type="paragraph" w:styleId="776" w:customStyle="1">
    <w:name w:val="批注主题11"/>
    <w:basedOn w:val="747"/>
    <w:next w:val="747"/>
    <w:link w:val="777"/>
    <w:uiPriority w:val="99"/>
    <w:unhideWhenUsed/>
    <w:qFormat/>
    <w:rPr>
      <w:b/>
      <w:bCs/>
    </w:rPr>
  </w:style>
  <w:style w:type="character" w:styleId="777" w:customStyle="1">
    <w:name w:val="批注主题 Char1"/>
    <w:link w:val="776"/>
    <w:uiPriority w:val="99"/>
    <w:semiHidden/>
    <w:qFormat/>
    <w:rPr>
      <w:b/>
      <w:bCs/>
      <w:sz w:val="21"/>
      <w:szCs w:val="21"/>
    </w:rPr>
  </w:style>
  <w:style w:type="paragraph" w:styleId="778" w:customStyle="1">
    <w:name w:val="正文首行缩进 211"/>
    <w:uiPriority w:val="99"/>
    <w:unhideWhenUsed/>
    <w:qFormat/>
    <w:pPr>
      <w:ind w:firstLine="420"/>
      <w:jc w:val="both"/>
      <w:spacing w:line="360" w:lineRule="auto"/>
      <w:widowControl w:val="off"/>
    </w:pPr>
    <w:rPr>
      <w:rFonts w:hint="default" w:ascii="宋体" w:hAnsi="宋体" w:eastAsia="宋体" w:cs="Times New Roman"/>
      <w:sz w:val="32"/>
      <w:szCs w:val="32"/>
      <w:lang w:val="en-US" w:eastAsia="zh-CN" w:bidi="ar-SA"/>
    </w:rPr>
  </w:style>
  <w:style w:type="table" w:styleId="779" w:customStyle="1">
    <w:name w:val="网格型11"/>
    <w:uiPriority w:val="59"/>
    <w:qFormat/>
    <w:rPr>
      <w:lang w:val="en-US" w:eastAsia="zh-CN" w:bidi="ar-SA"/>
    </w:rPr>
    <w:tblPr/>
  </w:style>
  <w:style w:type="character" w:styleId="780" w:customStyle="1">
    <w:name w:val="要点11"/>
    <w:link w:val="704"/>
    <w:uiPriority w:val="22"/>
    <w:qFormat/>
    <w:rPr>
      <w:b/>
    </w:rPr>
  </w:style>
  <w:style w:type="character" w:styleId="781" w:customStyle="1">
    <w:name w:val="尾注引用11"/>
    <w:link w:val="704"/>
    <w:uiPriority w:val="99"/>
    <w:unhideWhenUsed/>
    <w:qFormat/>
    <w:rPr>
      <w:vertAlign w:val="superscript"/>
    </w:rPr>
  </w:style>
  <w:style w:type="character" w:styleId="782" w:customStyle="1">
    <w:name w:val="超链接11"/>
    <w:link w:val="704"/>
    <w:uiPriority w:val="99"/>
    <w:unhideWhenUsed/>
    <w:qFormat/>
    <w:rPr>
      <w:color w:val="0000ff"/>
      <w:u w:val="single"/>
    </w:rPr>
  </w:style>
  <w:style w:type="character" w:styleId="783" w:customStyle="1">
    <w:name w:val="批注引用11"/>
    <w:link w:val="704"/>
    <w:uiPriority w:val="99"/>
    <w:unhideWhenUsed/>
    <w:qFormat/>
    <w:rPr>
      <w:sz w:val="21"/>
      <w:szCs w:val="21"/>
    </w:rPr>
  </w:style>
  <w:style w:type="character" w:styleId="784" w:customStyle="1">
    <w:name w:val="脚注引用11"/>
    <w:link w:val="704"/>
    <w:uiPriority w:val="99"/>
    <w:unhideWhenUsed/>
    <w:qFormat/>
    <w:rPr>
      <w:vertAlign w:val="superscript"/>
    </w:rPr>
  </w:style>
  <w:style w:type="paragraph" w:styleId="785" w:customStyle="1">
    <w:name w:val="正文文本11"/>
    <w:basedOn w:val="704"/>
    <w:uiPriority w:val="0"/>
    <w:qFormat/>
    <w:rPr>
      <w:rFonts w:ascii="仿宋_GB2312" w:eastAsia="仿宋_GB2312"/>
      <w:sz w:val="28"/>
      <w:szCs w:val="20"/>
    </w:rPr>
  </w:style>
  <w:style w:type="paragraph" w:styleId="786" w:customStyle="1">
    <w:name w:val="引文目录1"/>
    <w:basedOn w:val="704"/>
    <w:next w:val="704"/>
    <w:uiPriority w:val="0"/>
    <w:qFormat/>
    <w:pPr>
      <w:ind w:left="420" w:firstLine="883"/>
    </w:pPr>
    <w:rPr>
      <w:rFonts w:ascii="仿宋" w:hAnsi="仿宋" w:eastAsia="仿宋" w:cs="仿宋"/>
      <w:sz w:val="24"/>
      <w:szCs w:val="24"/>
    </w:rPr>
  </w:style>
  <w:style w:type="paragraph" w:styleId="787" w:customStyle="1">
    <w:name w:val="正文首行缩进 21"/>
    <w:basedOn w:val="788"/>
    <w:link w:val="791"/>
    <w:uiPriority w:val="0"/>
    <w:qFormat/>
    <w:pPr>
      <w:ind w:firstLine="420"/>
      <w:spacing w:line="360" w:lineRule="auto"/>
    </w:pPr>
    <w:rPr>
      <w:rFonts w:ascii="宋体" w:hAnsi="宋体" w:eastAsia="宋体"/>
      <w:szCs w:val="20"/>
    </w:rPr>
  </w:style>
  <w:style w:type="paragraph" w:styleId="788" w:customStyle="1">
    <w:name w:val="正文文本缩进1"/>
    <w:basedOn w:val="704"/>
    <w:next w:val="789"/>
    <w:link w:val="790"/>
    <w:uiPriority w:val="0"/>
    <w:qFormat/>
    <w:pPr>
      <w:ind w:firstLine="645"/>
    </w:pPr>
    <w:rPr>
      <w:rFonts w:ascii="楷体_GB2312" w:eastAsia="楷体_GB2312"/>
      <w:sz w:val="32"/>
      <w:szCs w:val="32"/>
    </w:rPr>
  </w:style>
  <w:style w:type="paragraph" w:styleId="789" w:customStyle="1">
    <w:name w:val="寄信人地址1"/>
    <w:basedOn w:val="704"/>
    <w:uiPriority w:val="99"/>
    <w:unhideWhenUsed/>
    <w:qFormat/>
    <w:rPr>
      <w:rFonts w:hint="eastAsia" w:ascii="Arial" w:hAnsi="Arial"/>
      <w:sz w:val="24"/>
    </w:rPr>
  </w:style>
  <w:style w:type="character" w:styleId="790" w:customStyle="1">
    <w:name w:val="正文文本缩进 Char"/>
    <w:link w:val="788"/>
    <w:uiPriority w:val="0"/>
    <w:qFormat/>
    <w:rPr>
      <w:rFonts w:ascii="楷体_GB2312" w:hAnsi="Times New Roman" w:eastAsia="楷体_GB2312" w:cs="Times New Roman"/>
      <w:sz w:val="32"/>
      <w:szCs w:val="32"/>
    </w:rPr>
  </w:style>
  <w:style w:type="character" w:styleId="791" w:customStyle="1">
    <w:name w:val="正文首行缩进 2 Char"/>
    <w:link w:val="787"/>
    <w:uiPriority w:val="0"/>
    <w:qFormat/>
    <w:rPr>
      <w:rFonts w:ascii="宋体" w:hAnsi="宋体" w:eastAsia="宋体" w:cs="Times New Roman"/>
      <w:sz w:val="32"/>
      <w:szCs w:val="20"/>
    </w:rPr>
  </w:style>
  <w:style w:type="character" w:styleId="792" w:customStyle="1">
    <w:name w:val="标题 4 Char1"/>
    <w:link w:val="708"/>
    <w:uiPriority w:val="9"/>
    <w:qFormat/>
    <w:rPr>
      <w:rFonts w:ascii="Arial" w:hAnsi="Arial" w:eastAsia="Arial" w:cs="Arial"/>
      <w:b/>
      <w:bCs/>
      <w:sz w:val="26"/>
      <w:szCs w:val="26"/>
    </w:rPr>
  </w:style>
  <w:style w:type="character" w:styleId="793" w:customStyle="1">
    <w:name w:val="Heading 1 Char"/>
    <w:link w:val="704"/>
    <w:uiPriority w:val="9"/>
    <w:qFormat/>
    <w:rPr>
      <w:rFonts w:ascii="Arial" w:hAnsi="Arial" w:eastAsia="Arial" w:cs="Arial"/>
      <w:sz w:val="40"/>
      <w:szCs w:val="40"/>
    </w:rPr>
  </w:style>
  <w:style w:type="character" w:styleId="794" w:customStyle="1">
    <w:name w:val="Heading 2 Char"/>
    <w:link w:val="704"/>
    <w:uiPriority w:val="9"/>
    <w:qFormat/>
    <w:rPr>
      <w:rFonts w:ascii="Arial" w:hAnsi="Arial" w:eastAsia="Arial" w:cs="Arial"/>
      <w:sz w:val="34"/>
    </w:rPr>
  </w:style>
  <w:style w:type="character" w:styleId="795" w:customStyle="1">
    <w:name w:val="Heading 3 Char"/>
    <w:link w:val="704"/>
    <w:uiPriority w:val="9"/>
    <w:qFormat/>
    <w:rPr>
      <w:rFonts w:ascii="Arial" w:hAnsi="Arial" w:eastAsia="Arial" w:cs="Arial"/>
      <w:sz w:val="30"/>
      <w:szCs w:val="30"/>
    </w:rPr>
  </w:style>
  <w:style w:type="character" w:styleId="796" w:customStyle="1">
    <w:name w:val="Heading 4 Char"/>
    <w:link w:val="704"/>
    <w:uiPriority w:val="9"/>
    <w:qFormat/>
    <w:rPr>
      <w:rFonts w:ascii="Arial" w:hAnsi="Arial" w:eastAsia="Arial" w:cs="Arial"/>
      <w:b/>
      <w:bCs/>
      <w:sz w:val="26"/>
      <w:szCs w:val="26"/>
    </w:rPr>
  </w:style>
  <w:style w:type="character" w:styleId="797" w:customStyle="1">
    <w:name w:val="Heading 5 Char"/>
    <w:link w:val="704"/>
    <w:uiPriority w:val="9"/>
    <w:qFormat/>
    <w:rPr>
      <w:rFonts w:ascii="Arial" w:hAnsi="Arial" w:eastAsia="Arial" w:cs="Arial"/>
      <w:b/>
      <w:bCs/>
      <w:sz w:val="24"/>
      <w:szCs w:val="24"/>
    </w:rPr>
  </w:style>
  <w:style w:type="character" w:styleId="798" w:customStyle="1">
    <w:name w:val="Heading 6 Char"/>
    <w:link w:val="704"/>
    <w:uiPriority w:val="9"/>
    <w:qFormat/>
    <w:rPr>
      <w:rFonts w:ascii="Arial" w:hAnsi="Arial" w:eastAsia="Arial" w:cs="Arial"/>
      <w:b/>
      <w:bCs/>
      <w:sz w:val="22"/>
      <w:szCs w:val="22"/>
    </w:rPr>
  </w:style>
  <w:style w:type="character" w:styleId="799" w:customStyle="1">
    <w:name w:val="Heading 7 Char"/>
    <w:link w:val="704"/>
    <w:uiPriority w:val="9"/>
    <w:qFormat/>
    <w:rPr>
      <w:rFonts w:ascii="Arial" w:hAnsi="Arial" w:eastAsia="Arial" w:cs="Arial"/>
      <w:b/>
      <w:bCs/>
      <w:i/>
      <w:iCs/>
      <w:sz w:val="22"/>
      <w:szCs w:val="22"/>
    </w:rPr>
  </w:style>
  <w:style w:type="character" w:styleId="800" w:customStyle="1">
    <w:name w:val="Heading 8 Char"/>
    <w:link w:val="704"/>
    <w:uiPriority w:val="9"/>
    <w:qFormat/>
    <w:rPr>
      <w:rFonts w:ascii="Arial" w:hAnsi="Arial" w:eastAsia="Arial" w:cs="Arial"/>
      <w:i/>
      <w:iCs/>
      <w:sz w:val="22"/>
      <w:szCs w:val="22"/>
    </w:rPr>
  </w:style>
  <w:style w:type="character" w:styleId="801" w:customStyle="1">
    <w:name w:val="Heading 9 Char"/>
    <w:link w:val="704"/>
    <w:uiPriority w:val="9"/>
    <w:qFormat/>
    <w:rPr>
      <w:rFonts w:ascii="Arial" w:hAnsi="Arial" w:eastAsia="Arial" w:cs="Arial"/>
      <w:i/>
      <w:iCs/>
      <w:sz w:val="21"/>
      <w:szCs w:val="21"/>
    </w:rPr>
  </w:style>
  <w:style w:type="character" w:styleId="802" w:customStyle="1">
    <w:name w:val="Title Char"/>
    <w:link w:val="704"/>
    <w:uiPriority w:val="10"/>
    <w:qFormat/>
    <w:rPr>
      <w:sz w:val="48"/>
      <w:szCs w:val="48"/>
    </w:rPr>
  </w:style>
  <w:style w:type="character" w:styleId="803" w:customStyle="1">
    <w:name w:val="Subtitle Char"/>
    <w:link w:val="704"/>
    <w:uiPriority w:val="11"/>
    <w:qFormat/>
    <w:rPr>
      <w:sz w:val="24"/>
      <w:szCs w:val="24"/>
    </w:rPr>
  </w:style>
  <w:style w:type="character" w:styleId="804" w:customStyle="1">
    <w:name w:val="Quote Char"/>
    <w:link w:val="704"/>
    <w:uiPriority w:val="29"/>
    <w:qFormat/>
    <w:rPr>
      <w:i/>
    </w:rPr>
  </w:style>
  <w:style w:type="character" w:styleId="805" w:customStyle="1">
    <w:name w:val="Intense Quote Char"/>
    <w:link w:val="704"/>
    <w:uiPriority w:val="30"/>
    <w:qFormat/>
    <w:rPr>
      <w:i/>
    </w:rPr>
  </w:style>
  <w:style w:type="character" w:styleId="806" w:customStyle="1">
    <w:name w:val="Footnote Text Char"/>
    <w:link w:val="704"/>
    <w:uiPriority w:val="99"/>
    <w:qFormat/>
    <w:rPr>
      <w:sz w:val="18"/>
    </w:rPr>
  </w:style>
  <w:style w:type="character" w:styleId="807" w:customStyle="1">
    <w:name w:val="Endnote Text Char"/>
    <w:link w:val="704"/>
    <w:uiPriority w:val="99"/>
    <w:qFormat/>
    <w:rPr>
      <w:sz w:val="20"/>
    </w:rPr>
  </w:style>
  <w:style w:type="paragraph" w:styleId="808" w:customStyle="1">
    <w:name w:val="TOC 标题"/>
    <w:uiPriority w:val="39"/>
    <w:qFormat/>
    <w:rPr>
      <w:rFonts w:hint="default" w:ascii="Times New Roman" w:hAnsi="Times New Roman" w:eastAsia="宋体" w:cs="Times New Roman"/>
      <w:lang w:val="en-US" w:eastAsia="zh-CN" w:bidi="ar-SA"/>
    </w:rPr>
  </w:style>
  <w:style w:type="character" w:styleId="809" w:customStyle="1">
    <w:name w:val="标题 1 Char1"/>
    <w:link w:val="705"/>
    <w:uiPriority w:val="9"/>
    <w:qFormat/>
    <w:rPr>
      <w:rFonts w:ascii="Arial" w:hAnsi="Arial" w:eastAsia="Arial" w:cs="Arial"/>
      <w:sz w:val="40"/>
      <w:szCs w:val="40"/>
    </w:rPr>
  </w:style>
  <w:style w:type="character" w:styleId="810" w:customStyle="1">
    <w:name w:val="标题 2 Char1"/>
    <w:link w:val="706"/>
    <w:uiPriority w:val="9"/>
    <w:qFormat/>
    <w:rPr>
      <w:rFonts w:ascii="Arial" w:hAnsi="Arial" w:eastAsia="Arial" w:cs="Arial"/>
      <w:sz w:val="34"/>
    </w:rPr>
  </w:style>
  <w:style w:type="character" w:styleId="811" w:customStyle="1">
    <w:name w:val="标题 3 Char1"/>
    <w:link w:val="707"/>
    <w:uiPriority w:val="9"/>
    <w:qFormat/>
    <w:rPr>
      <w:rFonts w:ascii="Arial" w:hAnsi="Arial" w:eastAsia="Arial" w:cs="Arial"/>
      <w:sz w:val="30"/>
      <w:szCs w:val="30"/>
    </w:rPr>
  </w:style>
  <w:style w:type="character" w:styleId="812" w:customStyle="1">
    <w:name w:val="标题 5 Char1"/>
    <w:link w:val="709"/>
    <w:uiPriority w:val="9"/>
    <w:qFormat/>
    <w:rPr>
      <w:rFonts w:ascii="Arial" w:hAnsi="Arial" w:eastAsia="Arial" w:cs="Arial"/>
      <w:b/>
      <w:bCs/>
      <w:sz w:val="24"/>
      <w:szCs w:val="24"/>
    </w:rPr>
  </w:style>
  <w:style w:type="character" w:styleId="813" w:customStyle="1">
    <w:name w:val="标题 6 Char1"/>
    <w:link w:val="710"/>
    <w:uiPriority w:val="9"/>
    <w:qFormat/>
    <w:rPr>
      <w:rFonts w:ascii="Arial" w:hAnsi="Arial" w:eastAsia="Arial" w:cs="Arial"/>
      <w:b/>
      <w:bCs/>
      <w:sz w:val="22"/>
      <w:szCs w:val="22"/>
    </w:rPr>
  </w:style>
  <w:style w:type="character" w:styleId="814" w:customStyle="1">
    <w:name w:val="标题 7 Char1"/>
    <w:link w:val="711"/>
    <w:uiPriority w:val="9"/>
    <w:qFormat/>
    <w:rPr>
      <w:rFonts w:ascii="Arial" w:hAnsi="Arial" w:eastAsia="Arial" w:cs="Arial"/>
      <w:b/>
      <w:bCs/>
      <w:i/>
      <w:iCs/>
      <w:sz w:val="22"/>
      <w:szCs w:val="22"/>
    </w:rPr>
  </w:style>
  <w:style w:type="character" w:styleId="815" w:customStyle="1">
    <w:name w:val="标题 8 Char1"/>
    <w:link w:val="712"/>
    <w:uiPriority w:val="9"/>
    <w:qFormat/>
    <w:rPr>
      <w:rFonts w:ascii="Arial" w:hAnsi="Arial" w:eastAsia="Arial" w:cs="Arial"/>
      <w:i/>
      <w:iCs/>
      <w:sz w:val="22"/>
      <w:szCs w:val="22"/>
    </w:rPr>
  </w:style>
  <w:style w:type="character" w:styleId="816" w:customStyle="1">
    <w:name w:val="标题 9 Char1"/>
    <w:link w:val="713"/>
    <w:uiPriority w:val="9"/>
    <w:qFormat/>
    <w:rPr>
      <w:rFonts w:ascii="Arial" w:hAnsi="Arial" w:eastAsia="Arial" w:cs="Arial"/>
      <w:i/>
      <w:iCs/>
      <w:sz w:val="21"/>
      <w:szCs w:val="21"/>
    </w:rPr>
  </w:style>
  <w:style w:type="paragraph" w:styleId="817" w:customStyle="1">
    <w:name w:val="Caption1"/>
    <w:basedOn w:val="704"/>
    <w:next w:val="704"/>
    <w:uiPriority w:val="35"/>
    <w:unhideWhenUsed/>
    <w:qFormat/>
    <w:pPr>
      <w:spacing w:line="276" w:lineRule="auto"/>
    </w:pPr>
    <w:rPr>
      <w:b/>
      <w:bCs/>
      <w:color w:val="4f81bd"/>
      <w:sz w:val="18"/>
      <w:szCs w:val="18"/>
    </w:rPr>
  </w:style>
  <w:style w:type="paragraph" w:styleId="818" w:customStyle="1">
    <w:name w:val="Footer1"/>
    <w:basedOn w:val="704"/>
    <w:uiPriority w:val="99"/>
    <w:unhideWhenUsed/>
    <w:qFormat/>
    <w:pPr>
      <w:tabs>
        <w:tab w:val="center" w:pos="7143" w:leader="none"/>
        <w:tab w:val="right" w:pos="14287" w:leader="none"/>
      </w:tabs>
    </w:pPr>
  </w:style>
  <w:style w:type="paragraph" w:styleId="819" w:customStyle="1">
    <w:name w:val="Header1"/>
    <w:basedOn w:val="704"/>
    <w:uiPriority w:val="99"/>
    <w:unhideWhenUsed/>
    <w:qFormat/>
    <w:pPr>
      <w:tabs>
        <w:tab w:val="center" w:pos="7143" w:leader="none"/>
        <w:tab w:val="right" w:pos="14287" w:leader="none"/>
      </w:tabs>
    </w:pPr>
  </w:style>
  <w:style w:type="paragraph" w:styleId="820" w:customStyle="1">
    <w:name w:val="列出段落"/>
    <w:basedOn w:val="704"/>
    <w:uiPriority w:val="34"/>
    <w:qFormat/>
    <w:pPr>
      <w:contextualSpacing/>
      <w:ind w:left="720"/>
    </w:pPr>
  </w:style>
  <w:style w:type="paragraph" w:styleId="821" w:customStyle="1">
    <w:name w:val="无间隔"/>
    <w:uiPriority w:val="1"/>
    <w:qFormat/>
    <w:rPr>
      <w:rFonts w:hint="default" w:ascii="Times New Roman" w:hAnsi="Times New Roman" w:eastAsia="宋体" w:cs="Times New Roman"/>
      <w:lang w:val="en-US" w:eastAsia="zh-CN" w:bidi="ar-SA"/>
    </w:rPr>
  </w:style>
  <w:style w:type="paragraph" w:styleId="822" w:customStyle="1">
    <w:name w:val="引用"/>
    <w:basedOn w:val="704"/>
    <w:next w:val="704"/>
    <w:link w:val="823"/>
    <w:uiPriority w:val="29"/>
    <w:qFormat/>
    <w:pPr>
      <w:ind w:left="720" w:right="720"/>
    </w:pPr>
    <w:rPr>
      <w:i/>
    </w:rPr>
  </w:style>
  <w:style w:type="character" w:styleId="823" w:customStyle="1">
    <w:name w:val="引用 Char1"/>
    <w:link w:val="822"/>
    <w:uiPriority w:val="29"/>
    <w:qFormat/>
    <w:rPr>
      <w:i/>
    </w:rPr>
  </w:style>
  <w:style w:type="paragraph" w:styleId="824" w:customStyle="1">
    <w:name w:val="明显引用"/>
    <w:basedOn w:val="704"/>
    <w:next w:val="70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1"/>
    <w:link w:val="824"/>
    <w:uiPriority w:val="30"/>
    <w:qFormat/>
    <w:rPr>
      <w:i/>
    </w:r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paragraph" w:styleId="827" w:customStyle="1">
    <w:name w:val="标题 11"/>
    <w:basedOn w:val="704"/>
    <w:next w:val="704"/>
    <w:link w:val="828"/>
    <w:uiPriority w:val="0"/>
    <w:qFormat/>
    <w:pPr>
      <w:jc w:val="center"/>
      <w:keepNext/>
      <w:outlineLvl w:val="0"/>
    </w:pPr>
    <w:rPr>
      <w:rFonts w:ascii="楷体_GB2312" w:eastAsia="楷体_GB2312"/>
      <w:sz w:val="28"/>
      <w:szCs w:val="28"/>
    </w:rPr>
  </w:style>
  <w:style w:type="character" w:styleId="828" w:customStyle="1">
    <w:name w:val="标题 1 Char"/>
    <w:link w:val="827"/>
    <w:uiPriority w:val="0"/>
    <w:qFormat/>
    <w:rPr>
      <w:rFonts w:ascii="楷体_GB2312" w:hAnsi="Times New Roman" w:eastAsia="楷体_GB2312" w:cs="Times New Roman"/>
      <w:sz w:val="28"/>
      <w:szCs w:val="28"/>
    </w:rPr>
  </w:style>
  <w:style w:type="paragraph" w:styleId="829" w:customStyle="1">
    <w:name w:val="标题 21"/>
    <w:basedOn w:val="704"/>
    <w:next w:val="830"/>
    <w:link w:val="831"/>
    <w:uiPriority w:val="0"/>
    <w:qFormat/>
    <w:pPr>
      <w:jc w:val="center"/>
      <w:keepLines/>
      <w:keepNext/>
      <w:spacing w:before="260" w:after="260" w:line="416" w:lineRule="auto"/>
      <w:outlineLvl w:val="1"/>
    </w:pPr>
    <w:rPr>
      <w:rFonts w:ascii="Arial" w:hAnsi="Arial" w:eastAsia="幼圆"/>
      <w:b/>
      <w:bCs/>
      <w:sz w:val="44"/>
      <w:szCs w:val="44"/>
    </w:rPr>
  </w:style>
  <w:style w:type="paragraph" w:styleId="830" w:customStyle="1">
    <w:name w:val="正文缩进1"/>
    <w:basedOn w:val="704"/>
    <w:link w:val="832"/>
    <w:uiPriority w:val="0"/>
    <w:qFormat/>
    <w:pPr>
      <w:ind w:firstLine="420"/>
    </w:pPr>
    <w:rPr>
      <w:sz w:val="20"/>
    </w:rPr>
  </w:style>
  <w:style w:type="character" w:styleId="831" w:customStyle="1">
    <w:name w:val="标题 2 Char"/>
    <w:link w:val="829"/>
    <w:uiPriority w:val="0"/>
    <w:qFormat/>
    <w:rPr>
      <w:rFonts w:ascii="Arial" w:hAnsi="Arial" w:eastAsia="幼圆" w:cs="Arial"/>
      <w:b/>
      <w:bCs/>
      <w:sz w:val="44"/>
      <w:szCs w:val="44"/>
    </w:rPr>
  </w:style>
  <w:style w:type="character" w:styleId="832" w:customStyle="1">
    <w:name w:val="正文缩进 Char"/>
    <w:link w:val="830"/>
    <w:uiPriority w:val="0"/>
    <w:qFormat/>
    <w:rPr>
      <w:rFonts w:ascii="Times New Roman" w:hAnsi="Times New Roman" w:eastAsia="宋体" w:cs="Times New Roman"/>
      <w:szCs w:val="21"/>
    </w:rPr>
  </w:style>
  <w:style w:type="paragraph" w:styleId="833" w:customStyle="1">
    <w:name w:val="标题 31"/>
    <w:basedOn w:val="704"/>
    <w:next w:val="830"/>
    <w:link w:val="834"/>
    <w:uiPriority w:val="0"/>
    <w:qFormat/>
    <w:pPr>
      <w:keepLines/>
      <w:keepNext/>
      <w:spacing w:before="260" w:after="260" w:line="416" w:lineRule="auto"/>
      <w:outlineLvl w:val="2"/>
    </w:pPr>
    <w:rPr>
      <w:b/>
      <w:bCs/>
      <w:sz w:val="32"/>
      <w:szCs w:val="32"/>
    </w:rPr>
  </w:style>
  <w:style w:type="character" w:styleId="834" w:customStyle="1">
    <w:name w:val="标题 3 Char"/>
    <w:link w:val="833"/>
    <w:uiPriority w:val="0"/>
    <w:qFormat/>
    <w:rPr>
      <w:rFonts w:ascii="Times New Roman" w:hAnsi="Times New Roman" w:eastAsia="宋体" w:cs="Times New Roman"/>
      <w:b/>
      <w:bCs/>
      <w:sz w:val="32"/>
      <w:szCs w:val="32"/>
    </w:rPr>
  </w:style>
  <w:style w:type="paragraph" w:styleId="835" w:customStyle="1">
    <w:name w:val="标题 41"/>
    <w:basedOn w:val="704"/>
    <w:next w:val="830"/>
    <w:link w:val="836"/>
    <w:uiPriority w:val="0"/>
    <w:qFormat/>
    <w:pPr>
      <w:keepLines/>
      <w:keepNext/>
      <w:spacing w:before="280" w:after="290" w:line="376" w:lineRule="auto"/>
      <w:outlineLvl w:val="3"/>
    </w:pPr>
    <w:rPr>
      <w:rFonts w:ascii="Arial" w:hAnsi="Arial" w:eastAsia="黑体"/>
      <w:b/>
      <w:bCs/>
      <w:sz w:val="28"/>
      <w:szCs w:val="28"/>
    </w:rPr>
  </w:style>
  <w:style w:type="character" w:styleId="836" w:customStyle="1">
    <w:name w:val="标题 4 Char"/>
    <w:link w:val="835"/>
    <w:uiPriority w:val="0"/>
    <w:qFormat/>
    <w:rPr>
      <w:rFonts w:ascii="Arial" w:hAnsi="Arial" w:eastAsia="黑体" w:cs="Arial"/>
      <w:b/>
      <w:bCs/>
      <w:sz w:val="28"/>
      <w:szCs w:val="28"/>
    </w:rPr>
  </w:style>
  <w:style w:type="paragraph" w:styleId="837" w:customStyle="1">
    <w:name w:val="标题 51"/>
    <w:basedOn w:val="704"/>
    <w:next w:val="830"/>
    <w:link w:val="838"/>
    <w:uiPriority w:val="0"/>
    <w:qFormat/>
    <w:pPr>
      <w:keepNext/>
      <w:outlineLvl w:val="4"/>
    </w:pPr>
    <w:rPr>
      <w:rFonts w:ascii="宋体"/>
      <w:color w:val="000000"/>
      <w:sz w:val="28"/>
      <w:szCs w:val="28"/>
    </w:rPr>
  </w:style>
  <w:style w:type="character" w:styleId="838" w:customStyle="1">
    <w:name w:val="标题 5 Char"/>
    <w:link w:val="837"/>
    <w:uiPriority w:val="0"/>
    <w:qFormat/>
    <w:rPr>
      <w:rFonts w:ascii="宋体" w:hAnsi="Times New Roman" w:eastAsia="宋体" w:cs="Times New Roman"/>
      <w:color w:val="000000"/>
      <w:sz w:val="28"/>
      <w:szCs w:val="28"/>
    </w:rPr>
  </w:style>
  <w:style w:type="paragraph" w:styleId="839" w:customStyle="1">
    <w:name w:val="标题 61"/>
    <w:basedOn w:val="704"/>
    <w:next w:val="704"/>
    <w:link w:val="84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40" w:customStyle="1">
    <w:name w:val="标题 6 Char"/>
    <w:link w:val="839"/>
    <w:uiPriority w:val="0"/>
    <w:qFormat/>
    <w:rPr>
      <w:rFonts w:ascii="Arial" w:hAnsi="Arial" w:eastAsia="黑体" w:cs="Times New Roman"/>
      <w:b/>
      <w:bCs/>
      <w:sz w:val="24"/>
      <w:szCs w:val="24"/>
    </w:rPr>
  </w:style>
  <w:style w:type="paragraph" w:styleId="841" w:customStyle="1">
    <w:name w:val="标题 71"/>
    <w:basedOn w:val="704"/>
    <w:next w:val="704"/>
    <w:link w:val="842"/>
    <w:uiPriority w:val="0"/>
    <w:qFormat/>
    <w:pPr>
      <w:numPr>
        <w:ilvl w:val="6"/>
        <w:numId w:val="1"/>
      </w:numPr>
      <w:keepLines/>
      <w:keepNext/>
      <w:spacing w:before="240" w:after="64" w:line="320" w:lineRule="auto"/>
      <w:outlineLvl w:val="6"/>
    </w:pPr>
    <w:rPr>
      <w:b/>
      <w:bCs/>
      <w:sz w:val="24"/>
      <w:szCs w:val="24"/>
    </w:rPr>
  </w:style>
  <w:style w:type="character" w:styleId="842" w:customStyle="1">
    <w:name w:val="标题 7 Char"/>
    <w:link w:val="841"/>
    <w:uiPriority w:val="0"/>
    <w:qFormat/>
    <w:rPr>
      <w:rFonts w:ascii="Times New Roman" w:hAnsi="Times New Roman" w:eastAsia="宋体" w:cs="Times New Roman"/>
      <w:b/>
      <w:bCs/>
      <w:sz w:val="24"/>
      <w:szCs w:val="24"/>
    </w:rPr>
  </w:style>
  <w:style w:type="paragraph" w:styleId="843" w:customStyle="1">
    <w:name w:val="标题 81"/>
    <w:basedOn w:val="704"/>
    <w:next w:val="704"/>
    <w:link w:val="84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44" w:customStyle="1">
    <w:name w:val="标题 8 Char"/>
    <w:link w:val="843"/>
    <w:uiPriority w:val="0"/>
    <w:qFormat/>
    <w:rPr>
      <w:rFonts w:ascii="Arial" w:hAnsi="Arial" w:eastAsia="黑体" w:cs="Times New Roman"/>
      <w:sz w:val="24"/>
      <w:szCs w:val="24"/>
    </w:rPr>
  </w:style>
  <w:style w:type="paragraph" w:styleId="845" w:customStyle="1">
    <w:name w:val="标题 91"/>
    <w:basedOn w:val="704"/>
    <w:next w:val="704"/>
    <w:link w:val="846"/>
    <w:uiPriority w:val="0"/>
    <w:qFormat/>
    <w:pPr>
      <w:numPr>
        <w:ilvl w:val="8"/>
        <w:numId w:val="1"/>
      </w:numPr>
      <w:keepLines/>
      <w:keepNext/>
      <w:spacing w:before="240" w:after="64" w:line="320" w:lineRule="auto"/>
      <w:outlineLvl w:val="8"/>
    </w:pPr>
    <w:rPr>
      <w:rFonts w:ascii="Arial" w:hAnsi="Arial" w:eastAsia="黑体"/>
      <w:sz w:val="20"/>
    </w:rPr>
  </w:style>
  <w:style w:type="character" w:styleId="846" w:customStyle="1">
    <w:name w:val="标题 9 Char"/>
    <w:link w:val="845"/>
    <w:uiPriority w:val="0"/>
    <w:qFormat/>
    <w:rPr>
      <w:rFonts w:ascii="Arial" w:hAnsi="Arial" w:eastAsia="黑体" w:cs="Times New Roman"/>
      <w:szCs w:val="21"/>
    </w:rPr>
  </w:style>
  <w:style w:type="character" w:styleId="847" w:customStyle="1">
    <w:name w:val="默认段落字体1"/>
    <w:link w:val="704"/>
    <w:uiPriority w:val="1"/>
    <w:unhideWhenUsed/>
    <w:qFormat/>
  </w:style>
  <w:style w:type="table" w:styleId="848" w:customStyle="1">
    <w:name w:val="普通表格1"/>
    <w:uiPriority w:val="99"/>
    <w:unhideWhenUsed/>
    <w:qFormat/>
    <w:rPr>
      <w:lang w:val="en-US" w:eastAsia="zh-CN" w:bidi="ar-SA"/>
    </w:rPr>
    <w:tblPr/>
  </w:style>
  <w:style w:type="paragraph" w:styleId="849" w:customStyle="1">
    <w:name w:val="列表 31"/>
    <w:basedOn w:val="704"/>
    <w:uiPriority w:val="0"/>
    <w:qFormat/>
    <w:pPr>
      <w:ind w:left="100" w:hanging="200"/>
    </w:pPr>
  </w:style>
  <w:style w:type="paragraph" w:styleId="850" w:customStyle="1">
    <w:name w:val="目录 71"/>
    <w:basedOn w:val="704"/>
    <w:next w:val="704"/>
    <w:uiPriority w:val="0"/>
    <w:semiHidden/>
    <w:qFormat/>
    <w:pPr>
      <w:ind w:left="1260"/>
      <w:jc w:val="left"/>
    </w:pPr>
  </w:style>
  <w:style w:type="paragraph" w:styleId="851" w:customStyle="1">
    <w:name w:val="文档结构图1"/>
    <w:basedOn w:val="704"/>
    <w:link w:val="852"/>
    <w:uiPriority w:val="0"/>
    <w:semiHidden/>
    <w:qFormat/>
    <w:pPr>
      <w:shd w:val="clear" w:color="auto" w:fill="000080"/>
    </w:pPr>
    <w:rPr>
      <w:sz w:val="20"/>
    </w:rPr>
  </w:style>
  <w:style w:type="character" w:styleId="852" w:customStyle="1">
    <w:name w:val="文档结构图 Char"/>
    <w:link w:val="851"/>
    <w:uiPriority w:val="0"/>
    <w:semiHidden/>
    <w:qFormat/>
    <w:rPr>
      <w:rFonts w:ascii="Times New Roman" w:hAnsi="Times New Roman" w:eastAsia="宋体" w:cs="Times New Roman"/>
      <w:szCs w:val="21"/>
      <w:shd w:val="clear" w:color="auto" w:fill="000080"/>
    </w:rPr>
  </w:style>
  <w:style w:type="paragraph" w:styleId="853" w:customStyle="1">
    <w:name w:val="批注文字1"/>
    <w:basedOn w:val="704"/>
    <w:link w:val="854"/>
    <w:uiPriority w:val="0"/>
    <w:qFormat/>
    <w:pPr>
      <w:jc w:val="left"/>
    </w:pPr>
    <w:rPr>
      <w:sz w:val="20"/>
    </w:rPr>
  </w:style>
  <w:style w:type="character" w:styleId="854" w:customStyle="1">
    <w:name w:val="批注文字 Char"/>
    <w:link w:val="853"/>
    <w:uiPriority w:val="0"/>
    <w:qFormat/>
    <w:rPr>
      <w:rFonts w:ascii="Times New Roman" w:hAnsi="Times New Roman" w:eastAsia="宋体" w:cs="Times New Roman"/>
      <w:szCs w:val="21"/>
    </w:rPr>
  </w:style>
  <w:style w:type="paragraph" w:styleId="855" w:customStyle="1">
    <w:name w:val="正文文本 31"/>
    <w:basedOn w:val="704"/>
    <w:link w:val="856"/>
    <w:uiPriority w:val="0"/>
    <w:qFormat/>
    <w:rPr>
      <w:rFonts w:ascii="仿宋_GB2312" w:hAnsi="Arial" w:eastAsia="仿宋_GB2312"/>
      <w:sz w:val="32"/>
      <w:szCs w:val="32"/>
    </w:rPr>
  </w:style>
  <w:style w:type="character" w:styleId="856" w:customStyle="1">
    <w:name w:val="正文文本 3 Char"/>
    <w:link w:val="855"/>
    <w:uiPriority w:val="0"/>
    <w:qFormat/>
    <w:rPr>
      <w:rFonts w:ascii="仿宋_GB2312" w:hAnsi="Arial" w:eastAsia="仿宋_GB2312" w:cs="Times New Roman"/>
      <w:sz w:val="32"/>
      <w:szCs w:val="32"/>
    </w:rPr>
  </w:style>
  <w:style w:type="paragraph" w:styleId="857" w:customStyle="1">
    <w:name w:val="正文文本12"/>
    <w:basedOn w:val="704"/>
    <w:link w:val="858"/>
    <w:uiPriority w:val="0"/>
    <w:qFormat/>
    <w:rPr>
      <w:rFonts w:ascii="楷体_GB2312" w:hAnsi="Arial" w:eastAsia="楷体_GB2312"/>
      <w:sz w:val="28"/>
      <w:szCs w:val="28"/>
    </w:rPr>
  </w:style>
  <w:style w:type="character" w:styleId="858" w:customStyle="1">
    <w:name w:val="正文文本 Char"/>
    <w:link w:val="857"/>
    <w:uiPriority w:val="0"/>
    <w:qFormat/>
    <w:rPr>
      <w:rFonts w:ascii="楷体_GB2312" w:hAnsi="Arial" w:eastAsia="楷体_GB2312" w:cs="Times New Roman"/>
      <w:sz w:val="28"/>
      <w:szCs w:val="28"/>
    </w:rPr>
  </w:style>
  <w:style w:type="paragraph" w:styleId="859" w:customStyle="1">
    <w:name w:val="列表 21"/>
    <w:basedOn w:val="704"/>
    <w:uiPriority w:val="0"/>
    <w:qFormat/>
    <w:pPr>
      <w:ind w:left="100" w:hanging="200"/>
    </w:pPr>
  </w:style>
  <w:style w:type="paragraph" w:styleId="860" w:customStyle="1">
    <w:name w:val="目录 51"/>
    <w:basedOn w:val="704"/>
    <w:next w:val="704"/>
    <w:uiPriority w:val="0"/>
    <w:semiHidden/>
    <w:qFormat/>
    <w:pPr>
      <w:ind w:left="840"/>
      <w:jc w:val="left"/>
    </w:pPr>
  </w:style>
  <w:style w:type="paragraph" w:styleId="861" w:customStyle="1">
    <w:name w:val="目录 31"/>
    <w:basedOn w:val="704"/>
    <w:next w:val="704"/>
    <w:uiPriority w:val="0"/>
    <w:semiHidden/>
    <w:qFormat/>
    <w:pPr>
      <w:ind w:left="420"/>
      <w:jc w:val="left"/>
    </w:pPr>
    <w:rPr>
      <w:i/>
      <w:iCs/>
      <w:szCs w:val="24"/>
    </w:rPr>
  </w:style>
  <w:style w:type="paragraph" w:styleId="862" w:customStyle="1">
    <w:name w:val="纯文本11"/>
    <w:basedOn w:val="704"/>
    <w:link w:val="863"/>
    <w:uiPriority w:val="0"/>
    <w:qFormat/>
    <w:rPr>
      <w:rFonts w:ascii="宋体" w:hAnsi="Courier New"/>
      <w:sz w:val="20"/>
    </w:rPr>
  </w:style>
  <w:style w:type="character" w:styleId="863" w:customStyle="1">
    <w:name w:val="纯文本 Char"/>
    <w:link w:val="862"/>
    <w:uiPriority w:val="0"/>
    <w:qFormat/>
    <w:rPr>
      <w:rFonts w:ascii="宋体" w:hAnsi="Courier New" w:eastAsia="宋体" w:cs="Courier New"/>
      <w:szCs w:val="21"/>
    </w:rPr>
  </w:style>
  <w:style w:type="paragraph" w:styleId="864" w:customStyle="1">
    <w:name w:val="目录 81"/>
    <w:basedOn w:val="704"/>
    <w:next w:val="704"/>
    <w:uiPriority w:val="0"/>
    <w:semiHidden/>
    <w:qFormat/>
    <w:pPr>
      <w:ind w:left="1470"/>
      <w:jc w:val="left"/>
    </w:pPr>
  </w:style>
  <w:style w:type="paragraph" w:styleId="865" w:customStyle="1">
    <w:name w:val="日期1"/>
    <w:basedOn w:val="704"/>
    <w:next w:val="704"/>
    <w:link w:val="866"/>
    <w:uiPriority w:val="0"/>
    <w:qFormat/>
    <w:rPr>
      <w:sz w:val="24"/>
      <w:szCs w:val="24"/>
    </w:rPr>
  </w:style>
  <w:style w:type="character" w:styleId="866" w:customStyle="1">
    <w:name w:val="日期 Char"/>
    <w:link w:val="865"/>
    <w:uiPriority w:val="0"/>
    <w:qFormat/>
    <w:rPr>
      <w:rFonts w:ascii="Times New Roman" w:hAnsi="Times New Roman" w:eastAsia="宋体" w:cs="Times New Roman"/>
      <w:sz w:val="24"/>
      <w:szCs w:val="24"/>
    </w:rPr>
  </w:style>
  <w:style w:type="paragraph" w:styleId="867" w:customStyle="1">
    <w:name w:val="正文文本缩进 21"/>
    <w:basedOn w:val="704"/>
    <w:link w:val="868"/>
    <w:uiPriority w:val="0"/>
    <w:qFormat/>
    <w:pPr>
      <w:ind w:left="630" w:firstLine="645"/>
    </w:pPr>
    <w:rPr>
      <w:rFonts w:ascii="Arial" w:hAnsi="Arial" w:eastAsia="仿宋_GB2312"/>
      <w:sz w:val="32"/>
      <w:szCs w:val="32"/>
    </w:rPr>
  </w:style>
  <w:style w:type="character" w:styleId="868" w:customStyle="1">
    <w:name w:val="正文文本缩进 2 Char"/>
    <w:link w:val="867"/>
    <w:uiPriority w:val="0"/>
    <w:qFormat/>
    <w:rPr>
      <w:rFonts w:ascii="Arial" w:hAnsi="Arial" w:eastAsia="仿宋_GB2312" w:cs="Arial"/>
      <w:sz w:val="32"/>
      <w:szCs w:val="32"/>
    </w:rPr>
  </w:style>
  <w:style w:type="paragraph" w:styleId="869" w:customStyle="1">
    <w:name w:val="尾注文本1"/>
    <w:basedOn w:val="704"/>
    <w:link w:val="870"/>
    <w:uiPriority w:val="99"/>
    <w:unhideWhenUsed/>
    <w:qFormat/>
    <w:rPr>
      <w:sz w:val="20"/>
      <w:szCs w:val="20"/>
    </w:rPr>
  </w:style>
  <w:style w:type="character" w:styleId="870" w:customStyle="1">
    <w:name w:val="尾注文本 Char"/>
    <w:link w:val="869"/>
    <w:uiPriority w:val="99"/>
    <w:qFormat/>
    <w:rPr>
      <w:sz w:val="20"/>
    </w:rPr>
  </w:style>
  <w:style w:type="paragraph" w:styleId="871" w:customStyle="1">
    <w:name w:val="批注框文本1"/>
    <w:basedOn w:val="704"/>
    <w:link w:val="872"/>
    <w:uiPriority w:val="0"/>
    <w:semiHidden/>
    <w:qFormat/>
    <w:rPr>
      <w:sz w:val="18"/>
      <w:szCs w:val="18"/>
    </w:rPr>
  </w:style>
  <w:style w:type="character" w:styleId="872" w:customStyle="1">
    <w:name w:val="批注框文本 Char"/>
    <w:link w:val="871"/>
    <w:uiPriority w:val="0"/>
    <w:semiHidden/>
    <w:qFormat/>
    <w:rPr>
      <w:rFonts w:ascii="Times New Roman" w:hAnsi="Times New Roman" w:eastAsia="宋体" w:cs="Times New Roman"/>
      <w:sz w:val="18"/>
      <w:szCs w:val="18"/>
    </w:rPr>
  </w:style>
  <w:style w:type="paragraph" w:styleId="873" w:customStyle="1">
    <w:name w:val="页脚1"/>
    <w:basedOn w:val="704"/>
    <w:link w:val="874"/>
    <w:uiPriority w:val="0"/>
    <w:qFormat/>
    <w:pPr>
      <w:jc w:val="left"/>
      <w:tabs>
        <w:tab w:val="center" w:pos="4153" w:leader="none"/>
        <w:tab w:val="right" w:pos="8306" w:leader="none"/>
      </w:tabs>
    </w:pPr>
    <w:rPr>
      <w:sz w:val="18"/>
      <w:szCs w:val="18"/>
    </w:rPr>
  </w:style>
  <w:style w:type="character" w:styleId="874" w:customStyle="1">
    <w:name w:val="页脚 Char"/>
    <w:link w:val="873"/>
    <w:uiPriority w:val="0"/>
    <w:qFormat/>
    <w:rPr>
      <w:rFonts w:ascii="Times New Roman" w:hAnsi="Times New Roman" w:eastAsia="宋体" w:cs="Times New Roman"/>
      <w:sz w:val="18"/>
      <w:szCs w:val="18"/>
    </w:rPr>
  </w:style>
  <w:style w:type="paragraph" w:styleId="875" w:customStyle="1">
    <w:name w:val="页眉11"/>
    <w:basedOn w:val="704"/>
    <w:link w:val="876"/>
    <w:uiPriority w:val="99"/>
    <w:qFormat/>
    <w:pPr>
      <w:jc w:val="center"/>
      <w:tabs>
        <w:tab w:val="center" w:pos="4153" w:leader="none"/>
        <w:tab w:val="right" w:pos="8306" w:leader="none"/>
      </w:tabs>
      <w:pBdr>
        <w:bottom w:val="single" w:color="000000" w:sz="6" w:space="1"/>
      </w:pBdr>
    </w:pPr>
    <w:rPr>
      <w:sz w:val="18"/>
      <w:szCs w:val="18"/>
    </w:rPr>
  </w:style>
  <w:style w:type="character" w:styleId="876" w:customStyle="1">
    <w:name w:val="页眉 Char"/>
    <w:link w:val="875"/>
    <w:uiPriority w:val="99"/>
    <w:qFormat/>
    <w:rPr>
      <w:rFonts w:ascii="Times New Roman" w:hAnsi="Times New Roman" w:eastAsia="宋体" w:cs="Times New Roman"/>
      <w:sz w:val="18"/>
      <w:szCs w:val="18"/>
    </w:rPr>
  </w:style>
  <w:style w:type="paragraph" w:styleId="877"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878" w:customStyle="1">
    <w:name w:val="目录 41"/>
    <w:basedOn w:val="704"/>
    <w:next w:val="704"/>
    <w:uiPriority w:val="0"/>
    <w:semiHidden/>
    <w:qFormat/>
    <w:pPr>
      <w:ind w:left="630"/>
      <w:jc w:val="left"/>
    </w:pPr>
  </w:style>
  <w:style w:type="paragraph" w:styleId="879" w:customStyle="1">
    <w:name w:val="副标题1"/>
    <w:basedOn w:val="704"/>
    <w:next w:val="704"/>
    <w:link w:val="880"/>
    <w:uiPriority w:val="11"/>
    <w:qFormat/>
    <w:pPr>
      <w:spacing w:before="200" w:after="200"/>
    </w:pPr>
    <w:rPr>
      <w:sz w:val="24"/>
      <w:szCs w:val="24"/>
    </w:rPr>
  </w:style>
  <w:style w:type="character" w:styleId="880" w:customStyle="1">
    <w:name w:val="副标题 Char"/>
    <w:link w:val="879"/>
    <w:uiPriority w:val="11"/>
    <w:qFormat/>
    <w:rPr>
      <w:sz w:val="24"/>
      <w:szCs w:val="24"/>
    </w:rPr>
  </w:style>
  <w:style w:type="paragraph" w:styleId="881" w:customStyle="1">
    <w:name w:val="列表11"/>
    <w:basedOn w:val="704"/>
    <w:uiPriority w:val="0"/>
    <w:qFormat/>
    <w:pPr>
      <w:ind w:left="200" w:hanging="200"/>
    </w:pPr>
  </w:style>
  <w:style w:type="paragraph" w:styleId="882" w:customStyle="1">
    <w:name w:val="脚注文本1"/>
    <w:basedOn w:val="704"/>
    <w:link w:val="883"/>
    <w:uiPriority w:val="99"/>
    <w:unhideWhenUsed/>
    <w:qFormat/>
    <w:pPr>
      <w:spacing w:after="40"/>
    </w:pPr>
    <w:rPr>
      <w:sz w:val="18"/>
      <w:szCs w:val="20"/>
    </w:rPr>
  </w:style>
  <w:style w:type="character" w:styleId="883" w:customStyle="1">
    <w:name w:val="脚注文本 Char"/>
    <w:link w:val="882"/>
    <w:uiPriority w:val="99"/>
    <w:qFormat/>
    <w:rPr>
      <w:sz w:val="18"/>
    </w:rPr>
  </w:style>
  <w:style w:type="paragraph" w:styleId="884" w:customStyle="1">
    <w:name w:val="目录 61"/>
    <w:basedOn w:val="704"/>
    <w:next w:val="704"/>
    <w:uiPriority w:val="0"/>
    <w:semiHidden/>
    <w:qFormat/>
    <w:pPr>
      <w:ind w:left="1050"/>
      <w:jc w:val="left"/>
    </w:pPr>
  </w:style>
  <w:style w:type="paragraph" w:styleId="885" w:customStyle="1">
    <w:name w:val="正文文本缩进 31"/>
    <w:basedOn w:val="704"/>
    <w:link w:val="886"/>
    <w:uiPriority w:val="0"/>
    <w:qFormat/>
    <w:pPr>
      <w:ind w:left="645" w:firstLine="645"/>
    </w:pPr>
    <w:rPr>
      <w:rFonts w:ascii="Arial" w:hAnsi="Arial" w:eastAsia="仿宋_GB2312"/>
      <w:color w:val="ffff00"/>
      <w:sz w:val="32"/>
      <w:szCs w:val="32"/>
    </w:rPr>
  </w:style>
  <w:style w:type="character" w:styleId="886" w:customStyle="1">
    <w:name w:val="正文文本缩进 3 Char"/>
    <w:link w:val="885"/>
    <w:uiPriority w:val="0"/>
    <w:qFormat/>
    <w:rPr>
      <w:rFonts w:ascii="Arial" w:hAnsi="Arial" w:eastAsia="仿宋_GB2312" w:cs="Arial"/>
      <w:color w:val="ffff00"/>
      <w:sz w:val="32"/>
      <w:szCs w:val="32"/>
    </w:rPr>
  </w:style>
  <w:style w:type="paragraph" w:styleId="887" w:customStyle="1">
    <w:name w:val="图表目录1"/>
    <w:basedOn w:val="704"/>
    <w:next w:val="704"/>
    <w:uiPriority w:val="0"/>
    <w:semiHidden/>
    <w:qFormat/>
    <w:pPr>
      <w:ind w:left="840" w:hanging="420"/>
    </w:pPr>
  </w:style>
  <w:style w:type="paragraph" w:styleId="888" w:customStyle="1">
    <w:name w:val="目录 21"/>
    <w:basedOn w:val="704"/>
    <w:next w:val="704"/>
    <w:uiPriority w:val="0"/>
    <w:semiHidden/>
    <w:qFormat/>
    <w:pPr>
      <w:ind w:left="210"/>
      <w:jc w:val="left"/>
    </w:pPr>
    <w:rPr>
      <w:smallCaps/>
      <w:szCs w:val="24"/>
    </w:rPr>
  </w:style>
  <w:style w:type="paragraph" w:styleId="889" w:customStyle="1">
    <w:name w:val="目录 91"/>
    <w:basedOn w:val="704"/>
    <w:next w:val="704"/>
    <w:uiPriority w:val="0"/>
    <w:semiHidden/>
    <w:qFormat/>
    <w:pPr>
      <w:ind w:left="1680"/>
      <w:jc w:val="left"/>
    </w:pPr>
  </w:style>
  <w:style w:type="paragraph" w:styleId="890" w:customStyle="1">
    <w:name w:val="正文文本 21"/>
    <w:basedOn w:val="704"/>
    <w:link w:val="891"/>
    <w:uiPriority w:val="0"/>
    <w:qFormat/>
    <w:pPr>
      <w:jc w:val="center"/>
      <w:widowControl/>
    </w:pPr>
    <w:rPr>
      <w:rFonts w:ascii="楷体_GB2312" w:eastAsia="楷体_GB2312"/>
      <w:sz w:val="28"/>
      <w:szCs w:val="28"/>
    </w:rPr>
  </w:style>
  <w:style w:type="character" w:styleId="891" w:customStyle="1">
    <w:name w:val="正文文本 2 Char"/>
    <w:link w:val="890"/>
    <w:uiPriority w:val="0"/>
    <w:qFormat/>
    <w:rPr>
      <w:rFonts w:ascii="楷体_GB2312" w:hAnsi="Times New Roman" w:eastAsia="楷体_GB2312" w:cs="Times New Roman"/>
      <w:sz w:val="28"/>
      <w:szCs w:val="28"/>
    </w:rPr>
  </w:style>
  <w:style w:type="paragraph" w:styleId="892" w:customStyle="1">
    <w:name w:val="普通(网站)1"/>
    <w:basedOn w:val="704"/>
    <w:uiPriority w:val="0"/>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04"/>
    <w:next w:val="704"/>
    <w:uiPriority w:val="0"/>
    <w:semiHidden/>
    <w:qFormat/>
    <w:pPr>
      <w:spacing w:line="240" w:lineRule="atLeast"/>
    </w:pPr>
    <w:rPr>
      <w:b/>
      <w:bCs/>
    </w:rPr>
  </w:style>
  <w:style w:type="paragraph" w:styleId="894" w:customStyle="1">
    <w:name w:val="标题11"/>
    <w:basedOn w:val="704"/>
    <w:next w:val="704"/>
    <w:link w:val="895"/>
    <w:uiPriority w:val="10"/>
    <w:qFormat/>
    <w:pPr>
      <w:contextualSpacing/>
      <w:spacing w:before="300" w:after="200"/>
    </w:pPr>
    <w:rPr>
      <w:sz w:val="48"/>
      <w:szCs w:val="48"/>
    </w:rPr>
  </w:style>
  <w:style w:type="character" w:styleId="895" w:customStyle="1">
    <w:name w:val="标题 Char"/>
    <w:link w:val="894"/>
    <w:uiPriority w:val="10"/>
    <w:qFormat/>
    <w:rPr>
      <w:sz w:val="48"/>
      <w:szCs w:val="48"/>
    </w:rPr>
  </w:style>
  <w:style w:type="paragraph" w:styleId="896" w:customStyle="1">
    <w:name w:val="批注主题1"/>
    <w:basedOn w:val="853"/>
    <w:next w:val="853"/>
    <w:link w:val="897"/>
    <w:uiPriority w:val="0"/>
    <w:semiHidden/>
    <w:qFormat/>
    <w:rPr>
      <w:b/>
      <w:bCs/>
    </w:rPr>
  </w:style>
  <w:style w:type="character" w:styleId="897" w:customStyle="1">
    <w:name w:val="批注主题 Char"/>
    <w:link w:val="896"/>
    <w:uiPriority w:val="0"/>
    <w:semiHidden/>
    <w:qFormat/>
    <w:rPr>
      <w:rFonts w:ascii="Times New Roman" w:hAnsi="Times New Roman" w:eastAsia="宋体" w:cs="Times New Roman"/>
      <w:b/>
      <w:bCs/>
      <w:szCs w:val="21"/>
    </w:rPr>
  </w:style>
  <w:style w:type="paragraph" w:styleId="898" w:customStyle="1">
    <w:name w:val="正文首行缩进1"/>
    <w:basedOn w:val="704"/>
    <w:link w:val="899"/>
    <w:uiPriority w:val="0"/>
    <w:qFormat/>
    <w:pPr>
      <w:ind w:firstLine="200"/>
      <w:spacing w:line="360" w:lineRule="auto"/>
    </w:pPr>
    <w:rPr>
      <w:rFonts w:ascii="仿宋_GB2312" w:eastAsia="仿宋_GB2312"/>
      <w:sz w:val="30"/>
      <w:szCs w:val="30"/>
    </w:rPr>
  </w:style>
  <w:style w:type="character" w:styleId="899" w:customStyle="1">
    <w:name w:val="正文首行缩进 Char"/>
    <w:link w:val="898"/>
    <w:uiPriority w:val="0"/>
    <w:qFormat/>
    <w:rPr>
      <w:rFonts w:ascii="仿宋_GB2312" w:hAnsi="Times New Roman" w:eastAsia="仿宋_GB2312" w:cs="Times New Roman"/>
      <w:sz w:val="30"/>
      <w:szCs w:val="30"/>
    </w:rPr>
  </w:style>
  <w:style w:type="table" w:styleId="900" w:customStyle="1">
    <w:name w:val="网格型1"/>
    <w:basedOn w:val="848"/>
    <w:uiPriority w:val="0"/>
    <w:qFormat/>
    <w:pPr>
      <w:jc w:val="both"/>
      <w:widowControl w:val="off"/>
    </w:pPr>
    <w:tblPr/>
  </w:style>
  <w:style w:type="character" w:styleId="901" w:customStyle="1">
    <w:name w:val="要点1"/>
    <w:link w:val="704"/>
    <w:uiPriority w:val="0"/>
    <w:qFormat/>
    <w:rPr>
      <w:b/>
      <w:bCs/>
    </w:rPr>
  </w:style>
  <w:style w:type="character" w:styleId="902" w:customStyle="1">
    <w:name w:val="尾注引用1"/>
    <w:link w:val="704"/>
    <w:uiPriority w:val="99"/>
    <w:unhideWhenUsed/>
    <w:qFormat/>
    <w:rPr>
      <w:vertAlign w:val="superscript"/>
    </w:rPr>
  </w:style>
  <w:style w:type="character" w:styleId="903" w:customStyle="1">
    <w:name w:val="页码1"/>
    <w:link w:val="704"/>
    <w:uiPriority w:val="0"/>
    <w:qFormat/>
  </w:style>
  <w:style w:type="character" w:styleId="904" w:customStyle="1">
    <w:name w:val="已访问的超链接1"/>
    <w:link w:val="704"/>
    <w:uiPriority w:val="0"/>
    <w:qFormat/>
    <w:rPr>
      <w:color w:val="800080"/>
      <w:u w:val="single"/>
    </w:rPr>
  </w:style>
  <w:style w:type="character" w:styleId="905" w:customStyle="1">
    <w:name w:val="HTML 打字机1"/>
    <w:link w:val="704"/>
    <w:uiPriority w:val="99"/>
    <w:qFormat/>
    <w:rPr>
      <w:rFonts w:ascii="宋体" w:hAnsi="宋体" w:eastAsia="宋体" w:cs="宋体"/>
      <w:sz w:val="24"/>
      <w:szCs w:val="24"/>
    </w:rPr>
  </w:style>
  <w:style w:type="character" w:styleId="906" w:customStyle="1">
    <w:name w:val="超链接1"/>
    <w:link w:val="704"/>
    <w:uiPriority w:val="0"/>
    <w:qFormat/>
    <w:rPr>
      <w:color w:val="0000ff"/>
      <w:u w:val="single"/>
    </w:rPr>
  </w:style>
  <w:style w:type="character" w:styleId="907" w:customStyle="1">
    <w:name w:val="批注引用1"/>
    <w:link w:val="704"/>
    <w:uiPriority w:val="0"/>
    <w:qFormat/>
    <w:rPr>
      <w:sz w:val="21"/>
      <w:szCs w:val="21"/>
    </w:rPr>
  </w:style>
  <w:style w:type="character" w:styleId="908" w:customStyle="1">
    <w:name w:val="脚注引用1"/>
    <w:link w:val="704"/>
    <w:uiPriority w:val="99"/>
    <w:unhideWhenUsed/>
    <w:qFormat/>
    <w:rPr>
      <w:vertAlign w:val="superscript"/>
    </w:rPr>
  </w:style>
  <w:style w:type="paragraph" w:styleId="909" w:customStyle="1">
    <w:name w:val="列出段落1"/>
    <w:basedOn w:val="704"/>
    <w:uiPriority w:val="34"/>
    <w:qFormat/>
    <w:pPr>
      <w:contextualSpacing/>
      <w:ind w:left="720"/>
      <w:jc w:val="left"/>
      <w:widowControl/>
    </w:pPr>
    <w:rPr>
      <w:rFonts w:ascii="Calibri" w:hAnsi="Calibri"/>
      <w:sz w:val="24"/>
      <w:szCs w:val="24"/>
      <w:lang w:eastAsia="en-US" w:bidi="en-US"/>
    </w:rPr>
  </w:style>
  <w:style w:type="paragraph" w:styleId="91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11" w:customStyle="1">
    <w:name w:val="引用1"/>
    <w:basedOn w:val="704"/>
    <w:next w:val="704"/>
    <w:link w:val="912"/>
    <w:uiPriority w:val="29"/>
    <w:qFormat/>
    <w:pPr>
      <w:ind w:left="720" w:right="720"/>
    </w:pPr>
    <w:rPr>
      <w:i/>
      <w:sz w:val="20"/>
      <w:szCs w:val="20"/>
    </w:rPr>
  </w:style>
  <w:style w:type="character" w:styleId="912" w:customStyle="1">
    <w:name w:val="引用 Char"/>
    <w:link w:val="911"/>
    <w:uiPriority w:val="29"/>
    <w:qFormat/>
    <w:rPr>
      <w:i/>
    </w:rPr>
  </w:style>
  <w:style w:type="paragraph" w:styleId="913" w:customStyle="1">
    <w:name w:val="明显引用1"/>
    <w:basedOn w:val="704"/>
    <w:next w:val="704"/>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14" w:customStyle="1">
    <w:name w:val="明显引用 Char"/>
    <w:link w:val="913"/>
    <w:uiPriority w:val="30"/>
    <w:qFormat/>
    <w:rPr>
      <w:i/>
    </w:rPr>
  </w:style>
  <w:style w:type="paragraph" w:styleId="915" w:customStyle="1">
    <w:name w:val="Header11"/>
    <w:basedOn w:val="704"/>
    <w:link w:val="916"/>
    <w:uiPriority w:val="99"/>
    <w:unhideWhenUsed/>
    <w:qFormat/>
    <w:pPr>
      <w:tabs>
        <w:tab w:val="center" w:pos="7143" w:leader="none"/>
        <w:tab w:val="right" w:pos="14287" w:leader="none"/>
      </w:tabs>
    </w:pPr>
  </w:style>
  <w:style w:type="character" w:styleId="916" w:customStyle="1">
    <w:name w:val="Header Char"/>
    <w:link w:val="915"/>
    <w:uiPriority w:val="99"/>
    <w:qFormat/>
  </w:style>
  <w:style w:type="paragraph" w:styleId="917" w:customStyle="1">
    <w:name w:val="Footer11"/>
    <w:basedOn w:val="704"/>
    <w:link w:val="918"/>
    <w:uiPriority w:val="99"/>
    <w:unhideWhenUsed/>
    <w:qFormat/>
    <w:pPr>
      <w:tabs>
        <w:tab w:val="center" w:pos="7143" w:leader="none"/>
        <w:tab w:val="right" w:pos="14287" w:leader="none"/>
      </w:tabs>
    </w:pPr>
  </w:style>
  <w:style w:type="character" w:styleId="918" w:customStyle="1">
    <w:name w:val="Caption Char"/>
    <w:link w:val="917"/>
    <w:uiPriority w:val="99"/>
    <w:qFormat/>
  </w:style>
  <w:style w:type="character" w:styleId="919" w:customStyle="1">
    <w:name w:val="Footer Char"/>
    <w:link w:val="704"/>
    <w:uiPriority w:val="99"/>
    <w:qFormat/>
  </w:style>
  <w:style w:type="paragraph" w:styleId="920" w:customStyle="1">
    <w:name w:val="Caption11"/>
    <w:basedOn w:val="704"/>
    <w:next w:val="704"/>
    <w:uiPriority w:val="35"/>
    <w:unhideWhenUsed/>
    <w:qFormat/>
    <w:pPr>
      <w:spacing w:line="276" w:lineRule="auto"/>
    </w:pPr>
    <w:rPr>
      <w:b/>
      <w:bCs/>
      <w:color w:val="4f81bd"/>
      <w:sz w:val="18"/>
      <w:szCs w:val="18"/>
    </w:rPr>
  </w:style>
  <w:style w:type="table" w:styleId="921" w:customStyle="1">
    <w:name w:val="Table Grid Light"/>
    <w:uiPriority w:val="59"/>
    <w:qFormat/>
    <w:rPr>
      <w:lang w:val="en-US" w:eastAsia="zh-CN" w:bidi="ar-SA"/>
    </w:rPr>
    <w:tblPr/>
  </w:style>
  <w:style w:type="table" w:styleId="922" w:customStyle="1">
    <w:name w:val="Plain Table 1"/>
    <w:uiPriority w:val="59"/>
    <w:qFormat/>
    <w:rPr>
      <w:lang w:val="en-US" w:eastAsia="zh-CN" w:bidi="ar-SA"/>
    </w:rPr>
    <w:tblPr/>
  </w:style>
  <w:style w:type="table" w:styleId="923" w:customStyle="1">
    <w:name w:val="Plain Table 2"/>
    <w:uiPriority w:val="59"/>
    <w:qFormat/>
    <w:rPr>
      <w:lang w:val="en-US" w:eastAsia="zh-CN" w:bidi="ar-SA"/>
    </w:rPr>
    <w:tblPr/>
  </w:style>
  <w:style w:type="table" w:styleId="924" w:customStyle="1">
    <w:name w:val="Plain Table 3"/>
    <w:uiPriority w:val="99"/>
    <w:qFormat/>
    <w:rPr>
      <w:lang w:val="en-US" w:eastAsia="zh-CN" w:bidi="ar-SA"/>
    </w:rPr>
    <w:tblPr/>
  </w:style>
  <w:style w:type="table" w:styleId="925" w:customStyle="1">
    <w:name w:val="Plain Table 4"/>
    <w:uiPriority w:val="99"/>
    <w:qFormat/>
    <w:rPr>
      <w:lang w:val="en-US" w:eastAsia="zh-CN" w:bidi="ar-SA"/>
    </w:rPr>
    <w:tblPr/>
  </w:style>
  <w:style w:type="table" w:styleId="926" w:customStyle="1">
    <w:name w:val="Plain Table 5"/>
    <w:uiPriority w:val="99"/>
    <w:qFormat/>
    <w:rPr>
      <w:lang w:val="en-US" w:eastAsia="zh-CN" w:bidi="ar-SA"/>
    </w:rPr>
    <w:tblPr/>
  </w:style>
  <w:style w:type="table" w:styleId="927" w:customStyle="1">
    <w:name w:val="Grid Table 1 Light"/>
    <w:uiPriority w:val="99"/>
    <w:qFormat/>
    <w:rPr>
      <w:lang w:val="en-US" w:eastAsia="zh-CN" w:bidi="ar-SA"/>
    </w:rPr>
    <w:tblPr/>
  </w:style>
  <w:style w:type="table" w:styleId="928" w:customStyle="1">
    <w:name w:val="Grid Table 1 Light - Accent 1"/>
    <w:uiPriority w:val="99"/>
    <w:qFormat/>
    <w:rPr>
      <w:lang w:val="en-US" w:eastAsia="zh-CN" w:bidi="ar-SA"/>
    </w:rPr>
    <w:tblPr/>
  </w:style>
  <w:style w:type="table" w:styleId="929" w:customStyle="1">
    <w:name w:val="Grid Table 1 Light - Accent 2"/>
    <w:uiPriority w:val="99"/>
    <w:qFormat/>
    <w:rPr>
      <w:lang w:val="en-US" w:eastAsia="zh-CN" w:bidi="ar-SA"/>
    </w:rPr>
    <w:tblPr/>
  </w:style>
  <w:style w:type="table" w:styleId="930" w:customStyle="1">
    <w:name w:val="Grid Table 1 Light - Accent 3"/>
    <w:uiPriority w:val="99"/>
    <w:qFormat/>
    <w:rPr>
      <w:lang w:val="en-US" w:eastAsia="zh-CN" w:bidi="ar-SA"/>
    </w:rPr>
    <w:tblPr/>
  </w:style>
  <w:style w:type="table" w:styleId="931" w:customStyle="1">
    <w:name w:val="Grid Table 1 Light - Accent 4"/>
    <w:uiPriority w:val="99"/>
    <w:qFormat/>
    <w:rPr>
      <w:lang w:val="en-US" w:eastAsia="zh-CN" w:bidi="ar-SA"/>
    </w:rPr>
    <w:tblPr/>
  </w:style>
  <w:style w:type="table" w:styleId="932" w:customStyle="1">
    <w:name w:val="Grid Table 1 Light - Accent 5"/>
    <w:uiPriority w:val="99"/>
    <w:qFormat/>
    <w:rPr>
      <w:lang w:val="en-US" w:eastAsia="zh-CN" w:bidi="ar-SA"/>
    </w:rPr>
    <w:tblPr/>
  </w:style>
  <w:style w:type="table" w:styleId="933" w:customStyle="1">
    <w:name w:val="Grid Table 1 Light - Accent 6"/>
    <w:uiPriority w:val="99"/>
    <w:qFormat/>
    <w:rPr>
      <w:lang w:val="en-US" w:eastAsia="zh-CN" w:bidi="ar-SA"/>
    </w:rPr>
    <w:tblPr/>
  </w:style>
  <w:style w:type="table" w:styleId="934" w:customStyle="1">
    <w:name w:val="Grid Table 2"/>
    <w:uiPriority w:val="99"/>
    <w:qFormat/>
    <w:rPr>
      <w:lang w:val="en-US" w:eastAsia="zh-CN" w:bidi="ar-SA"/>
    </w:rPr>
    <w:tblPr/>
  </w:style>
  <w:style w:type="table" w:styleId="935" w:customStyle="1">
    <w:name w:val="Grid Table 2 - Accent 1"/>
    <w:uiPriority w:val="99"/>
    <w:qFormat/>
    <w:rPr>
      <w:lang w:val="en-US" w:eastAsia="zh-CN" w:bidi="ar-SA"/>
    </w:rPr>
    <w:tblPr/>
  </w:style>
  <w:style w:type="table" w:styleId="936" w:customStyle="1">
    <w:name w:val="Grid Table 2 - Accent 2"/>
    <w:uiPriority w:val="99"/>
    <w:qFormat/>
    <w:rPr>
      <w:lang w:val="en-US" w:eastAsia="zh-CN" w:bidi="ar-SA"/>
    </w:rPr>
    <w:tblPr/>
  </w:style>
  <w:style w:type="table" w:styleId="937" w:customStyle="1">
    <w:name w:val="Grid Table 2 - Accent 3"/>
    <w:uiPriority w:val="99"/>
    <w:qFormat/>
    <w:rPr>
      <w:lang w:val="en-US" w:eastAsia="zh-CN" w:bidi="ar-SA"/>
    </w:rPr>
    <w:tblPr/>
  </w:style>
  <w:style w:type="table" w:styleId="938" w:customStyle="1">
    <w:name w:val="Grid Table 2 - Accent 4"/>
    <w:uiPriority w:val="99"/>
    <w:qFormat/>
    <w:rPr>
      <w:lang w:val="en-US" w:eastAsia="zh-CN" w:bidi="ar-SA"/>
    </w:rPr>
    <w:tblPr/>
  </w:style>
  <w:style w:type="table" w:styleId="939" w:customStyle="1">
    <w:name w:val="Grid Table 2 - Accent 5"/>
    <w:uiPriority w:val="99"/>
    <w:qFormat/>
    <w:rPr>
      <w:lang w:val="en-US" w:eastAsia="zh-CN" w:bidi="ar-SA"/>
    </w:rPr>
    <w:tblPr/>
  </w:style>
  <w:style w:type="table" w:styleId="940" w:customStyle="1">
    <w:name w:val="Grid Table 2 - Accent 6"/>
    <w:uiPriority w:val="99"/>
    <w:qFormat/>
    <w:rPr>
      <w:lang w:val="en-US" w:eastAsia="zh-CN" w:bidi="ar-SA"/>
    </w:rPr>
    <w:tblPr/>
  </w:style>
  <w:style w:type="table" w:styleId="941" w:customStyle="1">
    <w:name w:val="Grid Table 3"/>
    <w:uiPriority w:val="99"/>
    <w:qFormat/>
    <w:rPr>
      <w:lang w:val="en-US" w:eastAsia="zh-CN" w:bidi="ar-SA"/>
    </w:rPr>
    <w:tblPr/>
  </w:style>
  <w:style w:type="table" w:styleId="942" w:customStyle="1">
    <w:name w:val="Grid Table 3 - Accent 1"/>
    <w:uiPriority w:val="99"/>
    <w:qFormat/>
    <w:rPr>
      <w:lang w:val="en-US" w:eastAsia="zh-CN" w:bidi="ar-SA"/>
    </w:rPr>
    <w:tblPr/>
  </w:style>
  <w:style w:type="table" w:styleId="943" w:customStyle="1">
    <w:name w:val="Grid Table 3 - Accent 2"/>
    <w:uiPriority w:val="99"/>
    <w:qFormat/>
    <w:rPr>
      <w:lang w:val="en-US" w:eastAsia="zh-CN" w:bidi="ar-SA"/>
    </w:rPr>
    <w:tblPr/>
  </w:style>
  <w:style w:type="table" w:styleId="944" w:customStyle="1">
    <w:name w:val="Grid Table 3 - Accent 3"/>
    <w:uiPriority w:val="99"/>
    <w:qFormat/>
    <w:rPr>
      <w:lang w:val="en-US" w:eastAsia="zh-CN" w:bidi="ar-SA"/>
    </w:rPr>
    <w:tblPr/>
  </w:style>
  <w:style w:type="table" w:styleId="945" w:customStyle="1">
    <w:name w:val="Grid Table 3 - Accent 4"/>
    <w:uiPriority w:val="99"/>
    <w:qFormat/>
    <w:rPr>
      <w:lang w:val="en-US" w:eastAsia="zh-CN" w:bidi="ar-SA"/>
    </w:rPr>
    <w:tblPr/>
  </w:style>
  <w:style w:type="table" w:styleId="946" w:customStyle="1">
    <w:name w:val="Grid Table 3 - Accent 5"/>
    <w:uiPriority w:val="99"/>
    <w:qFormat/>
    <w:rPr>
      <w:lang w:val="en-US" w:eastAsia="zh-CN" w:bidi="ar-SA"/>
    </w:rPr>
    <w:tblPr/>
  </w:style>
  <w:style w:type="table" w:styleId="947" w:customStyle="1">
    <w:name w:val="Grid Table 3 - Accent 6"/>
    <w:uiPriority w:val="99"/>
    <w:qFormat/>
    <w:rPr>
      <w:lang w:val="en-US" w:eastAsia="zh-CN" w:bidi="ar-SA"/>
    </w:rPr>
    <w:tblPr/>
  </w:style>
  <w:style w:type="table" w:styleId="948" w:customStyle="1">
    <w:name w:val="Grid Table 4"/>
    <w:uiPriority w:val="59"/>
    <w:qFormat/>
    <w:rPr>
      <w:lang w:val="en-US" w:eastAsia="zh-CN" w:bidi="ar-SA"/>
    </w:rPr>
    <w:tblPr/>
  </w:style>
  <w:style w:type="table" w:styleId="949" w:customStyle="1">
    <w:name w:val="Grid Table 4 - Accent 1"/>
    <w:uiPriority w:val="59"/>
    <w:qFormat/>
    <w:rPr>
      <w:lang w:val="en-US" w:eastAsia="zh-CN" w:bidi="ar-SA"/>
    </w:rPr>
    <w:tblPr/>
  </w:style>
  <w:style w:type="table" w:styleId="950" w:customStyle="1">
    <w:name w:val="Grid Table 4 - Accent 2"/>
    <w:uiPriority w:val="59"/>
    <w:qFormat/>
    <w:rPr>
      <w:lang w:val="en-US" w:eastAsia="zh-CN" w:bidi="ar-SA"/>
    </w:rPr>
    <w:tblPr/>
  </w:style>
  <w:style w:type="table" w:styleId="951" w:customStyle="1">
    <w:name w:val="Grid Table 4 - Accent 3"/>
    <w:uiPriority w:val="59"/>
    <w:qFormat/>
    <w:rPr>
      <w:lang w:val="en-US" w:eastAsia="zh-CN" w:bidi="ar-SA"/>
    </w:rPr>
    <w:tblPr/>
  </w:style>
  <w:style w:type="table" w:styleId="952" w:customStyle="1">
    <w:name w:val="Grid Table 4 - Accent 4"/>
    <w:uiPriority w:val="59"/>
    <w:qFormat/>
    <w:rPr>
      <w:lang w:val="en-US" w:eastAsia="zh-CN" w:bidi="ar-SA"/>
    </w:rPr>
    <w:tblPr/>
  </w:style>
  <w:style w:type="table" w:styleId="953" w:customStyle="1">
    <w:name w:val="Grid Table 4 - Accent 5"/>
    <w:uiPriority w:val="59"/>
    <w:qFormat/>
    <w:rPr>
      <w:lang w:val="en-US" w:eastAsia="zh-CN" w:bidi="ar-SA"/>
    </w:rPr>
    <w:tblPr/>
  </w:style>
  <w:style w:type="table" w:styleId="954" w:customStyle="1">
    <w:name w:val="Grid Table 4 - Accent 6"/>
    <w:uiPriority w:val="59"/>
    <w:qFormat/>
    <w:rPr>
      <w:lang w:val="en-US" w:eastAsia="zh-CN" w:bidi="ar-SA"/>
    </w:rPr>
    <w:tblPr/>
  </w:style>
  <w:style w:type="table" w:styleId="955" w:customStyle="1">
    <w:name w:val="Grid Table 5 Dark"/>
    <w:uiPriority w:val="99"/>
    <w:qFormat/>
    <w:rPr>
      <w:lang w:val="en-US" w:eastAsia="zh-CN" w:bidi="ar-SA"/>
    </w:rPr>
    <w:tblPr/>
  </w:style>
  <w:style w:type="table" w:styleId="956" w:customStyle="1">
    <w:name w:val="Grid Table 5 Dark- Accent 1"/>
    <w:uiPriority w:val="99"/>
    <w:qFormat/>
    <w:rPr>
      <w:lang w:val="en-US" w:eastAsia="zh-CN" w:bidi="ar-SA"/>
    </w:rPr>
    <w:tblPr/>
  </w:style>
  <w:style w:type="table" w:styleId="957" w:customStyle="1">
    <w:name w:val="Grid Table 5 Dark - Accent 2"/>
    <w:uiPriority w:val="99"/>
    <w:qFormat/>
    <w:rPr>
      <w:lang w:val="en-US" w:eastAsia="zh-CN" w:bidi="ar-SA"/>
    </w:rPr>
    <w:tblPr/>
  </w:style>
  <w:style w:type="table" w:styleId="958" w:customStyle="1">
    <w:name w:val="Grid Table 5 Dark - Accent 3"/>
    <w:uiPriority w:val="99"/>
    <w:qFormat/>
    <w:rPr>
      <w:lang w:val="en-US" w:eastAsia="zh-CN" w:bidi="ar-SA"/>
    </w:rPr>
    <w:tblPr/>
  </w:style>
  <w:style w:type="table" w:styleId="959" w:customStyle="1">
    <w:name w:val="Grid Table 5 Dark- Accent 4"/>
    <w:uiPriority w:val="99"/>
    <w:qFormat/>
    <w:rPr>
      <w:lang w:val="en-US" w:eastAsia="zh-CN" w:bidi="ar-SA"/>
    </w:rPr>
    <w:tblPr/>
  </w:style>
  <w:style w:type="table" w:styleId="960" w:customStyle="1">
    <w:name w:val="Grid Table 5 Dark - Accent 5"/>
    <w:uiPriority w:val="99"/>
    <w:qFormat/>
    <w:rPr>
      <w:lang w:val="en-US" w:eastAsia="zh-CN" w:bidi="ar-SA"/>
    </w:rPr>
    <w:tblPr/>
  </w:style>
  <w:style w:type="table" w:styleId="961" w:customStyle="1">
    <w:name w:val="Grid Table 5 Dark - Accent 6"/>
    <w:uiPriority w:val="99"/>
    <w:qFormat/>
    <w:rPr>
      <w:lang w:val="en-US" w:eastAsia="zh-CN" w:bidi="ar-SA"/>
    </w:rPr>
    <w:tblPr/>
  </w:style>
  <w:style w:type="table" w:styleId="962" w:customStyle="1">
    <w:name w:val="Grid Table 6 Colorful"/>
    <w:uiPriority w:val="99"/>
    <w:qFormat/>
    <w:rPr>
      <w:lang w:val="en-US" w:eastAsia="zh-CN" w:bidi="ar-SA"/>
    </w:rPr>
    <w:tblPr/>
  </w:style>
  <w:style w:type="table" w:styleId="963" w:customStyle="1">
    <w:name w:val="Grid Table 6 Colorful - Accent 1"/>
    <w:uiPriority w:val="99"/>
    <w:qFormat/>
    <w:rPr>
      <w:lang w:val="en-US" w:eastAsia="zh-CN" w:bidi="ar-SA"/>
    </w:rPr>
    <w:tblPr/>
  </w:style>
  <w:style w:type="table" w:styleId="964" w:customStyle="1">
    <w:name w:val="Grid Table 6 Colorful - Accent 2"/>
    <w:uiPriority w:val="99"/>
    <w:qFormat/>
    <w:rPr>
      <w:lang w:val="en-US" w:eastAsia="zh-CN" w:bidi="ar-SA"/>
    </w:rPr>
    <w:tblPr/>
  </w:style>
  <w:style w:type="table" w:styleId="965" w:customStyle="1">
    <w:name w:val="Grid Table 6 Colorful - Accent 3"/>
    <w:uiPriority w:val="99"/>
    <w:qFormat/>
    <w:rPr>
      <w:lang w:val="en-US" w:eastAsia="zh-CN" w:bidi="ar-SA"/>
    </w:rPr>
    <w:tblPr/>
  </w:style>
  <w:style w:type="table" w:styleId="966" w:customStyle="1">
    <w:name w:val="Grid Table 6 Colorful - Accent 4"/>
    <w:uiPriority w:val="99"/>
    <w:qFormat/>
    <w:rPr>
      <w:lang w:val="en-US" w:eastAsia="zh-CN" w:bidi="ar-SA"/>
    </w:rPr>
    <w:tblPr/>
  </w:style>
  <w:style w:type="table" w:styleId="967" w:customStyle="1">
    <w:name w:val="Grid Table 6 Colorful - Accent 5"/>
    <w:uiPriority w:val="99"/>
    <w:qFormat/>
    <w:rPr>
      <w:lang w:val="en-US" w:eastAsia="zh-CN" w:bidi="ar-SA"/>
    </w:rPr>
    <w:tblPr/>
  </w:style>
  <w:style w:type="table" w:styleId="968" w:customStyle="1">
    <w:name w:val="Grid Table 6 Colorful - Accent 6"/>
    <w:uiPriority w:val="99"/>
    <w:qFormat/>
    <w:rPr>
      <w:lang w:val="en-US" w:eastAsia="zh-CN" w:bidi="ar-SA"/>
    </w:rPr>
    <w:tblPr/>
  </w:style>
  <w:style w:type="table" w:styleId="969" w:customStyle="1">
    <w:name w:val="Grid Table 7 Colorful"/>
    <w:uiPriority w:val="99"/>
    <w:qFormat/>
    <w:rPr>
      <w:lang w:val="en-US" w:eastAsia="zh-CN" w:bidi="ar-SA"/>
    </w:rPr>
    <w:tblPr/>
  </w:style>
  <w:style w:type="table" w:styleId="970" w:customStyle="1">
    <w:name w:val="Grid Table 7 Colorful - Accent 1"/>
    <w:uiPriority w:val="99"/>
    <w:qFormat/>
    <w:rPr>
      <w:lang w:val="en-US" w:eastAsia="zh-CN" w:bidi="ar-SA"/>
    </w:rPr>
    <w:tblPr/>
  </w:style>
  <w:style w:type="table" w:styleId="971" w:customStyle="1">
    <w:name w:val="Grid Table 7 Colorful - Accent 2"/>
    <w:uiPriority w:val="99"/>
    <w:qFormat/>
    <w:rPr>
      <w:lang w:val="en-US" w:eastAsia="zh-CN" w:bidi="ar-SA"/>
    </w:rPr>
    <w:tblPr/>
  </w:style>
  <w:style w:type="table" w:styleId="972" w:customStyle="1">
    <w:name w:val="Grid Table 7 Colorful - Accent 3"/>
    <w:uiPriority w:val="99"/>
    <w:qFormat/>
    <w:rPr>
      <w:lang w:val="en-US" w:eastAsia="zh-CN" w:bidi="ar-SA"/>
    </w:rPr>
    <w:tblPr/>
  </w:style>
  <w:style w:type="table" w:styleId="973" w:customStyle="1">
    <w:name w:val="Grid Table 7 Colorful - Accent 4"/>
    <w:uiPriority w:val="99"/>
    <w:qFormat/>
    <w:rPr>
      <w:lang w:val="en-US" w:eastAsia="zh-CN" w:bidi="ar-SA"/>
    </w:rPr>
    <w:tblPr/>
  </w:style>
  <w:style w:type="table" w:styleId="974" w:customStyle="1">
    <w:name w:val="Grid Table 7 Colorful - Accent 5"/>
    <w:uiPriority w:val="99"/>
    <w:qFormat/>
    <w:rPr>
      <w:lang w:val="en-US" w:eastAsia="zh-CN" w:bidi="ar-SA"/>
    </w:rPr>
    <w:tblPr/>
  </w:style>
  <w:style w:type="table" w:styleId="975" w:customStyle="1">
    <w:name w:val="Grid Table 7 Colorful - Accent 6"/>
    <w:uiPriority w:val="99"/>
    <w:qFormat/>
    <w:rPr>
      <w:lang w:val="en-US" w:eastAsia="zh-CN" w:bidi="ar-SA"/>
    </w:rPr>
    <w:tblPr/>
  </w:style>
  <w:style w:type="table" w:styleId="976" w:customStyle="1">
    <w:name w:val="List Table 1 Light"/>
    <w:uiPriority w:val="99"/>
    <w:qFormat/>
    <w:rPr>
      <w:lang w:val="en-US" w:eastAsia="zh-CN" w:bidi="ar-SA"/>
    </w:rPr>
    <w:tblPr/>
  </w:style>
  <w:style w:type="table" w:styleId="977" w:customStyle="1">
    <w:name w:val="List Table 1 Light - Accent 1"/>
    <w:uiPriority w:val="99"/>
    <w:qFormat/>
    <w:rPr>
      <w:lang w:val="en-US" w:eastAsia="zh-CN" w:bidi="ar-SA"/>
    </w:rPr>
    <w:tblPr/>
  </w:style>
  <w:style w:type="table" w:styleId="978" w:customStyle="1">
    <w:name w:val="List Table 1 Light - Accent 2"/>
    <w:uiPriority w:val="99"/>
    <w:qFormat/>
    <w:rPr>
      <w:lang w:val="en-US" w:eastAsia="zh-CN" w:bidi="ar-SA"/>
    </w:rPr>
    <w:tblPr/>
  </w:style>
  <w:style w:type="table" w:styleId="979" w:customStyle="1">
    <w:name w:val="List Table 1 Light - Accent 3"/>
    <w:uiPriority w:val="99"/>
    <w:qFormat/>
    <w:rPr>
      <w:lang w:val="en-US" w:eastAsia="zh-CN" w:bidi="ar-SA"/>
    </w:rPr>
    <w:tblPr/>
  </w:style>
  <w:style w:type="table" w:styleId="980" w:customStyle="1">
    <w:name w:val="List Table 1 Light - Accent 4"/>
    <w:uiPriority w:val="99"/>
    <w:qFormat/>
    <w:rPr>
      <w:lang w:val="en-US" w:eastAsia="zh-CN" w:bidi="ar-SA"/>
    </w:rPr>
    <w:tblPr/>
  </w:style>
  <w:style w:type="table" w:styleId="981" w:customStyle="1">
    <w:name w:val="List Table 1 Light - Accent 5"/>
    <w:uiPriority w:val="99"/>
    <w:qFormat/>
    <w:rPr>
      <w:lang w:val="en-US" w:eastAsia="zh-CN" w:bidi="ar-SA"/>
    </w:rPr>
    <w:tblPr/>
  </w:style>
  <w:style w:type="table" w:styleId="982" w:customStyle="1">
    <w:name w:val="List Table 1 Light - Accent 6"/>
    <w:uiPriority w:val="99"/>
    <w:qFormat/>
    <w:rPr>
      <w:lang w:val="en-US" w:eastAsia="zh-CN" w:bidi="ar-SA"/>
    </w:rPr>
    <w:tblPr/>
  </w:style>
  <w:style w:type="table" w:styleId="983" w:customStyle="1">
    <w:name w:val="List Table 2"/>
    <w:uiPriority w:val="99"/>
    <w:qFormat/>
    <w:rPr>
      <w:lang w:val="en-US" w:eastAsia="zh-CN" w:bidi="ar-SA"/>
    </w:rPr>
    <w:tblPr/>
  </w:style>
  <w:style w:type="table" w:styleId="984" w:customStyle="1">
    <w:name w:val="List Table 2 - Accent 1"/>
    <w:uiPriority w:val="99"/>
    <w:qFormat/>
    <w:rPr>
      <w:lang w:val="en-US" w:eastAsia="zh-CN" w:bidi="ar-SA"/>
    </w:rPr>
    <w:tblPr/>
  </w:style>
  <w:style w:type="table" w:styleId="985" w:customStyle="1">
    <w:name w:val="List Table 2 - Accent 2"/>
    <w:uiPriority w:val="99"/>
    <w:qFormat/>
    <w:rPr>
      <w:lang w:val="en-US" w:eastAsia="zh-CN" w:bidi="ar-SA"/>
    </w:rPr>
    <w:tblPr/>
  </w:style>
  <w:style w:type="table" w:styleId="986" w:customStyle="1">
    <w:name w:val="List Table 2 - Accent 3"/>
    <w:uiPriority w:val="99"/>
    <w:qFormat/>
    <w:rPr>
      <w:lang w:val="en-US" w:eastAsia="zh-CN" w:bidi="ar-SA"/>
    </w:rPr>
    <w:tblPr/>
  </w:style>
  <w:style w:type="table" w:styleId="987" w:customStyle="1">
    <w:name w:val="List Table 2 - Accent 4"/>
    <w:uiPriority w:val="99"/>
    <w:qFormat/>
    <w:rPr>
      <w:lang w:val="en-US" w:eastAsia="zh-CN" w:bidi="ar-SA"/>
    </w:rPr>
    <w:tblPr/>
  </w:style>
  <w:style w:type="table" w:styleId="988" w:customStyle="1">
    <w:name w:val="List Table 2 - Accent 5"/>
    <w:uiPriority w:val="99"/>
    <w:qFormat/>
    <w:rPr>
      <w:lang w:val="en-US" w:eastAsia="zh-CN" w:bidi="ar-SA"/>
    </w:rPr>
    <w:tblPr/>
  </w:style>
  <w:style w:type="table" w:styleId="989" w:customStyle="1">
    <w:name w:val="List Table 2 - Accent 6"/>
    <w:uiPriority w:val="99"/>
    <w:qFormat/>
    <w:rPr>
      <w:lang w:val="en-US" w:eastAsia="zh-CN" w:bidi="ar-SA"/>
    </w:rPr>
    <w:tblPr/>
  </w:style>
  <w:style w:type="table" w:styleId="990" w:customStyle="1">
    <w:name w:val="List Table 3"/>
    <w:uiPriority w:val="99"/>
    <w:qFormat/>
    <w:rPr>
      <w:lang w:val="en-US" w:eastAsia="zh-CN" w:bidi="ar-SA"/>
    </w:rPr>
    <w:tblPr/>
  </w:style>
  <w:style w:type="table" w:styleId="991" w:customStyle="1">
    <w:name w:val="List Table 3 - Accent 1"/>
    <w:uiPriority w:val="99"/>
    <w:qFormat/>
    <w:rPr>
      <w:lang w:val="en-US" w:eastAsia="zh-CN" w:bidi="ar-SA"/>
    </w:rPr>
    <w:tblPr/>
  </w:style>
  <w:style w:type="table" w:styleId="992" w:customStyle="1">
    <w:name w:val="List Table 3 - Accent 2"/>
    <w:uiPriority w:val="99"/>
    <w:qFormat/>
    <w:rPr>
      <w:lang w:val="en-US" w:eastAsia="zh-CN" w:bidi="ar-SA"/>
    </w:rPr>
    <w:tblPr/>
  </w:style>
  <w:style w:type="table" w:styleId="993" w:customStyle="1">
    <w:name w:val="List Table 3 - Accent 3"/>
    <w:uiPriority w:val="99"/>
    <w:qFormat/>
    <w:rPr>
      <w:lang w:val="en-US" w:eastAsia="zh-CN" w:bidi="ar-SA"/>
    </w:rPr>
    <w:tblPr/>
  </w:style>
  <w:style w:type="table" w:styleId="994" w:customStyle="1">
    <w:name w:val="List Table 3 - Accent 4"/>
    <w:uiPriority w:val="99"/>
    <w:qFormat/>
    <w:rPr>
      <w:lang w:val="en-US" w:eastAsia="zh-CN" w:bidi="ar-SA"/>
    </w:rPr>
    <w:tblPr/>
  </w:style>
  <w:style w:type="table" w:styleId="995" w:customStyle="1">
    <w:name w:val="List Table 3 - Accent 5"/>
    <w:uiPriority w:val="99"/>
    <w:qFormat/>
    <w:rPr>
      <w:lang w:val="en-US" w:eastAsia="zh-CN" w:bidi="ar-SA"/>
    </w:rPr>
    <w:tblPr/>
  </w:style>
  <w:style w:type="table" w:styleId="996" w:customStyle="1">
    <w:name w:val="List Table 3 - Accent 6"/>
    <w:uiPriority w:val="99"/>
    <w:qFormat/>
    <w:rPr>
      <w:lang w:val="en-US" w:eastAsia="zh-CN" w:bidi="ar-SA"/>
    </w:rPr>
    <w:tblPr/>
  </w:style>
  <w:style w:type="table" w:styleId="997" w:customStyle="1">
    <w:name w:val="List Table 4"/>
    <w:uiPriority w:val="99"/>
    <w:qFormat/>
    <w:rPr>
      <w:lang w:val="en-US" w:eastAsia="zh-CN" w:bidi="ar-SA"/>
    </w:rPr>
    <w:tblPr/>
  </w:style>
  <w:style w:type="table" w:styleId="998" w:customStyle="1">
    <w:name w:val="List Table 4 - Accent 1"/>
    <w:uiPriority w:val="99"/>
    <w:qFormat/>
    <w:rPr>
      <w:lang w:val="en-US" w:eastAsia="zh-CN" w:bidi="ar-SA"/>
    </w:rPr>
    <w:tblPr/>
  </w:style>
  <w:style w:type="table" w:styleId="999" w:customStyle="1">
    <w:name w:val="List Table 4 - Accent 2"/>
    <w:uiPriority w:val="99"/>
    <w:qFormat/>
    <w:rPr>
      <w:lang w:val="en-US" w:eastAsia="zh-CN" w:bidi="ar-SA"/>
    </w:rPr>
    <w:tblPr/>
  </w:style>
  <w:style w:type="table" w:styleId="1000" w:customStyle="1">
    <w:name w:val="List Table 4 - Accent 3"/>
    <w:uiPriority w:val="99"/>
    <w:qFormat/>
    <w:rPr>
      <w:lang w:val="en-US" w:eastAsia="zh-CN" w:bidi="ar-SA"/>
    </w:rPr>
    <w:tblPr/>
  </w:style>
  <w:style w:type="table" w:styleId="1001" w:customStyle="1">
    <w:name w:val="List Table 4 - Accent 4"/>
    <w:uiPriority w:val="99"/>
    <w:qFormat/>
    <w:rPr>
      <w:lang w:val="en-US" w:eastAsia="zh-CN" w:bidi="ar-SA"/>
    </w:rPr>
    <w:tblPr/>
  </w:style>
  <w:style w:type="table" w:styleId="1002" w:customStyle="1">
    <w:name w:val="List Table 4 - Accent 5"/>
    <w:uiPriority w:val="99"/>
    <w:qFormat/>
    <w:rPr>
      <w:lang w:val="en-US" w:eastAsia="zh-CN" w:bidi="ar-SA"/>
    </w:rPr>
    <w:tblPr/>
  </w:style>
  <w:style w:type="table" w:styleId="1003" w:customStyle="1">
    <w:name w:val="List Table 4 - Accent 6"/>
    <w:uiPriority w:val="99"/>
    <w:qFormat/>
    <w:rPr>
      <w:lang w:val="en-US" w:eastAsia="zh-CN" w:bidi="ar-SA"/>
    </w:rPr>
    <w:tblPr/>
  </w:style>
  <w:style w:type="table" w:styleId="1004" w:customStyle="1">
    <w:name w:val="List Table 5 Dark"/>
    <w:uiPriority w:val="99"/>
    <w:qFormat/>
    <w:rPr>
      <w:lang w:val="en-US" w:eastAsia="zh-CN" w:bidi="ar-SA"/>
    </w:rPr>
    <w:tblPr/>
  </w:style>
  <w:style w:type="table" w:styleId="1005" w:customStyle="1">
    <w:name w:val="List Table 5 Dark - Accent 1"/>
    <w:uiPriority w:val="99"/>
    <w:qFormat/>
    <w:rPr>
      <w:lang w:val="en-US" w:eastAsia="zh-CN" w:bidi="ar-SA"/>
    </w:rPr>
    <w:tblPr/>
  </w:style>
  <w:style w:type="table" w:styleId="1006" w:customStyle="1">
    <w:name w:val="List Table 5 Dark - Accent 2"/>
    <w:uiPriority w:val="99"/>
    <w:qFormat/>
    <w:rPr>
      <w:lang w:val="en-US" w:eastAsia="zh-CN" w:bidi="ar-SA"/>
    </w:rPr>
    <w:tblPr/>
  </w:style>
  <w:style w:type="table" w:styleId="1007" w:customStyle="1">
    <w:name w:val="List Table 5 Dark - Accent 3"/>
    <w:uiPriority w:val="99"/>
    <w:qFormat/>
    <w:rPr>
      <w:lang w:val="en-US" w:eastAsia="zh-CN" w:bidi="ar-SA"/>
    </w:rPr>
    <w:tblPr/>
  </w:style>
  <w:style w:type="table" w:styleId="1008" w:customStyle="1">
    <w:name w:val="List Table 5 Dark - Accent 4"/>
    <w:uiPriority w:val="99"/>
    <w:qFormat/>
    <w:rPr>
      <w:lang w:val="en-US" w:eastAsia="zh-CN" w:bidi="ar-SA"/>
    </w:rPr>
    <w:tblPr/>
  </w:style>
  <w:style w:type="table" w:styleId="1009" w:customStyle="1">
    <w:name w:val="List Table 5 Dark - Accent 5"/>
    <w:uiPriority w:val="99"/>
    <w:qFormat/>
    <w:rPr>
      <w:lang w:val="en-US" w:eastAsia="zh-CN" w:bidi="ar-SA"/>
    </w:rPr>
    <w:tblPr/>
  </w:style>
  <w:style w:type="table" w:styleId="1010" w:customStyle="1">
    <w:name w:val="List Table 5 Dark - Accent 6"/>
    <w:uiPriority w:val="99"/>
    <w:qFormat/>
    <w:rPr>
      <w:lang w:val="en-US" w:eastAsia="zh-CN" w:bidi="ar-SA"/>
    </w:rPr>
    <w:tblPr/>
  </w:style>
  <w:style w:type="table" w:styleId="1011" w:customStyle="1">
    <w:name w:val="List Table 6 Colorful"/>
    <w:uiPriority w:val="99"/>
    <w:qFormat/>
    <w:rPr>
      <w:lang w:val="en-US" w:eastAsia="zh-CN" w:bidi="ar-SA"/>
    </w:rPr>
    <w:tblPr/>
  </w:style>
  <w:style w:type="table" w:styleId="1012" w:customStyle="1">
    <w:name w:val="List Table 6 Colorful - Accent 1"/>
    <w:uiPriority w:val="99"/>
    <w:qFormat/>
    <w:rPr>
      <w:lang w:val="en-US" w:eastAsia="zh-CN" w:bidi="ar-SA"/>
    </w:rPr>
    <w:tblPr/>
  </w:style>
  <w:style w:type="table" w:styleId="1013" w:customStyle="1">
    <w:name w:val="List Table 6 Colorful - Accent 2"/>
    <w:uiPriority w:val="99"/>
    <w:qFormat/>
    <w:rPr>
      <w:lang w:val="en-US" w:eastAsia="zh-CN" w:bidi="ar-SA"/>
    </w:rPr>
    <w:tblPr/>
  </w:style>
  <w:style w:type="table" w:styleId="1014" w:customStyle="1">
    <w:name w:val="List Table 6 Colorful - Accent 3"/>
    <w:uiPriority w:val="99"/>
    <w:qFormat/>
    <w:rPr>
      <w:lang w:val="en-US" w:eastAsia="zh-CN" w:bidi="ar-SA"/>
    </w:rPr>
    <w:tblPr/>
  </w:style>
  <w:style w:type="table" w:styleId="1015" w:customStyle="1">
    <w:name w:val="List Table 6 Colorful - Accent 4"/>
    <w:uiPriority w:val="99"/>
    <w:qFormat/>
    <w:rPr>
      <w:lang w:val="en-US" w:eastAsia="zh-CN" w:bidi="ar-SA"/>
    </w:rPr>
    <w:tblPr/>
  </w:style>
  <w:style w:type="table" w:styleId="1016" w:customStyle="1">
    <w:name w:val="List Table 6 Colorful - Accent 5"/>
    <w:uiPriority w:val="99"/>
    <w:qFormat/>
    <w:rPr>
      <w:lang w:val="en-US" w:eastAsia="zh-CN" w:bidi="ar-SA"/>
    </w:rPr>
    <w:tblPr/>
  </w:style>
  <w:style w:type="table" w:styleId="1017" w:customStyle="1">
    <w:name w:val="List Table 6 Colorful - Accent 6"/>
    <w:uiPriority w:val="99"/>
    <w:qFormat/>
    <w:rPr>
      <w:lang w:val="en-US" w:eastAsia="zh-CN" w:bidi="ar-SA"/>
    </w:rPr>
    <w:tblPr/>
  </w:style>
  <w:style w:type="table" w:styleId="1018" w:customStyle="1">
    <w:name w:val="List Table 7 Colorful"/>
    <w:uiPriority w:val="99"/>
    <w:qFormat/>
    <w:rPr>
      <w:lang w:val="en-US" w:eastAsia="zh-CN" w:bidi="ar-SA"/>
    </w:rPr>
    <w:tblPr/>
  </w:style>
  <w:style w:type="table" w:styleId="1019" w:customStyle="1">
    <w:name w:val="List Table 7 Colorful - Accent 1"/>
    <w:uiPriority w:val="99"/>
    <w:qFormat/>
    <w:rPr>
      <w:lang w:val="en-US" w:eastAsia="zh-CN" w:bidi="ar-SA"/>
    </w:rPr>
    <w:tblPr/>
  </w:style>
  <w:style w:type="table" w:styleId="1020" w:customStyle="1">
    <w:name w:val="List Table 7 Colorful - Accent 2"/>
    <w:uiPriority w:val="99"/>
    <w:qFormat/>
    <w:rPr>
      <w:lang w:val="en-US" w:eastAsia="zh-CN" w:bidi="ar-SA"/>
    </w:rPr>
    <w:tblPr/>
  </w:style>
  <w:style w:type="table" w:styleId="1021" w:customStyle="1">
    <w:name w:val="List Table 7 Colorful - Accent 3"/>
    <w:uiPriority w:val="99"/>
    <w:qFormat/>
    <w:rPr>
      <w:lang w:val="en-US" w:eastAsia="zh-CN" w:bidi="ar-SA"/>
    </w:rPr>
    <w:tblPr/>
  </w:style>
  <w:style w:type="table" w:styleId="1022" w:customStyle="1">
    <w:name w:val="List Table 7 Colorful - Accent 4"/>
    <w:uiPriority w:val="99"/>
    <w:qFormat/>
    <w:rPr>
      <w:lang w:val="en-US" w:eastAsia="zh-CN" w:bidi="ar-SA"/>
    </w:rPr>
    <w:tblPr/>
  </w:style>
  <w:style w:type="table" w:styleId="1023" w:customStyle="1">
    <w:name w:val="List Table 7 Colorful - Accent 5"/>
    <w:uiPriority w:val="99"/>
    <w:qFormat/>
    <w:rPr>
      <w:lang w:val="en-US" w:eastAsia="zh-CN" w:bidi="ar-SA"/>
    </w:rPr>
    <w:tblPr/>
  </w:style>
  <w:style w:type="table" w:styleId="1024" w:customStyle="1">
    <w:name w:val="List Table 7 Colorful - Accent 6"/>
    <w:uiPriority w:val="99"/>
    <w:qFormat/>
    <w:rPr>
      <w:lang w:val="en-US" w:eastAsia="zh-CN" w:bidi="ar-SA"/>
    </w:rPr>
    <w:tblPr/>
  </w:style>
  <w:style w:type="table" w:styleId="1025" w:customStyle="1">
    <w:name w:val="Lined - Accent"/>
    <w:uiPriority w:val="99"/>
    <w:qFormat/>
    <w:rPr>
      <w:color w:val="404040"/>
      <w:lang w:val="en-US" w:eastAsia="zh-CN" w:bidi="ar-SA"/>
    </w:rPr>
    <w:tblPr/>
  </w:style>
  <w:style w:type="table" w:styleId="1026" w:customStyle="1">
    <w:name w:val="Lined - Accent 1"/>
    <w:uiPriority w:val="99"/>
    <w:qFormat/>
    <w:rPr>
      <w:color w:val="404040"/>
      <w:lang w:val="en-US" w:eastAsia="zh-CN" w:bidi="ar-SA"/>
    </w:rPr>
    <w:tblPr/>
  </w:style>
  <w:style w:type="table" w:styleId="1027" w:customStyle="1">
    <w:name w:val="Lined - Accent 2"/>
    <w:uiPriority w:val="99"/>
    <w:qFormat/>
    <w:rPr>
      <w:color w:val="404040"/>
      <w:lang w:val="en-US" w:eastAsia="zh-CN" w:bidi="ar-SA"/>
    </w:rPr>
    <w:tblPr/>
  </w:style>
  <w:style w:type="table" w:styleId="1028" w:customStyle="1">
    <w:name w:val="Lined - Accent 3"/>
    <w:uiPriority w:val="99"/>
    <w:qFormat/>
    <w:rPr>
      <w:color w:val="404040"/>
      <w:lang w:val="en-US" w:eastAsia="zh-CN" w:bidi="ar-SA"/>
    </w:rPr>
    <w:tblPr/>
  </w:style>
  <w:style w:type="table" w:styleId="1029" w:customStyle="1">
    <w:name w:val="Lined - Accent 4"/>
    <w:uiPriority w:val="99"/>
    <w:qFormat/>
    <w:rPr>
      <w:color w:val="404040"/>
      <w:lang w:val="en-US" w:eastAsia="zh-CN" w:bidi="ar-SA"/>
    </w:rPr>
    <w:tblPr/>
  </w:style>
  <w:style w:type="table" w:styleId="1030" w:customStyle="1">
    <w:name w:val="Lined - Accent 5"/>
    <w:uiPriority w:val="99"/>
    <w:qFormat/>
    <w:rPr>
      <w:color w:val="404040"/>
      <w:lang w:val="en-US" w:eastAsia="zh-CN" w:bidi="ar-SA"/>
    </w:rPr>
    <w:tblPr/>
  </w:style>
  <w:style w:type="table" w:styleId="1031" w:customStyle="1">
    <w:name w:val="Lined - Accent 6"/>
    <w:uiPriority w:val="99"/>
    <w:qFormat/>
    <w:rPr>
      <w:color w:val="404040"/>
      <w:lang w:val="en-US" w:eastAsia="zh-CN" w:bidi="ar-SA"/>
    </w:rPr>
    <w:tblPr/>
  </w:style>
  <w:style w:type="table" w:styleId="1032" w:customStyle="1">
    <w:name w:val="Bordered &amp; Lined - Accent"/>
    <w:uiPriority w:val="99"/>
    <w:qFormat/>
    <w:rPr>
      <w:color w:val="404040"/>
      <w:lang w:val="en-US" w:eastAsia="zh-CN" w:bidi="ar-SA"/>
    </w:rPr>
    <w:tblPr/>
  </w:style>
  <w:style w:type="table" w:styleId="1033" w:customStyle="1">
    <w:name w:val="Bordered &amp; Lined - Accent 1"/>
    <w:uiPriority w:val="99"/>
    <w:qFormat/>
    <w:rPr>
      <w:color w:val="404040"/>
      <w:lang w:val="en-US" w:eastAsia="zh-CN" w:bidi="ar-SA"/>
    </w:rPr>
    <w:tblPr/>
  </w:style>
  <w:style w:type="table" w:styleId="1034" w:customStyle="1">
    <w:name w:val="Bordered &amp; Lined - Accent 2"/>
    <w:uiPriority w:val="99"/>
    <w:qFormat/>
    <w:rPr>
      <w:color w:val="404040"/>
      <w:lang w:val="en-US" w:eastAsia="zh-CN" w:bidi="ar-SA"/>
    </w:rPr>
    <w:tblPr/>
  </w:style>
  <w:style w:type="table" w:styleId="1035" w:customStyle="1">
    <w:name w:val="Bordered &amp; Lined - Accent 3"/>
    <w:uiPriority w:val="99"/>
    <w:qFormat/>
    <w:rPr>
      <w:color w:val="404040"/>
      <w:lang w:val="en-US" w:eastAsia="zh-CN" w:bidi="ar-SA"/>
    </w:rPr>
    <w:tblPr/>
  </w:style>
  <w:style w:type="table" w:styleId="1036" w:customStyle="1">
    <w:name w:val="Bordered &amp; Lined - Accent 4"/>
    <w:uiPriority w:val="99"/>
    <w:qFormat/>
    <w:rPr>
      <w:color w:val="404040"/>
      <w:lang w:val="en-US" w:eastAsia="zh-CN" w:bidi="ar-SA"/>
    </w:rPr>
    <w:tblPr/>
  </w:style>
  <w:style w:type="table" w:styleId="1037" w:customStyle="1">
    <w:name w:val="Bordered &amp; Lined - Accent 5"/>
    <w:uiPriority w:val="99"/>
    <w:qFormat/>
    <w:rPr>
      <w:color w:val="404040"/>
      <w:lang w:val="en-US" w:eastAsia="zh-CN" w:bidi="ar-SA"/>
    </w:rPr>
    <w:tblPr/>
  </w:style>
  <w:style w:type="table" w:styleId="1038" w:customStyle="1">
    <w:name w:val="Bordered &amp; Lined - Accent 6"/>
    <w:uiPriority w:val="99"/>
    <w:qFormat/>
    <w:rPr>
      <w:color w:val="404040"/>
      <w:lang w:val="en-US" w:eastAsia="zh-CN" w:bidi="ar-SA"/>
    </w:rPr>
    <w:tblPr/>
  </w:style>
  <w:style w:type="table" w:styleId="1039" w:customStyle="1">
    <w:name w:val="Bordered"/>
    <w:uiPriority w:val="99"/>
    <w:qFormat/>
    <w:rPr>
      <w:lang w:val="en-US" w:eastAsia="zh-CN" w:bidi="ar-SA"/>
    </w:rPr>
    <w:tblPr/>
  </w:style>
  <w:style w:type="table" w:styleId="1040" w:customStyle="1">
    <w:name w:val="Bordered - Accent 1"/>
    <w:uiPriority w:val="99"/>
    <w:qFormat/>
    <w:rPr>
      <w:lang w:val="en-US" w:eastAsia="zh-CN" w:bidi="ar-SA"/>
    </w:rPr>
    <w:tblPr/>
  </w:style>
  <w:style w:type="table" w:styleId="1041" w:customStyle="1">
    <w:name w:val="Bordered - Accent 2"/>
    <w:uiPriority w:val="99"/>
    <w:qFormat/>
    <w:rPr>
      <w:lang w:val="en-US" w:eastAsia="zh-CN" w:bidi="ar-SA"/>
    </w:rPr>
    <w:tblPr/>
  </w:style>
  <w:style w:type="table" w:styleId="1042" w:customStyle="1">
    <w:name w:val="Bordered - Accent 3"/>
    <w:uiPriority w:val="99"/>
    <w:qFormat/>
    <w:rPr>
      <w:lang w:val="en-US" w:eastAsia="zh-CN" w:bidi="ar-SA"/>
    </w:rPr>
    <w:tblPr/>
  </w:style>
  <w:style w:type="table" w:styleId="1043" w:customStyle="1">
    <w:name w:val="Bordered - Accent 4"/>
    <w:uiPriority w:val="99"/>
    <w:qFormat/>
    <w:rPr>
      <w:lang w:val="en-US" w:eastAsia="zh-CN" w:bidi="ar-SA"/>
    </w:rPr>
    <w:tblPr/>
  </w:style>
  <w:style w:type="table" w:styleId="1044" w:customStyle="1">
    <w:name w:val="Bordered - Accent 5"/>
    <w:uiPriority w:val="99"/>
    <w:qFormat/>
    <w:rPr>
      <w:lang w:val="en-US" w:eastAsia="zh-CN" w:bidi="ar-SA"/>
    </w:rPr>
    <w:tblPr/>
  </w:style>
  <w:style w:type="table" w:styleId="1045" w:customStyle="1">
    <w:name w:val="Bordered - Accent 6"/>
    <w:uiPriority w:val="99"/>
    <w:qFormat/>
    <w:rPr>
      <w:lang w:val="en-US" w:eastAsia="zh-CN" w:bidi="ar-SA"/>
    </w:rPr>
    <w:tblPr/>
  </w:style>
  <w:style w:type="paragraph" w:styleId="1046" w:customStyle="1">
    <w:name w:val="TOC 标题2"/>
    <w:uiPriority w:val="39"/>
    <w:qFormat/>
    <w:rPr>
      <w:rFonts w:hint="default" w:ascii="Times New Roman" w:hAnsi="Times New Roman" w:eastAsia="宋体" w:cs="Times New Roman"/>
      <w:lang w:val="en-US" w:eastAsia="zh-CN" w:bidi="ar-SA"/>
    </w:rPr>
  </w:style>
  <w:style w:type="character" w:styleId="1047" w:customStyle="1">
    <w:name w:val="font5 Char"/>
    <w:link w:val="704"/>
    <w:uiPriority w:val="0"/>
    <w:qFormat/>
    <w:rPr>
      <w:rFonts w:ascii="宋体" w:hAnsi="宋体" w:eastAsia="宋体"/>
      <w:sz w:val="28"/>
      <w:szCs w:val="28"/>
      <w:lang w:val="en-US" w:eastAsia="zh-CN" w:bidi="ar-SA"/>
    </w:rPr>
  </w:style>
  <w:style w:type="character" w:styleId="1048" w:customStyle="1">
    <w:name w:val="二级目录 Char"/>
    <w:link w:val="1049"/>
    <w:uiPriority w:val="0"/>
    <w:qFormat/>
    <w:rPr>
      <w:b/>
      <w:sz w:val="30"/>
      <w:szCs w:val="28"/>
      <w:lang w:val="en-US" w:eastAsia="zh-CN" w:bidi="ar-SA"/>
    </w:rPr>
  </w:style>
  <w:style w:type="paragraph" w:styleId="1049" w:customStyle="1">
    <w:name w:val="二级目录"/>
    <w:next w:val="704"/>
    <w:link w:val="104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0" w:customStyle="1">
    <w:name w:val="列出段落 Char"/>
    <w:link w:val="1051"/>
    <w:uiPriority w:val="0"/>
    <w:qFormat/>
    <w:rPr>
      <w:rFonts w:ascii="Calibri" w:hAnsi="Calibri"/>
      <w:sz w:val="24"/>
      <w:szCs w:val="24"/>
      <w:lang w:eastAsia="en-US" w:bidi="en-US"/>
    </w:rPr>
  </w:style>
  <w:style w:type="paragraph" w:styleId="1051" w:customStyle="1">
    <w:name w:val="列出段落11"/>
    <w:basedOn w:val="704"/>
    <w:link w:val="1050"/>
    <w:uiPriority w:val="0"/>
    <w:qFormat/>
    <w:pPr>
      <w:contextualSpacing/>
      <w:ind w:left="720"/>
      <w:jc w:val="left"/>
      <w:widowControl/>
    </w:pPr>
    <w:rPr>
      <w:rFonts w:ascii="Calibri" w:hAnsi="Calibri"/>
      <w:sz w:val="24"/>
      <w:szCs w:val="24"/>
      <w:lang w:eastAsia="en-US" w:bidi="en-US"/>
    </w:rPr>
  </w:style>
  <w:style w:type="paragraph" w:styleId="1052" w:customStyle="1">
    <w:name w:val="Body Text(ch)"/>
    <w:basedOn w:val="704"/>
    <w:next w:val="857"/>
    <w:uiPriority w:val="0"/>
    <w:qFormat/>
    <w:pPr>
      <w:spacing w:after="120"/>
    </w:pPr>
    <w:rPr>
      <w:rFonts w:ascii="宋体" w:hAnsi="Arial"/>
      <w:bCs/>
      <w:iCs/>
      <w:szCs w:val="24"/>
    </w:rPr>
  </w:style>
  <w:style w:type="paragraph" w:styleId="1053"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customStyle="1">
    <w:name w:val="Char"/>
    <w:basedOn w:val="704"/>
    <w:uiPriority w:val="0"/>
    <w:qFormat/>
    <w:pPr>
      <w:ind w:firstLine="200"/>
      <w:tabs>
        <w:tab w:val="left" w:pos="360" w:leader="none"/>
      </w:tabs>
    </w:pPr>
    <w:rPr>
      <w:sz w:val="28"/>
      <w:szCs w:val="30"/>
    </w:rPr>
  </w:style>
  <w:style w:type="paragraph" w:styleId="1056" w:customStyle="1">
    <w:name w:val="Char1"/>
    <w:basedOn w:val="851"/>
    <w:uiPriority w:val="0"/>
    <w:qFormat/>
    <w:rPr>
      <w:rFonts w:ascii="Tahoma" w:hAnsi="Tahoma"/>
      <w:sz w:val="24"/>
      <w:szCs w:val="24"/>
    </w:rPr>
  </w:style>
  <w:style w:type="paragraph" w:styleId="1057"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1058" w:customStyle="1">
    <w:name w:val="table_lines"/>
    <w:basedOn w:val="704"/>
    <w:uiPriority w:val="0"/>
    <w:qFormat/>
    <w:pPr>
      <w:jc w:val="left"/>
      <w:widowControl/>
    </w:pPr>
    <w:rPr>
      <w:sz w:val="20"/>
      <w:szCs w:val="20"/>
      <w:lang w:val="de-DE" w:eastAsia="de-DE"/>
    </w:rPr>
  </w:style>
  <w:style w:type="paragraph" w:styleId="105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0"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1061" w:customStyle="1">
    <w:name w:val="Char Char Char Char"/>
    <w:basedOn w:val="851"/>
    <w:uiPriority w:val="0"/>
    <w:qFormat/>
    <w:pPr>
      <w:spacing w:line="360" w:lineRule="auto"/>
    </w:pPr>
    <w:rPr>
      <w:rFonts w:ascii="Tahoma" w:hAnsi="Tahoma"/>
      <w:sz w:val="24"/>
      <w:szCs w:val="24"/>
    </w:rPr>
  </w:style>
  <w:style w:type="paragraph" w:styleId="1062" w:customStyle="1">
    <w:name w:val="4"/>
    <w:basedOn w:val="704"/>
    <w:next w:val="885"/>
    <w:uiPriority w:val="0"/>
    <w:qFormat/>
    <w:pPr>
      <w:ind w:firstLine="420"/>
      <w:spacing w:line="360" w:lineRule="auto"/>
    </w:pPr>
    <w:rPr>
      <w:color w:val="ff0000"/>
      <w:sz w:val="24"/>
      <w:szCs w:val="24"/>
    </w:rPr>
  </w:style>
  <w:style w:type="paragraph" w:styleId="1063"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1064" w:customStyle="1">
    <w:name w:val="Char Char Char Char Char Char Char Char Char Char"/>
    <w:basedOn w:val="704"/>
    <w:uiPriority w:val="0"/>
    <w:qFormat/>
    <w:pPr>
      <w:spacing w:line="360" w:lineRule="auto"/>
    </w:pPr>
    <w:rPr>
      <w:sz w:val="24"/>
      <w:szCs w:val="20"/>
    </w:rPr>
  </w:style>
  <w:style w:type="paragraph" w:styleId="1065" w:customStyle="1">
    <w:name w:val="样式1"/>
    <w:basedOn w:val="704"/>
    <w:uiPriority w:val="0"/>
    <w:qFormat/>
    <w:pPr>
      <w:numPr>
        <w:ilvl w:val="0"/>
        <w:numId w:val="3"/>
      </w:numPr>
    </w:pPr>
    <w:rPr>
      <w:rFonts w:ascii="宋体" w:hAnsi="宋体"/>
    </w:rPr>
  </w:style>
  <w:style w:type="paragraph" w:styleId="1066"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1067"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1070"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2"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73"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75"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76" w:customStyle="1">
    <w:name w:val="Char Char Char Char1"/>
    <w:basedOn w:val="851"/>
    <w:uiPriority w:val="0"/>
    <w:qFormat/>
    <w:pPr>
      <w:spacing w:line="360" w:lineRule="auto"/>
    </w:pPr>
    <w:rPr>
      <w:rFonts w:ascii="Tahoma" w:hAnsi="Tahoma"/>
      <w:sz w:val="24"/>
      <w:szCs w:val="24"/>
    </w:rPr>
  </w:style>
  <w:style w:type="paragraph" w:styleId="1077" w:customStyle="1">
    <w:name w:val="table_1stline"/>
    <w:basedOn w:val="704"/>
    <w:uiPriority w:val="0"/>
    <w:qFormat/>
    <w:pPr>
      <w:jc w:val="left"/>
      <w:spacing w:before="120"/>
      <w:widowControl/>
    </w:pPr>
    <w:rPr>
      <w:bCs/>
      <w:sz w:val="20"/>
      <w:szCs w:val="20"/>
      <w:lang w:val="de-DE" w:eastAsia="de-DE"/>
    </w:rPr>
  </w:style>
  <w:style w:type="paragraph" w:styleId="1078"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79"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1" w:customStyle="1">
    <w:name w:val="普通文字"/>
    <w:basedOn w:val="704"/>
    <w:next w:val="704"/>
    <w:uiPriority w:val="99"/>
    <w:qFormat/>
    <w:rPr>
      <w:rFonts w:ascii="宋体"/>
      <w:sz w:val="24"/>
      <w:szCs w:val="20"/>
    </w:rPr>
  </w:style>
  <w:style w:type="paragraph" w:styleId="1082" w:customStyle="1">
    <w:name w:val="目录 111"/>
    <w:basedOn w:val="704"/>
    <w:next w:val="704"/>
    <w:uiPriority w:val="39"/>
    <w:unhideWhenUsed/>
    <w:qFormat/>
    <w:pPr>
      <w:jc w:val="left"/>
      <w:spacing w:after="100" w:line="259" w:lineRule="auto"/>
      <w:widowControl/>
    </w:pPr>
    <w:rPr>
      <w:rFonts w:ascii="Calibri" w:hAnsi="Calibri"/>
      <w:sz w:val="22"/>
      <w:szCs w:val="22"/>
    </w:rPr>
  </w:style>
  <w:style w:type="paragraph" w:styleId="1083" w:customStyle="1">
    <w:name w:val="表格文字"/>
    <w:basedOn w:val="704"/>
    <w:uiPriority w:val="0"/>
    <w:qFormat/>
    <w:pPr>
      <w:jc w:val="center"/>
    </w:pPr>
    <w:rPr>
      <w:rFonts w:ascii="宋体" w:hAnsi="宋体" w:cs="宋体"/>
      <w:szCs w:val="20"/>
    </w:rPr>
  </w:style>
  <w:style w:type="paragraph" w:styleId="1084" w:customStyle="1">
    <w:name w:val="p0"/>
    <w:basedOn w:val="704"/>
    <w:uiPriority w:val="0"/>
    <w:qFormat/>
    <w:pPr>
      <w:jc w:val="left"/>
      <w:spacing w:before="100" w:beforeAutospacing="1" w:after="100" w:afterAutospacing="1"/>
      <w:widowControl/>
    </w:pPr>
    <w:rPr>
      <w:rFonts w:ascii="宋体" w:hAnsi="宋体" w:cs="宋体"/>
      <w:sz w:val="24"/>
      <w:szCs w:val="24"/>
    </w:rPr>
  </w:style>
  <w:style w:type="paragraph" w:styleId="1085" w:customStyle="1">
    <w:name w:val="普通(网站) New"/>
    <w:basedOn w:val="704"/>
    <w:uiPriority w:val="0"/>
    <w:qFormat/>
    <w:pPr>
      <w:jc w:val="left"/>
      <w:spacing w:before="100" w:beforeAutospacing="1" w:after="100" w:afterAutospacing="1"/>
      <w:widowControl/>
    </w:pPr>
    <w:rPr>
      <w:rFonts w:ascii="宋体" w:hAnsi="宋体" w:cs="宋体"/>
      <w:sz w:val="24"/>
      <w:szCs w:val="24"/>
    </w:rPr>
  </w:style>
  <w:style w:type="character" w:styleId="1086" w:customStyle="1">
    <w:name w:val="NormalCharacter1"/>
    <w:link w:val="704"/>
    <w:uiPriority w:val="0"/>
    <w:semiHidden/>
    <w:qFormat/>
  </w:style>
  <w:style w:type="character" w:styleId="1087" w:customStyle="1">
    <w:name w:val="font41"/>
    <w:link w:val="704"/>
    <w:uiPriority w:val="0"/>
    <w:qFormat/>
    <w:rPr>
      <w:rFonts w:hint="eastAsia" w:ascii="宋体" w:hAnsi="宋体" w:eastAsia="宋体" w:cs="宋体"/>
      <w:color w:val="000000"/>
      <w:sz w:val="20"/>
      <w:szCs w:val="20"/>
      <w:u w:val="none"/>
    </w:rPr>
  </w:style>
  <w:style w:type="character" w:styleId="1088" w:customStyle="1">
    <w:name w:val="font31"/>
    <w:link w:val="704"/>
    <w:uiPriority w:val="0"/>
    <w:qFormat/>
    <w:rPr>
      <w:rFonts w:hint="eastAsia" w:ascii="宋体" w:hAnsi="宋体" w:eastAsia="宋体" w:cs="宋体"/>
      <w:color w:val="000000"/>
      <w:sz w:val="20"/>
      <w:szCs w:val="20"/>
      <w:u w:val="none"/>
    </w:rPr>
  </w:style>
  <w:style w:type="character" w:styleId="1089" w:customStyle="1">
    <w:name w:val="font51"/>
    <w:link w:val="704"/>
    <w:uiPriority w:val="0"/>
    <w:qFormat/>
    <w:rPr>
      <w:rFonts w:hint="eastAsia" w:ascii="宋体" w:hAnsi="宋体" w:eastAsia="宋体" w:cs="宋体"/>
      <w:color w:val="000000"/>
      <w:sz w:val="21"/>
      <w:szCs w:val="21"/>
      <w:u w:val="none"/>
    </w:rPr>
  </w:style>
  <w:style w:type="character" w:styleId="1090" w:customStyle="1">
    <w:name w:val="font81"/>
    <w:link w:val="704"/>
    <w:uiPriority w:val="0"/>
    <w:qFormat/>
    <w:rPr>
      <w:rFonts w:hint="eastAsia" w:ascii="宋体" w:hAnsi="宋体" w:eastAsia="宋体" w:cs="宋体"/>
      <w:color w:val="000000"/>
      <w:sz w:val="18"/>
      <w:szCs w:val="18"/>
      <w:u w:val="none"/>
    </w:rPr>
  </w:style>
  <w:style w:type="character" w:styleId="1091" w:customStyle="1">
    <w:name w:val="font112"/>
    <w:link w:val="704"/>
    <w:uiPriority w:val="0"/>
    <w:qFormat/>
    <w:rPr>
      <w:rFonts w:hint="eastAsia" w:ascii="宋体" w:hAnsi="宋体" w:eastAsia="宋体" w:cs="宋体"/>
      <w:color w:val="000000"/>
      <w:sz w:val="18"/>
      <w:szCs w:val="18"/>
      <w:u w:val="single"/>
    </w:rPr>
  </w:style>
  <w:style w:type="character" w:styleId="1092" w:customStyle="1">
    <w:name w:val="font61"/>
    <w:link w:val="704"/>
    <w:uiPriority w:val="0"/>
    <w:qFormat/>
    <w:rPr>
      <w:rFonts w:hint="eastAsia" w:ascii="宋体" w:hAnsi="宋体" w:eastAsia="宋体" w:cs="宋体"/>
      <w:color w:val="000000"/>
      <w:sz w:val="21"/>
      <w:szCs w:val="21"/>
      <w:u w:val="none"/>
    </w:rPr>
  </w:style>
  <w:style w:type="paragraph" w:styleId="1093" w:customStyle="1">
    <w:name w:val="列表1"/>
    <w:basedOn w:val="704"/>
    <w:uiPriority w:val="0"/>
    <w:qFormat/>
    <w:pPr>
      <w:numPr>
        <w:ilvl w:val="0"/>
        <w:numId w:val="4"/>
      </w:numPr>
      <w:spacing w:after="20" w:line="288" w:lineRule="auto"/>
    </w:pPr>
    <w:rPr>
      <w:szCs w:val="20"/>
      <w:lang w:val="en-GB"/>
    </w:rPr>
  </w:style>
  <w:style w:type="paragraph" w:styleId="1094" w:customStyle="1">
    <w:name w:val="列表段落"/>
    <w:basedOn w:val="704"/>
    <w:uiPriority w:val="34"/>
    <w:qFormat/>
    <w:pPr>
      <w:ind w:firstLine="420"/>
    </w:pPr>
  </w:style>
  <w:style w:type="paragraph" w:styleId="1095" w:customStyle="1">
    <w:name w:val="纯文本1"/>
    <w:basedOn w:val="704"/>
    <w:next w:val="704"/>
    <w:uiPriority w:val="0"/>
    <w:qFormat/>
    <w:rPr>
      <w:rFonts w:ascii="宋体" w:hAnsi="Courier New"/>
    </w:rPr>
  </w:style>
  <w:style w:type="paragraph" w:styleId="1096" w:customStyle="1">
    <w:name w:val="页眉1"/>
    <w:basedOn w:val="70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97" w:customStyle="1">
    <w:name w:val="font21"/>
    <w:link w:val="704"/>
    <w:uiPriority w:val="0"/>
    <w:qFormat/>
    <w:rPr>
      <w:rFonts w:ascii="Times New Roman" w:hAnsi="Times New Roman" w:cs="Times New Roman"/>
      <w:b/>
      <w:bCs/>
      <w:color w:val="000000"/>
      <w:sz w:val="18"/>
      <w:szCs w:val="18"/>
      <w:u w:val="none"/>
    </w:rPr>
  </w:style>
  <w:style w:type="character" w:styleId="1098" w:customStyle="1">
    <w:name w:val="font71"/>
    <w:link w:val="704"/>
    <w:uiPriority w:val="0"/>
    <w:qFormat/>
    <w:rPr>
      <w:rFonts w:hint="eastAsia" w:ascii="宋体" w:hAnsi="宋体" w:eastAsia="宋体" w:cs="宋体"/>
      <w:color w:val="000000"/>
      <w:sz w:val="20"/>
      <w:szCs w:val="20"/>
      <w:u w:val="none"/>
    </w:rPr>
  </w:style>
  <w:style w:type="paragraph" w:styleId="1099" w:customStyle="1">
    <w:name w:val="正文文本1"/>
    <w:basedOn w:val="704"/>
    <w:next w:val="1093"/>
    <w:uiPriority w:val="0"/>
    <w:qFormat/>
    <w:rPr>
      <w:rFonts w:ascii="楷体_GB2312" w:hAnsi="Arial" w:eastAsia="楷体_GB2312"/>
      <w:sz w:val="28"/>
      <w:szCs w:val="28"/>
    </w:rPr>
  </w:style>
  <w:style w:type="character" w:styleId="1100" w:customStyle="1">
    <w:name w:val="15"/>
    <w:link w:val="704"/>
    <w:uiPriority w:val="0"/>
    <w:qFormat/>
    <w:rPr>
      <w:rFonts w:ascii="Times New Roman" w:hAnsi="Times New Roman" w:cs="Times New Roman"/>
    </w:rPr>
  </w:style>
  <w:style w:type="character" w:styleId="1101" w:customStyle="1">
    <w:name w:val="font141"/>
    <w:link w:val="704"/>
    <w:uiPriority w:val="0"/>
    <w:qFormat/>
    <w:rPr>
      <w:rFonts w:hint="eastAsia" w:ascii="宋体" w:hAnsi="宋体" w:eastAsia="宋体" w:cs="宋体"/>
      <w:color w:val="000000"/>
      <w:sz w:val="20"/>
      <w:szCs w:val="20"/>
      <w:u w:val="none"/>
    </w:rPr>
  </w:style>
  <w:style w:type="character" w:styleId="1102" w:customStyle="1">
    <w:name w:val="font212"/>
    <w:link w:val="704"/>
    <w:uiPriority w:val="0"/>
    <w:qFormat/>
    <w:rPr>
      <w:rFonts w:hint="eastAsia" w:ascii="宋体" w:hAnsi="宋体" w:eastAsia="宋体" w:cs="宋体"/>
      <w:i/>
      <w:iCs/>
      <w:color w:val="000000"/>
      <w:sz w:val="20"/>
      <w:szCs w:val="20"/>
      <w:u w:val="none"/>
    </w:rPr>
  </w:style>
  <w:style w:type="character" w:styleId="1103" w:customStyle="1">
    <w:name w:val="font221"/>
    <w:link w:val="704"/>
    <w:uiPriority w:val="0"/>
    <w:qFormat/>
    <w:rPr>
      <w:rFonts w:hint="eastAsia" w:ascii="宋体" w:hAnsi="宋体" w:eastAsia="宋体" w:cs="宋体"/>
      <w:color w:val="000000"/>
      <w:sz w:val="20"/>
      <w:szCs w:val="20"/>
      <w:u w:val="none"/>
      <w:vertAlign w:val="superscript"/>
    </w:rPr>
  </w:style>
  <w:style w:type="character" w:styleId="1104" w:customStyle="1">
    <w:name w:val="font131"/>
    <w:link w:val="704"/>
    <w:uiPriority w:val="0"/>
    <w:qFormat/>
    <w:rPr>
      <w:rFonts w:hint="eastAsia" w:ascii="宋体" w:hAnsi="宋体" w:eastAsia="宋体" w:cs="宋体"/>
      <w:color w:val="000000"/>
      <w:sz w:val="20"/>
      <w:szCs w:val="20"/>
      <w:u w:val="none"/>
    </w:rPr>
  </w:style>
  <w:style w:type="character" w:styleId="1105" w:customStyle="1">
    <w:name w:val="font231"/>
    <w:link w:val="704"/>
    <w:uiPriority w:val="0"/>
    <w:qFormat/>
    <w:rPr>
      <w:rFonts w:ascii="Times New Roman" w:hAnsi="Times New Roman" w:cs="Times New Roman"/>
      <w:color w:val="000000"/>
      <w:sz w:val="20"/>
      <w:szCs w:val="20"/>
      <w:u w:val="none"/>
    </w:rPr>
  </w:style>
  <w:style w:type="character" w:styleId="1106" w:customStyle="1">
    <w:name w:val="font121"/>
    <w:link w:val="704"/>
    <w:uiPriority w:val="0"/>
    <w:qFormat/>
    <w:rPr>
      <w:rFonts w:ascii="Times New Roman" w:hAnsi="Times New Roman" w:cs="Times New Roman"/>
      <w:color w:val="000000"/>
      <w:sz w:val="22"/>
      <w:szCs w:val="22"/>
      <w:u w:val="none"/>
    </w:rPr>
  </w:style>
  <w:style w:type="paragraph" w:styleId="1107" w:customStyle="1">
    <w:name w:val="正文文本2"/>
    <w:basedOn w:val="704"/>
    <w:uiPriority w:val="0"/>
    <w:qFormat/>
    <w:rPr>
      <w:rFonts w:ascii="仿宋_GB2312" w:eastAsia="仿宋_GB2312"/>
      <w:sz w:val="28"/>
      <w:szCs w:val="20"/>
    </w:rPr>
  </w:style>
  <w:style w:type="paragraph" w:styleId="1108" w:customStyle="1">
    <w:name w:val="彩色列表1"/>
    <w:basedOn w:val="704"/>
    <w:uiPriority w:val="99"/>
    <w:qFormat/>
    <w:pPr>
      <w:ind w:firstLine="420"/>
    </w:pPr>
    <w:rPr>
      <w:szCs w:val="24"/>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1030"/>
    <customShpInfo spid="_x0000_s1031"/>
    <customShpInfo spid="_x0000_s1032"/>
    <customShpInfo spid="_x0000_s1033"/>
    <customShpInfo spid="_x0000_s1034"/>
    <customShpInfo spid="_x0000_s1035"/>
    <customShpInfo spid="_x0000_s1036"/>
    <customShpInfo spid="_x0000_s1073"/>
    <customShpInfo spid="_x0000_s1196"/>
    <customShpInfo spid="_x0000_s1197"/>
    <customShpInfo spid="_x0000_s1037"/>
    <customShpInfo spid="_x0000_s1198"/>
    <customShpInfo spid="_x0000_s1038"/>
    <customShpInfo spid="_x0000_s1028"/>
    <customShpInfo spid="_x0000_s1027"/>
    <customShpInfo spid="_x0000_s1199"/>
    <customShpInfo spid="_x0000_s1200"/>
    <customShpInfo spid="_x0000_s1201"/>
    <customShpInfo spid="_x0000_s1039"/>
    <customShpInfo spid="_x0000_s1040"/>
    <customShpInfo spid="_x0000_s1041"/>
    <customShpInfo spid="_x0000_s1042"/>
    <customShpInfo spid="_x0000_s1202"/>
    <customShpInfo spid="_x0000_s1043"/>
    <customShpInfo spid="_x0000_s1044"/>
    <customShpInfo spid="_x0000_s1203"/>
    <customShpInfo spid="_x0000_s1045"/>
    <customShpInfo spid="_x0000_s1046"/>
    <customShpInfo spid="_x0000_s1047"/>
    <customShpInfo spid="_x0000_s1048"/>
    <customShpInfo spid="_x0000_s1049"/>
    <customShpInfo spid="_x0000_s1050"/>
    <customShpInfo spid="_x0000_s1051"/>
    <customShpInfo spid="_x0000_s1204"/>
    <customShpInfo spid="_x0000_s1052"/>
    <customShpInfo spid="_x0000_s1206"/>
    <customShpInfo spid="_x0000_s1207"/>
    <customShpInfo spid="_x0000_s1208"/>
    <customShpInfo spid="_x0000_s1205"/>
    <customShpInfo spid="_x0000_s1209"/>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29"/>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2"/>
    <customShpInfo spid="_x0000_s1121"/>
    <customShpInfo spid="_x0000_s1123"/>
    <customShpInfo spid="_x0000_s1124"/>
    <customShpInfo spid="_x0000_s1125"/>
    <customShpInfo spid="_x0000_s1126"/>
    <customShpInfo spid="_x0000_s1127"/>
    <customShpInfo spid="_x0000_s1129"/>
    <customShpInfo spid="_x0000_s1128"/>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7"/>
    <customShpInfo spid="_x0000_s1156"/>
    <customShpInfo spid="_x0000_s1158"/>
    <customShpInfo spid="_x0000_s1159"/>
    <customShpInfo spid="_x0000_s1160"/>
    <customShpInfo spid="_x0000_s1161"/>
    <customShpInfo spid="_x0000_s1162"/>
    <customShpInfo spid="_x0000_s1163"/>
    <customShpInfo spid="_x0000_s1211"/>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2"/>
    <customShpInfo spid="_x0000_s1181"/>
    <customShpInfo spid="_x0000_s1184"/>
    <customShpInfo spid="_x0000_s1183"/>
    <customShpInfo spid="_x0000_s1186"/>
    <customShpInfo spid="_x0000_s1185"/>
    <customShpInfo spid="_x0000_s1187"/>
    <customShpInfo spid="_x0000_s1188"/>
    <customShpInfo spid="_x0000_s1190"/>
    <customShpInfo spid="_x0000_s1189"/>
    <customShpInfo spid="_x0000_s1191"/>
    <customShpInfo spid="_x0000_s1192"/>
    <customShpInfo spid="_x0000_s1193"/>
    <customShpInfo spid="_x0000_s1194"/>
    <customShpInfo spid="_x0000_s119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于定涛</cp:lastModifiedBy>
  <cp:revision>10</cp:revision>
  <dcterms:created xsi:type="dcterms:W3CDTF">2026-03-11T08:51:00Z</dcterms:created>
  <dcterms:modified xsi:type="dcterms:W3CDTF">2026-07-02T02:15:41Z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eyJoZGlkIjoiMDcxMmRlMzlkNzczMzk5YzI5NGY3ZDRjNGM3YWYxNzkiLCJ1c2VySWQiOiI0NDE3MzE3NzIifQ==</vt:lpwstr>
  </property>
  <property fmtid="{D5CDD505-2E9C-101B-9397-08002B2CF9AE}" pid="3" name="KSOProductBuildVer">
    <vt:lpwstr>2052-12.1.0.26895</vt:lpwstr>
  </property>
  <property fmtid="{D5CDD505-2E9C-101B-9397-08002B2CF9AE}" pid="4" name="ICV">
    <vt:lpwstr>42F24B0BCA9D4EE4B8015AB328EF4CB2_12</vt:lpwstr>
  </property>
</Properties>
</file>