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3"/>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b/>
          <w:color w:val="000000"/>
          <w:sz w:val="24"/>
          <w:szCs w:val="24"/>
          <w:highlight w:val="none"/>
        </w:rPr>
        <w:t xml:space="preserve">编号：</w:t>
      </w:r>
      <w:r>
        <w:rPr>
          <w:rFonts w:hint="eastAsia" w:ascii="宋体" w:hAnsi="宋体" w:eastAsia="宋体" w:cs="宋体"/>
          <w:b/>
          <w:color w:val="000000"/>
          <w:sz w:val="24"/>
          <w:szCs w:val="24"/>
          <w:highlight w:val="none"/>
          <w:lang w:val="en-US" w:eastAsia="zh-CN"/>
        </w:rPr>
        <w:t xml:space="preserve">JSZC-320506-DLHX-C2026-0007</w:t>
      </w:r>
      <w:r>
        <w:rPr>
          <w:rFonts w:hint="eastAsia" w:ascii="宋体" w:hAnsi="宋体" w:eastAsia="宋体" w:cs="宋体"/>
          <w:b/>
          <w:color w:val="000000"/>
          <w:sz w:val="24"/>
          <w:szCs w:val="24"/>
          <w:highlight w:val="none"/>
        </w:rPr>
        <w:t xml:space="preserve">号</w:t>
      </w:r>
      <w:r>
        <w:rPr>
          <w:rFonts w:hint="eastAsia" w:ascii="宋体" w:hAnsi="宋体" w:eastAsia="宋体" w:cs="宋体"/>
          <w:b/>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苏州市政府采购竞争性磋商文件</w:t>
      </w:r>
      <w:r>
        <w:rPr>
          <w:rFonts w:hint="eastAsia" w:ascii="宋体" w:hAnsi="宋体" w:eastAsia="宋体" w:cs="宋体"/>
          <w:b/>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磋</w:t>
      </w:r>
      <w:r>
        <w:rPr>
          <w:rFonts w:hint="eastAsia" w:ascii="宋体" w:hAnsi="宋体" w:eastAsia="宋体" w:cs="宋体"/>
          <w:b/>
          <w:bCs/>
          <w:color w:val="000000"/>
          <w:sz w:val="24"/>
          <w:szCs w:val="24"/>
          <w:highlight w:val="none"/>
        </w:rPr>
      </w:r>
      <w:r/>
    </w:p>
    <w:p>
      <w:pPr>
        <w:pStyle w:val="85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商</w:t>
      </w:r>
      <w:r>
        <w:rPr>
          <w:rFonts w:hint="eastAsia" w:ascii="宋体" w:hAnsi="宋体" w:eastAsia="宋体" w:cs="宋体"/>
          <w:b/>
          <w:bCs/>
          <w:color w:val="000000"/>
          <w:sz w:val="24"/>
          <w:szCs w:val="24"/>
          <w:highlight w:val="none"/>
        </w:rPr>
      </w:r>
      <w:r/>
    </w:p>
    <w:p>
      <w:pPr>
        <w:pStyle w:val="85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文</w:t>
      </w:r>
      <w:r>
        <w:rPr>
          <w:rFonts w:hint="eastAsia" w:ascii="宋体" w:hAnsi="宋体" w:eastAsia="宋体" w:cs="宋体"/>
          <w:b/>
          <w:bCs/>
          <w:color w:val="000000"/>
          <w:sz w:val="24"/>
          <w:szCs w:val="24"/>
          <w:highlight w:val="none"/>
        </w:rPr>
      </w:r>
      <w:r/>
    </w:p>
    <w:p>
      <w:pPr>
        <w:pStyle w:val="85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件</w:t>
      </w:r>
      <w:r>
        <w:rPr>
          <w:rFonts w:hint="eastAsia" w:ascii="宋体" w:hAnsi="宋体" w:eastAsia="宋体" w:cs="宋体"/>
          <w:b/>
          <w:bCs/>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采购单位：</w:t>
      </w:r>
      <w:r>
        <w:rPr>
          <w:rFonts w:hint="eastAsia" w:ascii="宋体" w:hAnsi="宋体" w:eastAsia="宋体" w:cs="宋体"/>
          <w:b/>
          <w:color w:val="000000"/>
          <w:sz w:val="24"/>
          <w:szCs w:val="24"/>
          <w:highlight w:val="none"/>
          <w:lang w:eastAsia="zh-CN"/>
        </w:rPr>
        <w:t xml:space="preserve">苏州市吴中区甪直镇人民政府</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85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采购内容：</w:t>
      </w:r>
      <w:r>
        <w:rPr>
          <w:rFonts w:hint="eastAsia" w:ascii="宋体" w:hAnsi="宋体" w:eastAsia="宋体" w:cs="宋体"/>
          <w:b/>
          <w:color w:val="000000"/>
          <w:sz w:val="24"/>
          <w:szCs w:val="24"/>
          <w:highlight w:val="none"/>
          <w:lang w:eastAsia="zh-CN"/>
        </w:rPr>
        <w:t xml:space="preserve">2026年度全镇监控安防设备维护保养服务</w:t>
      </w:r>
      <w:r>
        <w:rPr>
          <w:rFonts w:hint="eastAsia" w:ascii="宋体" w:hAnsi="宋体" w:eastAsia="宋体" w:cs="宋体"/>
          <w:b/>
          <w:color w:val="000000"/>
          <w:sz w:val="24"/>
          <w:szCs w:val="24"/>
          <w:highlight w:val="none"/>
        </w:rPr>
      </w:r>
      <w:r/>
    </w:p>
    <w:p>
      <w:pPr>
        <w:pStyle w:val="85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采购类别：</w:t>
      </w:r>
      <w:r>
        <w:rPr>
          <w:rFonts w:hint="eastAsia" w:ascii="宋体" w:hAnsi="宋体" w:eastAsia="宋体" w:cs="宋体"/>
          <w:b/>
          <w:color w:val="000000"/>
          <w:sz w:val="24"/>
          <w:szCs w:val="24"/>
          <w:highlight w:val="none"/>
          <w:lang w:val="en-US" w:eastAsia="zh-CN"/>
        </w:rPr>
        <w:t xml:space="preserve">服务</w:t>
      </w:r>
      <w:r>
        <w:rPr>
          <w:rFonts w:hint="eastAsia" w:ascii="宋体" w:hAnsi="宋体" w:eastAsia="宋体" w:cs="宋体"/>
          <w:b/>
          <w:color w:val="000000"/>
          <w:sz w:val="24"/>
          <w:szCs w:val="24"/>
          <w:highlight w:val="none"/>
        </w:rPr>
        <w:t xml:space="preserve">类</w:t>
      </w:r>
      <w:r>
        <w:rPr>
          <w:rFonts w:hint="eastAsia" w:ascii="宋体" w:hAnsi="宋体" w:eastAsia="宋体" w:cs="宋体"/>
          <w:b/>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苏州华厦招投标代理有限公司</w:t>
      </w:r>
      <w:r>
        <w:rPr>
          <w:rFonts w:hint="eastAsia" w:ascii="宋体" w:hAnsi="宋体" w:eastAsia="宋体" w:cs="宋体"/>
          <w:b/>
          <w:color w:val="000000"/>
          <w:sz w:val="24"/>
          <w:szCs w:val="24"/>
          <w:highlight w:val="none"/>
        </w:rPr>
      </w:r>
      <w:r/>
    </w:p>
    <w:p>
      <w:pPr>
        <w:pStyle w:val="85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val="en-US" w:eastAsia="zh-CN"/>
        </w:rPr>
        <w:t xml:space="preserve">〇</w:t>
      </w: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月</w:t>
      </w:r>
      <w:r>
        <w:rPr>
          <w:rFonts w:hint="eastAsia" w:ascii="宋体" w:hAnsi="宋体" w:eastAsia="宋体" w:cs="宋体"/>
          <w:b/>
          <w:color w:val="000000"/>
          <w:sz w:val="24"/>
          <w:szCs w:val="24"/>
          <w:highlight w:val="none"/>
        </w:rPr>
      </w:r>
      <w:r/>
    </w:p>
    <w:p>
      <w:pPr>
        <w:pStyle w:val="85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目  录</w:t>
      </w:r>
      <w:r>
        <w:rPr>
          <w:rFonts w:hint="eastAsia" w:ascii="宋体" w:hAnsi="宋体" w:eastAsia="宋体" w:cs="宋体"/>
          <w:b/>
          <w:bCs/>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numPr>
          <w:ilvl w:val="0"/>
          <w:numId w:val="2"/>
        </w:numPr>
        <w:ind w:left="0" w:firstLine="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竞争性磋商邀请函</w:t>
      </w:r>
      <w:r>
        <w:rPr>
          <w:rFonts w:hint="eastAsia" w:ascii="宋体" w:hAnsi="宋体" w:eastAsia="宋体" w:cs="宋体"/>
          <w:color w:val="000000"/>
          <w:sz w:val="24"/>
          <w:szCs w:val="24"/>
          <w:highlight w:val="none"/>
        </w:rPr>
      </w:r>
      <w:r/>
    </w:p>
    <w:p>
      <w:pPr>
        <w:pStyle w:val="853"/>
        <w:numPr>
          <w:ilvl w:val="0"/>
          <w:numId w:val="2"/>
        </w:numPr>
        <w:ind w:left="0" w:firstLine="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竞争性磋商文件</w:t>
      </w:r>
      <w:r>
        <w:rPr>
          <w:rFonts w:hint="eastAsia" w:ascii="宋体" w:hAnsi="宋体" w:eastAsia="宋体" w:cs="宋体"/>
          <w:color w:val="000000"/>
          <w:sz w:val="24"/>
          <w:szCs w:val="24"/>
          <w:highlight w:val="none"/>
        </w:rPr>
      </w:r>
      <w:r/>
    </w:p>
    <w:p>
      <w:pPr>
        <w:pStyle w:val="853"/>
        <w:numPr>
          <w:ilvl w:val="0"/>
          <w:numId w:val="2"/>
        </w:numPr>
        <w:ind w:left="0" w:firstLine="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合同主要条款</w:t>
      </w:r>
      <w:r>
        <w:rPr>
          <w:rFonts w:hint="eastAsia" w:ascii="宋体" w:hAnsi="宋体" w:eastAsia="宋体" w:cs="宋体"/>
          <w:color w:val="000000"/>
          <w:sz w:val="24"/>
          <w:szCs w:val="24"/>
          <w:highlight w:val="none"/>
        </w:rPr>
      </w:r>
      <w:r/>
    </w:p>
    <w:p>
      <w:pPr>
        <w:pStyle w:val="853"/>
        <w:numPr>
          <w:ilvl w:val="0"/>
          <w:numId w:val="2"/>
        </w:numPr>
        <w:ind w:left="0" w:firstLine="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竞争性磋商程序及磋商小组成员组成</w:t>
      </w:r>
      <w:r>
        <w:rPr>
          <w:rFonts w:hint="eastAsia" w:ascii="宋体" w:hAnsi="宋体" w:eastAsia="宋体" w:cs="宋体"/>
          <w:color w:val="000000"/>
          <w:sz w:val="24"/>
          <w:szCs w:val="24"/>
          <w:highlight w:val="none"/>
        </w:rPr>
      </w:r>
      <w:r/>
    </w:p>
    <w:p>
      <w:pPr>
        <w:pStyle w:val="853"/>
        <w:numPr>
          <w:ilvl w:val="0"/>
          <w:numId w:val="2"/>
        </w:numPr>
        <w:ind w:left="0" w:firstLine="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评分标准</w:t>
      </w:r>
      <w:r>
        <w:rPr>
          <w:rFonts w:hint="eastAsia" w:ascii="宋体" w:hAnsi="宋体" w:eastAsia="宋体" w:cs="宋体"/>
          <w:color w:val="000000"/>
          <w:sz w:val="24"/>
          <w:szCs w:val="24"/>
          <w:highlight w:val="none"/>
        </w:rPr>
      </w:r>
      <w:r/>
    </w:p>
    <w:p>
      <w:pPr>
        <w:pStyle w:val="853"/>
        <w:numPr>
          <w:ilvl w:val="0"/>
          <w:numId w:val="2"/>
        </w:numPr>
        <w:ind w:left="0" w:firstLine="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jc w:val="center"/>
        <w:spacing w:line="360" w:lineRule="auto"/>
        <w:tabs>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一、竞争性磋商邀请函</w:t>
      </w:r>
      <w:r>
        <w:rPr>
          <w:rFonts w:hint="eastAsia" w:ascii="宋体" w:hAnsi="宋体" w:eastAsia="宋体" w:cs="宋体"/>
          <w:b/>
          <w:bCs/>
          <w:color w:val="000000"/>
          <w:sz w:val="24"/>
          <w:szCs w:val="24"/>
          <w:highlight w:val="none"/>
        </w:rPr>
      </w:r>
      <w:r/>
    </w:p>
    <w:tbl>
      <w:tblPr>
        <w:tblW w:w="922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226"/>
      </w:tblGrid>
      <w:tr>
        <w:trPr>
          <w:trHeight w:val="90"/>
        </w:trPr>
        <w:tc>
          <w:tcPr>
            <w:shd w:val="clear" w:color="auto" w:fill="ffffff"/>
            <w:tcW w:w="9226" w:type="dxa"/>
            <w:vAlign w:val="center"/>
            <w:textDirection w:val="lrTb"/>
            <w:noWrap w:val="false"/>
          </w:tcPr>
          <w:p>
            <w:pPr>
              <w:pStyle w:val="885"/>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rPr>
              <w:t xml:space="preserve">项目概况</w:t>
            </w:r>
            <w:r>
              <w:rPr>
                <w:rFonts w:hint="eastAsia" w:ascii="宋体" w:hAnsi="宋体" w:eastAsia="宋体" w:cs="宋体"/>
                <w:color w:val="000000"/>
                <w:sz w:val="24"/>
                <w:szCs w:val="24"/>
                <w:highlight w:val="none"/>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2026年度全镇监控安防设备维护保养服务JSZC-320506-DLHX-C2026-0007</w:t>
            </w:r>
            <w:r>
              <w:rPr>
                <w:rFonts w:hint="eastAsia" w:ascii="宋体" w:hAnsi="宋体" w:eastAsia="宋体" w:cs="宋体"/>
                <w:i w:val="0"/>
                <w:iCs w:val="0"/>
                <w:caps w:val="0"/>
                <w:color w:val="000000"/>
                <w:spacing w:val="0"/>
                <w:sz w:val="24"/>
                <w:szCs w:val="24"/>
                <w:highlight w:val="none"/>
              </w:rPr>
              <w:t xml:space="preserve">采购项目的潜在供应商应在登录“苏采云”系统自行下载 获取采购文件，并于</w:t>
            </w:r>
            <w:r>
              <w:rPr>
                <w:rFonts w:hint="eastAsia" w:ascii="宋体" w:hAnsi="宋体" w:eastAsia="宋体" w:cs="宋体"/>
                <w:i w:val="0"/>
                <w:iCs w:val="0"/>
                <w:caps w:val="0"/>
                <w:color w:val="000000"/>
                <w:spacing w:val="0"/>
                <w:sz w:val="24"/>
                <w:szCs w:val="24"/>
                <w:highlight w:val="none"/>
                <w:lang w:eastAsia="zh-CN"/>
              </w:rPr>
              <w:t xml:space="preserve">2026</w:t>
            </w:r>
            <w:r>
              <w:rPr>
                <w:rFonts w:hint="eastAsia" w:ascii="宋体" w:hAnsi="宋体" w:eastAsia="宋体" w:cs="宋体"/>
                <w:i w:val="0"/>
                <w:iCs w:val="0"/>
                <w:caps w:val="0"/>
                <w:color w:val="000000"/>
                <w:spacing w:val="0"/>
                <w:sz w:val="24"/>
                <w:szCs w:val="24"/>
                <w:highlight w:val="none"/>
              </w:rPr>
              <w:t xml:space="preserve">-</w:t>
            </w:r>
            <w:r>
              <w:rPr>
                <w:rFonts w:hint="eastAsia" w:ascii="宋体" w:hAnsi="宋体" w:eastAsia="宋体" w:cs="宋体"/>
                <w:i w:val="0"/>
                <w:iCs w:val="0"/>
                <w:caps w:val="0"/>
                <w:color w:val="000000"/>
                <w:spacing w:val="0"/>
                <w:sz w:val="24"/>
                <w:szCs w:val="24"/>
                <w:highlight w:val="none"/>
                <w:lang w:val="en-US" w:eastAsia="zh-CN"/>
              </w:rPr>
              <w:t xml:space="preserve">7</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lang w:val="en-US" w:eastAsia="zh-CN"/>
              </w:rPr>
              <w:t xml:space="preserve">6</w:t>
            </w:r>
            <w:r>
              <w:rPr>
                <w:rFonts w:hint="eastAsia" w:ascii="宋体" w:hAnsi="宋体" w:eastAsia="宋体" w:cs="宋体"/>
                <w:i w:val="0"/>
                <w:iCs w:val="0"/>
                <w:caps w:val="0"/>
                <w:color w:val="000000"/>
                <w:spacing w:val="0"/>
                <w:sz w:val="24"/>
                <w:szCs w:val="24"/>
                <w:highlight w:val="none"/>
              </w:rPr>
              <w:t xml:space="preserve"> </w:t>
            </w:r>
            <w:r>
              <w:rPr>
                <w:rFonts w:hint="eastAsia" w:ascii="宋体" w:hAnsi="宋体" w:eastAsia="宋体" w:cs="宋体"/>
                <w:i w:val="0"/>
                <w:iCs w:val="0"/>
                <w:caps w:val="0"/>
                <w:color w:val="000000"/>
                <w:spacing w:val="0"/>
                <w:sz w:val="24"/>
                <w:szCs w:val="24"/>
                <w:highlight w:val="none"/>
                <w:lang w:val="en-US" w:eastAsia="zh-CN"/>
              </w:rPr>
              <w:t xml:space="preserve">9</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rPr>
              <w:t xml:space="preserve">30（北京时间）前提交响应文件。</w:t>
            </w:r>
            <w:r>
              <w:rPr>
                <w:rFonts w:hint="eastAsia" w:ascii="宋体" w:hAnsi="宋体" w:eastAsia="宋体" w:cs="宋体"/>
                <w:color w:val="000000"/>
                <w:sz w:val="24"/>
                <w:szCs w:val="24"/>
                <w:highlight w:val="none"/>
              </w:rPr>
            </w:r>
            <w:r/>
          </w:p>
        </w:tc>
      </w:tr>
    </w:tbl>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91"/>
          <w:rFonts w:hint="eastAsia" w:ascii="宋体" w:hAnsi="宋体" w:eastAsia="宋体" w:cs="宋体"/>
          <w:b/>
          <w:bCs/>
          <w:i w:val="0"/>
          <w:iCs w:val="0"/>
          <w:caps w:val="0"/>
          <w:color w:val="000000"/>
          <w:spacing w:val="0"/>
          <w:sz w:val="24"/>
          <w:szCs w:val="24"/>
          <w:highlight w:val="none"/>
          <w:shd w:val="clear" w:color="auto" w:fill="ffffff"/>
        </w:rPr>
        <w:t xml:space="preserve">一、项目基本情况</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项目编号：</w:t>
      </w:r>
      <w:r>
        <w:rPr>
          <w:rFonts w:hint="eastAsia" w:ascii="宋体" w:hAnsi="宋体" w:eastAsia="宋体" w:cs="宋体"/>
          <w:i w:val="0"/>
          <w:iCs w:val="0"/>
          <w:caps w:val="0"/>
          <w:color w:val="000000"/>
          <w:spacing w:val="0"/>
          <w:sz w:val="24"/>
          <w:szCs w:val="24"/>
          <w:highlight w:val="none"/>
          <w:shd w:val="clear" w:color="auto" w:fill="ffffff"/>
          <w:lang w:eastAsia="zh-CN"/>
        </w:rPr>
        <w:t xml:space="preserve">JSZC-320506-DLHX-C2026-0007</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项目名称：</w:t>
      </w:r>
      <w:r>
        <w:rPr>
          <w:rFonts w:hint="eastAsia" w:ascii="宋体" w:hAnsi="宋体" w:eastAsia="宋体" w:cs="宋体"/>
          <w:i w:val="0"/>
          <w:iCs w:val="0"/>
          <w:caps w:val="0"/>
          <w:color w:val="000000"/>
          <w:spacing w:val="0"/>
          <w:sz w:val="24"/>
          <w:szCs w:val="24"/>
          <w:highlight w:val="none"/>
          <w:shd w:val="clear" w:color="auto" w:fill="ffffff"/>
          <w:lang w:eastAsia="zh-CN"/>
        </w:rPr>
        <w:t xml:space="preserve">2026年度全镇监控安防设备维护保养服务</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采购方式：竞争性磋商 </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预算金额：300.6364万元 </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最高限价（如有）：</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270.57276</w:t>
      </w:r>
      <w:r>
        <w:rPr>
          <w:rFonts w:hint="eastAsia" w:ascii="宋体" w:hAnsi="宋体" w:eastAsia="宋体" w:cs="宋体"/>
          <w:i w:val="0"/>
          <w:iCs w:val="0"/>
          <w:caps w:val="0"/>
          <w:color w:val="000000"/>
          <w:spacing w:val="0"/>
          <w:sz w:val="24"/>
          <w:szCs w:val="24"/>
          <w:highlight w:val="none"/>
          <w:shd w:val="clear" w:color="auto" w:fill="ffffff"/>
        </w:rPr>
        <w:t xml:space="preserve">万元</w:t>
      </w:r>
      <w:r>
        <w:rPr>
          <w:rFonts w:hint="eastAsia" w:ascii="宋体" w:hAnsi="宋体" w:eastAsia="宋体" w:cs="宋体"/>
          <w:i w:val="0"/>
          <w:iCs w:val="0"/>
          <w:caps w:val="0"/>
          <w:color w:val="000000"/>
          <w:spacing w:val="0"/>
          <w:sz w:val="24"/>
          <w:szCs w:val="24"/>
          <w:highlight w:val="none"/>
          <w:shd w:val="clear" w:color="auto" w:fill="ffffff"/>
          <w:lang w:eastAsia="zh-CN"/>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采购需求：</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甪直镇于2015年至2023年间陆续建设的安防类项目，分布在甪直镇区含车坊的主干道路、景区、农村主干道、安置小区出入口、小区单元门口、内部路面、电瓶车库、地下室等位置；全镇医院、学校、商业中心、菜场、全镇娱乐场所，重点园区；</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综合安防作为城市的重要管理手段之一；对甪直镇的社会治理、治安防控、案件侦破、维稳保障起到不可估量的作用。为维持设备正常运行，需聘请第三方专业机构对综合安防类设备进行维修保养，发挥其最大的管理效果。</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合同履行期限：</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一年</w:t>
      </w:r>
      <w:r>
        <w:rPr>
          <w:rFonts w:hint="eastAsia" w:ascii="宋体" w:hAnsi="宋体" w:eastAsia="宋体" w:cs="宋体"/>
          <w:i w:val="0"/>
          <w:iCs w:val="0"/>
          <w:caps w:val="0"/>
          <w:color w:val="000000"/>
          <w:spacing w:val="0"/>
          <w:sz w:val="24"/>
          <w:szCs w:val="24"/>
          <w:highlight w:val="none"/>
          <w:shd w:val="clear" w:color="auto" w:fill="ffffff"/>
          <w:lang w:eastAsia="zh-CN"/>
        </w:rPr>
        <w:t xml:space="preserve">（具体起始时间甲方书面通知为准）</w:t>
      </w:r>
      <w:r>
        <w:rPr>
          <w:rFonts w:hint="eastAsia" w:ascii="宋体" w:hAnsi="宋体" w:eastAsia="宋体" w:cs="宋体"/>
          <w:i w:val="0"/>
          <w:iCs w:val="0"/>
          <w:caps w:val="0"/>
          <w:color w:val="000000"/>
          <w:spacing w:val="0"/>
          <w:sz w:val="24"/>
          <w:szCs w:val="24"/>
          <w:highlight w:val="none"/>
          <w:shd w:val="clear" w:color="auto" w:fill="ffffff"/>
          <w:lang w:eastAsia="zh-CN"/>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是否允许</w:t>
      </w:r>
      <w:r>
        <w:rPr>
          <w:rFonts w:hint="eastAsia" w:ascii="宋体" w:hAnsi="宋体" w:eastAsia="宋体" w:cs="宋体"/>
          <w:i w:val="0"/>
          <w:iCs w:val="0"/>
          <w:caps w:val="0"/>
          <w:color w:val="000000"/>
          <w:spacing w:val="0"/>
          <w:sz w:val="24"/>
          <w:szCs w:val="24"/>
          <w:highlight w:val="none"/>
          <w:shd w:val="clear" w:color="auto" w:fill="ffffff"/>
        </w:rPr>
        <w:t xml:space="preserve">联合体及转包、分包：</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否</w:t>
      </w:r>
      <w:r>
        <w:rPr>
          <w:rFonts w:hint="eastAsia" w:ascii="宋体" w:hAnsi="宋体" w:eastAsia="宋体" w:cs="宋体"/>
          <w:i w:val="0"/>
          <w:iCs w:val="0"/>
          <w:caps w:val="0"/>
          <w:color w:val="000000"/>
          <w:spacing w:val="0"/>
          <w:sz w:val="24"/>
          <w:szCs w:val="24"/>
          <w:highlight w:val="none"/>
          <w:shd w:val="clear" w:color="auto" w:fill="ffffff"/>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91"/>
          <w:rFonts w:hint="eastAsia" w:ascii="宋体" w:hAnsi="宋体" w:eastAsia="宋体" w:cs="宋体"/>
          <w:b/>
          <w:bCs/>
          <w:i w:val="0"/>
          <w:iCs w:val="0"/>
          <w:caps w:val="0"/>
          <w:color w:val="000000"/>
          <w:spacing w:val="0"/>
          <w:sz w:val="24"/>
          <w:szCs w:val="24"/>
          <w:highlight w:val="none"/>
          <w:shd w:val="clear" w:color="auto" w:fill="ffffff"/>
        </w:rPr>
        <w:t xml:space="preserve">二、申请人的资格要求：</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（一）满足《中华人民共和国政府采购法》第二十二条规定：</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1.具有独立承担民事责任的能力； </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2.良好的商业信誉和健全的财务会计制度；</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3.具有履行合同所必须的设备和专业技术能力； </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4.有依法缴纳税收和社会保障资金的良好记录； </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5.参加政府采购活动前三年内，在经营活动中没有重大违法记录； </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6.法律、行政法规规定的其他条件；</w:t>
      </w:r>
      <w:r>
        <w:rPr>
          <w:rFonts w:hint="eastAsia" w:ascii="宋体" w:hAnsi="宋体" w:eastAsia="宋体" w:cs="宋体"/>
          <w:color w:val="00000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（二）落实政府采购政策需满足的资格要求：</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无</w:t>
      </w:r>
      <w:r>
        <w:rPr>
          <w:rFonts w:hint="eastAsia" w:ascii="宋体" w:hAnsi="宋体" w:eastAsia="宋体" w:cs="宋体"/>
          <w:i w:val="0"/>
          <w:iCs w:val="0"/>
          <w:caps w:val="0"/>
          <w:color w:val="000000"/>
          <w:spacing w:val="0"/>
          <w:sz w:val="24"/>
          <w:szCs w:val="24"/>
          <w:highlight w:val="none"/>
          <w:lang w:val="en-US" w:eastAsia="zh-CN"/>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（三）本项目的特定资格要求：</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无</w:t>
      </w:r>
      <w:r>
        <w:rPr>
          <w:rFonts w:hint="eastAsia" w:ascii="宋体" w:hAnsi="宋体" w:eastAsia="宋体" w:cs="宋体"/>
          <w:i w:val="0"/>
          <w:iCs w:val="0"/>
          <w:caps w:val="0"/>
          <w:color w:val="000000"/>
          <w:spacing w:val="0"/>
          <w:sz w:val="24"/>
          <w:szCs w:val="24"/>
          <w:highlight w:val="none"/>
          <w:lang w:val="en-US" w:eastAsia="zh-CN"/>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91"/>
          <w:rFonts w:hint="eastAsia" w:ascii="宋体" w:hAnsi="宋体" w:eastAsia="宋体" w:cs="宋体"/>
          <w:b/>
          <w:bCs/>
          <w:i w:val="0"/>
          <w:iCs w:val="0"/>
          <w:caps w:val="0"/>
          <w:color w:val="000000"/>
          <w:spacing w:val="0"/>
          <w:sz w:val="24"/>
          <w:szCs w:val="24"/>
          <w:highlight w:val="none"/>
          <w:shd w:val="clear" w:color="auto" w:fill="ffffff"/>
        </w:rPr>
        <w:t xml:space="preserve">三、获取采购文件</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时间：自磋商文件公告发布之日起5个工作日</w:t>
      </w:r>
      <w:r>
        <w:rPr>
          <w:rFonts w:hint="eastAsia" w:ascii="宋体" w:hAnsi="宋体" w:eastAsia="宋体" w:cs="宋体"/>
          <w:color w:val="00000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地点：登录“苏采云”系统自行下载 </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方式：登录“苏采云”系统自行下载 </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售价：0.00元 </w:t>
      </w:r>
      <w:r>
        <w:rPr>
          <w:rFonts w:hint="eastAsia" w:ascii="宋体" w:hAnsi="宋体" w:eastAsia="宋体" w:cs="宋体"/>
          <w:i w:val="0"/>
          <w:iCs w:val="0"/>
          <w:caps w:val="0"/>
          <w:color w:val="000000"/>
          <w:spacing w:val="0"/>
          <w:sz w:val="24"/>
          <w:szCs w:val="24"/>
          <w:highlight w:val="none"/>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91"/>
          <w:rFonts w:hint="eastAsia" w:ascii="宋体" w:hAnsi="宋体" w:eastAsia="宋体" w:cs="宋体"/>
          <w:b/>
          <w:bCs/>
          <w:i w:val="0"/>
          <w:iCs w:val="0"/>
          <w:caps w:val="0"/>
          <w:color w:val="000000"/>
          <w:spacing w:val="0"/>
          <w:sz w:val="24"/>
          <w:szCs w:val="24"/>
          <w:highlight w:val="none"/>
          <w:shd w:val="clear" w:color="auto" w:fill="ffffff"/>
        </w:rPr>
        <w:t xml:space="preserve">四、响应文件提交</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截止时间：</w:t>
      </w:r>
      <w:r>
        <w:rPr>
          <w:rFonts w:hint="eastAsia" w:ascii="宋体" w:hAnsi="宋体" w:eastAsia="宋体" w:cs="宋体"/>
          <w:i w:val="0"/>
          <w:iCs w:val="0"/>
          <w:caps w:val="0"/>
          <w:color w:val="000000"/>
          <w:spacing w:val="0"/>
          <w:sz w:val="24"/>
          <w:szCs w:val="24"/>
          <w:highlight w:val="none"/>
          <w:shd w:val="clear" w:color="auto" w:fill="ffffff"/>
          <w:lang w:eastAsia="zh-CN"/>
        </w:rPr>
        <w:t xml:space="preserve">2026</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30（北京时间）</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地点：登录“苏采云”系统自行上传 </w:t>
      </w:r>
      <w:r>
        <w:rPr>
          <w:rFonts w:hint="eastAsia" w:ascii="宋体" w:hAnsi="宋体" w:eastAsia="宋体" w:cs="宋体"/>
          <w:i w:val="0"/>
          <w:iCs w:val="0"/>
          <w:caps w:val="0"/>
          <w:color w:val="000000"/>
          <w:spacing w:val="0"/>
          <w:sz w:val="24"/>
          <w:szCs w:val="24"/>
          <w:highlight w:val="none"/>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91"/>
          <w:rFonts w:hint="eastAsia" w:ascii="宋体" w:hAnsi="宋体" w:eastAsia="宋体" w:cs="宋体"/>
          <w:b/>
          <w:bCs/>
          <w:i w:val="0"/>
          <w:iCs w:val="0"/>
          <w:caps w:val="0"/>
          <w:color w:val="000000"/>
          <w:spacing w:val="0"/>
          <w:sz w:val="24"/>
          <w:szCs w:val="24"/>
          <w:highlight w:val="none"/>
          <w:shd w:val="clear" w:color="auto" w:fill="ffffff"/>
        </w:rPr>
        <w:t xml:space="preserve">五、开启</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时间：</w:t>
      </w:r>
      <w:r>
        <w:rPr>
          <w:rFonts w:hint="eastAsia" w:ascii="宋体" w:hAnsi="宋体" w:eastAsia="宋体" w:cs="宋体"/>
          <w:i w:val="0"/>
          <w:iCs w:val="0"/>
          <w:caps w:val="0"/>
          <w:color w:val="000000"/>
          <w:spacing w:val="0"/>
          <w:sz w:val="24"/>
          <w:szCs w:val="24"/>
          <w:highlight w:val="none"/>
          <w:shd w:val="clear" w:color="auto" w:fill="ffffff"/>
          <w:lang w:eastAsia="zh-CN"/>
        </w:rPr>
        <w:t xml:space="preserve">2026</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30（北京时间）</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地点：登录“苏采云”系统不见面开标  </w:t>
      </w:r>
      <w:r>
        <w:rPr>
          <w:rFonts w:hint="eastAsia" w:ascii="宋体" w:hAnsi="宋体" w:eastAsia="宋体" w:cs="宋体"/>
          <w:i w:val="0"/>
          <w:iCs w:val="0"/>
          <w:caps w:val="0"/>
          <w:color w:val="000000"/>
          <w:spacing w:val="0"/>
          <w:sz w:val="24"/>
          <w:szCs w:val="24"/>
          <w:highlight w:val="none"/>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91"/>
          <w:rFonts w:hint="eastAsia" w:ascii="宋体" w:hAnsi="宋体" w:eastAsia="宋体" w:cs="宋体"/>
          <w:b/>
          <w:bCs/>
          <w:i w:val="0"/>
          <w:iCs w:val="0"/>
          <w:caps w:val="0"/>
          <w:color w:val="000000"/>
          <w:spacing w:val="0"/>
          <w:sz w:val="24"/>
          <w:szCs w:val="24"/>
          <w:highlight w:val="none"/>
          <w:shd w:val="clear" w:color="auto" w:fill="ffffff"/>
        </w:rPr>
        <w:t xml:space="preserve">六、公告期限</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自本公告发布之日起3个工作日。</w:t>
      </w:r>
      <w:r>
        <w:rPr>
          <w:rFonts w:hint="eastAsia" w:ascii="宋体" w:hAnsi="宋体" w:eastAsia="宋体" w:cs="宋体"/>
          <w:i w:val="0"/>
          <w:iCs w:val="0"/>
          <w:caps w:val="0"/>
          <w:color w:val="000000"/>
          <w:spacing w:val="0"/>
          <w:sz w:val="24"/>
          <w:szCs w:val="24"/>
          <w:highlight w:val="none"/>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91"/>
          <w:rFonts w:hint="eastAsia" w:ascii="宋体" w:hAnsi="宋体" w:eastAsia="宋体" w:cs="宋体"/>
          <w:b/>
          <w:bCs/>
          <w:i w:val="0"/>
          <w:iCs w:val="0"/>
          <w:caps w:val="0"/>
          <w:color w:val="000000"/>
          <w:spacing w:val="0"/>
          <w:sz w:val="24"/>
          <w:szCs w:val="24"/>
          <w:highlight w:val="none"/>
          <w:shd w:val="clear" w:color="auto" w:fill="ffffff"/>
        </w:rPr>
        <w:t xml:space="preserve">七、其他补充事宜</w:t>
      </w:r>
      <w:r>
        <w:rPr>
          <w:rFonts w:hint="eastAsia" w:ascii="宋体" w:hAnsi="宋体" w:eastAsia="宋体" w:cs="宋体"/>
          <w:i w:val="0"/>
          <w:iCs w:val="0"/>
          <w:caps w:val="0"/>
          <w:color w:val="000000"/>
          <w:spacing w:val="0"/>
          <w:sz w:val="24"/>
          <w:szCs w:val="24"/>
          <w:highlight w:val="none"/>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1.CA相关说明：</w:t>
      </w:r>
      <w:r>
        <w:rPr>
          <w:rFonts w:hint="eastAsia" w:ascii="宋体" w:hAnsi="宋体" w:eastAsia="宋体" w:cs="宋体"/>
          <w:bCs/>
          <w:color w:val="000000"/>
          <w:sz w:val="24"/>
          <w:szCs w:val="24"/>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（1）CA证书办理</w:t>
      </w:r>
      <w:r>
        <w:rPr>
          <w:rFonts w:hint="eastAsia" w:ascii="宋体" w:hAnsi="宋体" w:eastAsia="宋体" w:cs="宋体"/>
          <w:bCs/>
          <w:color w:val="000000"/>
          <w:sz w:val="24"/>
          <w:szCs w:val="24"/>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i w:val="0"/>
          <w:iCs w:val="0"/>
          <w:caps w:val="0"/>
          <w:color w:val="000000"/>
          <w:spacing w:val="0"/>
          <w:sz w:val="24"/>
          <w:szCs w:val="24"/>
          <w:highlight w:val="none"/>
          <w:shd w:val="clear" w:color="auto" w:fill="ffffff"/>
          <w:lang w:val="en-US"/>
        </w:rPr>
        <w:t xml:space="preserve">苏州现场办理地址：苏州高新区邓尉路105号狮山科技馆1楼服务大厅</w:t>
      </w: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
          <w:bCs/>
          <w:i w:val="0"/>
          <w:iCs w:val="0"/>
          <w:caps w:val="0"/>
          <w:color w:val="000000"/>
          <w:spacing w:val="0"/>
          <w:sz w:val="24"/>
          <w:szCs w:val="24"/>
          <w:highlight w:val="none"/>
          <w:shd w:val="clear" w:color="auto" w:fill="ffffff"/>
          <w:lang w:val="en-US"/>
        </w:rPr>
        <w:t xml:space="preserve">咨询电话：0512-65737699</w:t>
      </w: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Cs/>
          <w:color w:val="000000"/>
          <w:sz w:val="24"/>
          <w:szCs w:val="24"/>
          <w:lang w:eastAsia="zh-CN"/>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（2）参与采购活动</w:t>
      </w:r>
      <w:r>
        <w:rPr>
          <w:rFonts w:hint="eastAsia" w:ascii="宋体" w:hAnsi="宋体" w:eastAsia="宋体" w:cs="宋体"/>
          <w:bCs/>
          <w:color w:val="000000"/>
          <w:sz w:val="24"/>
          <w:szCs w:val="24"/>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bCs/>
          <w:color w:val="000000"/>
          <w:sz w:val="24"/>
          <w:szCs w:val="24"/>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（3）电子投标准备</w:t>
      </w:r>
      <w:r>
        <w:rPr>
          <w:rFonts w:hint="eastAsia" w:ascii="宋体" w:hAnsi="宋体" w:eastAsia="宋体" w:cs="宋体"/>
          <w:bCs/>
          <w:color w:val="000000"/>
          <w:sz w:val="24"/>
          <w:szCs w:val="24"/>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bCs/>
          <w:color w:val="000000"/>
          <w:sz w:val="24"/>
          <w:szCs w:val="24"/>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https://czju.suzhou.gov.cn/zfcg/html/content/20231220161910031.shtml）。</w:t>
      </w:r>
      <w:r>
        <w:rPr>
          <w:rFonts w:hint="eastAsia" w:ascii="宋体" w:hAnsi="宋体" w:eastAsia="宋体" w:cs="宋体"/>
          <w:bCs/>
          <w:color w:val="000000"/>
          <w:sz w:val="24"/>
          <w:szCs w:val="24"/>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在系统操作过程中如有疑问，请按以下方式联系：</w:t>
      </w:r>
      <w:r>
        <w:rPr>
          <w:rFonts w:hint="eastAsia" w:ascii="宋体" w:hAnsi="宋体" w:eastAsia="宋体" w:cs="宋体"/>
          <w:bCs/>
          <w:color w:val="000000"/>
          <w:sz w:val="24"/>
          <w:szCs w:val="24"/>
        </w:rPr>
      </w:r>
      <w:r/>
    </w:p>
    <w:p>
      <w:pPr>
        <w:pStyle w:val="88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注册咨询：13914088964；</w:t>
      </w:r>
      <w:r>
        <w:rPr>
          <w:rFonts w:hint="eastAsia" w:ascii="宋体" w:hAnsi="宋体" w:eastAsia="宋体" w:cs="宋体"/>
          <w:color w:val="000000"/>
          <w:sz w:val="24"/>
          <w:szCs w:val="24"/>
          <w:highlight w:val="none"/>
          <w:lang w:val="en-US" w:eastAsia="zh-CN" w:bidi="ar-SA"/>
        </w:rPr>
      </w:r>
      <w:r/>
    </w:p>
    <w:p>
      <w:pPr>
        <w:pStyle w:val="88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CA技术咨询电话：400-608-6099；</w:t>
      </w:r>
      <w:r>
        <w:rPr>
          <w:rFonts w:hint="eastAsia" w:ascii="宋体" w:hAnsi="宋体" w:eastAsia="宋体" w:cs="宋体"/>
          <w:color w:val="000000"/>
          <w:sz w:val="24"/>
          <w:szCs w:val="24"/>
          <w:highlight w:val="none"/>
          <w:lang w:val="en-US" w:eastAsia="zh-CN" w:bidi="ar-SA"/>
        </w:rPr>
      </w:r>
      <w:r/>
    </w:p>
    <w:p>
      <w:pPr>
        <w:pStyle w:val="88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签章使用问题：025-83633811、025-83633812、15380932027、15371015030；</w:t>
      </w:r>
      <w:r>
        <w:rPr>
          <w:rFonts w:hint="eastAsia" w:ascii="宋体" w:hAnsi="宋体" w:eastAsia="宋体" w:cs="宋体"/>
          <w:color w:val="000000"/>
          <w:sz w:val="24"/>
          <w:szCs w:val="24"/>
          <w:highlight w:val="none"/>
          <w:lang w:val="en-US" w:eastAsia="zh-CN" w:bidi="ar-SA"/>
        </w:rPr>
      </w:r>
      <w:r/>
    </w:p>
    <w:p>
      <w:pPr>
        <w:pStyle w:val="88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系统使用指导与咨询：联系电话：13914088964；智能客服：登录苏采云系统后，联系系统右下方智能客服图标进行咨询。</w:t>
      </w:r>
      <w:r>
        <w:rPr>
          <w:rFonts w:hint="eastAsia" w:ascii="宋体" w:hAnsi="宋体" w:eastAsia="宋体" w:cs="宋体"/>
          <w:color w:val="000000"/>
          <w:sz w:val="24"/>
          <w:szCs w:val="24"/>
          <w:highlight w:val="none"/>
          <w:lang w:val="en-US" w:eastAsia="zh-CN" w:bidi="ar-SA"/>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bCs/>
          <w:color w:val="000000"/>
          <w:sz w:val="24"/>
          <w:szCs w:val="24"/>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bCs/>
          <w:color w:val="000000"/>
          <w:sz w:val="24"/>
          <w:szCs w:val="24"/>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4.请供应商确保电脑、系统及其他设备（视频输入输出设备等）无误，且开标直至项目结束始终保持系统在线状态。</w:t>
      </w:r>
      <w:r>
        <w:rPr>
          <w:rFonts w:hint="eastAsia" w:ascii="宋体" w:hAnsi="宋体" w:eastAsia="宋体" w:cs="宋体"/>
          <w:bCs/>
          <w:color w:val="000000"/>
          <w:sz w:val="24"/>
          <w:szCs w:val="24"/>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91"/>
          <w:rFonts w:hint="eastAsia" w:ascii="宋体" w:hAnsi="宋体" w:eastAsia="宋体" w:cs="宋体"/>
          <w:b/>
          <w:bCs/>
          <w:i w:val="0"/>
          <w:iCs w:val="0"/>
          <w:caps w:val="0"/>
          <w:color w:val="000000"/>
          <w:spacing w:val="0"/>
          <w:sz w:val="24"/>
          <w:szCs w:val="24"/>
          <w:highlight w:val="none"/>
          <w:shd w:val="clear" w:color="auto" w:fill="ffffff"/>
        </w:rPr>
        <w:t xml:space="preserve">八、凡对本次采购提出询问，请按以下方式联系。</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1.采购人信息</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lang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单</w:t>
      </w:r>
      <w:r>
        <w:rPr>
          <w:rFonts w:hint="eastAsia" w:ascii="宋体" w:hAnsi="宋体" w:eastAsia="宋体" w:cs="宋体"/>
          <w:i w:val="0"/>
          <w:iCs w:val="0"/>
          <w:caps w:val="0"/>
          <w:color w:val="000000"/>
          <w:spacing w:val="0"/>
          <w:sz w:val="24"/>
          <w:szCs w:val="24"/>
          <w:highlight w:val="none"/>
          <w:shd w:val="clear" w:color="auto" w:fill="ffffff"/>
          <w:lang w:eastAsia="zh-CN"/>
        </w:rPr>
        <w:t xml:space="preserve">位名称：苏州市吴中区甪直镇人民政府</w:t>
      </w:r>
      <w:r>
        <w:rPr>
          <w:rFonts w:hint="eastAsia" w:ascii="宋体" w:hAnsi="宋体" w:eastAsia="宋体" w:cs="宋体"/>
          <w:i w:val="0"/>
          <w:iCs w:val="0"/>
          <w:caps w:val="0"/>
          <w:color w:val="000000"/>
          <w:spacing w:val="0"/>
          <w:sz w:val="24"/>
          <w:szCs w:val="24"/>
          <w:highlight w:val="none"/>
          <w:shd w:val="clear" w:color="auto" w:fill="ffffff"/>
          <w:lang w:eastAsia="zh-CN"/>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lang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lang w:eastAsia="zh-CN"/>
        </w:rPr>
        <w:t xml:space="preserve">地址：苏州市吴中区甪直镇鸣市路21号 </w:t>
      </w:r>
      <w:r>
        <w:rPr>
          <w:rFonts w:hint="eastAsia" w:ascii="宋体" w:hAnsi="宋体" w:eastAsia="宋体" w:cs="宋体"/>
          <w:i w:val="0"/>
          <w:iCs w:val="0"/>
          <w:caps w:val="0"/>
          <w:color w:val="000000"/>
          <w:spacing w:val="0"/>
          <w:sz w:val="24"/>
          <w:szCs w:val="24"/>
          <w:highlight w:val="none"/>
          <w:shd w:val="clear" w:color="auto" w:fill="ffffff"/>
          <w:lang w:eastAsia="zh-CN"/>
        </w:rPr>
      </w:r>
      <w:r/>
    </w:p>
    <w:p>
      <w:pPr>
        <w:pStyle w:val="853"/>
        <w:ind w:firstLine="42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联系人：</w:t>
      </w:r>
      <w:r>
        <w:rPr>
          <w:rFonts w:hint="eastAsia" w:ascii="宋体" w:hAnsi="宋体" w:cs="宋体"/>
          <w:color w:val="000000"/>
          <w:sz w:val="24"/>
          <w:szCs w:val="24"/>
          <w:highlight w:val="none"/>
          <w:lang w:val="en-US" w:eastAsia="zh-CN"/>
        </w:rPr>
        <w:t xml:space="preserve">褚伟杰</w:t>
      </w:r>
      <w:r>
        <w:rPr>
          <w:rFonts w:ascii="宋体" w:hAnsi="宋体" w:eastAsia="宋体" w:cs="宋体"/>
          <w:color w:val="000000"/>
          <w:sz w:val="24"/>
          <w:szCs w:val="24"/>
          <w:highlight w:val="none"/>
          <w:lang w:val="en-US" w:eastAsia="zh-CN"/>
        </w:rPr>
      </w:r>
      <w:r/>
    </w:p>
    <w:p>
      <w:pPr>
        <w:pStyle w:val="853"/>
        <w:ind w:firstLine="42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电话：</w:t>
      </w:r>
      <w:r>
        <w:rPr>
          <w:rFonts w:hint="eastAsia" w:ascii="宋体" w:hAnsi="宋体" w:cs="宋体"/>
          <w:color w:val="000000"/>
          <w:sz w:val="24"/>
          <w:szCs w:val="24"/>
          <w:highlight w:val="none"/>
          <w:lang w:val="en-US" w:eastAsia="zh-CN"/>
        </w:rPr>
        <w:t xml:space="preserve">65049010</w:t>
      </w:r>
      <w:r>
        <w:rPr>
          <w:rFonts w:ascii="宋体" w:hAnsi="宋体" w:eastAsia="宋体" w:cs="宋体"/>
          <w:color w:val="000000"/>
          <w:sz w:val="24"/>
          <w:szCs w:val="24"/>
          <w:highlight w:val="none"/>
          <w:lang w:val="en-US" w:eastAsia="zh-CN"/>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2.采购代理机构信息（如有）</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单位名称：苏州华厦招投标代理有限公司</w:t>
      </w:r>
      <w:r>
        <w:rPr>
          <w:rFonts w:hint="eastAsia" w:ascii="宋体" w:hAnsi="宋体" w:eastAsia="宋体" w:cs="宋体"/>
          <w:color w:val="000000"/>
          <w:sz w:val="24"/>
          <w:szCs w:val="24"/>
          <w:highlight w:val="none"/>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单位地址：江苏省苏州市高新区锦峰路198号纽威大厦8楼801室</w:t>
      </w:r>
      <w:r>
        <w:rPr>
          <w:rFonts w:hint="eastAsia" w:ascii="宋体" w:hAnsi="宋体" w:eastAsia="宋体" w:cs="宋体"/>
          <w:color w:val="000000"/>
          <w:sz w:val="24"/>
          <w:szCs w:val="24"/>
          <w:highlight w:val="none"/>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联系人：于文婷</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/周磊</w:t>
      </w:r>
      <w:r>
        <w:rPr>
          <w:rFonts w:hint="eastAsia" w:ascii="宋体" w:hAnsi="宋体" w:eastAsia="宋体" w:cs="宋体"/>
          <w:color w:val="000000"/>
          <w:sz w:val="24"/>
          <w:szCs w:val="24"/>
          <w:highlight w:val="none"/>
          <w:lang w:val="en-US" w:eastAsia="zh-CN"/>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联系电话：</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15262515871/18351083660</w:t>
      </w:r>
      <w:r>
        <w:rPr>
          <w:rFonts w:hint="eastAsia" w:ascii="宋体" w:hAnsi="宋体" w:eastAsia="宋体" w:cs="宋体"/>
          <w:color w:val="000000"/>
          <w:sz w:val="24"/>
          <w:szCs w:val="24"/>
          <w:highlight w:val="none"/>
          <w:lang w:val="en-US" w:eastAsia="zh-CN"/>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3.项目联系方式</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项目联系人：于文婷</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/周磊</w:t>
      </w:r>
      <w:r>
        <w:rPr>
          <w:rFonts w:hint="eastAsia" w:ascii="宋体" w:hAnsi="宋体" w:eastAsia="宋体" w:cs="宋体"/>
          <w:color w:val="000000"/>
          <w:sz w:val="24"/>
          <w:szCs w:val="24"/>
          <w:highlight w:val="none"/>
          <w:lang w:val="en-US" w:eastAsia="zh-CN"/>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联系电话：</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15262515871/18351083660</w:t>
      </w:r>
      <w:r>
        <w:rPr>
          <w:rFonts w:hint="eastAsia" w:ascii="宋体" w:hAnsi="宋体" w:eastAsia="宋体" w:cs="宋体"/>
          <w:color w:val="000000"/>
          <w:sz w:val="24"/>
          <w:szCs w:val="24"/>
          <w:highlight w:val="none"/>
          <w:lang w:val="en-US" w:eastAsia="zh-CN"/>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p>
      <w:pPr>
        <w:pStyle w:val="853"/>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rPr>
        <w:t xml:space="preserve">二、苏州市政府采购竞争性磋商文件</w:t>
      </w:r>
      <w:r>
        <w:rPr>
          <w:rFonts w:hint="eastAsia" w:ascii="宋体" w:hAnsi="宋体" w:eastAsia="宋体" w:cs="宋体"/>
          <w:b/>
          <w:bCs/>
          <w:color w:val="000000"/>
          <w:sz w:val="24"/>
          <w:szCs w:val="24"/>
          <w:highlight w:val="none"/>
        </w:rPr>
      </w:r>
      <w:r/>
    </w:p>
    <w:p>
      <w:pPr>
        <w:pStyle w:val="853"/>
        <w:spacing w:line="360" w:lineRule="auto"/>
        <w:tabs>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一、磋商编号：</w:t>
      </w:r>
      <w:r>
        <w:rPr>
          <w:rFonts w:hint="eastAsia" w:ascii="宋体" w:hAnsi="宋体" w:eastAsia="宋体" w:cs="宋体"/>
          <w:b/>
          <w:bCs/>
          <w:color w:val="000000"/>
          <w:sz w:val="24"/>
          <w:szCs w:val="24"/>
          <w:highlight w:val="none"/>
          <w:lang w:val="en-US" w:eastAsia="zh-CN"/>
        </w:rPr>
        <w:t xml:space="preserve">JSZC-320506-DLHX-C2026-0007</w:t>
      </w:r>
      <w:r>
        <w:rPr>
          <w:rFonts w:hint="eastAsia" w:ascii="宋体" w:hAnsi="宋体" w:eastAsia="宋体" w:cs="宋体"/>
          <w:b/>
          <w:bCs/>
          <w:color w:val="000000"/>
          <w:sz w:val="24"/>
          <w:szCs w:val="24"/>
          <w:highlight w:val="none"/>
        </w:rPr>
        <w:t xml:space="preserve">号</w:t>
      </w:r>
      <w:r>
        <w:rPr>
          <w:rFonts w:hint="eastAsia" w:ascii="宋体" w:hAnsi="宋体" w:eastAsia="宋体" w:cs="宋体"/>
          <w:b/>
          <w:bCs/>
          <w:color w:val="000000"/>
          <w:sz w:val="24"/>
          <w:szCs w:val="24"/>
          <w:highlight w:val="none"/>
        </w:rPr>
      </w:r>
      <w:r/>
    </w:p>
    <w:p>
      <w:pPr>
        <w:pStyle w:val="853"/>
        <w:spacing w:line="360" w:lineRule="auto"/>
        <w:tabs>
          <w:tab w:val="left" w:pos="525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二、磋商响应单位资质要求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85"/>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bookmarkStart w:id="0" w:name="_Toc174421905"/>
      <w:r>
        <w:rPr>
          <w:rFonts w:hint="eastAsia" w:ascii="宋体" w:hAnsi="宋体" w:eastAsia="宋体" w:cs="宋体"/>
          <w:i w:val="0"/>
          <w:iCs w:val="0"/>
          <w:caps w:val="0"/>
          <w:color w:val="000000"/>
          <w:spacing w:val="0"/>
          <w:sz w:val="24"/>
          <w:szCs w:val="24"/>
          <w:highlight w:val="none"/>
          <w:shd w:val="clear" w:color="auto" w:fill="ffffff"/>
        </w:rPr>
        <w:t xml:space="preserve">（一）满足《中华人民共和国政府采购法》第二十二条规定：</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1.具有独立承担民事责任的能力； </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2.良好的商业信誉和健全的财务会计制度； </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3.具有履行合同所必须的设备和专业技术能力； </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4.有依法缴纳税收和社会保障资金的良好记录； </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5.参加政府采购活动前三年内，在经营活动中没有重大违法记录； </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6.法律、行政法规规定的其他条件；</w:t>
      </w:r>
      <w:r>
        <w:rPr>
          <w:rFonts w:hint="eastAsia" w:ascii="宋体" w:hAnsi="宋体" w:eastAsia="宋体" w:cs="宋体"/>
          <w:color w:val="000000"/>
          <w:sz w:val="24"/>
          <w:szCs w:val="24"/>
          <w:highlight w:val="none"/>
        </w:rPr>
      </w:r>
      <w:r/>
    </w:p>
    <w:p>
      <w:pPr>
        <w:pStyle w:val="885"/>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（二）落实政府采购政策需满足的资格要求：</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无</w:t>
      </w:r>
      <w:r>
        <w:rPr>
          <w:rFonts w:hint="eastAsia" w:ascii="宋体" w:hAnsi="宋体" w:eastAsia="宋体" w:cs="宋体"/>
          <w:i w:val="0"/>
          <w:iCs w:val="0"/>
          <w:caps w:val="0"/>
          <w:color w:val="000000"/>
          <w:spacing w:val="0"/>
          <w:sz w:val="24"/>
          <w:szCs w:val="24"/>
          <w:highlight w:val="none"/>
          <w:lang w:val="en-US" w:eastAsia="zh-CN"/>
        </w:rPr>
      </w:r>
      <w:r/>
    </w:p>
    <w:p>
      <w:pPr>
        <w:pStyle w:val="885"/>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（三）本项目的特定资格要求：</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无</w:t>
      </w:r>
      <w:r>
        <w:rPr>
          <w:rFonts w:hint="eastAsia" w:ascii="宋体" w:hAnsi="宋体" w:eastAsia="宋体" w:cs="宋体"/>
          <w:i w:val="0"/>
          <w:iCs w:val="0"/>
          <w:caps w:val="0"/>
          <w:color w:val="000000"/>
          <w:spacing w:val="0"/>
          <w:sz w:val="24"/>
          <w:szCs w:val="24"/>
          <w:highlight w:val="none"/>
          <w:lang w:val="en-US" w:eastAsia="zh-CN"/>
        </w:rPr>
      </w:r>
      <w:r/>
    </w:p>
    <w:p>
      <w:pPr>
        <w:pStyle w:val="853"/>
        <w:spacing w:line="360" w:lineRule="auto"/>
        <w:tabs>
          <w:tab w:val="left" w:pos="52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三、项目概述及采购要求：</w:t>
      </w:r>
      <w:r>
        <w:rPr>
          <w:rFonts w:hint="eastAsia" w:ascii="宋体" w:hAnsi="宋体" w:eastAsia="宋体" w:cs="宋体"/>
          <w:b/>
          <w:color w:val="000000"/>
          <w:sz w:val="24"/>
          <w:szCs w:val="24"/>
          <w:highlight w:val="none"/>
        </w:rPr>
      </w:r>
      <w:r/>
    </w:p>
    <w:p>
      <w:pPr>
        <w:pStyle w:val="860"/>
        <w:ind w:left="0"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（一）项目概况：</w:t>
      </w:r>
      <w:r>
        <w:rPr>
          <w:rFonts w:hint="eastAsia" w:ascii="宋体" w:hAnsi="宋体" w:eastAsia="宋体" w:cs="宋体"/>
          <w:b/>
          <w:bCs/>
          <w:color w:val="000000"/>
          <w:sz w:val="24"/>
          <w:szCs w:val="24"/>
        </w:rPr>
      </w:r>
      <w:r/>
    </w:p>
    <w:p>
      <w:pPr>
        <w:pStyle w:val="860"/>
        <w:ind w:left="0" w:firstLine="420"/>
        <w:keepLines w:val="0"/>
        <w:keepNext w:val="0"/>
        <w:pageBreakBefore w:val="0"/>
        <w:spacing w:line="360" w:lineRule="auto"/>
        <w:widowControl w:val="off"/>
        <w:rPr>
          <w:rFonts w:hint="eastAsia" w:ascii="宋体" w:hAnsi="宋体" w:eastAsia="宋体" w:cs="宋体"/>
          <w:color w:val="000000"/>
          <w:sz w:val="24"/>
          <w:szCs w:val="24"/>
        </w:rPr>
      </w:pPr>
      <w:r/>
      <w:bookmarkStart w:id="1" w:name="OLE_LINK7"/>
      <w:r>
        <w:rPr>
          <w:rFonts w:hint="eastAsia" w:ascii="宋体" w:hAnsi="宋体" w:eastAsia="宋体" w:cs="宋体"/>
          <w:color w:val="000000"/>
          <w:sz w:val="24"/>
          <w:szCs w:val="24"/>
        </w:rPr>
        <w:t xml:space="preserve">甪直镇于2015年至2023年间陆续建设的安防类项目，分布在甪直镇区含车坊的主干道路、景区、农村主干道、安置小区出入口、小区单元门口、内部路面、电瓶车库、地下室等位置；全镇医院、学校、商业中心、菜场、全镇娱乐场所，</w:t>
      </w:r>
      <w:bookmarkEnd w:id="1"/>
      <w:r>
        <w:rPr>
          <w:rFonts w:hint="eastAsia" w:ascii="宋体" w:hAnsi="宋体" w:eastAsia="宋体" w:cs="宋体"/>
          <w:color w:val="000000"/>
          <w:sz w:val="24"/>
          <w:szCs w:val="24"/>
        </w:rPr>
        <w:t xml:space="preserve">重点园区；详见服务清单</w:t>
      </w:r>
      <w:r>
        <w:rPr>
          <w:rFonts w:hint="eastAsia" w:ascii="宋体" w:hAnsi="宋体" w:eastAsia="宋体" w:cs="宋体"/>
          <w:color w:val="000000"/>
          <w:sz w:val="24"/>
          <w:szCs w:val="24"/>
        </w:rPr>
      </w:r>
      <w:r/>
    </w:p>
    <w:p>
      <w:pPr>
        <w:pStyle w:val="860"/>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安防作为城市的重要管理手段之一；对甪直镇的社会治理、治安防控、案件侦破、维稳保障起到不可估量的作用。为维持设备正常运行，需聘请第三方专业机构对综合安防类设备进行维修保养，发挥其最大的管理效果。</w:t>
      </w:r>
      <w:r>
        <w:rPr>
          <w:rFonts w:hint="eastAsia" w:ascii="宋体" w:hAnsi="宋体" w:eastAsia="宋体" w:cs="宋体"/>
          <w:color w:val="000000"/>
          <w:sz w:val="24"/>
          <w:szCs w:val="24"/>
        </w:rPr>
      </w:r>
      <w:r/>
    </w:p>
    <w:p>
      <w:pPr>
        <w:pStyle w:val="860"/>
        <w:ind w:left="0"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（二）服务要求：</w:t>
      </w:r>
      <w:r>
        <w:rPr>
          <w:rFonts w:hint="eastAsia" w:ascii="宋体" w:hAnsi="宋体" w:eastAsia="宋体" w:cs="宋体"/>
          <w:b/>
          <w:bCs/>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本次服务为全包模式，服务单位需承担维护、维修过程中产生所有的人工费、材料费（包括清单内所有设备材料以及与之运行所相关的一切配套设施）、调试费、包装费、运费、安装费、工具劳保费、通讯费、各种税费等一切费用，服务期限内甲方不再为本项目支出合同之外的任何费用。各响应单位需仔细了解本项目服务要求，自行评估风险。同时满足政策性文件规定及合同包含的所有风险、责任等各项应有费用；以保证甲方各系统的正常使用为准。</w:t>
      </w:r>
      <w:r>
        <w:rPr>
          <w:rFonts w:hint="eastAsia" w:ascii="宋体" w:hAnsi="宋体" w:eastAsia="宋体" w:cs="宋体"/>
          <w:b/>
          <w:bCs/>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次服务内容涉及的网络系统由视频专网、行业专网、业务专网以及配套的网络交换设备、安全设备、软件及数据库服务组成；服务单位需具有网络与通信技术、安全技术、软件与数据库技术相关的人员配备，以保障系统的正常运行。</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次服务内容涉及辖区道路监控系统、全镇安置小区内部监控、各行政村主要道路等重要位置；服务单位需具备必要的系统集成服务能力；所有视频监控设备、AI智能感知设备、抓拍类设备、已和上级公安平台对接、已形成多网综合管理平台、实现了一站式统一管理；服务单位需保障所有点位设备的正常运行、与上级平台的通信保障，平台的正常使用、完善的网络通讯处理能力，及视频传输技术能力。</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指定1人作为本次服务的项目经理，负责跟踪推进项目工作和问题的协调落实；具有相关工作管理经验；指定1人为项目技术负责人，负责项目具体实施技术方面工作，具有相关工作经验；指定1人为项目运维负责人，负责项目具体运维技术方面工作具有相关工作经验；除项目经理、项目技术负责人和项目运维负责人外其他实施团队成员配备不少于4人，能够顺利开展维护服务工作。</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服务响应机制需做到7*24小时响应，普通报障事件2小时赶到现场处置、4小时内处理完毕；特殊原因，无法在规定时间内修复的，需写明原因，由使用方评估后确定。社会重大公共事件、重要活动中，监控应急保障团队、技术人员、保障设备物资、需提前1小时到场。</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不少于每月一次全量设备检查、测试运行、记录运行工况，具有完善的三方服务框架机制，使用单位、设备厂家、服务单位的闭环处理流程。检查过程中发现存在故障且无法技术修复的设备提前自行更换，涉及存储类产品的需由相关经验人员进行维护，不少于一周一次。</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7、设备损坏、无法维修的情况下，服务单位需及时更换原品牌型号设备，原设备如已停产，服务单位可以使用同品牌但不低于原有性能的产品进行替换，替换前需甲方确认。</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8、服务单位需具备完善的安全保密制度，日常的保密培训、涉密后的操作规则与档案管理办法；在签订合同前，中标单位需与甲方签署单位保密协议及服务人员保密协议。</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9、如遇甲方工作需要，在辖区内零星增设点位时，服务单位需配合、协助设备的联网接入工作。</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10、合同签订后支付合同价款的30%</w:t>
      </w:r>
      <w:r>
        <w:rPr>
          <w:rFonts w:hint="eastAsia" w:ascii="宋体" w:hAnsi="宋体" w:eastAsia="宋体" w:cs="宋体"/>
          <w:color w:val="000000"/>
          <w:sz w:val="24"/>
          <w:szCs w:val="24"/>
          <w:lang w:val="en-US" w:eastAsia="zh-CN"/>
        </w:rPr>
        <w:t xml:space="preserve">为预付款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每半年支付一次合同款项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需</w:t>
      </w:r>
      <w:r>
        <w:rPr>
          <w:rFonts w:hint="eastAsia" w:ascii="宋体" w:hAnsi="宋体" w:eastAsia="宋体" w:cs="宋体"/>
          <w:color w:val="000000"/>
          <w:sz w:val="24"/>
          <w:szCs w:val="24"/>
        </w:rPr>
        <w:t xml:space="preserve">根据服务的质量、效率、专业性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定期量化考核</w:t>
      </w:r>
      <w:r>
        <w:rPr>
          <w:rFonts w:hint="eastAsia" w:ascii="宋体" w:hAnsi="宋体" w:eastAsia="宋体" w:cs="宋体"/>
          <w:color w:val="000000"/>
          <w:sz w:val="24"/>
          <w:szCs w:val="24"/>
          <w:lang w:val="en-US" w:eastAsia="zh-CN"/>
        </w:rPr>
        <w:t xml:space="preserve">及监理审核后支付</w:t>
      </w:r>
      <w:r>
        <w:rPr>
          <w:rFonts w:hint="eastAsia" w:ascii="宋体" w:hAnsi="宋体" w:eastAsia="宋体" w:cs="宋体"/>
          <w:color w:val="000000"/>
          <w:sz w:val="24"/>
          <w:szCs w:val="24"/>
        </w:rPr>
        <w:t xml:space="preserve">，绩效考核分与服务费用相关联。</w:t>
      </w:r>
      <w:r>
        <w:rPr>
          <w:rFonts w:hint="eastAsia" w:ascii="宋体" w:hAnsi="宋体" w:eastAsia="宋体" w:cs="宋体"/>
          <w:color w:val="000000"/>
          <w:sz w:val="24"/>
        </w:rPr>
        <w:t xml:space="preserve">在签订合同时，乙方明确表示无需预付款或者主动要求降低预付款比例的，甲方可不适用上述关于预付款的规定。</w:t>
      </w:r>
      <w:r>
        <w:rPr>
          <w:rFonts w:hint="eastAsia" w:ascii="宋体" w:hAnsi="宋体" w:eastAsia="宋体" w:cs="宋体"/>
          <w:color w:val="000000"/>
          <w:sz w:val="24"/>
          <w:szCs w:val="24"/>
        </w:rPr>
      </w:r>
      <w:r/>
    </w:p>
    <w:p>
      <w:pPr>
        <w:pStyle w:val="860"/>
        <w:ind w:left="0"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（三）服务清单</w:t>
      </w:r>
      <w:r>
        <w:rPr>
          <w:rFonts w:hint="eastAsia" w:ascii="宋体" w:hAnsi="宋体" w:eastAsia="宋体" w:cs="宋体"/>
          <w:b/>
          <w:bCs/>
          <w:color w:val="000000"/>
          <w:sz w:val="24"/>
          <w:szCs w:val="24"/>
        </w:rPr>
      </w:r>
      <w:r/>
    </w:p>
    <w:p>
      <w:pPr>
        <w:pStyle w:val="860"/>
        <w:ind w:left="0" w:firstLine="42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1.2018年投入使用</w:t>
      </w:r>
      <w:r>
        <w:rPr>
          <w:rFonts w:hint="eastAsia" w:ascii="宋体" w:hAnsi="宋体" w:eastAsia="宋体" w:cs="宋体"/>
          <w:b/>
          <w:bCs/>
          <w:color w:val="000000"/>
          <w:sz w:val="24"/>
          <w:szCs w:val="24"/>
        </w:rPr>
      </w:r>
      <w:r/>
    </w:p>
    <w:tbl>
      <w:tblPr>
        <w:tblW w:w="929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98"/>
        <w:gridCol w:w="2233"/>
        <w:gridCol w:w="4218"/>
        <w:gridCol w:w="1035"/>
        <w:gridCol w:w="1108"/>
      </w:tblGrid>
      <w:tr>
        <w:trPr>
          <w:tblHeader/>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维护部位、名称</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品牌规格或维护要求</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单位</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数量</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9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一、后端设备</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智慧社区综合安防管控平台系统</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海康威视7700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应用程序服务器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戴尔R730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工作站电脑</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戴尔OptiPlex 7050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图腾600*1000*2000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锐捷RG-S5750C-28SFP4XS-H</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9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二、小区前端设备</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室外枪型摄像机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海康DS-2CD2T46DWDA1-I</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室外球型摄像机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海康DS-2DE7220MX-A/S1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出入口人脸抓拍机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海康DS-2CD7627FWD/F-LZS</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室内半球摄像机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海康DS-2CD2345D-I</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室内筒型摄像机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海康DS-2CD2T46DWDA1-I</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室外支架</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海康DS-1269ZJ</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室内支架</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海康DS-1292ZJ</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定制3.5米</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成品手孔井</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定制400mm×400mm×350mm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57</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防雷器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合鑫雷安、网络二合一</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工业交换机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数字光端机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恒信和安MIB12G-1E-1GA/B-EN</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三星C32F391FWC</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图腾600*1000*2000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小区服务器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戴尔R730 </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硬盘录像机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海康DS-8632N-I16</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希捷ST4000VX000-520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32</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理线架</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国标</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电脑</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戴尔OptiPlex 7050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9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三、小区前端设备</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室外枪型摄像机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海康DS-2CD2T46DWDA1-I</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室外球型摄像机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海康DS-2DE7220MX-A/S1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出入口人脸抓拍机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海康DS-2CD7627FWD/F-LZS</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室内半球摄像机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海康DS-2CD2345D-I</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33</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室内筒型摄像机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海康DS-2CD2T46DWDA1-I</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29</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室外支架</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车安DS-1269ZJ</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室内支架</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车安DS-1292ZJ</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29</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定制3.5米</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成品手孔井</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定制400mm×400mm×350mm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60</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防雷器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合鑫雷安网络二合一</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23</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  </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27</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数字光端机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恒信和安MIB12G-1E-1GA/B-EN</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23</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三星C32F391FWC</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监视器支架</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三星配套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图腾600*1000*2000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小区管理服务器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戴尔 R730 </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电脑</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戴尔OptiPlex 7050 </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bl>
    <w:p>
      <w:pPr>
        <w:pStyle w:val="853"/>
        <w:ind w:left="0"/>
        <w:spacing w:line="360" w:lineRule="auto"/>
        <w:widowControl w:val="off"/>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2.2019年投入使用</w:t>
      </w:r>
      <w:r>
        <w:rPr>
          <w:rFonts w:hint="eastAsia" w:ascii="宋体" w:hAnsi="宋体" w:eastAsia="宋体" w:cs="宋体"/>
          <w:b/>
          <w:bCs/>
          <w:color w:val="000000"/>
          <w:sz w:val="21"/>
          <w:szCs w:val="21"/>
        </w:rPr>
      </w:r>
      <w:r/>
    </w:p>
    <w:tbl>
      <w:tblPr>
        <w:tblW w:w="923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6"/>
        <w:gridCol w:w="2276"/>
        <w:gridCol w:w="4111"/>
        <w:gridCol w:w="1050"/>
        <w:gridCol w:w="1095"/>
      </w:tblGrid>
      <w:tr>
        <w:trPr>
          <w:tblHeade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维护部位、名称</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品牌规格或维护要求</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单位</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数量</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一、后端设备</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智慧社区综合安防管控系统</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hikvision 7700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应用程序服务器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戴尔PowerEdge R730 服务器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人脸分析服务器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海康威视iDS-96008NX-I2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二、小区</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（一）出入口管理系统前端设备</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人脸识别摄像机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海康威视DS-2CD762CJ-AJN</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国产670mm×400mm×350mm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  </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权智12V10A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排插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公牛4排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（二）视频监控系统前端设备</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星光级网络摄像机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海康威视DS-2CD7T4GLB-NT</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定制3.5米</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立杆基础</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挑臂</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定制0.5米</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预制成品穿线井</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定制400mm(高)*400mm（长）*350mm(宽)</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插座</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公牛6孔</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百兆数字光端机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恒信和安MIB1G-1E-1GA/B-EN</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千兆数字光端机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恒信和安MIB12G-1E-1GA/B-EN</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权智12V2A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  </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（三）中控设备</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三星C32F391FWC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三星配套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图腾G26042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PDU</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理线架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  </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硬盘录像机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海康威视DS-9632N-I16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工作站电脑</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戴尔OptiPlex 7050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希捷ST4000VX000-520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三、小区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（一）出入口管理系统前端设备</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人脸识别摄像机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海康威视DS-2CD762CJ-AJN</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国产670mm×400mm×350mm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  </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权智12V10A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排插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公牛4排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访客登记终端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研腾YT-FK200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（二）视频监控系统前段设备</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星光级网络摄像机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海康威视DS-2CD7T4GLB-NT</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定制3.5米</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立杆基础</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挑臂</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定制0.5米</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监控井</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定制400mm(高)*400mm（长）*350mm(宽)</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插座</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公牛6孔</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百兆数字光端机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恒信和安MIB1G-1E-1GA/B-EN</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权智12V2A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千兆8口交换机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  </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（三）中控设备</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三星C32F391FWC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三星配套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图腾G26042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PDU</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理线架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  </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硬盘录像机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海康威视DS-9632N-I16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工作站电脑</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戴尔OptiPlex 7050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希捷ST4000VX000-520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四、小区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（一）出入口管理系统前端设备</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人脸识别摄像机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海康威视DS-2CD762CJ-AJN</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国产670mm×400mm×350mm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  </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权智12V10A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排插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公牛4排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（二）视频监控系统前端设备</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星光级网络摄像机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海康威视DS-2CD7T4GLB-NT</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定制3.5米</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立杆基础</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挑臂</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定制0.5米</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预制成品穿线井</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定制400mm(高)*400mm（长）*350mm(宽)</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插座</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公牛6孔</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数字光端机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恒信和安MIB1G-1E-1GA/B-EN</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权智12V2A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  </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（三）中控设备</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三星C32F391FWC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三星配套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图腾G26042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PDU</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理线架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  </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硬盘录像机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海康威视DS-9632N-I16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工作站电脑</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戴尔OptiPlex 7050 </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希捷ST4000VX000-520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56</w:t>
            </w:r>
            <w:r>
              <w:rPr>
                <w:rFonts w:hint="eastAsia" w:ascii="宋体" w:hAnsi="宋体" w:eastAsia="宋体" w:cs="宋体"/>
                <w:color w:val="000000"/>
              </w:rPr>
            </w:r>
            <w:r/>
          </w:p>
        </w:tc>
      </w:tr>
    </w:tbl>
    <w:p>
      <w:pPr>
        <w:pStyle w:val="853"/>
        <w:ind w:left="0"/>
        <w:spacing w:line="360" w:lineRule="auto"/>
        <w:widowControl w:val="off"/>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3.2020年投入使用</w:t>
      </w:r>
      <w:r>
        <w:rPr>
          <w:rFonts w:hint="eastAsia" w:ascii="宋体" w:hAnsi="宋体" w:eastAsia="宋体" w:cs="宋体"/>
          <w:b/>
          <w:bCs/>
          <w:color w:val="000000"/>
          <w:sz w:val="21"/>
          <w:szCs w:val="21"/>
        </w:rPr>
      </w:r>
      <w:r/>
    </w:p>
    <w:tbl>
      <w:tblPr>
        <w:tblW w:w="925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3"/>
        <w:gridCol w:w="2623"/>
        <w:gridCol w:w="3812"/>
        <w:gridCol w:w="1065"/>
        <w:gridCol w:w="1037"/>
      </w:tblGrid>
      <w:tr>
        <w:trPr>
          <w:tblHeader/>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维护部位、名称</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品牌规格或维护要求</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单位</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数量</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5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一、后台设备</w:t>
            </w:r>
            <w:r>
              <w:rPr>
                <w:rFonts w:hint="eastAsia" w:ascii="宋体" w:hAnsi="宋体" w:eastAsia="宋体" w:cs="宋体"/>
                <w:b/>
                <w:bCs/>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全千兆智能三层交换机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华为S5700-28TP-LI</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综合安防管控系统</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图腾600*1000*2000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5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二、小区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5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（一）设备部分</w:t>
            </w:r>
            <w:r>
              <w:rPr>
                <w:rFonts w:hint="eastAsia" w:ascii="宋体" w:hAnsi="宋体" w:eastAsia="宋体" w:cs="宋体"/>
                <w:b/>
                <w:bCs/>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宇视IPC-B612-IR</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宇视TR-WE45-IN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智能球型网络摄像机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宇视HIC6642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宇视TR-WE45-IN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枪型网络摄像机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宇视IPC-S214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枪机壁装支架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宇视TR-WM06-C-IN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定制3.5米</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定制6米</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数字光端机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精连JL-1000AB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千兆交换机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宇视MW3232-U</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安装支架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宇视配套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图腾600*1000*2000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理线架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图腾配套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24口汇聚交换机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综合监控一体化平台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宇视VMS-B230-A24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电池模块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宇视NI-BCBB-NB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电源模块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宇视PWR-650A-NB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希捷ST6000VX0003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台式人证登记终端</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宇视EG131D-HF-D</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电脑</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联想     启天M620-D272 I7-8700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5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三、小区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5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（一）设备部分</w:t>
            </w:r>
            <w:r>
              <w:rPr>
                <w:rFonts w:hint="eastAsia" w:ascii="宋体" w:hAnsi="宋体" w:eastAsia="宋体" w:cs="宋体"/>
                <w:b/>
                <w:bCs/>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宇视IPC-B612-IR</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宇视TR-WE45-IN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枪型网络摄像机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宇视IPC-S214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枪机壁装支架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宇视TR-WM06-C-IN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智能球型网络摄像机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宇视HIC6642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宇视TR-WE45-IN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定制3.5米</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定制6米</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数字光端机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精连JL-1000AB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千兆交换机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宇视MW3232-U</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安装支架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宇视配套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图腾600*1000*2000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理线架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图腾配套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24口汇聚交换机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综合监控一体化平台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 VMS-B230-A24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电池模块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宇视NI-BCBB-NB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电源模块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宇视PWR-650A-NB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希捷ST6000VX0003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台式人证登记终端</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宇视EG131D-HF-D</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电脑</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联想     启天M620-D272 I7-8700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5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四、小区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5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（一）设备部分</w:t>
            </w:r>
            <w:r>
              <w:rPr>
                <w:rFonts w:hint="eastAsia" w:ascii="宋体" w:hAnsi="宋体" w:eastAsia="宋体" w:cs="宋体"/>
                <w:b/>
                <w:bCs/>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宇视HC121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宇视TR-WE45-IN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枪型网络摄像机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宇视IPC-S214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枪机壁装支架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宇视TR-WM06-C-IN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智能球型网络摄像机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宇视HIC6642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宇视TR-WE45-IN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定制3.5米</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定制6米</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数字光端机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精连JL-1000AB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千兆交换机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宇视MW3232-U</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安装支架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宇视配套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图腾600*1000*2000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理线架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图腾配套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24口汇聚交换机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综合监控一体化平台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宇视VMS-B230-A24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电池模块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宇视NI-BCBB-NB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电源模块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宇视PWR-650A-NB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希捷ST6000VX0003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台式人证登记终端</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宇视EG131D-HF-D</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电脑</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联想     启天M620-D272 I7-8700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5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五、小区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5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（一）设备部分</w:t>
            </w:r>
            <w:r>
              <w:rPr>
                <w:rFonts w:hint="eastAsia" w:ascii="宋体" w:hAnsi="宋体" w:eastAsia="宋体" w:cs="宋体"/>
                <w:b/>
                <w:bCs/>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宇视IPC-B612-IR</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宇视TR-WE45-IN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枪型网络摄像机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宇视IPC-S214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枪机壁装支架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宇视TR-WM06-C-IN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智能球型网络摄像机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宇视HIC6642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宇视TR-WE45-IN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定制3.5米</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定制6米</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数字光端机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精连JL-1000AB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千兆交换机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宇视MW3232-U</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安装支架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宇视配套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图腾600*1000*2000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收发器机架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汤湖14槽位</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理线架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图腾配套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24口汇聚交换机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综合监控一体化平台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 VMS-B230-A24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电池模块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宇视NI-BCBB-NB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电源模块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宇视PWR-650A-NB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宇视ST6000VX0003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台式人证登记终端</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宇视EG131D-HF-D</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电脑</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联想     启天M620-D272 I7-8700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bl>
    <w:p>
      <w:pPr>
        <w:pStyle w:val="853"/>
        <w:ind w:left="0"/>
        <w:spacing w:line="360" w:lineRule="auto"/>
        <w:widowControl w:val="off"/>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4.2021年投入使用</w:t>
      </w:r>
      <w:r>
        <w:rPr>
          <w:rFonts w:hint="eastAsia" w:ascii="宋体" w:hAnsi="宋体" w:eastAsia="宋体" w:cs="宋体"/>
          <w:b/>
          <w:bCs/>
          <w:color w:val="000000"/>
          <w:sz w:val="21"/>
          <w:szCs w:val="21"/>
        </w:rPr>
      </w:r>
      <w:r/>
    </w:p>
    <w:tbl>
      <w:tblPr>
        <w:tblW w:w="93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8"/>
        <w:gridCol w:w="2791"/>
        <w:gridCol w:w="3773"/>
        <w:gridCol w:w="1065"/>
        <w:gridCol w:w="987"/>
      </w:tblGrid>
      <w:tr>
        <w:trPr>
          <w:tblHeader/>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维护部位、名称</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品牌规格或维护要求</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单位</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数量</w:t>
            </w:r>
            <w:r>
              <w:rPr>
                <w:rFonts w:hint="eastAsia" w:ascii="宋体" w:hAnsi="宋体" w:eastAsia="宋体" w:cs="宋体"/>
                <w:b/>
                <w:bCs/>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公安高清卡口</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海康威视VCU-B023-W4K</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气体爆闪灯</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固定杆</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海康威视L1600-R117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云存储设备</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海康威视DS-A72024RH-ICVS/QT(24×6T)+IVMS-5120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高清半球形网络摄像机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海康威视DS-2CD2325-I</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硬盘录像机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海康威视DS-9664-I8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存储硬盘</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海康威视ST4000V</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服务器</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海康威视DS-VE22S-B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管理软件平台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海康8200定制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电脑</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联想启天M435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防雷型千兆POE工业交换机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64</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光纤模块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neutral单模</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128</w:t>
            </w:r>
            <w:r>
              <w:rPr>
                <w:rFonts w:hint="eastAsia" w:ascii="宋体" w:hAnsi="宋体" w:eastAsia="宋体" w:cs="宋体"/>
                <w:color w:val="000000"/>
              </w:rPr>
            </w:r>
            <w:r/>
          </w:p>
        </w:tc>
      </w:tr>
    </w:tbl>
    <w:p>
      <w:pPr>
        <w:pStyle w:val="853"/>
        <w:ind w:left="0"/>
        <w:spacing w:line="360" w:lineRule="auto"/>
        <w:widowControl w:val="off"/>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5.2021年12月投入使用</w:t>
      </w:r>
      <w:r>
        <w:rPr>
          <w:rFonts w:hint="eastAsia" w:ascii="宋体" w:hAnsi="宋体" w:eastAsia="宋体" w:cs="宋体"/>
          <w:b/>
          <w:bCs/>
          <w:color w:val="000000"/>
          <w:sz w:val="21"/>
          <w:szCs w:val="21"/>
        </w:rPr>
      </w:r>
      <w:r/>
    </w:p>
    <w:tbl>
      <w:tblPr>
        <w:tblW w:w="94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1"/>
        <w:gridCol w:w="2527"/>
        <w:gridCol w:w="4018"/>
        <w:gridCol w:w="1065"/>
        <w:gridCol w:w="1095"/>
      </w:tblGrid>
      <w:tr>
        <w:trPr>
          <w:tblHeade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维护部位、名称</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品牌规格或维护要求</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单位</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数量</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一、机房中心设备</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大容量云存储节点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海康威视DS-A72048RH-ICVS/QT + 云存储软件 IVMS-5120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核心交换机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锐捷RG-S6120-48XS8CQ+RG-PA550I II-F</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区域级视频云智能分析服务器（GPU服务器）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海康威视DS-ID2002-AUX/IOT(GA)/+智能分析软件 DS-IF0100-AI</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设备接入服务器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海康威视DS-VE22S-B(W-XBD)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图片缓存接入服务器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海康威视DS-VE22S-B(W-XBD)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流媒体缓存服务器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海康威视DS-VE22S-B(W-RBD)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gridSpan w:val="5"/>
            <w:shd w:val="clear" w:color="000000" w:fill="ffffff"/>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二、住宅小区安防端</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（一）小区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B</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中控部分</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（二）小区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室内壁装支架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海康威视DS-1292ZJ-K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B中控部分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A前端部分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室内壁装支架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海康威视DS-1292ZJ-K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B中控部分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（四）小区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A前端部分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室内壁装支架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海康威视DS-1292ZJ-K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B中控部分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（五）小区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室内壁装支架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海康威视DS-1292ZJ-K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（六）小区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（七）小区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（八）小区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gridSpan w:val="2"/>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（九）小区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（十）小区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B中控部分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（十一）小区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室内壁装支架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海康威视DS-1292ZJ-K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（十二）小区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（十三）小区</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A前端部分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（十四）小区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（十五）小区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室内壁装支架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海康威视DS-1292ZJ-K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（十六）小区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（十七）小区</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B中控部分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（十八）小区</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A前端部分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（十九）小区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（二十）小区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B中控部分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（二十一）小区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室内壁装支架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海康威视DS-1292ZJ-K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B中控部分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（二十二）小区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（二十三）小区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400万电梯电瓶车检测专用摄像机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海康威视DS-2CD2345FMKH3-N2X/DT</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室内壁装支架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海康威视DS-1292ZJ-K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室内壁挂机柜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定制600mm*440mm*635mm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B中控部分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（二十四）小区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（二十五）小区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（二十六）小区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（二十七）小区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B中控部分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（二十八）小区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（二十九）小区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（三十）小区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（三十一）小区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（三十二）小区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B中控部分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（三十三）小区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室内壁装支架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海康威视DS-1292ZJ-K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（三十四）农村微卡口1</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rHeight w:val="353"/>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（三十五）农村微卡口2</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A前端部分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（三十六）农村微卡口3</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（三十七）农村微卡口4</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（三十八）农村微卡口5</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（三十九）农村微卡口6</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（四十）农村微卡口7</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（四十一）农村微卡口8</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A前端部分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（四十二）农村微卡口9</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A前端部分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（四十三）农村微卡口10</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A前端部分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（四十四）农村微卡口11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A前端部分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（四十五）农村微卡口12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A前端部分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（四十六）农村微卡口13</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bl>
    <w:p>
      <w:pPr>
        <w:pStyle w:val="853"/>
        <w:ind w:left="0"/>
        <w:spacing w:line="360" w:lineRule="auto"/>
        <w:widowControl w:val="off"/>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6.甪直镇区主干道报警柱监控2018年竣工投入使用</w:t>
      </w:r>
      <w:r>
        <w:rPr>
          <w:rFonts w:hint="eastAsia" w:ascii="宋体" w:hAnsi="宋体" w:eastAsia="宋体" w:cs="宋体"/>
          <w:b/>
          <w:bCs/>
          <w:color w:val="000000"/>
          <w:sz w:val="21"/>
          <w:szCs w:val="21"/>
        </w:rPr>
      </w:r>
      <w:r/>
    </w:p>
    <w:tbl>
      <w:tblPr>
        <w:tblW w:w="9441"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49"/>
        <w:gridCol w:w="2587"/>
        <w:gridCol w:w="3947"/>
        <w:gridCol w:w="1065"/>
        <w:gridCol w:w="1093"/>
      </w:tblGrid>
      <w:tr>
        <w:trPr>
          <w:tblHeade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维护部位、名称</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品牌规格或维护要求</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单位</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数量</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报警柱球机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海康DS-2DE72GAWIW</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报警柱枪机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海康DS-2CD2T35XYZUV</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r>
    </w:tbl>
    <w:p>
      <w:pPr>
        <w:pStyle w:val="853"/>
        <w:ind w:left="0"/>
        <w:spacing w:line="360" w:lineRule="auto"/>
        <w:widowControl w:val="off"/>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8.2023年投入使用XX场景化建设</w:t>
      </w:r>
      <w:r>
        <w:rPr>
          <w:rFonts w:hint="eastAsia" w:ascii="宋体" w:hAnsi="宋体" w:eastAsia="宋体" w:cs="宋体"/>
          <w:b/>
          <w:bCs/>
          <w:color w:val="000000"/>
          <w:sz w:val="21"/>
          <w:szCs w:val="21"/>
        </w:rPr>
      </w:r>
      <w:r/>
    </w:p>
    <w:tbl>
      <w:tblPr>
        <w:tblW w:w="94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845"/>
        <w:gridCol w:w="5365"/>
        <w:gridCol w:w="690"/>
        <w:gridCol w:w="800"/>
      </w:tblGrid>
      <w:tr>
        <w:trPr>
          <w:tblHeader/>
        </w:trPr>
        <w:tc>
          <w:tcPr>
            <w:tcW w:w="7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W w:w="184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维护部位、名称</w:t>
            </w:r>
            <w:r>
              <w:rPr>
                <w:rFonts w:hint="eastAsia" w:ascii="宋体" w:hAnsi="宋体" w:eastAsia="宋体" w:cs="宋体"/>
                <w:b/>
                <w:bCs/>
                <w:color w:val="000000"/>
              </w:rPr>
            </w:r>
            <w:r/>
          </w:p>
        </w:tc>
        <w:tc>
          <w:tcPr>
            <w:tcW w:w="536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品牌规格或维护要求</w:t>
            </w:r>
            <w:r>
              <w:rPr>
                <w:rFonts w:hint="eastAsia" w:ascii="宋体" w:hAnsi="宋体" w:eastAsia="宋体" w:cs="宋体"/>
                <w:b/>
                <w:bCs/>
                <w:color w:val="000000"/>
              </w:rPr>
            </w:r>
            <w:r/>
          </w:p>
        </w:tc>
        <w:tc>
          <w:tcPr>
            <w:tcW w:w="69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单位</w:t>
            </w:r>
            <w:r>
              <w:rPr>
                <w:rFonts w:hint="eastAsia" w:ascii="宋体" w:hAnsi="宋体" w:eastAsia="宋体" w:cs="宋体"/>
                <w:b/>
                <w:bCs/>
                <w:color w:val="000000"/>
              </w:rPr>
            </w:r>
            <w:r/>
          </w:p>
        </w:tc>
        <w:tc>
          <w:tcPr>
            <w:tcW w:w="80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数量</w:t>
            </w:r>
            <w:r>
              <w:rPr>
                <w:rFonts w:hint="eastAsia" w:ascii="宋体" w:hAnsi="宋体" w:eastAsia="宋体" w:cs="宋体"/>
                <w:b/>
                <w:bCs/>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一、中控设备</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云存储视频服务器</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CPU：2颗处理器；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内存：8GB内存；</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磁盘数量：48盘位；（目前288TB满载中）</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磁盘容量：支持1T/2T/3T/4T/6T/8T；6T*48块硬盘；</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设备采用控制器架构；</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网络协议：GB、RTSP，ONVIF、PSIA 等；</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数据接口：4个千兆以太网口； </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支持视频直存技术，支持GB/T28181、Onvif、RTSP、PSIA等标准视频协议接入及存储，支持视频采用SVAC、H265、H264等压缩编码。</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云存储图片服务器</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处理器：2颗64位多核处理器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内存：8GB</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SSD：SSD系统盘，并内置加速缓存</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磁盘数量：48盘位（目前288TB满载中）</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磁盘接口：支持SATA/SAS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磁盘容量：支持1T/2T/3T/4T/6T/8T；6T*48块硬盘</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RAID级别：网络RAID；</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数据接口：4个千兆网口；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管理接口：1个千兆管理口；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USB 接口：2个；</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设备接入服务器</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2U双路标准机架式服务器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2颗intel至强系列处理器，核数10核，主频2.2GHz</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内存：16G*4 DDR4， </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硬盘：4块600G 10K 2.5寸 SAS硬盘</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阵列卡：SAS_HBA卡, 支持RAID 0/1/10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PCIE扩展：6个PCIE扩展插槽</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网口：2个千兆电口、2个万兆光口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其他接口：1个RJ45管理接口，后置2个USB 3.0接口，前置2个USB2.0接口，1个VGA接口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电源：标配550W（1+1）冗余电源</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装载：综合管理平台（Infovision PVIA (DN)</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二、监控联网运维</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三类监控联网平台运维</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要求已经完成接入的三类监控实时图像，分布在甪直镇各宾馆、酒店、商场、医院、菜市场、小区等公共场所，需保障视频查看正常，无卡顿、无掉帧；录像调用迅速，无卡顿、无掉帧，确保平台正常运行。 </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项</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通讯链路服务</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单路节点网络传输带宽不低于50Mbps，包含三类监控联网线路，视频专网线路租用服务，服务期为一年。</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路</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448</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汇聚线路服务</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点对点光纤租用服务，服务期为一年</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路</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w:t>
            </w:r>
            <w:r>
              <w:rPr>
                <w:rFonts w:hint="eastAsia" w:ascii="宋体" w:hAnsi="宋体" w:eastAsia="宋体" w:cs="宋体"/>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三、前端设备</w:t>
            </w:r>
            <w:r>
              <w:rPr>
                <w:rFonts w:hint="eastAsia" w:ascii="宋体" w:hAnsi="宋体" w:eastAsia="宋体" w:cs="宋体"/>
                <w:b/>
                <w:bCs/>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（一）A位置</w:t>
            </w:r>
            <w:r>
              <w:rPr>
                <w:rFonts w:hint="eastAsia" w:ascii="宋体" w:hAnsi="宋体" w:eastAsia="宋体" w:cs="宋体"/>
                <w:b/>
                <w:bCs/>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bookmarkStart w:id="2" w:name="_Hlk113270526"/>
            <w:r>
              <w:rPr>
                <w:rFonts w:hint="eastAsia" w:ascii="宋体" w:hAnsi="宋体" w:eastAsia="宋体" w:cs="宋体"/>
                <w:color w:val="000000"/>
              </w:rPr>
              <w:t xml:space="preserve">多功能智能车辆感知设备</w:t>
            </w:r>
            <w:bookmarkEnd w:id="2"/>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传感器：900万像素彩色全局曝光 CMOS；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靶面尺寸：1英寸；</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支持图像分辨率4096 ×2160；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帧率25 fps；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视频编码格式：H.264/H265/MJPEG</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通讯接口2个100M/1000M 自适应RJ45 接口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触发输出：2路</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触发输入：2个</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音频接口: 1路输入，1路输出；</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补光控制：支持闪光灯或LED 频闪灯同步补光；</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支持三码流同时并发输出；</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多种触发模式：支持线圈触发、视频触发等多种触发模式。</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车辆识别功能：支持车牌识别、视频触发、车身颜色识别、车型识别、车标识别、车窗物件识别及通行车辆信息捕获；</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车牌颜色识别：支持识别蓝色、黄色、黑色、白色、绿色、红色、黄绿双拼色以及渐变绿色等车牌颜色；</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支持车道自动检测功能，可手动划定检测线，也可根据车道和停止线自动调整检测区域；</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节能补光灯</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车内人脸专用爆闪补光</w:t>
            </w:r>
            <w:r>
              <w:rPr>
                <w:rFonts w:hint="eastAsia" w:ascii="宋体" w:hAnsi="宋体" w:eastAsia="宋体" w:cs="宋体"/>
                <w:color w:val="000000"/>
              </w:rPr>
              <w:br w:type="textWrapping" w:clear="all"/>
            </w:r>
            <w:r>
              <w:rPr>
                <w:rFonts w:hint="eastAsia" w:ascii="宋体" w:hAnsi="宋体" w:eastAsia="宋体" w:cs="宋体"/>
                <w:color w:val="000000"/>
              </w:rPr>
              <w:t xml:space="preserve">闪光能量：60J；色温：5600K。回电时间：＜500ms。峰值闪光持续时间：＜0.1ms。</w:t>
            </w:r>
            <w:r>
              <w:rPr>
                <w:rFonts w:hint="eastAsia" w:ascii="宋体" w:hAnsi="宋体" w:eastAsia="宋体" w:cs="宋体"/>
                <w:color w:val="000000"/>
              </w:rPr>
              <w:br w:type="textWrapping" w:clear="all"/>
            </w:r>
            <w:r>
              <w:rPr>
                <w:rFonts w:hint="eastAsia" w:ascii="宋体" w:hAnsi="宋体" w:eastAsia="宋体" w:cs="宋体"/>
                <w:color w:val="000000"/>
              </w:rPr>
              <w:t xml:space="preserve">工作寿命：300万次。触发方式：电平，+5VDC。覆盖范围:3m～4m@10m处。</w:t>
            </w:r>
            <w:r>
              <w:rPr>
                <w:rFonts w:hint="eastAsia" w:ascii="宋体" w:hAnsi="宋体" w:eastAsia="宋体" w:cs="宋体"/>
                <w:color w:val="000000"/>
              </w:rPr>
              <w:br w:type="textWrapping" w:clear="all"/>
            </w:r>
            <w:r>
              <w:rPr>
                <w:rFonts w:hint="eastAsia" w:ascii="宋体" w:hAnsi="宋体" w:eastAsia="宋体" w:cs="宋体"/>
                <w:color w:val="000000"/>
              </w:rPr>
              <w:t xml:space="preserve">有效补光距离:10m～16m。电压:154VAC～265VAC； </w:t>
            </w:r>
            <w:r>
              <w:rPr>
                <w:rFonts w:hint="eastAsia" w:ascii="宋体" w:hAnsi="宋体" w:eastAsia="宋体" w:cs="宋体"/>
                <w:color w:val="000000"/>
              </w:rPr>
              <w:br w:type="textWrapping" w:clear="all"/>
            </w:r>
            <w:r>
              <w:rPr>
                <w:rFonts w:hint="eastAsia" w:ascii="宋体" w:hAnsi="宋体" w:eastAsia="宋体" w:cs="宋体"/>
                <w:color w:val="000000"/>
              </w:rPr>
              <w:t xml:space="preserve">频率:48Hz～52Hz。</w:t>
            </w:r>
            <w:r>
              <w:rPr>
                <w:rFonts w:hint="eastAsia" w:ascii="宋体" w:hAnsi="宋体" w:eastAsia="宋体" w:cs="宋体"/>
                <w:color w:val="000000"/>
              </w:rPr>
              <w:br w:type="textWrapping" w:clear="all"/>
            </w:r>
            <w:r>
              <w:rPr>
                <w:rFonts w:hint="eastAsia" w:ascii="宋体" w:hAnsi="宋体" w:eastAsia="宋体" w:cs="宋体"/>
                <w:color w:val="000000"/>
              </w:rPr>
              <w:t xml:space="preserve">功耗:平均16W（@1闪/s）。</w:t>
            </w:r>
            <w:r>
              <w:rPr>
                <w:rFonts w:hint="eastAsia" w:ascii="宋体" w:hAnsi="宋体" w:eastAsia="宋体" w:cs="宋体"/>
                <w:color w:val="000000"/>
              </w:rPr>
              <w:br w:type="textWrapping" w:clear="all"/>
            </w:r>
            <w:r>
              <w:rPr>
                <w:rFonts w:hint="eastAsia" w:ascii="宋体" w:hAnsi="宋体" w:eastAsia="宋体" w:cs="宋体"/>
                <w:color w:val="000000"/>
              </w:rPr>
              <w:t xml:space="preserve">功能特性：白光闪光灯,覆盖1车道,220VAC,3m～4m@10m处,同时支持电平量或开关量触发</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多功能智能人像感知设备</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传感器：400万像素CMOS传感器；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内置双镜头：</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通道1靶面尺寸：1/1.8＂；通道2靶面尺寸：1/2.7＂</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通道1焦距范围：8-32mm；通道2焦距：4mm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最低彩色照度0.0002 lx，最低黑白照度0.0001 lx；</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宽动态能力：120dB；</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内置GPU芯片；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采用金属外壳。</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内置2个麦克风、1个扬声器，支持双向语音对讲。</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支持MD5、SHA256加密算法。</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内置4颗混合补光灯，每颗灯由红外灯、白光灯组成，在开启白光灯或混合补光灯时，可输出彩色视频图像。</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38</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千兆光口工业交换机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交换容量128Gbps，包转发率20Mpps；8*千兆电口+2*千兆光口；</w:t>
            </w:r>
            <w:r>
              <w:rPr>
                <w:rFonts w:hint="eastAsia" w:ascii="宋体" w:hAnsi="宋体" w:eastAsia="宋体" w:cs="宋体"/>
                <w:color w:val="000000"/>
              </w:rPr>
              <w:br w:type="textWrapping" w:clear="all"/>
            </w:r>
            <w:r>
              <w:rPr>
                <w:rFonts w:hint="eastAsia" w:ascii="宋体" w:hAnsi="宋体" w:eastAsia="宋体" w:cs="宋体"/>
                <w:color w:val="000000"/>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000000"/>
              </w:rPr>
              <w:br w:type="textWrapping" w:clear="all"/>
            </w:r>
            <w:r>
              <w:rPr>
                <w:rFonts w:hint="eastAsia" w:ascii="宋体" w:hAnsi="宋体" w:eastAsia="宋体" w:cs="宋体"/>
                <w:color w:val="000000"/>
              </w:rPr>
              <w:t xml:space="preserve">供电方式：直流双路冗余供电，本次配置单路适配器；</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21</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功能：网络/电源；</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传输速率：1000Mbps；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SPD端口：两端口；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SPD类别：组合型；</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额定电压：220V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lmax持续运行电压：275V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保护水平：1150V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额定负载电流：1A；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响应时间：≤25ns；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网络信号电涌保护特性：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持续运行电压：8V；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保护水平：150V;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响应时间：≤1ns；</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42</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DC12V电源适配器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输入规格:AC176V~260V，50Hz，0.8A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输出规格:DC12V/2A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输入效率85.00%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负载调整率:±5%</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纹波/噪声:150mVp-p</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输出功率:24W Max</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42</w:t>
            </w:r>
            <w:r>
              <w:rPr>
                <w:rFonts w:hint="eastAsia" w:ascii="宋体" w:hAnsi="宋体" w:eastAsia="宋体" w:cs="宋体"/>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（二）B位置</w:t>
            </w:r>
            <w:r>
              <w:rPr>
                <w:rFonts w:hint="eastAsia" w:ascii="宋体" w:hAnsi="宋体" w:eastAsia="宋体" w:cs="宋体"/>
                <w:b/>
                <w:bCs/>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多功能智能车辆感知设备</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传感器：900万像素彩色全局曝光 CMOS；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靶面尺寸：1英寸；</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支持图像分辨率4096 ×2160；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帧率25 fps；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视频编码格式：H.264/H265/MJPEG</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通讯接口2个100M/1000M 自适应RJ45 接口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触发输出：2路</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触发输入：2个</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音频接口: 1路输入，1路输出；</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补光控制：支持闪光灯或LED 频闪灯同步补光；</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支持三码流同时并发输出；</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多种触发模式：支持线圈触发、视频触发等多种触发模式。</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车辆识别功能：支持车牌识别、视频触发、车身颜色识别、车型识别、车标识别、车窗物件识别及通行车辆信息捕获；</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车牌颜色识别：支持识别蓝色、黄色、黑色、白色、绿色、红色、黄绿双拼色以及渐变绿色等车牌颜色；</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支持车道自动检测功能，可手动划定检测线，也可根据车道和停止线自动调整检测区域；</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节能补光灯</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车内人脸专用爆闪补光</w:t>
            </w:r>
            <w:r>
              <w:rPr>
                <w:rFonts w:hint="eastAsia" w:ascii="宋体" w:hAnsi="宋体" w:eastAsia="宋体" w:cs="宋体"/>
                <w:color w:val="000000"/>
              </w:rPr>
              <w:br w:type="textWrapping" w:clear="all"/>
            </w:r>
            <w:r>
              <w:rPr>
                <w:rFonts w:hint="eastAsia" w:ascii="宋体" w:hAnsi="宋体" w:eastAsia="宋体" w:cs="宋体"/>
                <w:color w:val="000000"/>
              </w:rPr>
              <w:t xml:space="preserve">闪光能量：60J；色温：5600K。回电时间：＜500ms。峰值闪光持续时间：＜0.1ms。</w:t>
            </w:r>
            <w:r>
              <w:rPr>
                <w:rFonts w:hint="eastAsia" w:ascii="宋体" w:hAnsi="宋体" w:eastAsia="宋体" w:cs="宋体"/>
                <w:color w:val="000000"/>
              </w:rPr>
              <w:br w:type="textWrapping" w:clear="all"/>
            </w:r>
            <w:r>
              <w:rPr>
                <w:rFonts w:hint="eastAsia" w:ascii="宋体" w:hAnsi="宋体" w:eastAsia="宋体" w:cs="宋体"/>
                <w:color w:val="000000"/>
              </w:rPr>
              <w:t xml:space="preserve">工作寿命：300万次。触发方式：电平，+5VDC。覆盖范围:3m～4m@10m处。</w:t>
            </w:r>
            <w:r>
              <w:rPr>
                <w:rFonts w:hint="eastAsia" w:ascii="宋体" w:hAnsi="宋体" w:eastAsia="宋体" w:cs="宋体"/>
                <w:color w:val="000000"/>
              </w:rPr>
              <w:br w:type="textWrapping" w:clear="all"/>
            </w:r>
            <w:r>
              <w:rPr>
                <w:rFonts w:hint="eastAsia" w:ascii="宋体" w:hAnsi="宋体" w:eastAsia="宋体" w:cs="宋体"/>
                <w:color w:val="000000"/>
              </w:rPr>
              <w:t xml:space="preserve">有效补光距离:10m～16m。电压:154VAC～265VAC； </w:t>
            </w:r>
            <w:r>
              <w:rPr>
                <w:rFonts w:hint="eastAsia" w:ascii="宋体" w:hAnsi="宋体" w:eastAsia="宋体" w:cs="宋体"/>
                <w:color w:val="000000"/>
              </w:rPr>
              <w:br w:type="textWrapping" w:clear="all"/>
            </w:r>
            <w:r>
              <w:rPr>
                <w:rFonts w:hint="eastAsia" w:ascii="宋体" w:hAnsi="宋体" w:eastAsia="宋体" w:cs="宋体"/>
                <w:color w:val="000000"/>
              </w:rPr>
              <w:t xml:space="preserve">频率:48Hz～52Hz。</w:t>
            </w:r>
            <w:r>
              <w:rPr>
                <w:rFonts w:hint="eastAsia" w:ascii="宋体" w:hAnsi="宋体" w:eastAsia="宋体" w:cs="宋体"/>
                <w:color w:val="000000"/>
              </w:rPr>
              <w:br w:type="textWrapping" w:clear="all"/>
            </w:r>
            <w:r>
              <w:rPr>
                <w:rFonts w:hint="eastAsia" w:ascii="宋体" w:hAnsi="宋体" w:eastAsia="宋体" w:cs="宋体"/>
                <w:color w:val="000000"/>
              </w:rPr>
              <w:t xml:space="preserve">功耗:平均＜16W（@1闪/s）。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功能特性：白光闪光灯,覆盖1车道,220VAC,3m～4m@10m处,同时支持电平量或开关量触发</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多功能智能人像感知设备</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传感器：400万像素CMOS传感器；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内置双镜头：</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通道1靶面尺寸：1/1.8＂；通道2靶面尺寸：1/2.7＂</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通道1焦距范围：8-32mm；通道2焦距：4mm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最低彩色照度≤0.0002 lx，最低黑白照度≤0.0001 lx；</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宽动态能力：120dB；</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内置GPU芯片；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采用金属外壳。</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内置2个麦克风、1个扬声器，支持双向语音对讲。</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支持MD5、SHA256加密算法。</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内置4颗混合补光灯，每颗灯由红外灯、白光灯组成，在开启白光灯或混合补光灯时，可输出彩色视频图像。</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千兆光口工业交换机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交换容量128Gbps，包转发率20Mpps；8*千兆电口+2*千兆光口；</w:t>
            </w:r>
            <w:r>
              <w:rPr>
                <w:rFonts w:hint="eastAsia" w:ascii="宋体" w:hAnsi="宋体" w:eastAsia="宋体" w:cs="宋体"/>
                <w:color w:val="000000"/>
              </w:rPr>
              <w:br w:type="textWrapping" w:clear="all"/>
            </w:r>
            <w:r>
              <w:rPr>
                <w:rFonts w:hint="eastAsia" w:ascii="宋体" w:hAnsi="宋体" w:eastAsia="宋体" w:cs="宋体"/>
                <w:color w:val="000000"/>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000000"/>
              </w:rPr>
              <w:br w:type="textWrapping" w:clear="all"/>
            </w:r>
            <w:r>
              <w:rPr>
                <w:rFonts w:hint="eastAsia" w:ascii="宋体" w:hAnsi="宋体" w:eastAsia="宋体" w:cs="宋体"/>
                <w:color w:val="000000"/>
              </w:rPr>
              <w:t xml:space="preserve">供电方式：直流双路冗余供电，本次配置单路适配器；</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功能：网络/电源；</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传输速率：1000Mbps；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SPD端口：两端口；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SPD类别：组合型；</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额定电压：220V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lmax持续运行电压：275V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保护水平：1150V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额定负载电流：1A；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响应时间：≤25ns；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网络信号电涌保护特性：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持续运行电压：8V；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保护水平：150V;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响应时间：≤1ns；</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DC12V电源适配器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输入规格:AC176V~260V，50Hz，0.8A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输出规格:DC12V/2A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输入效率85.00%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负载调整率:±5%</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纹波/噪声:150mVp-p</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输出功率:24W Max</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（三）C位置</w:t>
            </w:r>
            <w:r>
              <w:rPr>
                <w:rFonts w:hint="eastAsia" w:ascii="宋体" w:hAnsi="宋体" w:eastAsia="宋体" w:cs="宋体"/>
                <w:b/>
                <w:bCs/>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多功能智能人像感知设备</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传感器：400万像素CMOS传感器；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内置双镜头：</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通道1靶面尺寸：1/1.8＂；通道2靶面尺寸：1/2.7＂</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通道1焦距范围：8-32mm；通道2焦距：4mm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最低彩色照度0.0002 lx，最低黑白照度0.0001 lx；</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宽动态能力：120dB；</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内置GPU芯片；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采用金属外壳。</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内置2个麦克风、1个扬声器，支持双向语音对讲。</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支持MD5、SHA256加密算法。</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内置4颗混合补光灯，每颗灯由红外灯、白光灯组成，在开启白光灯或混合补光灯时，可输出彩色视频图像。</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专业全景摄像机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传感器：400万像素CMOS传感器；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靶面尺寸：1/1.8＂；</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焦距范围：焦距：全景2.8~12 mm；细节5.9~147.5 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最低彩色照度0.0005 lx，最低黑白照度0.0001 lx；</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宽动态：106dB；</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光学变倍：全景4倍；细节25倍；</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补光距离：全景：全彩30 m；细节：红外250 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细节通道水平旋转范围0~360°连续旋转，垂直旋转范围-20°~90°；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摄像机内置不少于2个镜头，可输出至少一路全景视频和一路细节视频，其中全景路内置1个镜头，细节路内置1个镜头；</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内置GPU芯片；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全景路视频图像分辨率不小于2560 × 1440，细节路视频图像分辨率不小于2560x1440</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千兆光口工业交换机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交换容量128Gbps，包转发率20Mpps；8*千兆电口+2*千兆光口；</w:t>
            </w:r>
            <w:r>
              <w:rPr>
                <w:rFonts w:hint="eastAsia" w:ascii="宋体" w:hAnsi="宋体" w:eastAsia="宋体" w:cs="宋体"/>
                <w:color w:val="000000"/>
              </w:rPr>
              <w:br w:type="textWrapping" w:clear="all"/>
            </w:r>
            <w:r>
              <w:rPr>
                <w:rFonts w:hint="eastAsia" w:ascii="宋体" w:hAnsi="宋体" w:eastAsia="宋体" w:cs="宋体"/>
                <w:color w:val="000000"/>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000000"/>
              </w:rPr>
              <w:br w:type="textWrapping" w:clear="all"/>
            </w:r>
            <w:r>
              <w:rPr>
                <w:rFonts w:hint="eastAsia" w:ascii="宋体" w:hAnsi="宋体" w:eastAsia="宋体" w:cs="宋体"/>
                <w:color w:val="000000"/>
              </w:rPr>
              <w:t xml:space="preserve">供电方式：直流双路冗余供电，本次配置单路适配器；</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45</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汇聚交换机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交换容量736Gbps，包转发率222Mpps</w:t>
            </w:r>
            <w:r>
              <w:rPr>
                <w:rFonts w:hint="eastAsia" w:ascii="宋体" w:hAnsi="宋体" w:eastAsia="宋体" w:cs="宋体"/>
                <w:color w:val="000000"/>
              </w:rPr>
              <w:br w:type="textWrapping" w:clear="all"/>
            </w:r>
            <w:r>
              <w:rPr>
                <w:rFonts w:hint="eastAsia" w:ascii="宋体" w:hAnsi="宋体" w:eastAsia="宋体" w:cs="宋体"/>
                <w:color w:val="000000"/>
              </w:rPr>
              <w:t xml:space="preserve">配件要求；配置双电源，双风扇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端口要求；实配100/1000Base-T以太网口24个，combo 1000Base-X光接口8个，1/10 GE 光接口4个，扩展插槽1个，支持未来扩展2端口40G接口或8端口万兆光接口；支持VxLAN  支持二层/三层VxLAN，；支持802.1ae Macsec安全加密，实现MAC层安全加密，包括用户数据加密、数据帧完整性检查及数据源真实性校验，无需软件授权。有线无线一体化，支持融合AC功能，支持无线控制器功能；安全插卡 支持FW安全插卡。</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功能：网络/电源；</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传输速率：1000Mbps；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SPD端口：两端口；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SPD类别：组合型；</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额定电压：220V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lmax持续运行电压：275V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保护水平：1150V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额定负载电流：1A；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响应时间：≤25ns；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网络信号电涌保护特性：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持续运行电压：8V；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保护水平：150V;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响应时间：≤1ns；</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86</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DC12V电源适配器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输入规格:AC176V~260V，50Hz，0.8A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输出规格:DC12V/2A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输入效率85.00%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负载调整率:±5%</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纹波/噪声:150mVp-p</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输出功率:24W Max</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86</w:t>
            </w:r>
            <w:r>
              <w:rPr>
                <w:rFonts w:hint="eastAsia" w:ascii="宋体" w:hAnsi="宋体" w:eastAsia="宋体" w:cs="宋体"/>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（四）D位置</w:t>
            </w:r>
            <w:r>
              <w:rPr>
                <w:rFonts w:hint="eastAsia" w:ascii="宋体" w:hAnsi="宋体" w:eastAsia="宋体" w:cs="宋体"/>
                <w:b/>
                <w:bCs/>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低照度人像卡口</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传感器：800万像素CMOS传感器；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靶面尺寸：1/1.8＂；</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焦距范围：11-40mm；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最低彩色照度0.0002 lx，最低黑白照度0.0001 lx；</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宽动态能力：120dB；</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内置GPU芯片；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采用金属外壳</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内置混合补光灯，可对红外灯及白光灯功率进行调节。</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需具有22路取流路数能力，以满足更多用户同时在线访问摄像机视频。</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检出两眼瞳距20像素点以上的人脸图片。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支持单场景同时检出30张人脸图片，并支持面部跟踪。</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人脸检出率不小于99%。</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支持人脸抓拍、人体检测、人脸人体检测三种模式。</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43</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低照度星光球机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传感器：400万像素CMOS传感器；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靶面尺寸：1/1.8＂；</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焦距范围：6~150 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最低彩色照度0.0002 lx，最低黑白照度0.0001 lx；</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宽动态：120dB；</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光学变倍：25倍；</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补光距离：红外200 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内置GPU芯片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细节通道水平旋转范围0~360°连续旋转，垂直旋转范围-20°~90°；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摄像机内置两个图像传感器，可分别输出黑白视频图像和彩色视频图像，并可对这两路视频图像进行融合输出；</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视频图像分辨率与帧率不小于2560×1440、25帧/秒;</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设备可对监控画面中不小于30个人脸进行检测、跟踪和抓拍;</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智能AI双舱人像一体机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传感器：400万像素CMOS传感器；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内置2个CMOS图像传感器：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通道1靶面尺寸：1/1.8＂；通道2靶面尺寸：1/1.8＂</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通道1焦距范围：8-32mm；通道2焦距：8-32mm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最低彩色照度≤0.0002 lx，最低黑白照度≤0.0001 lx；</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内置2颗GPU芯片，2个麦克风，1个扬声器。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设备双通道均具有2颗远光混合补光灯和2颗近光补光灯，开启补光灯后，可采集2路彩色视频图像。</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可输出2个通道画面，通道1和通道2的码流分辨率均不小于2560*1440。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双通道均支持PT一体化云台，通道1和通道2的云台应可独立控制，可通过IE浏览器或客户端远程调节PT位置以实现监控场景的切换。</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功能：网络/电源；</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传输速率：1000Mbps；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SPD端口：两端口；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SPD类别：组合型；</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额定电压：220V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lmax持续运行电压：275V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保护水平：1150V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额定负载电流：1A；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响应时间：≤25ns；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网络信号电涌保护特性：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持续运行电压：8V；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保护水平：150V;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响应时间：≤1ns；</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42</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DC12V电源适配器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输入规格:AC176V~260V，50Hz，0.8A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输出规格:DC12V/2A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输入效率85.00%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负载调整率:±5%</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纹波/噪声:150mVp-p</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输出功率:24W Max</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42</w:t>
            </w:r>
            <w:r>
              <w:rPr>
                <w:rFonts w:hint="eastAsia" w:ascii="宋体" w:hAnsi="宋体" w:eastAsia="宋体" w:cs="宋体"/>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（五）E位置</w:t>
            </w:r>
            <w:r>
              <w:rPr>
                <w:rFonts w:hint="eastAsia" w:ascii="宋体" w:hAnsi="宋体" w:eastAsia="宋体" w:cs="宋体"/>
                <w:b/>
                <w:bCs/>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多功能智能人像感知设备</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传感器：400万像素CMOS传感器；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内置双镜头：</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通道1靶面尺寸：1/1.8＂；通道2靶面尺寸：1/2.7＂</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通道1焦距范围：8-32mm；通道2焦距：4mm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最低彩色照度0.0002 lx，最低黑白照度0.0001 lx；</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宽动态能力：120dB；</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内置GPU芯片；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采用金属外壳。</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内置2个麦克风、1个扬声器，支持双向语音对讲。</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支持MD5、SHA256加密算法。</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内置4颗混合补光灯，每颗灯由红外灯、白光灯组成，在开启白光灯或混合补光灯时，可输出彩色视频图像。</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支持检出两眼瞳距20像素点以上的人脸图片。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支持人脸比对，比对准确率不低于99%。</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支持侧脸过滤功能，可过滤上下、左右角度达到预设值的人脸。</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专业全景摄像机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传感器：400万像素CMOS传感器；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靶面尺寸：1/1.8＂；</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焦距范围：焦距：全景2.8~12 mm；细节5.9~147.5 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最低彩色照度0.0005 lx，最低黑白照度0.0001 lx；</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宽动态：106dB；</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光学变倍：全景4倍；细节25倍；</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补光距离：全景：全彩30 m；细节：红外250 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细节通道水平旋转范围0~360°连续旋转，垂直旋转范围-20°~90°；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摄像机内置不少于2个镜头，可输出至少一路全景视频和一路细节视频，其中全景路内置1个镜头，细节路内置1个镜头；</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内置GPU芯片；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全景路视频图像分辨率不小于2560 × 1440，细节路视频图像分辨率不小于2560x1440</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千兆光口工业交换机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交换容量128Gbps，包转发率20Mpps；8*千兆电口+2*千兆光口；</w:t>
            </w:r>
            <w:r>
              <w:rPr>
                <w:rFonts w:hint="eastAsia" w:ascii="宋体" w:hAnsi="宋体" w:eastAsia="宋体" w:cs="宋体"/>
                <w:color w:val="000000"/>
              </w:rPr>
              <w:br w:type="textWrapping" w:clear="all"/>
            </w:r>
            <w:r>
              <w:rPr>
                <w:rFonts w:hint="eastAsia" w:ascii="宋体" w:hAnsi="宋体" w:eastAsia="宋体" w:cs="宋体"/>
                <w:color w:val="000000"/>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000000"/>
              </w:rPr>
              <w:br w:type="textWrapping" w:clear="all"/>
            </w:r>
            <w:r>
              <w:rPr>
                <w:rFonts w:hint="eastAsia" w:ascii="宋体" w:hAnsi="宋体" w:eastAsia="宋体" w:cs="宋体"/>
                <w:color w:val="000000"/>
              </w:rPr>
              <w:t xml:space="preserve">供电方式：直流双路冗余供电，本次配置单路适配器；</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功能：网络/电源；</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传输速率：1000Mbps；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SPD端口：两端口；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SPD类别：组合型；</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额定电压：220V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lmax持续运行电压：275V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保护水平：1150V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额定负载电流：1A；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响应时间：≤25ns；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网络信号电涌保护特性：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持续运行电压：8V；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保护水平：150V;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响应时间：≤1ns；</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DC12V电源适配器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输入规格:AC176V~260V，50Hz，0.8A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输出规格:DC12V/2A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输入效率85.00%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负载调整率:±5%</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纹波/噪声:150mVp-p</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输出功率:24W Max</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（六）E-1位置</w:t>
            </w:r>
            <w:r>
              <w:rPr>
                <w:rFonts w:hint="eastAsia" w:ascii="宋体" w:hAnsi="宋体" w:eastAsia="宋体" w:cs="宋体"/>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A前端部分</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bookmarkStart w:id="3" w:name="OLE_LINK3"/>
            <w:r>
              <w:rPr>
                <w:rFonts w:hint="eastAsia" w:ascii="宋体" w:hAnsi="宋体" w:eastAsia="宋体" w:cs="宋体"/>
                <w:color w:val="000000"/>
              </w:rPr>
              <w:t xml:space="preserve">多功能智能人像感知设备</w:t>
            </w:r>
            <w:bookmarkEnd w:id="3"/>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传感器：400万像素CMOS传感器；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内置双镜头：</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通道1靶面尺寸：1/1.8＂；通道2靶面尺寸：1/2.7＂</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通道1焦距范围：8-32mm；通道2焦距：4mm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最低彩色照度0.0002 lx，最低黑白照度0.0001 lx；</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宽动态能力：120dB；</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内置GPU芯片；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采用金属外壳。</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内置2个麦克风、1个扬声器，支持双向语音对讲。</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支持MD5、SHA256加密算法。</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内置4颗混合补光灯，每颗灯由红外灯、白光灯组成，在开启白光灯或混合补光灯时，可输出彩色视频图像。</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千兆光口工业交换机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交换容量128Gbps，包转发率20Mpps；8*千兆电口+2*千兆光口；</w:t>
            </w:r>
            <w:r>
              <w:rPr>
                <w:rFonts w:hint="eastAsia" w:ascii="宋体" w:hAnsi="宋体" w:eastAsia="宋体" w:cs="宋体"/>
                <w:color w:val="000000"/>
              </w:rPr>
              <w:br w:type="textWrapping" w:clear="all"/>
            </w:r>
            <w:r>
              <w:rPr>
                <w:rFonts w:hint="eastAsia" w:ascii="宋体" w:hAnsi="宋体" w:eastAsia="宋体" w:cs="宋体"/>
                <w:color w:val="000000"/>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000000"/>
              </w:rPr>
              <w:br w:type="textWrapping" w:clear="all"/>
            </w:r>
            <w:r>
              <w:rPr>
                <w:rFonts w:hint="eastAsia" w:ascii="宋体" w:hAnsi="宋体" w:eastAsia="宋体" w:cs="宋体"/>
                <w:color w:val="000000"/>
              </w:rPr>
              <w:t xml:space="preserve">供电方式：直流双路冗余供电，本次配置单路适配器；</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功能：网络/电源；</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传输速率：1000Mbps；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SPD端口：两端口；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SPD类别：组合型；</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额定电压：220V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lmax持续运行电压：275V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保护水平：1150V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额定负载电流：1A；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响应时间：≤25ns；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网络信号电涌保护特性：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持续运行电压：8V；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保护水平：150V;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响应时间：≤1ns；</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DC12V电源适配器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输入规格:AC176V~260V，50Hz，0.8A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输出规格:DC12V/2A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输入效率85.00%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负载调整率:±5%</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纹波/噪声:150mVp-p</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输出功率:24W Max</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（七）全镇某行业场所门口</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高变焦800万室外微光结构化相机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内置GPU处理器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传感器类型：1/1.8英寸CMOS；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像素：800万；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最大分辨率：3840×2160；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最低照度：0.0002Lux（彩色模式）；0.0001Lux（黑白模式）；0Lux（补光灯开启）；</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最大补光距离：50m（人脸检测距离）80m（视频监控距离）；</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镜头类型：电动变焦；</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镜头焦距：8-56mm；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人脸检测：支持人脸检测；支持跟踪；支持优选；支持抓拍；支持上报最优的人脸抓图；支持人脸增强，支持人脸曝光；支持人脸属性提取，支持6种属性8种表情：性别，年龄，眼镜，表情</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30</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中变焦400万室外低照度结构化相机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内置GPU处理器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bookmarkStart w:id="4" w:name="OLE_LINK4"/>
            <w:r>
              <w:rPr>
                <w:rFonts w:hint="eastAsia" w:ascii="宋体" w:hAnsi="宋体" w:eastAsia="宋体" w:cs="宋体"/>
                <w:color w:val="000000"/>
              </w:rPr>
              <w:t xml:space="preserve">传感器类型：1/1.8英寸CMOS；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像素：400万；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最大分辨率：2688 × 1520；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最低照度：0.001Lux（彩色模式）；0.0001Lux（黑白模式）；0Lux（补光灯开启）；</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最大补光距离：120m（红外）；</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镜头类型：电动变焦；</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镜头焦距：3.5-12mm；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人脸检测：支持人脸检测；支持跟踪；支持优选；支持抓拍；支持上报最优的人脸抓图；支持人脸增强，支持人脸曝光；</w:t>
            </w:r>
            <w:bookmarkEnd w:id="4"/>
            <w:r>
              <w:rPr>
                <w:rFonts w:hint="eastAsia" w:ascii="宋体" w:hAnsi="宋体" w:eastAsia="宋体" w:cs="宋体"/>
                <w:color w:val="000000"/>
              </w:rPr>
              <w:t xml:space="preserve">支持人脸属性提取，支持6种属性8种表情：性别，年龄，眼镜，表情</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存储服务器</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主处理器：工业级嵌入式微控制器；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操作系统：嵌入式Linux操作系统；</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接入路数：64路；</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硬盘接口：16个，SATA3.0，单盘最大16T；</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网络带宽：400Mbps接入、400Mbps存储、400Mbps转发；</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分辨率：24MP/16MP/12MP/8MP/6MP/5MP/4MP/3MP/1080P/720P；</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解码能力：1路24MP/2路16MP/5路12MP (20fps)/6路12MP (15fps)/5路8MP (30fps)/10路8MP (15fps)/6路6MP(30fps)/8路5MP(30fps)/9路5MP (25fps)/10路4MP (30fps)/15路4MP (20fps)/16路3MP (25fps)/10路1080P (60fps)/20路1080P (30fps)/30路720P (30fps)；</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监控专用硬盘</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6TB SATA3.0接口 3.5寸监控专用存储硬盘</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bl>
    <w:p>
      <w:pPr>
        <w:pStyle w:val="853"/>
        <w:ind w:left="0"/>
        <w:spacing w:line="360" w:lineRule="auto"/>
        <w:widowControl w:val="off"/>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r>
      <w:r/>
    </w:p>
    <w:p>
      <w:pPr>
        <w:pStyle w:val="853"/>
        <w:ind w:left="0"/>
        <w:spacing w:line="360" w:lineRule="auto"/>
        <w:widowControl w:val="off"/>
        <w:rPr>
          <w:rFonts w:hint="eastAsia" w:ascii="宋体" w:hAnsi="宋体" w:eastAsia="宋体" w:cs="宋体"/>
          <w:color w:val="000000"/>
          <w:sz w:val="21"/>
          <w:szCs w:val="21"/>
        </w:rPr>
        <w:outlineLvl w:val="1"/>
      </w:pPr>
      <w:r>
        <w:rPr>
          <w:rFonts w:hint="eastAsia" w:ascii="宋体" w:hAnsi="宋体" w:eastAsia="宋体" w:cs="宋体"/>
          <w:color w:val="000000"/>
          <w:sz w:val="21"/>
          <w:szCs w:val="21"/>
        </w:rPr>
        <w:t xml:space="preserve">9.某大型园区内部与周边人像抓拍系统</w:t>
      </w:r>
      <w:r>
        <w:rPr>
          <w:rFonts w:hint="eastAsia" w:ascii="宋体" w:hAnsi="宋体" w:eastAsia="宋体" w:cs="宋体"/>
          <w:color w:val="000000"/>
          <w:sz w:val="21"/>
          <w:szCs w:val="21"/>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6"/>
        <w:gridCol w:w="1860"/>
        <w:gridCol w:w="5334"/>
        <w:gridCol w:w="667"/>
        <w:gridCol w:w="749"/>
      </w:tblGrid>
      <w:tr>
        <w:trPr>
          <w:tblHeader/>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维护部位、名称</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5334" w:type="dxa"/>
            <w:vAlign w:val="center"/>
            <w:textDirection w:val="lrTb"/>
            <w:noWrap/>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品牌规格或维护要求</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单位</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749" w:type="dxa"/>
            <w:vAlign w:val="center"/>
            <w:textDirection w:val="lrTb"/>
            <w:noWrap/>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数量</w:t>
            </w:r>
            <w:r>
              <w:rPr>
                <w:rFonts w:hint="eastAsia" w:ascii="宋体" w:hAnsi="宋体" w:eastAsia="宋体" w:cs="宋体"/>
                <w:b/>
                <w:bCs/>
                <w:color w:val="000000"/>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多功能智能人像感知设备</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334"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传感器类型：1/1.8英寸CMOS；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像素：400万；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最大补光距离：120m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镜头类型：电动变焦；</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镜头焦距：3.5-12mm；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人脸检测：支持人脸检测；支持跟踪；支持优选；支持抓拍；支持上报最优的人脸抓图；支持人脸增强，支持人脸曝光；</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抱杆设备箱</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334"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国产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壁装抱杆箱，含设备安装塑料底板、电源分配器及保护装置、抱箍等，</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334"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国产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摄像机配套供电适配器12-2A</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118</w:t>
            </w:r>
            <w:r>
              <w:rPr>
                <w:rFonts w:hint="eastAsia" w:ascii="宋体" w:hAnsi="宋体" w:eastAsia="宋体" w:cs="宋体"/>
                <w:color w:val="000000"/>
              </w:rPr>
            </w:r>
            <w:r/>
          </w:p>
        </w:tc>
      </w:tr>
    </w:tbl>
    <w:p>
      <w:pPr>
        <w:pStyle w:val="853"/>
        <w:ind w:left="0"/>
        <w:spacing w:line="360" w:lineRule="auto"/>
        <w:widowControl w:val="off"/>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r>
      <w:r/>
    </w:p>
    <w:p>
      <w:pPr>
        <w:pStyle w:val="853"/>
        <w:ind w:left="0"/>
        <w:spacing w:line="360" w:lineRule="auto"/>
        <w:widowControl w:val="off"/>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10.</w:t>
      </w:r>
      <w:bookmarkStart w:id="5" w:name="OLE_LINK8"/>
      <w:r>
        <w:rPr>
          <w:rFonts w:hint="eastAsia" w:ascii="宋体" w:hAnsi="宋体" w:eastAsia="宋体" w:cs="宋体"/>
          <w:b/>
          <w:bCs/>
          <w:color w:val="000000"/>
          <w:sz w:val="21"/>
          <w:szCs w:val="21"/>
        </w:rPr>
        <w:t xml:space="preserve">全镇道路监控：</w:t>
      </w:r>
      <w:r>
        <w:rPr>
          <w:rFonts w:hint="eastAsia" w:ascii="宋体" w:hAnsi="宋体" w:eastAsia="宋体" w:cs="宋体"/>
          <w:b/>
          <w:bCs/>
          <w:color w:val="000000"/>
          <w:sz w:val="21"/>
          <w:szCs w:val="21"/>
        </w:rPr>
      </w:r>
      <w:r/>
    </w:p>
    <w:p>
      <w:pPr>
        <w:pStyle w:val="853"/>
        <w:ind w:left="0"/>
        <w:spacing w:line="360" w:lineRule="auto"/>
        <w:widowControl w:val="off"/>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道路治安监控维护A  </w:t>
      </w:r>
      <w:bookmarkEnd w:id="5"/>
      <w:r>
        <w:rPr>
          <w:rFonts w:hint="eastAsia" w:ascii="宋体" w:hAnsi="宋体" w:eastAsia="宋体" w:cs="宋体"/>
          <w:b/>
          <w:bCs/>
          <w:color w:val="000000"/>
          <w:sz w:val="21"/>
          <w:szCs w:val="21"/>
        </w:rPr>
        <w:t xml:space="preserve"> 2015-2017年竣工投入使用（已扣除拆迁与修路拆除数量）</w:t>
      </w:r>
      <w:r>
        <w:rPr>
          <w:rFonts w:hint="eastAsia" w:ascii="宋体" w:hAnsi="宋体" w:eastAsia="宋体" w:cs="宋体"/>
          <w:b/>
          <w:bCs/>
          <w:color w:val="000000"/>
          <w:sz w:val="21"/>
          <w:szCs w:val="21"/>
        </w:rPr>
      </w:r>
      <w:r/>
    </w:p>
    <w:tbl>
      <w:tblPr>
        <w:tblW w:w="927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6"/>
        <w:gridCol w:w="1860"/>
        <w:gridCol w:w="5211"/>
        <w:gridCol w:w="750"/>
        <w:gridCol w:w="709"/>
      </w:tblGrid>
      <w:tr>
        <w:trPr>
          <w:tblHeader/>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b/>
                <w:bCs/>
                <w:color w:val="000000"/>
              </w:rPr>
            </w:pPr>
            <w:r/>
            <w:bookmarkStart w:id="6" w:name="OLE_LINK2"/>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维护部位、名称</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5211" w:type="dxa"/>
            <w:vAlign w:val="center"/>
            <w:textDirection w:val="lrTb"/>
            <w:noWrap/>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品牌规格或维护要求</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单位</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数量</w:t>
            </w:r>
            <w:r>
              <w:rPr>
                <w:rFonts w:hint="eastAsia" w:ascii="宋体" w:hAnsi="宋体" w:eastAsia="宋体" w:cs="宋体"/>
                <w:b/>
                <w:bCs/>
                <w:color w:val="000000"/>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室外网络高清球机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211"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科达、大华</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星光级1080P网络高清球型摄像机，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抱杆设备箱</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211"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国产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壁装抱杆箱，含设备安装塑料底板、电源分配器及保护装置、抱箍等，</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球机安装杆件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211"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国产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球机室外安装6米立杆、支架等组件，含杆件、预埋基础、防雷接地等</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220</w:t>
            </w:r>
            <w:r>
              <w:rPr>
                <w:rFonts w:hint="eastAsia" w:ascii="宋体" w:hAnsi="宋体" w:eastAsia="宋体" w:cs="宋体"/>
                <w:color w:val="000000"/>
              </w:rPr>
            </w:r>
            <w:r/>
          </w:p>
        </w:tc>
      </w:tr>
      <w:tr>
        <w:trPr>
          <w:trHeight w:val="639"/>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防雷器</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211"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国产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百兆网络信号、电源防雷</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211"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国产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摄像机配套供电适配器</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视频存储管理服务</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211"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满足前端摄像机视频录像30天存储功能，视频管理功能</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视频数据联网共享</w:t>
            </w:r>
            <w:r>
              <w:rPr>
                <w:rFonts w:hint="eastAsia" w:ascii="宋体" w:hAnsi="宋体" w:eastAsia="宋体" w:cs="宋体"/>
                <w:color w:val="000000"/>
              </w:rPr>
            </w:r>
            <w:r/>
          </w:p>
        </w:tc>
        <w:tc>
          <w:tcPr>
            <w:shd w:val="clear" w:color="000000" w:fill="ffffff"/>
            <w:tcBorders>
              <w:top w:val="none" w:color="000000" w:sz="4" w:space="0"/>
              <w:left w:val="none" w:color="000000" w:sz="4" w:space="0"/>
              <w:bottom w:val="single" w:color="000000" w:sz="4" w:space="0"/>
              <w:right w:val="single" w:color="000000" w:sz="4" w:space="0"/>
            </w:tcBorders>
            <w:tcW w:w="5211"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按照区域公安视频管理部门要求，实现数据的上传共享服务。对本项目视频监控设备及服务设备的故障检测及设备网络安全检测、管理服务，设备的一机一档管理服务，并形成报表记录并存档。</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bl>
    <w:p>
      <w:pPr>
        <w:pStyle w:val="853"/>
        <w:ind w:left="0"/>
        <w:spacing w:line="360" w:lineRule="auto"/>
        <w:widowControl w:val="off"/>
        <w:rPr>
          <w:rFonts w:hint="eastAsia" w:ascii="宋体" w:hAnsi="宋体" w:eastAsia="宋体" w:cs="宋体"/>
          <w:b/>
          <w:bCs/>
          <w:color w:val="000000"/>
          <w:sz w:val="21"/>
          <w:szCs w:val="21"/>
        </w:rPr>
        <w:outlineLvl w:val="2"/>
      </w:pPr>
      <w:r/>
      <w:bookmarkEnd w:id="6"/>
      <w:r/>
      <w:bookmarkStart w:id="7" w:name="OLE_LINK6"/>
      <w:r>
        <w:rPr>
          <w:rFonts w:hint="eastAsia" w:ascii="宋体" w:hAnsi="宋体" w:eastAsia="宋体" w:cs="宋体"/>
          <w:b/>
          <w:bCs/>
          <w:color w:val="000000"/>
          <w:sz w:val="21"/>
          <w:szCs w:val="21"/>
        </w:rPr>
        <w:t xml:space="preserve">道路治安监控维护B  2016-2017年竣工投入使用（已扣除拆迁与修路拆除数量）</w:t>
      </w:r>
      <w:bookmarkEnd w:id="7"/>
      <w:r>
        <w:rPr>
          <w:rFonts w:hint="eastAsia" w:ascii="宋体" w:hAnsi="宋体" w:eastAsia="宋体" w:cs="宋体"/>
          <w:b/>
          <w:bCs/>
          <w:color w:val="000000"/>
          <w:sz w:val="21"/>
          <w:szCs w:val="21"/>
        </w:rPr>
      </w:r>
      <w:r/>
    </w:p>
    <w:tbl>
      <w:tblPr>
        <w:tblW w:w="914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49"/>
        <w:gridCol w:w="2249"/>
        <w:gridCol w:w="4285"/>
        <w:gridCol w:w="765"/>
        <w:gridCol w:w="1094"/>
      </w:tblGrid>
      <w:tr>
        <w:trPr>
          <w:tblHeade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维护部位、名称</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428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品牌规格或维护要求</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单位</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数量</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高清球机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28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科达IPC425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28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雷迅 SV-2/220EP</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监控电源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28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配套球机AC24电源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28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400*300*150（不锈钢）</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监控立杆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28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定制国产6-6.5M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70</w:t>
            </w:r>
            <w:r>
              <w:rPr>
                <w:rFonts w:hint="eastAsia" w:ascii="宋体" w:hAnsi="宋体" w:eastAsia="宋体" w:cs="宋体"/>
                <w:color w:val="000000"/>
              </w:rPr>
            </w:r>
            <w:r/>
          </w:p>
        </w:tc>
      </w:tr>
    </w:tbl>
    <w:p>
      <w:pPr>
        <w:pStyle w:val="853"/>
        <w:ind w:left="0"/>
        <w:spacing w:line="360" w:lineRule="auto"/>
        <w:widowControl w:val="off"/>
        <w:rPr>
          <w:rFonts w:hint="eastAsia" w:ascii="宋体" w:hAnsi="宋体" w:eastAsia="宋体" w:cs="宋体"/>
          <w:b/>
          <w:bCs/>
          <w:color w:val="000000"/>
          <w:sz w:val="21"/>
          <w:szCs w:val="21"/>
        </w:rPr>
        <w:outlineLvl w:val="1"/>
      </w:pPr>
      <w:r>
        <w:rPr>
          <w:rFonts w:hint="eastAsia" w:ascii="宋体" w:hAnsi="宋体" w:eastAsia="宋体" w:cs="宋体"/>
          <w:b/>
          <w:bCs/>
          <w:color w:val="000000"/>
          <w:sz w:val="21"/>
          <w:szCs w:val="21"/>
        </w:rPr>
        <w:t xml:space="preserve">（四）服务标准、服务要求</w:t>
      </w:r>
      <w:r>
        <w:rPr>
          <w:rFonts w:hint="eastAsia" w:ascii="宋体" w:hAnsi="宋体" w:eastAsia="宋体" w:cs="宋体"/>
          <w:b/>
          <w:bCs/>
          <w:color w:val="000000"/>
          <w:sz w:val="21"/>
          <w:szCs w:val="21"/>
        </w:rPr>
      </w:r>
      <w:r/>
    </w:p>
    <w:p>
      <w:pPr>
        <w:pStyle w:val="853"/>
        <w:ind w:left="0"/>
        <w:jc w:val="center"/>
        <w:spacing w:line="360" w:lineRule="auto"/>
        <w:widowControl w:val="off"/>
        <w:rPr>
          <w:rFonts w:hint="eastAsia" w:ascii="宋体" w:hAnsi="宋体" w:eastAsia="宋体" w:cs="宋体"/>
          <w:color w:val="000000"/>
          <w:sz w:val="21"/>
          <w:szCs w:val="21"/>
        </w:rPr>
        <w:outlineLvl w:val="1"/>
      </w:pPr>
      <w:r>
        <w:rPr>
          <w:rFonts w:hint="eastAsia" w:ascii="宋体" w:hAnsi="宋体" w:eastAsia="宋体" w:cs="宋体"/>
          <w:color w:val="000000"/>
          <w:sz w:val="21"/>
          <w:szCs w:val="21"/>
        </w:rPr>
        <w:t xml:space="preserve">（1）前端监控系统</w:t>
      </w:r>
      <w:r>
        <w:rPr>
          <w:rFonts w:hint="eastAsia" w:ascii="宋体" w:hAnsi="宋体" w:eastAsia="宋体" w:cs="宋体"/>
          <w:color w:val="000000"/>
          <w:sz w:val="21"/>
          <w:szCs w:val="21"/>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0"/>
        <w:gridCol w:w="5283"/>
        <w:gridCol w:w="2799"/>
      </w:tblGrid>
      <w:tr>
        <w:trPr>
          <w:cantSplit/>
        </w:trPr>
        <w:tc>
          <w:tcPr>
            <w:tcW w:w="2000" w:type="dxa"/>
            <w:vAlign w:val="center"/>
            <w:textDirection w:val="lrTb"/>
            <w:noWrap w:val="false"/>
          </w:tcPr>
          <w:p>
            <w:pPr>
              <w:pStyle w:val="853"/>
              <w:ind w:left="0" w:firstLine="422"/>
              <w:widowControl w:val="off"/>
              <w:rPr>
                <w:rFonts w:hint="eastAsia" w:ascii="宋体" w:hAnsi="宋体" w:eastAsia="宋体" w:cs="宋体"/>
                <w:b/>
                <w:color w:val="000000"/>
              </w:rPr>
            </w:pPr>
            <w:r>
              <w:rPr>
                <w:rFonts w:hint="eastAsia" w:ascii="宋体" w:hAnsi="宋体" w:eastAsia="宋体" w:cs="宋体"/>
                <w:b/>
                <w:color w:val="000000"/>
              </w:rPr>
              <w:t xml:space="preserve">设备名称</w:t>
            </w:r>
            <w:r>
              <w:rPr>
                <w:rFonts w:hint="eastAsia" w:ascii="宋体" w:hAnsi="宋体" w:eastAsia="宋体" w:cs="宋体"/>
                <w:b/>
                <w:color w:val="000000"/>
              </w:rPr>
            </w:r>
            <w:r/>
          </w:p>
        </w:tc>
        <w:tc>
          <w:tcPr>
            <w:tcW w:w="5283" w:type="dxa"/>
            <w:vAlign w:val="center"/>
            <w:textDirection w:val="lrTb"/>
            <w:noWrap w:val="false"/>
          </w:tcPr>
          <w:p>
            <w:pPr>
              <w:pStyle w:val="853"/>
              <w:ind w:left="0" w:firstLine="422"/>
              <w:widowControl w:val="off"/>
              <w:rPr>
                <w:rFonts w:hint="eastAsia" w:ascii="宋体" w:hAnsi="宋体" w:eastAsia="宋体" w:cs="宋体"/>
                <w:b/>
                <w:color w:val="000000"/>
              </w:rPr>
            </w:pPr>
            <w:r>
              <w:rPr>
                <w:rFonts w:hint="eastAsia" w:ascii="宋体" w:hAnsi="宋体" w:eastAsia="宋体" w:cs="宋体"/>
                <w:b/>
                <w:color w:val="000000"/>
              </w:rPr>
              <w:t xml:space="preserve">检查与保养事项</w:t>
            </w:r>
            <w:r>
              <w:rPr>
                <w:rFonts w:hint="eastAsia" w:ascii="宋体" w:hAnsi="宋体" w:eastAsia="宋体" w:cs="宋体"/>
                <w:b/>
                <w:color w:val="000000"/>
              </w:rPr>
            </w:r>
            <w:r/>
          </w:p>
        </w:tc>
        <w:tc>
          <w:tcPr>
            <w:tcW w:w="2799" w:type="dxa"/>
            <w:vAlign w:val="center"/>
            <w:textDirection w:val="lrTb"/>
            <w:noWrap w:val="false"/>
          </w:tcPr>
          <w:p>
            <w:pPr>
              <w:pStyle w:val="853"/>
              <w:ind w:left="0" w:firstLine="422"/>
              <w:widowControl w:val="off"/>
              <w:rPr>
                <w:rFonts w:hint="eastAsia" w:ascii="宋体" w:hAnsi="宋体" w:eastAsia="宋体" w:cs="宋体"/>
                <w:b/>
                <w:color w:val="000000"/>
              </w:rPr>
            </w:pPr>
            <w:r>
              <w:rPr>
                <w:rFonts w:hint="eastAsia" w:ascii="宋体" w:hAnsi="宋体" w:eastAsia="宋体" w:cs="宋体"/>
                <w:b/>
                <w:color w:val="000000"/>
              </w:rPr>
              <w:t xml:space="preserve">标准</w:t>
            </w:r>
            <w:r>
              <w:rPr>
                <w:rFonts w:hint="eastAsia" w:ascii="宋体" w:hAnsi="宋体" w:eastAsia="宋体" w:cs="宋体"/>
                <w:b/>
                <w:color w:val="000000"/>
              </w:rPr>
            </w:r>
            <w:r/>
          </w:p>
        </w:tc>
      </w:tr>
      <w:tr>
        <w:trPr>
          <w:cantSplit/>
        </w:trPr>
        <w:tc>
          <w:tcPr>
            <w:tcW w:w="20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摄象机、抓拍设备</w:t>
            </w:r>
            <w:r>
              <w:rPr>
                <w:rFonts w:hint="eastAsia" w:ascii="宋体" w:hAnsi="宋体" w:eastAsia="宋体" w:cs="宋体"/>
                <w:color w:val="000000"/>
              </w:rPr>
            </w:r>
            <w:r/>
          </w:p>
        </w:tc>
        <w:tc>
          <w:tcPr>
            <w:tcW w:w="528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工作电压及测量、光学清洁、信号传输电缆完好性及连接状态检查</w:t>
            </w:r>
            <w:r>
              <w:rPr>
                <w:rFonts w:hint="eastAsia" w:ascii="宋体" w:hAnsi="宋体" w:eastAsia="宋体" w:cs="宋体"/>
                <w:color w:val="000000"/>
              </w:rPr>
            </w:r>
            <w:r/>
          </w:p>
        </w:tc>
        <w:tc>
          <w:tcPr>
            <w:tcW w:w="279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清洁无灰尘、连接正常</w:t>
            </w:r>
            <w:r>
              <w:rPr>
                <w:rFonts w:hint="eastAsia" w:ascii="宋体" w:hAnsi="宋体" w:eastAsia="宋体" w:cs="宋体"/>
                <w:color w:val="000000"/>
              </w:rPr>
            </w:r>
            <w:r/>
          </w:p>
        </w:tc>
      </w:tr>
      <w:tr>
        <w:trPr>
          <w:cantSplit/>
        </w:trPr>
        <w:tc>
          <w:tcPr>
            <w:tcW w:w="20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补光灯、闪光灯</w:t>
            </w:r>
            <w:r>
              <w:rPr>
                <w:rFonts w:hint="eastAsia" w:ascii="宋体" w:hAnsi="宋体" w:eastAsia="宋体" w:cs="宋体"/>
                <w:color w:val="000000"/>
              </w:rPr>
            </w:r>
            <w:r/>
          </w:p>
        </w:tc>
        <w:tc>
          <w:tcPr>
            <w:tcW w:w="528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灯光亮度检查、时控光控开关检查</w:t>
            </w:r>
            <w:r>
              <w:rPr>
                <w:rFonts w:hint="eastAsia" w:ascii="宋体" w:hAnsi="宋体" w:eastAsia="宋体" w:cs="宋体"/>
                <w:color w:val="000000"/>
              </w:rPr>
            </w:r>
            <w:r/>
          </w:p>
        </w:tc>
        <w:tc>
          <w:tcPr>
            <w:tcW w:w="279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亮度合理、控制正常</w:t>
            </w:r>
            <w:r>
              <w:rPr>
                <w:rFonts w:hint="eastAsia" w:ascii="宋体" w:hAnsi="宋体" w:eastAsia="宋体" w:cs="宋体"/>
                <w:color w:val="000000"/>
              </w:rPr>
            </w:r>
            <w:r/>
          </w:p>
        </w:tc>
      </w:tr>
      <w:tr>
        <w:trPr>
          <w:cantSplit/>
        </w:trPr>
        <w:tc>
          <w:tcPr>
            <w:tcW w:w="20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配套设施</w:t>
            </w:r>
            <w:r>
              <w:rPr>
                <w:rFonts w:hint="eastAsia" w:ascii="宋体" w:hAnsi="宋体" w:eastAsia="宋体" w:cs="宋体"/>
                <w:color w:val="000000"/>
              </w:rPr>
            </w:r>
            <w:r/>
          </w:p>
        </w:tc>
        <w:tc>
          <w:tcPr>
            <w:tcW w:w="528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杆件、设备箱等外观是否洁净、设备环境温度、温度检查</w:t>
            </w:r>
            <w:r>
              <w:rPr>
                <w:rFonts w:hint="eastAsia" w:ascii="宋体" w:hAnsi="宋体" w:eastAsia="宋体" w:cs="宋体"/>
                <w:color w:val="000000"/>
              </w:rPr>
            </w:r>
            <w:r/>
          </w:p>
        </w:tc>
        <w:tc>
          <w:tcPr>
            <w:tcW w:w="279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清洁、环境达标</w:t>
            </w:r>
            <w:r>
              <w:rPr>
                <w:rFonts w:hint="eastAsia" w:ascii="宋体" w:hAnsi="宋体" w:eastAsia="宋体" w:cs="宋体"/>
                <w:color w:val="000000"/>
              </w:rPr>
            </w:r>
            <w:r/>
          </w:p>
        </w:tc>
      </w:tr>
      <w:tr>
        <w:trPr>
          <w:cantSplit/>
        </w:trPr>
        <w:tc>
          <w:tcPr>
            <w:tcW w:w="20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光终端、网络节点</w:t>
            </w:r>
            <w:r>
              <w:rPr>
                <w:rFonts w:hint="eastAsia" w:ascii="宋体" w:hAnsi="宋体" w:eastAsia="宋体" w:cs="宋体"/>
                <w:color w:val="000000"/>
              </w:rPr>
            </w:r>
            <w:r/>
          </w:p>
        </w:tc>
        <w:tc>
          <w:tcPr>
            <w:tcW w:w="528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光终端工作状态、信号传输状态、连接状态检查；大网故障、无光信号由运营商解决</w:t>
            </w:r>
            <w:r>
              <w:rPr>
                <w:rFonts w:hint="eastAsia" w:ascii="宋体" w:hAnsi="宋体" w:eastAsia="宋体" w:cs="宋体"/>
                <w:color w:val="000000"/>
              </w:rPr>
            </w:r>
            <w:r/>
          </w:p>
        </w:tc>
        <w:tc>
          <w:tcPr>
            <w:tcW w:w="279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传输正常、业务正常</w:t>
            </w:r>
            <w:r>
              <w:rPr>
                <w:rFonts w:hint="eastAsia" w:ascii="宋体" w:hAnsi="宋体" w:eastAsia="宋体" w:cs="宋体"/>
                <w:color w:val="000000"/>
              </w:rPr>
            </w:r>
            <w:r/>
          </w:p>
        </w:tc>
      </w:tr>
      <w:tr>
        <w:trPr>
          <w:cantSplit/>
        </w:trPr>
        <w:tc>
          <w:tcPr>
            <w:tcW w:w="2000" w:type="dxa"/>
            <w:vAlign w:val="center"/>
            <w:textDirection w:val="lrTb"/>
            <w:noWrap w:val="false"/>
          </w:tcPr>
          <w:p>
            <w:pPr>
              <w:pStyle w:val="853"/>
              <w:ind w:left="0" w:firstLine="420"/>
              <w:widowControl w:val="off"/>
              <w:rPr>
                <w:rFonts w:hint="eastAsia" w:ascii="宋体" w:hAnsi="宋体" w:eastAsia="宋体" w:cs="宋体"/>
                <w:color w:val="000000"/>
              </w:rPr>
            </w:pPr>
            <w:r>
              <w:rPr>
                <w:rFonts w:hint="eastAsia" w:ascii="宋体" w:hAnsi="宋体" w:eastAsia="宋体" w:cs="宋体"/>
                <w:color w:val="000000"/>
              </w:rPr>
              <w:t xml:space="preserve">取电管路</w:t>
            </w:r>
            <w:r>
              <w:rPr>
                <w:rFonts w:hint="eastAsia" w:ascii="宋体" w:hAnsi="宋体" w:eastAsia="宋体" w:cs="宋体"/>
                <w:color w:val="000000"/>
              </w:rPr>
            </w:r>
            <w:r/>
          </w:p>
        </w:tc>
        <w:tc>
          <w:tcPr>
            <w:tcW w:w="528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电源电压电流检查、管线管路、手井检查</w:t>
            </w:r>
            <w:r>
              <w:rPr>
                <w:rFonts w:hint="eastAsia" w:ascii="宋体" w:hAnsi="宋体" w:eastAsia="宋体" w:cs="宋体"/>
                <w:color w:val="000000"/>
              </w:rPr>
            </w:r>
            <w:r/>
          </w:p>
        </w:tc>
        <w:tc>
          <w:tcPr>
            <w:tcW w:w="279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电源电压稳定、管路无损坏</w:t>
            </w:r>
            <w:r>
              <w:rPr>
                <w:rFonts w:hint="eastAsia" w:ascii="宋体" w:hAnsi="宋体" w:eastAsia="宋体" w:cs="宋体"/>
                <w:color w:val="000000"/>
              </w:rPr>
            </w:r>
            <w:r/>
          </w:p>
        </w:tc>
      </w:tr>
    </w:tbl>
    <w:p>
      <w:pPr>
        <w:pStyle w:val="853"/>
        <w:ind w:left="0"/>
        <w:jc w:val="center"/>
        <w:spacing w:after="120" w:line="440" w:lineRule="exact"/>
        <w:widowControl w:val="off"/>
        <w:rPr>
          <w:rFonts w:hint="eastAsia" w:ascii="宋体" w:hAnsi="宋体" w:eastAsia="宋体" w:cs="宋体"/>
          <w:color w:val="000000"/>
        </w:rPr>
      </w:pPr>
      <w:r>
        <w:rPr>
          <w:rFonts w:hint="eastAsia" w:ascii="宋体" w:hAnsi="宋体" w:eastAsia="宋体" w:cs="宋体"/>
          <w:color w:val="000000"/>
        </w:rPr>
        <w:t xml:space="preserve">（2）中心端服务器、数字化运维服务要求、编解码设备、存储设备</w:t>
      </w:r>
      <w:r>
        <w:rPr>
          <w:rFonts w:hint="eastAsia" w:ascii="宋体" w:hAnsi="宋体" w:eastAsia="宋体" w:cs="宋体"/>
          <w:color w:val="000000"/>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6"/>
        <w:gridCol w:w="1267"/>
        <w:gridCol w:w="4824"/>
        <w:gridCol w:w="2315"/>
      </w:tblGrid>
      <w:tr>
        <w:trPr>
          <w:cantSplit/>
          <w:tblHeader/>
        </w:trPr>
        <w:tc>
          <w:tcPr>
            <w:tcW w:w="1676"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服务名称</w:t>
            </w:r>
            <w:r>
              <w:rPr>
                <w:rFonts w:hint="eastAsia" w:ascii="宋体" w:hAnsi="宋体" w:eastAsia="宋体" w:cs="宋体"/>
                <w:b/>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检查与服务要求</w:t>
            </w:r>
            <w:r>
              <w:rPr>
                <w:rFonts w:hint="eastAsia" w:ascii="宋体" w:hAnsi="宋体" w:eastAsia="宋体" w:cs="宋体"/>
                <w:b/>
                <w:color w:val="000000"/>
              </w:rPr>
            </w:r>
            <w:r/>
          </w:p>
        </w:tc>
        <w:tc>
          <w:tcPr>
            <w:tcW w:w="2315"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标准</w:t>
            </w:r>
            <w:r>
              <w:rPr>
                <w:rFonts w:hint="eastAsia" w:ascii="宋体" w:hAnsi="宋体" w:eastAsia="宋体" w:cs="宋体"/>
                <w:b/>
                <w:color w:val="000000"/>
              </w:rPr>
            </w:r>
            <w:r/>
          </w:p>
        </w:tc>
      </w:tr>
      <w:tr>
        <w:trPr>
          <w:cantSplit/>
        </w:trPr>
        <w:tc>
          <w:tcPr>
            <w:tcW w:w="1676"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服务器 </w:t>
            </w:r>
            <w:r>
              <w:rPr>
                <w:rFonts w:hint="eastAsia" w:ascii="宋体" w:hAnsi="宋体" w:eastAsia="宋体" w:cs="宋体"/>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周围环境：确认周围温度、湿度、尘埃、油雾等</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硬件</w:t>
            </w: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电源风扇、通风过滤网、CPU风扇检查维护</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无抖动，杂音</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键盘、鼠标检查保养</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完好，无抖动</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内部各部件连接状况检查</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完好无破损</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内外部清洁保养</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服务器与其他设备、网络等连接状况检查，接线及连接端子紧固</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牢固，无破损</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w:t>
            </w: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系统安全性检查 </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数值显示正常</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系统配置检查及系统版本</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工作正常</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系统补丁程序管理</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排除隐患</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系统硬盘碎片整理</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速度恢复正常</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系统备份</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数据正确</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运行日志备份检查</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数据正确</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CPU、内存使用情况、响应时间、并发用户数以及特定应用系统资源占用检查</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数据库碎片整理</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速度恢复正常</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应用程序（数字化安防运维检测服务）</w:t>
            </w: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应用程序各项功能</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正常启动</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应用程序数据库</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备份及优化</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查看应用程序运行故障记录</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应用程序运行日志备份和清理</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运行正常</w:t>
            </w:r>
            <w:r>
              <w:rPr>
                <w:rFonts w:hint="eastAsia" w:ascii="宋体" w:hAnsi="宋体" w:eastAsia="宋体" w:cs="宋体"/>
                <w:color w:val="000000"/>
              </w:rPr>
            </w:r>
            <w:r/>
          </w:p>
        </w:tc>
      </w:tr>
      <w:tr>
        <w:trPr>
          <w:cantSplit/>
        </w:trPr>
        <w:tc>
          <w:tcPr>
            <w:gridSpan w:val="4"/>
            <w:tcW w:w="1008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运维客户端服务能力：实现服务内容中涉及流媒体的质量检测取样功能，巡检时效≤10分钟一次，检测能力：在线率检测、颜色异常检测、亮度异常检测、噪点异常检测、视角移位检测、异物遮挡检测、聚焦异常检测；显示界面可一图展示点位信息、视频接入数量、实时在线率、故障类型统计、故障时间超24小时统计。系统可导出整体运行报表、指定区域报表、指定位置报表、图像质量报表、运维情况表。</w:t>
            </w:r>
            <w:r>
              <w:rPr>
                <w:rFonts w:hint="eastAsia" w:ascii="宋体" w:hAnsi="宋体" w:eastAsia="宋体" w:cs="宋体"/>
                <w:color w:val="000000"/>
              </w:rPr>
            </w:r>
            <w:r/>
          </w:p>
        </w:tc>
      </w:tr>
      <w:tr>
        <w:trPr>
          <w:cantSplit/>
        </w:trPr>
        <w:tc>
          <w:tcPr>
            <w:tcW w:w="1676" w:type="dxa"/>
            <w:vAlign w:val="center"/>
            <w:vMerge w:val="restart"/>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存储设备</w:t>
            </w:r>
            <w:r>
              <w:rPr>
                <w:rFonts w:hint="eastAsia" w:ascii="宋体" w:hAnsi="宋体" w:eastAsia="宋体" w:cs="宋体"/>
                <w:b/>
                <w:bCs/>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周围环境：确认周围温度、湿度、尘埃、油雾等</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无灰尘</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电源风扇、通风过滤网检查维护</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牢固，无破损</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云存储使用状态检查</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存储事件、日志检查</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无异常</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云存储文件完整性检查</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有无掉包</w:t>
            </w:r>
            <w:r>
              <w:rPr>
                <w:rFonts w:hint="eastAsia" w:ascii="宋体" w:hAnsi="宋体" w:eastAsia="宋体" w:cs="宋体"/>
                <w:color w:val="000000"/>
              </w:rPr>
            </w:r>
            <w:r/>
          </w:p>
        </w:tc>
      </w:tr>
      <w:tr>
        <w:trPr>
          <w:cantSplit/>
        </w:trPr>
        <w:tc>
          <w:tcPr>
            <w:tcW w:w="1676"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编解码设备</w:t>
            </w:r>
            <w:r>
              <w:rPr>
                <w:rFonts w:hint="eastAsia" w:ascii="宋体" w:hAnsi="宋体" w:eastAsia="宋体" w:cs="宋体"/>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周围环境：确认周围温度、湿度、尘埃、油雾等</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硬件</w:t>
            </w: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电源风扇、通风过滤网、CPU风扇检查维护</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显示器、键盘、鼠标检查保养</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与网络连接状态检查</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牢固，无破损</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w:t>
            </w: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系统安全性检查</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系统配置检查及系统版本</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系统补丁程序管理</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系统硬盘碎片整理</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速度恢复正常</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系统备份</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监控软件</w:t>
            </w: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运行日志备份和清理</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正常运行</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配置参数检查</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正常运行</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画面维护检查</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正常</w:t>
            </w:r>
            <w:r>
              <w:rPr>
                <w:rFonts w:hint="eastAsia" w:ascii="宋体" w:hAnsi="宋体" w:eastAsia="宋体" w:cs="宋体"/>
                <w:color w:val="000000"/>
              </w:rPr>
            </w:r>
            <w:r/>
          </w:p>
        </w:tc>
      </w:tr>
    </w:tbl>
    <w:p>
      <w:pPr>
        <w:pStyle w:val="853"/>
        <w:ind w:left="400"/>
        <w:jc w:val="center"/>
        <w:spacing w:after="120" w:line="440" w:lineRule="exact"/>
        <w:widowControl w:val="off"/>
        <w:rPr>
          <w:rFonts w:hint="eastAsia" w:ascii="宋体" w:hAnsi="宋体" w:eastAsia="宋体" w:cs="宋体"/>
          <w:color w:val="000000"/>
        </w:rPr>
      </w:pPr>
      <w:r>
        <w:rPr>
          <w:rFonts w:hint="eastAsia" w:ascii="宋体" w:hAnsi="宋体" w:eastAsia="宋体" w:cs="宋体"/>
          <w:color w:val="000000"/>
        </w:rPr>
        <w:t xml:space="preserve">（3）网络系统</w:t>
      </w:r>
      <w:r>
        <w:rPr>
          <w:rFonts w:hint="eastAsia" w:ascii="宋体" w:hAnsi="宋体" w:eastAsia="宋体" w:cs="宋体"/>
          <w:color w:val="000000"/>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8"/>
        <w:gridCol w:w="1361"/>
        <w:gridCol w:w="4144"/>
        <w:gridCol w:w="2569"/>
      </w:tblGrid>
      <w:tr>
        <w:trPr>
          <w:cantSplit/>
          <w:tblHeader/>
        </w:trPr>
        <w:tc>
          <w:tcPr>
            <w:tcW w:w="2008"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服务名称</w:t>
            </w:r>
            <w:r>
              <w:rPr>
                <w:rFonts w:hint="eastAsia" w:ascii="宋体" w:hAnsi="宋体" w:eastAsia="宋体" w:cs="宋体"/>
                <w:b/>
                <w:color w:val="000000"/>
              </w:rPr>
            </w:r>
            <w:r/>
          </w:p>
        </w:tc>
        <w:tc>
          <w:tcPr>
            <w:gridSpan w:val="2"/>
            <w:tcW w:w="5505"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检查与服务要求</w:t>
            </w:r>
            <w:r>
              <w:rPr>
                <w:rFonts w:hint="eastAsia" w:ascii="宋体" w:hAnsi="宋体" w:eastAsia="宋体" w:cs="宋体"/>
                <w:b/>
                <w:color w:val="000000"/>
              </w:rPr>
            </w:r>
            <w:r/>
          </w:p>
        </w:tc>
        <w:tc>
          <w:tcPr>
            <w:tcW w:w="2569"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标准</w:t>
            </w:r>
            <w:r>
              <w:rPr>
                <w:rFonts w:hint="eastAsia" w:ascii="宋体" w:hAnsi="宋体" w:eastAsia="宋体" w:cs="宋体"/>
                <w:b/>
                <w:color w:val="000000"/>
              </w:rPr>
            </w:r>
            <w:r/>
          </w:p>
        </w:tc>
      </w:tr>
      <w:tr>
        <w:trPr>
          <w:cantSplit/>
        </w:trPr>
        <w:tc>
          <w:tcPr>
            <w:tcW w:w="2008"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服务器</w:t>
            </w:r>
            <w:r>
              <w:rPr>
                <w:rFonts w:hint="eastAsia" w:ascii="宋体" w:hAnsi="宋体" w:eastAsia="宋体" w:cs="宋体"/>
                <w:color w:val="000000"/>
              </w:rPr>
            </w:r>
            <w:r/>
          </w:p>
        </w:tc>
        <w:tc>
          <w:tcPr>
            <w:gridSpan w:val="2"/>
            <w:tcW w:w="550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周围环境：确认周围温度、湿度、尘埃、油雾等</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硬件</w:t>
            </w: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电源风扇、通风过滤网、CPU风扇检查维护</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正常清洁</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键盘、鼠标检查保养</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系统OS软件</w:t>
            </w: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系统安全性检查</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系统配置检查及系统版本</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系统补丁程序管理</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系统硬盘碎片整理</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速度恢复正常</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系统备份</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应用软件</w:t>
            </w: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检查网络状态</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正常运行</w:t>
            </w:r>
            <w:r>
              <w:rPr>
                <w:rFonts w:hint="eastAsia" w:ascii="宋体" w:hAnsi="宋体" w:eastAsia="宋体" w:cs="宋体"/>
                <w:color w:val="000000"/>
              </w:rPr>
            </w:r>
            <w:r/>
          </w:p>
        </w:tc>
      </w:tr>
      <w:tr>
        <w:trPr>
          <w:cantSplit/>
        </w:trPr>
        <w:tc>
          <w:tcPr>
            <w:tcW w:w="2008"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交换机</w:t>
            </w:r>
            <w:r>
              <w:rPr>
                <w:rFonts w:hint="eastAsia" w:ascii="宋体" w:hAnsi="宋体" w:eastAsia="宋体" w:cs="宋体"/>
                <w:color w:val="000000"/>
              </w:rPr>
            </w:r>
            <w:r/>
          </w:p>
        </w:tc>
        <w:tc>
          <w:tcPr>
            <w:tcW w:w="1361"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硬件</w:t>
            </w: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周围环境：确认周围温度、湿度、尘埃、油雾等</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运行灯状态检查</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正常状态</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电源风扇检查维护</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正常</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配置参数</w:t>
            </w: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系统参数检查备份</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VLAN管理参数检查备份</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端口参数检查备份</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冗余配置管理参数检查备份</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光缆、双绞线</w:t>
            </w:r>
            <w:r>
              <w:rPr>
                <w:rFonts w:hint="eastAsia" w:ascii="宋体" w:hAnsi="宋体" w:eastAsia="宋体" w:cs="宋体"/>
                <w:color w:val="000000"/>
              </w:rPr>
            </w:r>
            <w:r/>
          </w:p>
        </w:tc>
        <w:tc>
          <w:tcPr>
            <w:gridSpan w:val="2"/>
            <w:tcW w:w="550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性能测试</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正常通讯/测试报告</w:t>
            </w:r>
            <w:r>
              <w:rPr>
                <w:rFonts w:hint="eastAsia" w:ascii="宋体" w:hAnsi="宋体" w:eastAsia="宋体" w:cs="宋体"/>
                <w:color w:val="000000"/>
              </w:rPr>
            </w:r>
            <w:r/>
          </w:p>
        </w:tc>
      </w:tr>
    </w:tbl>
    <w:p>
      <w:pPr>
        <w:pStyle w:val="853"/>
        <w:ind w:left="0"/>
        <w:jc w:val="center"/>
        <w:spacing w:after="120" w:line="440" w:lineRule="exact"/>
        <w:widowControl w:val="off"/>
        <w:rPr>
          <w:rFonts w:hint="eastAsia" w:ascii="宋体" w:hAnsi="宋体" w:eastAsia="宋体" w:cs="宋体"/>
          <w:color w:val="000000"/>
        </w:rPr>
      </w:pPr>
      <w:r>
        <w:rPr>
          <w:rFonts w:hint="eastAsia" w:ascii="宋体" w:hAnsi="宋体" w:eastAsia="宋体" w:cs="宋体"/>
          <w:color w:val="000000"/>
        </w:rPr>
        <w:t xml:space="preserve">（4）显示系统</w:t>
      </w:r>
      <w:r>
        <w:rPr>
          <w:rFonts w:hint="eastAsia" w:ascii="宋体" w:hAnsi="宋体" w:eastAsia="宋体" w:cs="宋体"/>
          <w:color w:val="000000"/>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8"/>
        <w:gridCol w:w="4745"/>
        <w:gridCol w:w="2569"/>
      </w:tblGrid>
      <w:tr>
        <w:trPr>
          <w:cantSplit/>
          <w:tblHeader/>
        </w:trPr>
        <w:tc>
          <w:tcPr>
            <w:tcW w:w="2768"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服务名称</w:t>
            </w:r>
            <w:r>
              <w:rPr>
                <w:rFonts w:hint="eastAsia" w:ascii="宋体" w:hAnsi="宋体" w:eastAsia="宋体" w:cs="宋体"/>
                <w:b/>
                <w:color w:val="000000"/>
              </w:rPr>
            </w:r>
            <w:r/>
          </w:p>
        </w:tc>
        <w:tc>
          <w:tcPr>
            <w:tcW w:w="4745"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检查与服务要求</w:t>
            </w:r>
            <w:r>
              <w:rPr>
                <w:rFonts w:hint="eastAsia" w:ascii="宋体" w:hAnsi="宋体" w:eastAsia="宋体" w:cs="宋体"/>
                <w:b/>
                <w:color w:val="000000"/>
              </w:rPr>
            </w:r>
            <w:r/>
          </w:p>
        </w:tc>
        <w:tc>
          <w:tcPr>
            <w:tcW w:w="2569"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标准</w:t>
            </w:r>
            <w:r>
              <w:rPr>
                <w:rFonts w:hint="eastAsia" w:ascii="宋体" w:hAnsi="宋体" w:eastAsia="宋体" w:cs="宋体"/>
                <w:b/>
                <w:color w:val="000000"/>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显示单元</w:t>
            </w:r>
            <w:r>
              <w:rPr>
                <w:rFonts w:hint="eastAsia" w:ascii="宋体" w:hAnsi="宋体" w:eastAsia="宋体" w:cs="宋体"/>
                <w:color w:val="000000"/>
              </w:rPr>
            </w:r>
            <w:r/>
          </w:p>
        </w:tc>
        <w:tc>
          <w:tcPr>
            <w:tcW w:w="47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作为常规使用性维护，连接状态、工作状态、清洁保养、环境温湿度检测等检查；</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正常</w:t>
            </w:r>
            <w:r>
              <w:rPr>
                <w:rFonts w:hint="eastAsia" w:ascii="宋体" w:hAnsi="宋体" w:eastAsia="宋体" w:cs="宋体"/>
                <w:color w:val="000000"/>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图像处理器</w:t>
            </w:r>
            <w:r>
              <w:rPr>
                <w:rFonts w:hint="eastAsia" w:ascii="宋体" w:hAnsi="宋体" w:eastAsia="宋体" w:cs="宋体"/>
                <w:color w:val="000000"/>
              </w:rPr>
            </w:r>
            <w:r/>
          </w:p>
        </w:tc>
        <w:tc>
          <w:tcPr>
            <w:tcW w:w="47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功能完整性测试</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显示管理软件</w:t>
            </w:r>
            <w:r>
              <w:rPr>
                <w:rFonts w:hint="eastAsia" w:ascii="宋体" w:hAnsi="宋体" w:eastAsia="宋体" w:cs="宋体"/>
                <w:color w:val="000000"/>
              </w:rPr>
            </w:r>
            <w:r/>
          </w:p>
        </w:tc>
        <w:tc>
          <w:tcPr>
            <w:tcW w:w="47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功能完整性测试</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bl>
    <w:p>
      <w:pPr>
        <w:pStyle w:val="853"/>
        <w:ind w:left="0"/>
        <w:jc w:val="center"/>
        <w:spacing w:after="120" w:line="440" w:lineRule="exact"/>
        <w:widowControl w:val="off"/>
        <w:rPr>
          <w:rFonts w:hint="eastAsia" w:ascii="宋体" w:hAnsi="宋体" w:eastAsia="宋体" w:cs="宋体"/>
          <w:color w:val="000000"/>
        </w:rPr>
      </w:pPr>
      <w:r>
        <w:rPr>
          <w:rFonts w:hint="eastAsia" w:ascii="宋体" w:hAnsi="宋体" w:eastAsia="宋体" w:cs="宋体"/>
          <w:color w:val="000000"/>
        </w:rPr>
        <w:t xml:space="preserve">（5）综合管理平台（Infovision PVIA (DN)）</w:t>
      </w:r>
      <w:r>
        <w:rPr>
          <w:rFonts w:hint="eastAsia" w:ascii="宋体" w:hAnsi="宋体" w:eastAsia="宋体" w:cs="宋体"/>
          <w:color w:val="000000"/>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8"/>
        <w:gridCol w:w="4745"/>
        <w:gridCol w:w="2569"/>
      </w:tblGrid>
      <w:tr>
        <w:trPr>
          <w:cantSplit/>
          <w:tblHeader/>
        </w:trPr>
        <w:tc>
          <w:tcPr>
            <w:tcW w:w="2768"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服务名称</w:t>
            </w:r>
            <w:r>
              <w:rPr>
                <w:rFonts w:hint="eastAsia" w:ascii="宋体" w:hAnsi="宋体" w:eastAsia="宋体" w:cs="宋体"/>
                <w:b/>
                <w:color w:val="000000"/>
              </w:rPr>
            </w:r>
            <w:r/>
          </w:p>
        </w:tc>
        <w:tc>
          <w:tcPr>
            <w:tcW w:w="4745"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检查与服务要求</w:t>
            </w:r>
            <w:r>
              <w:rPr>
                <w:rFonts w:hint="eastAsia" w:ascii="宋体" w:hAnsi="宋体" w:eastAsia="宋体" w:cs="宋体"/>
                <w:b/>
                <w:color w:val="000000"/>
              </w:rPr>
            </w:r>
            <w:r/>
          </w:p>
        </w:tc>
        <w:tc>
          <w:tcPr>
            <w:tcW w:w="2569"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标准</w:t>
            </w:r>
            <w:r>
              <w:rPr>
                <w:rFonts w:hint="eastAsia" w:ascii="宋体" w:hAnsi="宋体" w:eastAsia="宋体" w:cs="宋体"/>
                <w:b/>
                <w:color w:val="000000"/>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应用管理服务</w:t>
            </w:r>
            <w:r>
              <w:rPr>
                <w:rFonts w:hint="eastAsia" w:ascii="宋体" w:hAnsi="宋体" w:eastAsia="宋体" w:cs="宋体"/>
                <w:color w:val="000000"/>
              </w:rPr>
            </w:r>
            <w:r/>
          </w:p>
        </w:tc>
        <w:tc>
          <w:tcPr>
            <w:tcW w:w="47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视频应用、电子地图、查询中心、布控中心、统计中心、人脸应用、车辆应用、探针应用、视频解析、案件研判、运维应用等</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软件以及各组件运行正常（中心端故障除外）</w:t>
            </w:r>
            <w:r>
              <w:rPr>
                <w:rFonts w:hint="eastAsia" w:ascii="宋体" w:hAnsi="宋体" w:eastAsia="宋体" w:cs="宋体"/>
                <w:color w:val="000000"/>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视频应用服务</w:t>
            </w:r>
            <w:r>
              <w:rPr>
                <w:rFonts w:hint="eastAsia" w:ascii="宋体" w:hAnsi="宋体" w:eastAsia="宋体" w:cs="宋体"/>
                <w:color w:val="000000"/>
              </w:rPr>
            </w:r>
            <w:r/>
          </w:p>
        </w:tc>
        <w:tc>
          <w:tcPr>
            <w:tcW w:w="47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流媒体服务、管理服务、接入服务、存储管理、大屏管理服务、视频联网服务、报警管理服务、卡口分析服务、人脸比对服务、对外接口服务</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软件以及各组件运行正常（中心端故障除外）</w:t>
            </w:r>
            <w:r>
              <w:rPr>
                <w:rFonts w:hint="eastAsia" w:ascii="宋体" w:hAnsi="宋体" w:eastAsia="宋体" w:cs="宋体"/>
                <w:color w:val="000000"/>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应用功能模块</w:t>
            </w:r>
            <w:r>
              <w:rPr>
                <w:rFonts w:hint="eastAsia" w:ascii="宋体" w:hAnsi="宋体" w:eastAsia="宋体" w:cs="宋体"/>
                <w:color w:val="000000"/>
              </w:rPr>
            </w:r>
            <w:r/>
          </w:p>
        </w:tc>
        <w:tc>
          <w:tcPr>
            <w:tcW w:w="47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视频应用、电子地图、查询中心、布控功能、统计功能、人脸应用、车辆应用、视频解析应用</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软件以及各组件运行正常（中心端故障除外）</w:t>
            </w:r>
            <w:r>
              <w:rPr>
                <w:rFonts w:hint="eastAsia" w:ascii="宋体" w:hAnsi="宋体" w:eastAsia="宋体" w:cs="宋体"/>
                <w:color w:val="000000"/>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配置管理模块</w:t>
            </w:r>
            <w:r>
              <w:rPr>
                <w:rFonts w:hint="eastAsia" w:ascii="宋体" w:hAnsi="宋体" w:eastAsia="宋体" w:cs="宋体"/>
                <w:color w:val="000000"/>
              </w:rPr>
            </w:r>
            <w:r/>
          </w:p>
        </w:tc>
        <w:tc>
          <w:tcPr>
            <w:tcW w:w="47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用户管理、日志管理、组织管理、卡口管理、人脸管理、结构化分析管理、报警管理、帮助中心等</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软件以及各组件运行正常（中心端故障除外）</w:t>
            </w:r>
            <w:r>
              <w:rPr>
                <w:rFonts w:hint="eastAsia" w:ascii="宋体" w:hAnsi="宋体" w:eastAsia="宋体" w:cs="宋体"/>
                <w:color w:val="000000"/>
              </w:rPr>
            </w:r>
            <w:r/>
          </w:p>
        </w:tc>
      </w:tr>
    </w:tbl>
    <w:p>
      <w:pPr>
        <w:pStyle w:val="853"/>
        <w:ind w:left="400"/>
        <w:jc w:val="center"/>
        <w:spacing w:after="120" w:line="440" w:lineRule="exact"/>
        <w:widowControl w:val="off"/>
        <w:rPr>
          <w:rFonts w:hint="eastAsia" w:ascii="宋体" w:hAnsi="宋体" w:eastAsia="宋体" w:cs="宋体"/>
          <w:color w:val="000000"/>
        </w:rPr>
      </w:pPr>
      <w:r>
        <w:rPr>
          <w:rFonts w:hint="eastAsia" w:ascii="宋体" w:hAnsi="宋体" w:eastAsia="宋体" w:cs="宋体"/>
          <w:color w:val="000000"/>
        </w:rPr>
        <w:t xml:space="preserve">（6）软件系统含第三方软件系统</w:t>
      </w:r>
      <w:r>
        <w:rPr>
          <w:rFonts w:hint="eastAsia" w:ascii="宋体" w:hAnsi="宋体" w:eastAsia="宋体" w:cs="宋体"/>
          <w:color w:val="000000"/>
        </w:rPr>
      </w:r>
      <w:r/>
    </w:p>
    <w:tbl>
      <w:tblPr>
        <w:tblW w:w="98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4"/>
        <w:gridCol w:w="5478"/>
        <w:gridCol w:w="2182"/>
      </w:tblGrid>
      <w:tr>
        <w:trPr>
          <w:cantSplit/>
          <w:tblHeader/>
        </w:trPr>
        <w:tc>
          <w:tcPr>
            <w:tcW w:w="2164"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服务名称</w:t>
            </w:r>
            <w:r>
              <w:rPr>
                <w:rFonts w:hint="eastAsia" w:ascii="宋体" w:hAnsi="宋体" w:eastAsia="宋体" w:cs="宋体"/>
                <w:b/>
                <w:color w:val="000000"/>
              </w:rPr>
            </w:r>
            <w:r/>
          </w:p>
        </w:tc>
        <w:tc>
          <w:tcPr>
            <w:tcW w:w="5478"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检查与服务要求</w:t>
            </w:r>
            <w:r>
              <w:rPr>
                <w:rFonts w:hint="eastAsia" w:ascii="宋体" w:hAnsi="宋体" w:eastAsia="宋体" w:cs="宋体"/>
                <w:b/>
                <w:color w:val="000000"/>
              </w:rPr>
            </w:r>
            <w:r/>
          </w:p>
        </w:tc>
        <w:tc>
          <w:tcPr>
            <w:tcW w:w="2182"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标准</w:t>
            </w:r>
            <w:r>
              <w:rPr>
                <w:rFonts w:hint="eastAsia" w:ascii="宋体" w:hAnsi="宋体" w:eastAsia="宋体" w:cs="宋体"/>
                <w:b/>
                <w:color w:val="000000"/>
              </w:rPr>
            </w: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运行环境检查</w:t>
            </w:r>
            <w:r>
              <w:rPr>
                <w:rFonts w:hint="eastAsia" w:ascii="宋体" w:hAnsi="宋体" w:eastAsia="宋体" w:cs="宋体"/>
                <w:color w:val="000000"/>
              </w:rPr>
            </w:r>
            <w:r/>
          </w:p>
        </w:tc>
        <w:tc>
          <w:tcPr>
            <w:tcW w:w="547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通用类运行环境检查，如：tomcat、IIS等</w:t>
            </w:r>
            <w:r>
              <w:rPr>
                <w:rFonts w:hint="eastAsia" w:ascii="宋体" w:hAnsi="宋体" w:eastAsia="宋体" w:cs="宋体"/>
                <w:color w:val="000000"/>
              </w:rPr>
            </w:r>
            <w:r/>
          </w:p>
        </w:tc>
        <w:tc>
          <w:tcPr>
            <w:tcW w:w="218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运行正常无报错</w:t>
            </w:r>
            <w:r>
              <w:rPr>
                <w:rFonts w:hint="eastAsia" w:ascii="宋体" w:hAnsi="宋体" w:eastAsia="宋体" w:cs="宋体"/>
                <w:color w:val="000000"/>
              </w:rPr>
            </w: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缓存检查</w:t>
            </w:r>
            <w:r>
              <w:rPr>
                <w:rFonts w:hint="eastAsia" w:ascii="宋体" w:hAnsi="宋体" w:eastAsia="宋体" w:cs="宋体"/>
                <w:color w:val="000000"/>
              </w:rPr>
            </w:r>
            <w:r/>
          </w:p>
        </w:tc>
        <w:tc>
          <w:tcPr>
            <w:tcW w:w="547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定期缓存清理</w:t>
            </w:r>
            <w:r>
              <w:rPr>
                <w:rFonts w:hint="eastAsia" w:ascii="宋体" w:hAnsi="宋体" w:eastAsia="宋体" w:cs="宋体"/>
                <w:color w:val="000000"/>
              </w:rPr>
            </w:r>
            <w:r/>
          </w:p>
        </w:tc>
        <w:tc>
          <w:tcPr>
            <w:tcW w:w="218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数据库备份</w:t>
            </w:r>
            <w:r>
              <w:rPr>
                <w:rFonts w:hint="eastAsia" w:ascii="宋体" w:hAnsi="宋体" w:eastAsia="宋体" w:cs="宋体"/>
                <w:color w:val="000000"/>
              </w:rPr>
            </w:r>
            <w:r/>
          </w:p>
        </w:tc>
        <w:tc>
          <w:tcPr>
            <w:tcW w:w="547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定期数据库备份、检查错误日志</w:t>
            </w:r>
            <w:r>
              <w:rPr>
                <w:rFonts w:hint="eastAsia" w:ascii="宋体" w:hAnsi="宋体" w:eastAsia="宋体" w:cs="宋体"/>
                <w:color w:val="000000"/>
              </w:rPr>
            </w:r>
            <w:r/>
          </w:p>
        </w:tc>
        <w:tc>
          <w:tcPr>
            <w:tcW w:w="218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每月一次</w:t>
            </w:r>
            <w:r>
              <w:rPr>
                <w:rFonts w:hint="eastAsia" w:ascii="宋体" w:hAnsi="宋体" w:eastAsia="宋体" w:cs="宋体"/>
                <w:color w:val="000000"/>
              </w:rPr>
            </w: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功能性检查</w:t>
            </w:r>
            <w:r>
              <w:rPr>
                <w:rFonts w:hint="eastAsia" w:ascii="宋体" w:hAnsi="宋体" w:eastAsia="宋体" w:cs="宋体"/>
                <w:color w:val="000000"/>
              </w:rPr>
            </w:r>
            <w:r/>
          </w:p>
        </w:tc>
        <w:tc>
          <w:tcPr>
            <w:tcW w:w="547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现有功能的完整性检查，发生短缺、报错等故障，第一时间上报原厂家解决</w:t>
            </w:r>
            <w:r>
              <w:rPr>
                <w:rFonts w:hint="eastAsia" w:ascii="宋体" w:hAnsi="宋体" w:eastAsia="宋体" w:cs="宋体"/>
                <w:color w:val="000000"/>
              </w:rPr>
            </w:r>
            <w:r/>
          </w:p>
        </w:tc>
        <w:tc>
          <w:tcPr>
            <w:tcW w:w="218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功能正常</w:t>
            </w:r>
            <w:r>
              <w:rPr>
                <w:rFonts w:hint="eastAsia" w:ascii="宋体" w:hAnsi="宋体" w:eastAsia="宋体" w:cs="宋体"/>
                <w:color w:val="000000"/>
              </w:rPr>
            </w: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功能性拓展</w:t>
            </w:r>
            <w:r>
              <w:rPr>
                <w:rFonts w:hint="eastAsia" w:ascii="宋体" w:hAnsi="宋体" w:eastAsia="宋体" w:cs="宋体"/>
                <w:color w:val="000000"/>
              </w:rPr>
            </w:r>
            <w:r/>
          </w:p>
        </w:tc>
        <w:tc>
          <w:tcPr>
            <w:tcW w:w="547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提供必要的生产环境、协助软件生产厂家做好系统升级等工作</w:t>
            </w:r>
            <w:r>
              <w:rPr>
                <w:rFonts w:hint="eastAsia" w:ascii="宋体" w:hAnsi="宋体" w:eastAsia="宋体" w:cs="宋体"/>
                <w:color w:val="000000"/>
              </w:rPr>
            </w:r>
            <w:r/>
          </w:p>
        </w:tc>
        <w:tc>
          <w:tcPr>
            <w:tcW w:w="218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配合协助</w:t>
            </w:r>
            <w:r>
              <w:rPr>
                <w:rFonts w:hint="eastAsia" w:ascii="宋体" w:hAnsi="宋体" w:eastAsia="宋体" w:cs="宋体"/>
                <w:color w:val="000000"/>
              </w:rPr>
            </w: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服务器日志检查</w:t>
            </w:r>
            <w:r>
              <w:rPr>
                <w:rFonts w:hint="eastAsia" w:ascii="宋体" w:hAnsi="宋体" w:eastAsia="宋体" w:cs="宋体"/>
                <w:color w:val="000000"/>
              </w:rPr>
            </w:r>
            <w:r/>
          </w:p>
        </w:tc>
        <w:tc>
          <w:tcPr>
            <w:tcW w:w="547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定期检查服务器运行日志，发现数据异常、受攻击等情况时，第一时间上报原厂家解决</w:t>
            </w:r>
            <w:r>
              <w:rPr>
                <w:rFonts w:hint="eastAsia" w:ascii="宋体" w:hAnsi="宋体" w:eastAsia="宋体" w:cs="宋体"/>
                <w:color w:val="000000"/>
              </w:rPr>
            </w:r>
            <w:r/>
          </w:p>
        </w:tc>
        <w:tc>
          <w:tcPr>
            <w:tcW w:w="218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检查协助</w:t>
            </w:r>
            <w:r>
              <w:rPr>
                <w:rFonts w:hint="eastAsia" w:ascii="宋体" w:hAnsi="宋体" w:eastAsia="宋体" w:cs="宋体"/>
                <w:color w:val="000000"/>
              </w:rPr>
            </w:r>
            <w:r/>
          </w:p>
        </w:tc>
      </w:tr>
    </w:tbl>
    <w:p>
      <w:pPr>
        <w:pStyle w:val="860"/>
        <w:ind w:left="0" w:firstLine="0"/>
        <w:jc w:val="both"/>
        <w:rPr>
          <w:rFonts w:hint="eastAsia" w:ascii="宋体" w:hAnsi="宋体" w:eastAsia="宋体" w:cs="宋体"/>
          <w:b/>
          <w:bCs/>
          <w:color w:val="000000"/>
        </w:rPr>
      </w:pPr>
      <w:r>
        <w:rPr>
          <w:rFonts w:hint="eastAsia" w:ascii="宋体" w:hAnsi="宋体" w:eastAsia="宋体" w:cs="宋体"/>
          <w:b/>
          <w:bCs/>
          <w:color w:val="000000"/>
        </w:rPr>
        <w:t xml:space="preserve">（</w:t>
      </w:r>
      <w:r>
        <w:rPr>
          <w:rFonts w:hint="eastAsia" w:ascii="宋体" w:hAnsi="宋体" w:eastAsia="宋体" w:cs="宋体"/>
          <w:b/>
          <w:bCs/>
          <w:color w:val="000000"/>
          <w:lang w:val="en-US" w:eastAsia="zh-CN"/>
        </w:rPr>
        <w:t xml:space="preserve">五</w:t>
      </w:r>
      <w:r>
        <w:rPr>
          <w:rFonts w:hint="eastAsia" w:ascii="宋体" w:hAnsi="宋体" w:eastAsia="宋体" w:cs="宋体"/>
          <w:b/>
          <w:bCs/>
          <w:color w:val="000000"/>
        </w:rPr>
        <w:t xml:space="preserve">）服务考核表</w:t>
      </w:r>
      <w:r>
        <w:rPr>
          <w:rFonts w:hint="eastAsia" w:ascii="宋体" w:hAnsi="宋体" w:eastAsia="宋体" w:cs="宋体"/>
          <w:b/>
          <w:bCs/>
          <w:color w:val="000000"/>
        </w:rPr>
      </w:r>
      <w:r/>
    </w:p>
    <w:tbl>
      <w:tblPr>
        <w:tblW w:w="5262"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53"/>
        <w:gridCol w:w="1273"/>
        <w:gridCol w:w="791"/>
        <w:gridCol w:w="2733"/>
        <w:gridCol w:w="4202"/>
      </w:tblGrid>
      <w:tr>
        <w:trPr>
          <w:tblHeader/>
        </w:trPr>
        <w:tc>
          <w:tcPr>
            <w:gridSpan w:val="2"/>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考核项目</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105" w:right="-105"/>
              <w:jc w:val="center"/>
              <w:keepLines w:val="0"/>
              <w:keepNext w:val="0"/>
              <w:pageBreakBefore w:val="0"/>
              <w:spacing w:line="240" w:lineRule="auto"/>
              <w:widowControl w:val="off"/>
              <w:tabs>
                <w:tab w:val="left" w:pos="64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考核分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考核内容</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考核标准</w:t>
            </w:r>
            <w:r>
              <w:rPr>
                <w:rFonts w:hint="eastAsia" w:ascii="宋体" w:hAnsi="宋体" w:eastAsia="宋体" w:cs="宋体"/>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一、基础管理（共计25分）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1.工作计划管理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由维保维护单位按要求提交年度整体工作计划方案，结合方案完整性、合理性、可落地性、针对性综合评分：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方案内容完整、规划清晰、贴合实际运维工作，得5分；内容基本完整、规划较合理，略有瑕疵，得3分；内容简略、规划笼统、可执行性差，得1分；未按时提交、拒不提交年度工作计划，得0分。</w:t>
            </w:r>
            <w:r>
              <w:rPr>
                <w:rFonts w:hint="eastAsia" w:ascii="宋体" w:hAnsi="宋体" w:eastAsia="宋体" w:cs="宋体"/>
                <w:color w:val="000000"/>
                <w:sz w:val="21"/>
                <w:szCs w:val="21"/>
                <w:lang w:bidi="ar"/>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2.设备运行状况检查记录</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要求每月完成1次设备运行状况现场检查，规范填写检查记录表，并经使用单位现场签字确认：</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全月记录表齐全、填写规范、确认手续完整，得10分；</w:t>
            </w:r>
            <w:r>
              <w:rPr>
                <w:rFonts w:hint="eastAsia" w:ascii="宋体" w:hAnsi="宋体" w:eastAsia="宋体" w:cs="宋体"/>
                <w:color w:val="000000"/>
                <w:sz w:val="21"/>
                <w:szCs w:val="21"/>
                <w:lang w:bidi="ar"/>
              </w:rPr>
            </w:r>
            <w:r/>
          </w:p>
          <w:p>
            <w:pPr>
              <w:pStyle w:val="853"/>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每缺失1张月度检查记录表，扣2分；本项分数扣完为止。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3.故障报修修复确认记录</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针对用户主动上报故障，完成维修后留存修复确认记录，以使用单位反馈评价为准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所有报修故障均及时修复、用户评价满意，得10分；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出现1起及以上用户反馈维修服务、修复效果不满意情况，每起扣2分；本项分数扣完为止。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二、质量管理（共计55分）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1.硬件设备完好率</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15分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考核周期内，公安监控硬件设备综合完好率标准为≥95%：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设备完好率达标（95%及以上），得15分；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完好率每低于标准1个百分点，扣2分；本项分数扣完为止。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2.故障限时修复</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严格按照合同约定时限处置、修复各类设备及系统故障（不可抗力、甲方/上级指令等特殊原因除外）</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所有故障均在合同规定时限内完成修复，得10分；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无正当理由，每出现1起故障超时修复，扣2分；本项分数扣完为止。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3.监控图像及字符标准合规</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监控画面质量、画面字符叠加内容、格式严格遵照市局统一标准执行：</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全程合规，未收到上级部门通报，得10分；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每被上级部门通报1次图像、字符不合规问题，扣2分；本项分数扣完为止。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4.软件系统运行保障</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保障各类运维范围内软件系统稳定运行（因上级平台、网络、线路等外部原因引发故障除外）</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考核期内无软件系统重大故障，得10分；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每发生1起软件系统重大故障，扣2分；本项分数扣完为止。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5.网络用规范管理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严格遵守公安网管理规定，严禁出现网络混接、一机两用等违规行为：</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无网络违规行为、未被上级部门通报，得10分；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每发生1起网络混接、一机两用行为，或因此被上级部门通报，单次扣10分；本项分数扣完为止。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三、人员管理（共计20分）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1.人员仪容仪表与服务态度</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现场维保作业人员统一着装、仪容整洁，服务沟通态度文明友善：</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全员规范着装、服务态度良好，无违规情况，得10分；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每出现1人次着装不规范、言行态度恶劣、服务生硬等违规情况，扣2分；本项分数扣完为止。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2.保密纪律管理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维保人员严格遵守公安保密规定，严禁泄露工作中接触、听闻、目睹的案件信息、涉密事件及其他无关涉密内容：</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考核期内无泄密、违规传播情况，得10分；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无意或故意向外透露涉密信息、案件、内部事件，每发现1起，扣2分；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因信息泄露造成不良社会影响、单位负面影响的，本项直接扣10分；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若泄密行为造成严重违法后果，除考核扣分外，依法追究当事人相关法律责任。</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四、加分项（最高10分）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1.平台零故障运行</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维保期间，系统相关平台、软件系统运行稳定零故障</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整个维保考核周期内，所辖业务平台、配套软件系统全程稳定运行、零故障，一次性加5分；出现故障则本项不予加分。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所有加分项均需附书面说明，写明加分事由、任务详情、完成情况，无说明不予计分。</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2.配合维稳处突工作</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维保单位及人员主动配合甲方开展维稳、应急处突等专项工作，按时保质完成任务，按任务等级计分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配合甲方完成维稳处突任务，按任务重要性单次加1-5分；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常规一般处突任务，圆满完成加1-2分；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重点、紧急维稳处突任务，高效圆满完成加3-5分；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本项累计加分上限5分，加分需书面注明事由。</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所有加分项均需附书面说明，写明加分事由、任务详情、完成情况，无说明不予计分。</w:t>
            </w:r>
            <w:r>
              <w:rPr>
                <w:rFonts w:hint="eastAsia" w:ascii="宋体" w:hAnsi="宋体" w:eastAsia="宋体" w:cs="宋体"/>
                <w:color w:val="000000"/>
                <w:sz w:val="21"/>
                <w:szCs w:val="21"/>
              </w:rPr>
            </w:r>
            <w:r/>
          </w:p>
        </w:tc>
      </w:tr>
    </w:tbl>
    <w:p>
      <w:pPr>
        <w:pStyle w:val="853"/>
        <w:ind w:left="0" w:firstLine="420"/>
        <w:spacing w:line="360" w:lineRule="auto"/>
        <w:rPr>
          <w:rFonts w:hint="eastAsia" w:ascii="宋体" w:hAnsi="宋体" w:cs="宋体"/>
          <w:color w:val="000000"/>
          <w:szCs w:val="21"/>
        </w:rPr>
      </w:pPr>
      <w:r>
        <w:rPr>
          <w:rFonts w:hint="eastAsia" w:ascii="宋体" w:hAnsi="宋体" w:cs="宋体"/>
          <w:color w:val="000000"/>
          <w:sz w:val="21"/>
          <w:szCs w:val="21"/>
        </w:rPr>
        <w:t xml:space="preserve">1）当考核结果≥9</w:t>
      </w:r>
      <w:r>
        <w:rPr>
          <w:rFonts w:hint="eastAsia" w:ascii="宋体" w:hAnsi="宋体" w:cs="宋体"/>
          <w:color w:val="000000"/>
          <w:szCs w:val="21"/>
        </w:rPr>
        <w:t xml:space="preserve">0</w:t>
      </w:r>
      <w:r>
        <w:rPr>
          <w:rFonts w:hint="eastAsia" w:ascii="宋体" w:hAnsi="宋体" w:cs="宋体"/>
          <w:color w:val="000000"/>
          <w:sz w:val="21"/>
          <w:szCs w:val="21"/>
        </w:rPr>
        <w:t xml:space="preserve">分时，甲方可按合同全额付款。</w:t>
      </w:r>
      <w:r>
        <w:rPr>
          <w:rFonts w:hint="eastAsia" w:ascii="宋体" w:hAnsi="宋体" w:cs="宋体"/>
          <w:color w:val="000000"/>
          <w:szCs w:val="21"/>
        </w:rPr>
      </w:r>
      <w:r/>
    </w:p>
    <w:p>
      <w:pPr>
        <w:pStyle w:val="853"/>
        <w:ind w:left="0" w:firstLine="420"/>
        <w:spacing w:line="360" w:lineRule="auto"/>
        <w:rPr>
          <w:rFonts w:hint="eastAsia" w:ascii="宋体" w:hAnsi="宋体" w:cs="宋体"/>
          <w:color w:val="000000"/>
          <w:szCs w:val="21"/>
        </w:rPr>
      </w:pPr>
      <w:r>
        <w:rPr>
          <w:rFonts w:hint="eastAsia" w:ascii="宋体" w:hAnsi="宋体" w:cs="宋体"/>
          <w:color w:val="000000"/>
          <w:sz w:val="21"/>
          <w:szCs w:val="21"/>
        </w:rPr>
        <w:t xml:space="preserve">2）当考评结果＜9</w:t>
      </w:r>
      <w:r>
        <w:rPr>
          <w:rFonts w:hint="eastAsia" w:ascii="宋体" w:hAnsi="宋体" w:cs="宋体"/>
          <w:color w:val="000000"/>
          <w:szCs w:val="21"/>
        </w:rPr>
        <w:t xml:space="preserve">0</w:t>
      </w:r>
      <w:r>
        <w:rPr>
          <w:rFonts w:hint="eastAsia" w:ascii="宋体" w:hAnsi="宋体" w:cs="宋体"/>
          <w:color w:val="000000"/>
          <w:sz w:val="21"/>
          <w:szCs w:val="21"/>
        </w:rPr>
        <w:t xml:space="preserve">分，甲方按照考核分比例付款。（例：考核结果为85分，即应付款*0.85）</w:t>
      </w:r>
      <w:r>
        <w:rPr>
          <w:rFonts w:hint="eastAsia" w:ascii="宋体" w:hAnsi="宋体" w:cs="宋体"/>
          <w:color w:val="000000"/>
          <w:szCs w:val="21"/>
        </w:rPr>
      </w:r>
      <w:r/>
    </w:p>
    <w:p>
      <w:pPr>
        <w:pStyle w:val="853"/>
        <w:ind w:left="0" w:firstLine="420"/>
        <w:spacing w:line="360" w:lineRule="auto"/>
        <w:rPr>
          <w:rFonts w:hint="eastAsia" w:ascii="宋体" w:hAnsi="宋体" w:cs="宋体"/>
          <w:color w:val="000000"/>
          <w:szCs w:val="21"/>
        </w:rPr>
      </w:pPr>
      <w:r>
        <w:rPr>
          <w:rFonts w:hint="eastAsia" w:ascii="宋体" w:hAnsi="宋体" w:cs="宋体"/>
          <w:color w:val="000000"/>
          <w:sz w:val="21"/>
          <w:szCs w:val="21"/>
        </w:rPr>
        <w:t xml:space="preserve">3）当考评结果＜60分，甲方有权拒绝支付所有款项。</w:t>
      </w:r>
      <w:r>
        <w:rPr>
          <w:rFonts w:hint="eastAsia" w:ascii="宋体" w:hAnsi="宋体" w:cs="宋体"/>
          <w:color w:val="000000"/>
          <w:szCs w:val="21"/>
        </w:rPr>
      </w:r>
      <w:r/>
    </w:p>
    <w:p>
      <w:pPr>
        <w:pStyle w:val="853"/>
        <w:jc w:val="left"/>
        <w:spacing w:line="360" w:lineRule="auto"/>
        <w:tabs>
          <w:tab w:val="left" w:pos="720" w:leader="none"/>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、综合说明及其它要求：</w:t>
      </w:r>
      <w:r>
        <w:rPr>
          <w:rFonts w:hint="eastAsia" w:ascii="宋体" w:hAnsi="宋体" w:eastAsia="宋体" w:cs="宋体"/>
          <w:b/>
          <w:bCs/>
          <w:color w:val="000000"/>
          <w:sz w:val="24"/>
          <w:szCs w:val="24"/>
          <w:highlight w:val="none"/>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必须承诺采购文件中提出的全部技术规格与要求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如果其中某些条款不响应时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应在文件中逐条列出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未列出的视同响应。</w:t>
      </w:r>
      <w:r>
        <w:rPr>
          <w:rFonts w:hint="eastAsia" w:ascii="宋体" w:hAnsi="宋体" w:eastAsia="宋体" w:cs="宋体"/>
          <w:color w:val="000000"/>
          <w:sz w:val="24"/>
          <w:szCs w:val="24"/>
          <w:highlight w:val="none"/>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须保障采购方在使用</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或其任何一部分时不受到第三方关于侵犯专利权、商标权或工业设计权的指控。如果任何第三方提出侵权指控</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须与第三方交涉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并承担由此而产生的索赔、损失、损害、支出等一切费用（含律师费）。如采购方因此而遭致损失的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成交方应赔偿该损失。</w:t>
      </w:r>
      <w:r>
        <w:rPr>
          <w:rFonts w:hint="eastAsia" w:ascii="宋体" w:hAnsi="宋体" w:eastAsia="宋体" w:cs="宋体"/>
          <w:color w:val="000000"/>
          <w:sz w:val="24"/>
          <w:szCs w:val="24"/>
          <w:highlight w:val="none"/>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.成交后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采购单位有权不定期对</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质量进行查看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如果发现成交单位存在违反本次采购要求的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采购单位有权终止合同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相关损失由成交单位承担。</w:t>
      </w:r>
      <w:r>
        <w:rPr>
          <w:rFonts w:hint="eastAsia" w:ascii="宋体" w:hAnsi="宋体" w:eastAsia="宋体" w:cs="宋体"/>
          <w:color w:val="000000"/>
          <w:sz w:val="24"/>
          <w:szCs w:val="24"/>
          <w:highlight w:val="none"/>
        </w:rPr>
      </w:r>
      <w:r/>
    </w:p>
    <w:p>
      <w:pPr>
        <w:pStyle w:val="853"/>
        <w:ind w:left="0" w:firstLine="42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.报价应</w:t>
      </w:r>
      <w:r>
        <w:rPr>
          <w:rFonts w:hint="eastAsia" w:ascii="宋体" w:hAnsi="宋体" w:eastAsia="宋体" w:cs="宋体"/>
          <w:b w:val="0"/>
          <w:bCs w:val="0"/>
          <w:color w:val="000000"/>
          <w:sz w:val="24"/>
          <w:szCs w:val="24"/>
          <w:highlight w:val="none"/>
          <w:lang w:val="en-US" w:eastAsia="zh-CN"/>
        </w:rPr>
        <w:t xml:space="preserve">包括</w:t>
      </w:r>
      <w:r>
        <w:rPr>
          <w:rFonts w:hint="eastAsia" w:ascii="宋体" w:hAnsi="宋体" w:eastAsia="宋体" w:cs="宋体"/>
          <w:b w:val="0"/>
          <w:bCs w:val="0"/>
          <w:color w:val="000000"/>
          <w:sz w:val="24"/>
          <w:szCs w:val="24"/>
          <w:highlight w:val="none"/>
          <w:lang w:eastAsia="zh-CN"/>
        </w:rPr>
        <w:t xml:space="preserve">完成本项目服务内容所需的</w:t>
      </w:r>
      <w:r>
        <w:rPr>
          <w:rFonts w:hint="eastAsia" w:ascii="宋体" w:hAnsi="宋体" w:eastAsia="宋体" w:cs="宋体"/>
          <w:b w:val="0"/>
          <w:bCs w:val="0"/>
          <w:color w:val="000000"/>
          <w:sz w:val="24"/>
          <w:szCs w:val="24"/>
        </w:rPr>
        <w:t xml:space="preserve">材料费（包括清单内所有设备材料以及与之运行所相关的一切配套设施）、调试费、包装费、运费、人工费、安装费、工具劳保费、通讯费、各种税费等一切费用，服务期限内甲方不再为本项目支出合同之外的任何费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highlight w:val="none"/>
          <w:lang w:eastAsia="zh-CN"/>
        </w:rPr>
        <w:t xml:space="preserve">遇到法律法规规定的最低工资调整，其中人工费用相应浮动，及合同实施过程中的不可预见的各项费用，由供应商自行承担。</w:t>
      </w:r>
      <w:r>
        <w:rPr>
          <w:rFonts w:hint="eastAsia" w:ascii="宋体" w:hAnsi="宋体" w:eastAsia="宋体" w:cs="宋体"/>
          <w:b w:val="0"/>
          <w:bCs w:val="0"/>
          <w:color w:val="000000"/>
          <w:sz w:val="24"/>
          <w:szCs w:val="24"/>
          <w:highlight w:val="none"/>
          <w:lang w:eastAsia="zh-CN"/>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出现下列情形之一的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应当终止</w:t>
      </w:r>
      <w:r>
        <w:rPr>
          <w:rFonts w:hint="eastAsia" w:ascii="宋体" w:hAnsi="宋体" w:eastAsia="宋体" w:cs="宋体"/>
          <w:color w:val="000000"/>
          <w:sz w:val="24"/>
          <w:szCs w:val="24"/>
          <w:highlight w:val="none"/>
          <w:lang w:eastAsia="zh-CN"/>
        </w:rPr>
        <w:t xml:space="preserve">竞争性磋商</w:t>
      </w:r>
      <w:r>
        <w:rPr>
          <w:rFonts w:hint="eastAsia" w:ascii="宋体" w:hAnsi="宋体" w:eastAsia="宋体" w:cs="宋体"/>
          <w:color w:val="000000"/>
          <w:sz w:val="24"/>
          <w:szCs w:val="24"/>
          <w:highlight w:val="none"/>
        </w:rPr>
        <w:t xml:space="preserve">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重新开展采购活动：</w:t>
      </w:r>
      <w:r>
        <w:rPr>
          <w:rFonts w:hint="eastAsia" w:ascii="宋体" w:hAnsi="宋体" w:eastAsia="宋体" w:cs="宋体"/>
          <w:color w:val="000000"/>
          <w:sz w:val="24"/>
          <w:szCs w:val="24"/>
          <w:highlight w:val="none"/>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不再符合规定的</w:t>
      </w:r>
      <w:r>
        <w:rPr>
          <w:rFonts w:hint="eastAsia" w:ascii="宋体" w:hAnsi="宋体" w:eastAsia="宋体" w:cs="宋体"/>
          <w:color w:val="000000"/>
          <w:sz w:val="24"/>
          <w:szCs w:val="24"/>
          <w:highlight w:val="none"/>
          <w:lang w:eastAsia="zh-CN"/>
        </w:rPr>
        <w:t xml:space="preserve">竞争性磋商</w:t>
      </w:r>
      <w:r>
        <w:rPr>
          <w:rFonts w:hint="eastAsia" w:ascii="宋体" w:hAnsi="宋体" w:eastAsia="宋体" w:cs="宋体"/>
          <w:color w:val="000000"/>
          <w:sz w:val="24"/>
          <w:szCs w:val="24"/>
          <w:highlight w:val="none"/>
        </w:rPr>
        <w:t xml:space="preserve">采购单位式适用情形的；</w:t>
      </w:r>
      <w:r>
        <w:rPr>
          <w:rFonts w:hint="eastAsia" w:ascii="宋体" w:hAnsi="宋体" w:eastAsia="宋体" w:cs="宋体"/>
          <w:color w:val="000000"/>
          <w:sz w:val="24"/>
          <w:szCs w:val="24"/>
          <w:highlight w:val="none"/>
        </w:rPr>
      </w:r>
      <w:r/>
    </w:p>
    <w:p>
      <w:pPr>
        <w:pStyle w:val="853"/>
        <w:ind w:left="0" w:firstLine="4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853"/>
        <w:ind w:left="0" w:firstLine="4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（3）在采购过程中符合竞争要求的</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或者报价未超过采购预算的供应商不足3家的。</w:t>
      </w:r>
      <w:r>
        <w:rPr>
          <w:rFonts w:hint="eastAsia" w:ascii="宋体" w:hAnsi="宋体" w:eastAsia="宋体" w:cs="宋体"/>
          <w:color w:val="000000"/>
          <w:sz w:val="24"/>
          <w:szCs w:val="24"/>
          <w:highlight w:val="none"/>
        </w:rPr>
      </w:r>
      <w:r/>
    </w:p>
    <w:p>
      <w:pPr>
        <w:pStyle w:val="853"/>
        <w:ind w:left="0" w:firstLine="420"/>
        <w:spacing w:line="360" w:lineRule="auto"/>
        <w:widowControl/>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TW"/>
        </w:rPr>
        <w:t xml:space="preserve">成交</w:t>
      </w:r>
      <w:r>
        <w:rPr>
          <w:rFonts w:hint="eastAsia" w:ascii="宋体" w:hAnsi="宋体" w:eastAsia="宋体" w:cs="宋体"/>
          <w:color w:val="000000"/>
          <w:sz w:val="24"/>
          <w:szCs w:val="24"/>
          <w:highlight w:val="none"/>
          <w:lang w:val="zh-TW" w:eastAsia="zh-TW"/>
        </w:rPr>
        <w:t xml:space="preserve">服务费</w:t>
      </w:r>
      <w:r>
        <w:rPr>
          <w:rFonts w:hint="eastAsia" w:ascii="宋体" w:hAnsi="宋体" w:eastAsia="宋体" w:cs="宋体"/>
          <w:color w:val="000000"/>
          <w:sz w:val="24"/>
          <w:szCs w:val="24"/>
          <w:highlight w:val="none"/>
          <w:lang w:val="zh-TW" w:eastAsia="zh-TW"/>
        </w:rPr>
      </w:r>
      <w:r/>
    </w:p>
    <w:p>
      <w:pPr>
        <w:pStyle w:val="853"/>
        <w:ind w:left="0" w:firstLine="420"/>
        <w:spacing w:line="360" w:lineRule="auto"/>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lang w:val="en-US" w:eastAsia="zh-CN"/>
        </w:rPr>
        <w:t xml:space="preserve">本项目代理服务费，由</w:t>
      </w:r>
      <w:r>
        <w:rPr>
          <w:rFonts w:hint="eastAsia" w:ascii="宋体" w:hAnsi="宋体" w:eastAsia="宋体" w:cs="宋体"/>
          <w:color w:val="000000"/>
          <w:sz w:val="24"/>
          <w:szCs w:val="24"/>
          <w:highlight w:val="none"/>
        </w:rPr>
        <w:t xml:space="preserve">采购人支付</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r>
      <w:r/>
    </w:p>
    <w:p>
      <w:pPr>
        <w:pStyle w:val="853"/>
        <w:ind w:left="0" w:firstLine="420"/>
        <w:spacing w:line="360" w:lineRule="auto"/>
        <w:widowControl/>
        <w:rPr>
          <w:rFonts w:hint="eastAsia" w:ascii="宋体" w:hAnsi="宋体" w:eastAsia="宋体" w:cs="宋体"/>
          <w:color w:val="000000"/>
          <w:sz w:val="24"/>
          <w:szCs w:val="24"/>
          <w:highlight w:val="none"/>
          <w:lang w:val="zh-TW"/>
        </w:rPr>
      </w:pPr>
      <w:r>
        <w:rPr>
          <w:rFonts w:hint="eastAsia" w:ascii="宋体" w:hAnsi="宋体" w:eastAsia="宋体" w:cs="宋体"/>
          <w:color w:val="000000"/>
          <w:sz w:val="24"/>
          <w:szCs w:val="24"/>
          <w:highlight w:val="none"/>
          <w:lang w:val="zh-TW" w:eastAsia="zh-TW"/>
        </w:rPr>
        <w:t xml:space="preserve">服务费率：预算金额100万元以下部分</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费率为该部分预算金额的1.5%</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预算金额100万元（含）－500万元部分</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费率为该部分预算金额的1.1%</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rPr>
        <w:t xml:space="preserve">本项目服务费</w:t>
      </w:r>
      <w:r>
        <w:rPr>
          <w:rFonts w:hint="eastAsia" w:ascii="宋体" w:hAnsi="宋体" w:eastAsia="宋体" w:cs="宋体"/>
          <w:color w:val="000000"/>
          <w:sz w:val="24"/>
          <w:szCs w:val="24"/>
          <w:highlight w:val="none"/>
          <w:lang w:val="en-US" w:eastAsia="zh-CN"/>
        </w:rPr>
        <w:t xml:space="preserve">37070</w:t>
      </w:r>
      <w:r>
        <w:rPr>
          <w:rFonts w:hint="eastAsia" w:ascii="宋体" w:hAnsi="宋体" w:eastAsia="宋体" w:cs="宋体"/>
          <w:color w:val="000000"/>
          <w:sz w:val="24"/>
          <w:szCs w:val="24"/>
          <w:highlight w:val="none"/>
          <w:lang w:val="zh-TW"/>
        </w:rPr>
        <w:t xml:space="preserve">元。</w:t>
      </w:r>
      <w:r>
        <w:rPr>
          <w:rFonts w:hint="eastAsia" w:ascii="宋体" w:hAnsi="宋体" w:eastAsia="宋体" w:cs="宋体"/>
          <w:color w:val="000000"/>
          <w:sz w:val="24"/>
          <w:szCs w:val="24"/>
          <w:highlight w:val="none"/>
          <w:lang w:val="zh-TW"/>
        </w:rPr>
      </w:r>
      <w:r/>
    </w:p>
    <w:p>
      <w:pPr>
        <w:pStyle w:val="853"/>
        <w:ind w:left="0" w:firstLine="420"/>
        <w:spacing w:line="360" w:lineRule="auto"/>
        <w:widowControl/>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rPr>
        <w:t xml:space="preserve">服务费账号</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30530188000070877</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账户名：</w:t>
      </w:r>
      <w:r>
        <w:rPr>
          <w:rFonts w:hint="eastAsia" w:ascii="宋体" w:hAnsi="宋体" w:eastAsia="宋体" w:cs="宋体"/>
          <w:color w:val="000000"/>
          <w:sz w:val="24"/>
          <w:szCs w:val="24"/>
          <w:highlight w:val="none"/>
          <w:lang w:val="zh-TW"/>
        </w:rPr>
        <w:t xml:space="preserve">苏州华厦招投标代理有限公司</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开户行：江苏银行苏州科技城支行  </w:t>
      </w:r>
      <w:r>
        <w:rPr>
          <w:rFonts w:hint="eastAsia" w:ascii="宋体" w:hAnsi="宋体" w:eastAsia="宋体" w:cs="宋体"/>
          <w:color w:val="000000"/>
          <w:sz w:val="24"/>
          <w:szCs w:val="24"/>
          <w:highlight w:val="none"/>
          <w:lang w:val="zh-TW" w:eastAsia="zh-TW"/>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7.本次磋商采取</w:t>
      </w:r>
      <w:r>
        <w:rPr>
          <w:rFonts w:hint="eastAsia" w:ascii="宋体" w:hAnsi="宋体" w:eastAsia="宋体" w:cs="宋体"/>
          <w:b/>
          <w:bCs/>
          <w:color w:val="000000"/>
          <w:sz w:val="24"/>
          <w:szCs w:val="24"/>
          <w:highlight w:val="none"/>
        </w:rPr>
        <w:t xml:space="preserve">二次报价</w:t>
      </w:r>
      <w:r>
        <w:rPr>
          <w:rFonts w:hint="eastAsia" w:ascii="宋体" w:hAnsi="宋体" w:eastAsia="宋体" w:cs="宋体"/>
          <w:color w:val="000000"/>
          <w:sz w:val="24"/>
          <w:szCs w:val="24"/>
          <w:highlight w:val="none"/>
        </w:rPr>
        <w:t xml:space="preserve">的方式，即提交磋商文件中的报价为首次报价，磋商过程中再作一次最终报价。</w:t>
      </w:r>
      <w:r>
        <w:rPr>
          <w:rFonts w:hint="eastAsia" w:ascii="宋体" w:hAnsi="宋体" w:eastAsia="宋体" w:cs="宋体"/>
          <w:color w:val="000000"/>
          <w:sz w:val="24"/>
          <w:szCs w:val="24"/>
          <w:highlight w:val="none"/>
        </w:rPr>
      </w:r>
      <w:r/>
    </w:p>
    <w:p>
      <w:pPr>
        <w:pStyle w:val="853"/>
        <w:ind w:left="0" w:firstLine="4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TW"/>
        </w:rPr>
        <w:t xml:space="preserve">凡</w:t>
      </w:r>
      <w:r>
        <w:rPr>
          <w:rFonts w:hint="eastAsia" w:ascii="宋体" w:hAnsi="宋体" w:eastAsia="宋体" w:cs="宋体"/>
          <w:color w:val="000000"/>
          <w:sz w:val="24"/>
          <w:szCs w:val="24"/>
          <w:highlight w:val="none"/>
        </w:rPr>
        <w:t xml:space="preserve">涉及</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文件的补充说明和修改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均以苏州市政府采购网上的通知为准。</w:t>
      </w:r>
      <w:r>
        <w:rPr>
          <w:rFonts w:hint="eastAsia" w:ascii="宋体" w:hAnsi="宋体" w:eastAsia="宋体" w:cs="宋体"/>
          <w:color w:val="000000"/>
          <w:sz w:val="24"/>
          <w:szCs w:val="24"/>
          <w:highlight w:val="none"/>
        </w:rPr>
      </w:r>
      <w:r/>
    </w:p>
    <w:p>
      <w:pPr>
        <w:pStyle w:val="853"/>
        <w:spacing w:line="360" w:lineRule="auto"/>
        <w:tabs>
          <w:tab w:val="left" w:pos="0" w:leader="none"/>
        </w:tabs>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val="zh-CN"/>
        </w:rPr>
        <w:t xml:space="preserve">、磋商响应文件的组成</w:t>
      </w:r>
      <w:r>
        <w:rPr>
          <w:rFonts w:hint="eastAsia" w:ascii="宋体" w:hAnsi="宋体" w:eastAsia="宋体" w:cs="宋体"/>
          <w:b/>
          <w:bCs/>
          <w:color w:val="000000"/>
          <w:sz w:val="24"/>
          <w:szCs w:val="24"/>
          <w:highlight w:val="none"/>
          <w:lang w:val="zh-CN"/>
        </w:rPr>
      </w:r>
      <w:r/>
    </w:p>
    <w:p>
      <w:pPr>
        <w:pStyle w:val="865"/>
        <w:ind w:left="0" w:firstLine="422"/>
        <w:spacing w:line="360" w:lineRule="auto"/>
        <w:rPr>
          <w:rFonts w:hint="eastAsia" w:ascii="宋体" w:hAnsi="宋体" w:eastAsia="宋体" w:cs="宋体"/>
          <w:b/>
          <w:color w:val="000000"/>
          <w:sz w:val="24"/>
          <w:szCs w:val="24"/>
          <w:highlight w:val="none"/>
        </w:rPr>
      </w:pPr>
      <w:r/>
      <w:bookmarkEnd w:id="0"/>
      <w:r>
        <w:rPr>
          <w:rFonts w:hint="eastAsia" w:ascii="宋体" w:hAnsi="宋体" w:eastAsia="宋体" w:cs="宋体"/>
          <w:b/>
          <w:color w:val="000000"/>
          <w:sz w:val="24"/>
          <w:szCs w:val="24"/>
          <w:highlight w:val="none"/>
        </w:rPr>
        <w:t xml:space="preserve">1、封面</w:t>
      </w:r>
      <w:r>
        <w:rPr>
          <w:rFonts w:hint="eastAsia" w:ascii="宋体" w:hAnsi="宋体" w:eastAsia="宋体" w:cs="宋体"/>
          <w:b/>
          <w:color w:val="000000"/>
          <w:sz w:val="24"/>
          <w:szCs w:val="24"/>
          <w:highlight w:val="none"/>
        </w:rPr>
      </w:r>
      <w:r/>
    </w:p>
    <w:p>
      <w:pPr>
        <w:pStyle w:val="865"/>
        <w:ind w:left="0"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2、开标一览表</w:t>
      </w:r>
      <w:r>
        <w:rPr>
          <w:rFonts w:hint="eastAsia" w:ascii="宋体" w:hAnsi="宋体" w:eastAsia="宋体" w:cs="宋体"/>
          <w:b/>
          <w:color w:val="000000"/>
          <w:sz w:val="24"/>
          <w:szCs w:val="24"/>
          <w:highlight w:val="none"/>
        </w:rPr>
      </w:r>
      <w:r/>
    </w:p>
    <w:p>
      <w:pPr>
        <w:pStyle w:val="865"/>
        <w:ind w:left="0"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3、资格审查响应文件</w:t>
      </w:r>
      <w:r>
        <w:rPr>
          <w:rFonts w:hint="eastAsia" w:ascii="宋体" w:hAnsi="宋体" w:eastAsia="宋体" w:cs="宋体"/>
          <w:b/>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3.1关于资格文件的声明函；</w:t>
      </w:r>
      <w:r>
        <w:rPr>
          <w:rFonts w:hint="eastAsia" w:ascii="宋体" w:hAnsi="宋体" w:eastAsia="宋体" w:cs="宋体"/>
          <w:bCs/>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3.2磋商响应单位法定代表人身份证复印件；</w:t>
      </w:r>
      <w:r>
        <w:rPr>
          <w:rFonts w:hint="eastAsia" w:ascii="宋体" w:hAnsi="宋体" w:eastAsia="宋体" w:cs="宋体"/>
          <w:bCs/>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3.3法定代表人授权委托书（如有授权）；</w:t>
      </w:r>
      <w:r>
        <w:rPr>
          <w:rFonts w:hint="eastAsia" w:ascii="宋体" w:hAnsi="宋体" w:eastAsia="宋体" w:cs="宋体"/>
          <w:bCs/>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3.4磋商响应单位授权代理人身份证复印件（如有授权）；</w:t>
      </w:r>
      <w:r>
        <w:rPr>
          <w:rFonts w:hint="eastAsia" w:ascii="宋体" w:hAnsi="宋体" w:eastAsia="宋体" w:cs="宋体"/>
          <w:bCs/>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3.5合格供应商的基本条件</w:t>
      </w:r>
      <w:r>
        <w:rPr>
          <w:rFonts w:hint="eastAsia" w:ascii="宋体" w:hAnsi="宋体" w:eastAsia="宋体" w:cs="宋体"/>
          <w:bCs/>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3.5.1具有独立承担民事责任的能力证明。包括法人或者其他组织的营业执照等；</w:t>
      </w:r>
      <w:r>
        <w:rPr>
          <w:rFonts w:hint="eastAsia" w:ascii="宋体" w:hAnsi="宋体" w:eastAsia="宋体" w:cs="宋体"/>
          <w:bCs/>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3.5.2具有良好的商业信誉和健全的财务会计制度证明</w:t>
      </w:r>
      <w:r>
        <w:rPr>
          <w:rFonts w:hint="eastAsia" w:ascii="宋体" w:hAnsi="宋体" w:eastAsia="宋体" w:cs="宋体"/>
          <w:b/>
          <w:color w:val="000000"/>
          <w:sz w:val="24"/>
          <w:szCs w:val="24"/>
          <w:highlight w:val="none"/>
        </w:rPr>
        <w:t xml:space="preserve">（法人应提供最近一期财务报告，其他组织、自然人及成立未满一年的法人应提供银行出具的资信证明）；</w:t>
      </w:r>
      <w:r>
        <w:rPr>
          <w:rFonts w:hint="eastAsia" w:ascii="宋体" w:hAnsi="宋体" w:eastAsia="宋体" w:cs="宋体"/>
          <w:bCs/>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3.5.3履行合同所必需的设备和专业技术能力的证明材料或承诺；</w:t>
      </w:r>
      <w:r>
        <w:rPr>
          <w:rFonts w:hint="eastAsia" w:ascii="宋体" w:hAnsi="宋体" w:eastAsia="宋体" w:cs="宋体"/>
          <w:bCs/>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3.5.4有依法缴纳税收和社会保障资金的良好记录</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
          <w:bCs/>
          <w:color w:val="000000"/>
          <w:sz w:val="24"/>
          <w:szCs w:val="24"/>
          <w:highlight w:val="none"/>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3.5.5参加政府采购活动前三年内在经营活动中没有重大违法记录的书面声明函；</w:t>
      </w:r>
      <w:r>
        <w:rPr>
          <w:rFonts w:hint="eastAsia" w:ascii="宋体" w:hAnsi="宋体" w:eastAsia="宋体" w:cs="宋体"/>
          <w:bCs/>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3.6其它有关资格证明的文件；</w:t>
      </w:r>
      <w:r>
        <w:rPr>
          <w:rFonts w:hint="eastAsia" w:ascii="宋体" w:hAnsi="宋体" w:eastAsia="宋体" w:cs="宋体"/>
          <w:bCs/>
          <w:color w:val="000000"/>
          <w:sz w:val="24"/>
          <w:szCs w:val="24"/>
          <w:highlight w:val="none"/>
        </w:rPr>
      </w:r>
      <w:r/>
    </w:p>
    <w:p>
      <w:pPr>
        <w:pStyle w:val="865"/>
        <w:ind w:left="0"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4、符合性审查响应文件</w:t>
      </w:r>
      <w:r>
        <w:rPr>
          <w:rFonts w:hint="eastAsia" w:ascii="宋体" w:hAnsi="宋体" w:eastAsia="宋体" w:cs="宋体"/>
          <w:b/>
          <w:color w:val="000000"/>
          <w:sz w:val="24"/>
          <w:szCs w:val="24"/>
          <w:highlight w:val="none"/>
        </w:rPr>
      </w:r>
      <w:r/>
    </w:p>
    <w:p>
      <w:pPr>
        <w:pStyle w:val="865"/>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4.1磋商响应函；</w:t>
      </w:r>
      <w:r>
        <w:rPr>
          <w:rFonts w:hint="eastAsia" w:ascii="宋体" w:hAnsi="宋体" w:eastAsia="宋体" w:cs="宋体"/>
          <w:color w:val="000000"/>
          <w:sz w:val="24"/>
          <w:szCs w:val="24"/>
          <w:highlight w:val="none"/>
        </w:rPr>
      </w:r>
      <w:r/>
    </w:p>
    <w:p>
      <w:pPr>
        <w:pStyle w:val="865"/>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4.2磋商报价分析表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如有，格式自拟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5"/>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4.3偏离表；</w:t>
      </w:r>
      <w:r>
        <w:rPr>
          <w:rFonts w:hint="eastAsia" w:ascii="宋体" w:hAnsi="宋体" w:eastAsia="宋体" w:cs="宋体"/>
          <w:color w:val="000000"/>
          <w:sz w:val="24"/>
          <w:szCs w:val="24"/>
          <w:highlight w:val="none"/>
        </w:rPr>
      </w:r>
      <w:r/>
    </w:p>
    <w:p>
      <w:pPr>
        <w:pStyle w:val="865"/>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4.4项目服务人员配置表；</w:t>
      </w:r>
      <w:r>
        <w:rPr>
          <w:rFonts w:hint="eastAsia" w:ascii="宋体" w:hAnsi="宋体" w:eastAsia="宋体" w:cs="宋体"/>
          <w:color w:val="000000"/>
          <w:sz w:val="24"/>
          <w:szCs w:val="24"/>
          <w:highlight w:val="none"/>
        </w:rPr>
      </w:r>
      <w:r/>
    </w:p>
    <w:p>
      <w:pPr>
        <w:pStyle w:val="865"/>
        <w:ind w:left="0"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5、综合评审响应文件</w:t>
      </w:r>
      <w:r>
        <w:rPr>
          <w:rFonts w:hint="eastAsia" w:ascii="宋体" w:hAnsi="宋体" w:eastAsia="宋体" w:cs="宋体"/>
          <w:color w:val="000000"/>
          <w:sz w:val="24"/>
          <w:szCs w:val="24"/>
          <w:highlight w:val="none"/>
        </w:rPr>
      </w:r>
      <w:r/>
    </w:p>
    <w:p>
      <w:pPr>
        <w:pStyle w:val="865"/>
        <w:ind w:left="0"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技术方案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5"/>
        <w:ind w:left="0"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售后服务效率比较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5"/>
        <w:ind w:left="0"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5.3 针对本项目的</w:t>
      </w:r>
      <w:bookmarkStart w:id="8" w:name="OLE_LINK9"/>
      <w:r>
        <w:rPr>
          <w:rFonts w:hint="eastAsia" w:ascii="宋体" w:hAnsi="宋体" w:eastAsia="宋体" w:cs="宋体"/>
          <w:color w:val="000000"/>
          <w:sz w:val="24"/>
          <w:szCs w:val="24"/>
          <w:highlight w:val="none"/>
        </w:rPr>
        <w:t xml:space="preserve">运维客户端功能性演示</w:t>
      </w:r>
      <w:bookmarkEnd w:id="8"/>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5"/>
        <w:ind w:left="0"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5.4 针对本项目配备人员比较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5"/>
        <w:ind w:left="0"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5.5 响应单位综合能力比较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5"/>
        <w:ind w:left="0" w:firstLine="42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rPr>
        <w:t xml:space="preserve">5.6</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类似项目业绩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eastAsia="zh-CN"/>
        </w:rPr>
      </w:r>
      <w:r/>
    </w:p>
    <w:p>
      <w:pPr>
        <w:pStyle w:val="865"/>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865"/>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7、对属于《节能产品政府采购品目清单》政府强制采购产品的，需提供该产品有效期内的认证等相关证明材料（如有）。</w:t>
      </w:r>
      <w:r>
        <w:rPr>
          <w:rFonts w:hint="eastAsia" w:ascii="宋体" w:hAnsi="宋体" w:eastAsia="宋体" w:cs="宋体"/>
          <w:color w:val="000000"/>
          <w:sz w:val="24"/>
          <w:szCs w:val="24"/>
          <w:highlight w:val="none"/>
        </w:rPr>
      </w:r>
      <w:r/>
    </w:p>
    <w:p>
      <w:pPr>
        <w:pStyle w:val="865"/>
        <w:ind w:left="0"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bCs/>
          <w:color w:val="000000"/>
          <w:sz w:val="24"/>
          <w:szCs w:val="24"/>
          <w:highlight w:val="none"/>
        </w:rPr>
        <w:t xml:space="preserve">（1）以上3.1-3.6为资格审查要求提供的材料，是作为对供应商资格审查、质疑身份认定的依据，响应供应商必须提供并加盖电子公章。否则，磋商响应文件将被认定为不符合资格审查要求。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rPr>
      </w:r>
      <w:r/>
    </w:p>
    <w:p>
      <w:pPr>
        <w:pStyle w:val="865"/>
        <w:ind w:left="0"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（2）以上4.1-4.5为符合性审查须提供的资料，响应供应商必须提供并加盖电子公章。否则，磋商响应文件将被认定为未实质性响应。</w:t>
      </w:r>
      <w:r>
        <w:rPr>
          <w:rFonts w:hint="eastAsia" w:ascii="宋体" w:hAnsi="宋体" w:eastAsia="宋体" w:cs="宋体"/>
          <w:color w:val="000000"/>
          <w:sz w:val="24"/>
          <w:szCs w:val="24"/>
          <w:highlight w:val="none"/>
        </w:rPr>
      </w:r>
      <w:r/>
    </w:p>
    <w:p>
      <w:pPr>
        <w:pStyle w:val="865"/>
        <w:ind w:left="0"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eastAsia="宋体" w:cs="宋体"/>
          <w:b/>
          <w:color w:val="000000"/>
          <w:sz w:val="24"/>
          <w:szCs w:val="24"/>
          <w:highlight w:val="none"/>
        </w:rPr>
      </w:r>
      <w:r/>
    </w:p>
    <w:p>
      <w:pPr>
        <w:pStyle w:val="853"/>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lang w:val="zh-CN"/>
        </w:rPr>
        <w:t xml:space="preserve">电子响应文件要求：</w:t>
      </w:r>
      <w:r>
        <w:rPr>
          <w:rFonts w:hint="eastAsia" w:ascii="宋体" w:hAnsi="宋体" w:eastAsia="宋体" w:cs="宋体"/>
          <w:b/>
          <w:color w:val="000000"/>
          <w:sz w:val="24"/>
          <w:szCs w:val="24"/>
          <w:highlight w:val="none"/>
          <w:lang w:val="zh-CN"/>
        </w:rPr>
      </w:r>
      <w:r/>
    </w:p>
    <w:p>
      <w:pPr>
        <w:pStyle w:val="853"/>
        <w:ind w:firstLine="480"/>
        <w:keepLines w:val="0"/>
        <w:keepNext w:val="0"/>
        <w:pageBreakBefore w:val="0"/>
        <w:spacing w:line="360" w:lineRule="auto"/>
        <w:widowControl w:val="off"/>
        <w:tabs>
          <w:tab w:val="left" w:pos="851"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请供应商按照《苏采云系统供应商操作手册》、采购文件要求进行制作、上传电子响应文件，响应单位无需提供纸质响应文件。</w:t>
      </w:r>
      <w:r>
        <w:rPr>
          <w:rFonts w:hint="eastAsia" w:ascii="宋体" w:hAnsi="宋体" w:eastAsia="宋体" w:cs="宋体"/>
          <w:b/>
          <w:color w:val="000000"/>
          <w:sz w:val="24"/>
          <w:szCs w:val="24"/>
          <w:highlight w:val="none"/>
        </w:rPr>
        <w:t xml:space="preserve">电子响应文件制作完成后请在截止时间前完成提交（上传），否则视为放弃参加该采购项目。</w:t>
      </w:r>
      <w:r>
        <w:rPr>
          <w:rFonts w:hint="eastAsia" w:ascii="宋体" w:hAnsi="宋体" w:eastAsia="宋体" w:cs="宋体"/>
          <w:color w:val="000000"/>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rPr>
      </w:r>
      <w:r/>
    </w:p>
    <w:p>
      <w:pPr>
        <w:pStyle w:val="853"/>
        <w:ind w:firstLine="480"/>
        <w:keepLines w:val="0"/>
        <w:keepNext w:val="0"/>
        <w:pageBreakBefore w:val="0"/>
        <w:spacing w:line="360" w:lineRule="auto"/>
        <w:widowControl w:val="off"/>
        <w:tabs>
          <w:tab w:val="left" w:pos="851"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电子响应文件材料中要求加盖公章的必须加盖响应单位电子公章。</w:t>
      </w:r>
      <w:r>
        <w:rPr>
          <w:rFonts w:hint="eastAsia" w:ascii="宋体" w:hAnsi="宋体" w:eastAsia="宋体" w:cs="宋体"/>
          <w:color w:val="000000"/>
          <w:sz w:val="24"/>
          <w:szCs w:val="24"/>
          <w:highlight w:val="none"/>
        </w:rPr>
      </w:r>
      <w:r/>
    </w:p>
    <w:p>
      <w:pPr>
        <w:pStyle w:val="85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供应商应当在磋商文件要求的截止时间前，</w:t>
      </w:r>
      <w:r>
        <w:rPr>
          <w:rFonts w:hint="eastAsia" w:ascii="宋体" w:hAnsi="宋体" w:eastAsia="宋体" w:cs="宋体"/>
          <w:b/>
          <w:color w:val="000000"/>
          <w:sz w:val="24"/>
          <w:szCs w:val="24"/>
          <w:highlight w:val="none"/>
        </w:rPr>
        <w:t xml:space="preserve">将响应文件上传苏釆云系统，否则视为放弃参加该采购项目。</w:t>
      </w:r>
      <w:r>
        <w:rPr>
          <w:rFonts w:hint="eastAsia" w:ascii="宋体" w:hAnsi="宋体" w:eastAsia="宋体" w:cs="宋体"/>
          <w:color w:val="000000"/>
          <w:sz w:val="24"/>
          <w:szCs w:val="24"/>
          <w:highlight w:val="none"/>
        </w:rPr>
        <w:t xml:space="preserve">供应商在提交响应文件截止时间前，可以对所提交的响应文件进行补充、修改或者撤回。</w:t>
      </w:r>
      <w:r>
        <w:rPr>
          <w:rFonts w:hint="eastAsia" w:ascii="宋体" w:hAnsi="宋体" w:eastAsia="宋体" w:cs="宋体"/>
          <w:color w:val="000000"/>
          <w:sz w:val="24"/>
          <w:szCs w:val="24"/>
          <w:highlight w:val="none"/>
        </w:rPr>
      </w:r>
      <w:r/>
    </w:p>
    <w:p>
      <w:pPr>
        <w:pStyle w:val="853"/>
        <w:ind w:firstLine="480"/>
        <w:keepLines w:val="0"/>
        <w:keepNext w:val="0"/>
        <w:pageBreakBefore w:val="0"/>
        <w:spacing w:line="360" w:lineRule="auto"/>
        <w:widowControl w:val="off"/>
        <w:tabs>
          <w:tab w:val="left" w:pos="50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供应商应当按照磋商文件的要求编制响应文件，并对其提交的响应文件的真实性、合法性承担法律责任。</w:t>
      </w:r>
      <w:r>
        <w:rPr>
          <w:rFonts w:hint="eastAsia" w:ascii="宋体" w:hAnsi="宋体" w:eastAsia="宋体" w:cs="宋体"/>
          <w:color w:val="000000"/>
          <w:sz w:val="24"/>
          <w:szCs w:val="24"/>
          <w:highlight w:val="none"/>
        </w:rPr>
      </w:r>
      <w:r/>
    </w:p>
    <w:p>
      <w:pPr>
        <w:pStyle w:val="853"/>
        <w:ind w:firstLine="482"/>
        <w:keepLines w:val="0"/>
        <w:keepNext w:val="0"/>
        <w:pageBreakBefore w:val="0"/>
        <w:spacing w:line="360" w:lineRule="auto"/>
        <w:widowControl w:val="off"/>
        <w:tabs>
          <w:tab w:val="left" w:pos="502" w:leader="none"/>
        </w:tabs>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机器码检查中，不同响应单位使用同一台电脑编制响应文件的，响应文件将被认定为无效响应。</w:t>
      </w:r>
      <w:r>
        <w:rPr>
          <w:rFonts w:hint="eastAsia" w:ascii="宋体" w:hAnsi="宋体" w:eastAsia="宋体" w:cs="宋体"/>
          <w:b/>
          <w:bCs/>
          <w:color w:val="000000"/>
          <w:sz w:val="24"/>
          <w:szCs w:val="24"/>
          <w:highlight w:val="none"/>
          <w:lang w:val="zh-CN"/>
        </w:rPr>
      </w:r>
      <w:r/>
    </w:p>
    <w:p>
      <w:pPr>
        <w:pStyle w:val="853"/>
        <w:ind w:firstLine="482"/>
        <w:keepLines w:val="0"/>
        <w:keepNext w:val="0"/>
        <w:pageBreakBefore w:val="0"/>
        <w:spacing w:line="360" w:lineRule="auto"/>
        <w:widowControl w:val="off"/>
        <w:tabs>
          <w:tab w:val="left" w:pos="50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响应文件的制作要求：</w:t>
      </w:r>
      <w:r>
        <w:rPr>
          <w:rFonts w:hint="eastAsia" w:ascii="宋体" w:hAnsi="宋体" w:eastAsia="宋体" w:cs="宋体"/>
          <w:b/>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磋商响应文件有效期为自磋商之日起90日。</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方（磋商响应单位）提交的磋商响应文件以及供方（磋商响应单位）与采购代理机构就有关采购的所有来往函电均应使用中文书写，服务方（磋商响应单位）提交的支持文件和印刷的文献可以用另一种语言，但相应内容均应附有中文的翻译本，在解释磋商响应文件时以中文翻译本为准。</w:t>
      </w:r>
      <w:r>
        <w:rPr>
          <w:rFonts w:hint="eastAsia" w:ascii="宋体" w:hAnsi="宋体" w:eastAsia="宋体" w:cs="宋体"/>
          <w:b/>
          <w:color w:val="000000"/>
          <w:sz w:val="24"/>
          <w:szCs w:val="24"/>
          <w:highlight w:val="none"/>
        </w:rPr>
      </w:r>
      <w:r/>
    </w:p>
    <w:p>
      <w:pPr>
        <w:pStyle w:val="870"/>
        <w:spacing w:line="360" w:lineRule="auto"/>
        <w:tabs>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、综合说明：</w:t>
      </w:r>
      <w:r>
        <w:rPr>
          <w:rFonts w:hint="eastAsia" w:ascii="宋体" w:hAnsi="宋体" w:eastAsia="宋体" w:cs="宋体"/>
          <w:b/>
          <w:bCs/>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（一）响应内容必须符合国家相关标准，必须满足本次磋商文件的要求，若造成的损失和后果由单位负全责。</w:t>
      </w: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2.2磋商小组负责具体的磋商事务，并独立履行以下职责：</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2.2.1确认或者制定磋商文件； </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2.2.2从符合相应资格条件的供应商名单中确定不少于3家的供应商参加磋商；</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2.2.3审查供应商的响应文件并作出评价；</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2.2.4要求供应商解释或者澄清其响应文件；</w:t>
      </w:r>
      <w:r>
        <w:rPr>
          <w:rFonts w:hint="eastAsia" w:ascii="宋体" w:hAnsi="宋体" w:eastAsia="宋体" w:cs="宋体"/>
          <w:color w:val="000000"/>
          <w:sz w:val="24"/>
          <w:szCs w:val="24"/>
          <w:highlight w:val="none"/>
        </w:rPr>
      </w:r>
      <w:r/>
    </w:p>
    <w:p>
      <w:pPr>
        <w:pStyle w:val="853"/>
        <w:ind w:firstLine="48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2.2.5编写评分报告；</w:t>
      </w:r>
      <w:r>
        <w:rPr>
          <w:rFonts w:hint="eastAsia" w:ascii="宋体" w:hAnsi="宋体" w:eastAsia="宋体" w:cs="宋体"/>
          <w:color w:val="000000"/>
          <w:sz w:val="24"/>
          <w:szCs w:val="24"/>
          <w:highlight w:val="none"/>
        </w:rPr>
      </w:r>
      <w:r/>
    </w:p>
    <w:p>
      <w:pPr>
        <w:pStyle w:val="853"/>
        <w:ind w:firstLine="48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2.2.6告知采购人、采购代理机构在评审过程中发现的供应商的违法违规行为。</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2.3磋商小组成员应当履行下列义务：</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2.3.1遵纪守法，客观、公正、廉洁地履行职责；</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2.3.2按照磋商文件规定的评审办法独立进行评审，对个人的评审意见承担法律责任；</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2.3.3参与评分报告的起草；</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2.3.4配合采购人、采购代理机构答复供应商提出的质疑；</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2.3.5配合财政部门的投诉处理和监督检查工作。</w:t>
      </w: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（三）评审内容的保密</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3.1磋商开始后，直到宣布授予成交供应商合同为止，凡属于审查、澄清、评价和比较响应文件的所有资料，有关授予合同的信息都不应向供应商或与评审无关的其他人泄露。</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3.2在响应文件的审查、澄清、评价和比较以及授予合同的过程中，供应商对磋商采购单位和磋商小组施加影响的任何行为，都将取消其成交资格。</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3.3在评审期间，磋商采购单位将通过指定联络人与供应商进行联系。</w:t>
      </w: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（四）响应文件的澄清、说明和更正</w:t>
      </w:r>
      <w:r>
        <w:rPr>
          <w:rFonts w:hint="eastAsia" w:ascii="宋体" w:hAnsi="宋体" w:eastAsia="宋体" w:cs="宋体"/>
          <w:color w:val="000000"/>
          <w:sz w:val="24"/>
          <w:szCs w:val="24"/>
          <w:highlight w:val="none"/>
        </w:rPr>
      </w:r>
      <w:r/>
    </w:p>
    <w:p>
      <w:pPr>
        <w:pStyle w:val="853"/>
        <w:ind w:firstLine="3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85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4.2磋商小组要求供应商澄清、说明或者更正响应文件应当以书面形式作出。供应商的澄清、说明或者更正应当由法定代表人或代理人签字或者加盖电子公章。由代理人签字的，应当附法定代表人授权委托书。</w:t>
      </w:r>
      <w:r>
        <w:rPr>
          <w:rFonts w:hint="eastAsia" w:ascii="宋体" w:hAnsi="宋体" w:eastAsia="宋体" w:cs="宋体"/>
          <w:color w:val="000000"/>
          <w:sz w:val="24"/>
          <w:szCs w:val="24"/>
          <w:highlight w:val="none"/>
        </w:rPr>
      </w:r>
      <w:r/>
    </w:p>
    <w:p>
      <w:pPr>
        <w:pStyle w:val="853"/>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注：本项目供应商的澄清、说明或者补正采用线上澄清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5"/>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（五）信用记录查询</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根据政府采购法及相关法规，以及苏州市财政局《关于印发苏州市市级政府采购信用记录查询和使用工作试行办法的通知》（苏财购（2017）11号）文件的规定，我们将依法对供应商进行信用查询，凡经评标委员会确认不符合政府采购相关法律法规规定的，将拒绝其参与政府采购活动。</w:t>
      </w:r>
      <w:r>
        <w:rPr>
          <w:rFonts w:hint="eastAsia" w:ascii="宋体" w:hAnsi="宋体" w:eastAsia="宋体" w:cs="宋体"/>
          <w:color w:val="000000"/>
          <w:sz w:val="24"/>
          <w:szCs w:val="24"/>
          <w:highlight w:val="none"/>
        </w:rPr>
      </w:r>
      <w:r/>
    </w:p>
    <w:p>
      <w:pPr>
        <w:pStyle w:val="885"/>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5.1.查询截止时点：响应文件接收截止时间。</w:t>
      </w:r>
      <w:r>
        <w:rPr>
          <w:rFonts w:hint="eastAsia" w:ascii="宋体" w:hAnsi="宋体" w:eastAsia="宋体" w:cs="宋体"/>
          <w:color w:val="000000"/>
          <w:sz w:val="24"/>
          <w:szCs w:val="24"/>
          <w:highlight w:val="none"/>
        </w:rPr>
      </w:r>
      <w:r/>
    </w:p>
    <w:p>
      <w:pPr>
        <w:pStyle w:val="885"/>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5.2.查询渠道：采购代理机构会在接收</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截止时间后，登录信用中国网站（www.creditchina.gov.cn）和中国政府采购网（www.ccgp.gov.cn/）查询供应商的信用记录，并将查询结果递交评标委员会。</w:t>
      </w:r>
      <w:r>
        <w:rPr>
          <w:rFonts w:hint="eastAsia" w:ascii="宋体" w:hAnsi="宋体" w:eastAsia="宋体" w:cs="宋体"/>
          <w:color w:val="000000"/>
          <w:sz w:val="24"/>
          <w:szCs w:val="24"/>
          <w:highlight w:val="none"/>
        </w:rPr>
      </w:r>
      <w:r/>
    </w:p>
    <w:p>
      <w:pPr>
        <w:pStyle w:val="885"/>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eastAsia="宋体" w:cs="宋体"/>
          <w:color w:val="000000"/>
          <w:sz w:val="24"/>
          <w:szCs w:val="24"/>
          <w:highlight w:val="none"/>
        </w:rPr>
      </w:r>
      <w:r/>
    </w:p>
    <w:p>
      <w:pPr>
        <w:pStyle w:val="885"/>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5.4.信用记录使用规则：评标委员会在对供应商进行资格性审查时，应根据查询结果对供应商的不良信用记录逐项甄别确认。</w:t>
      </w:r>
      <w:r>
        <w:rPr>
          <w:rFonts w:hint="eastAsia" w:ascii="宋体" w:hAnsi="宋体" w:eastAsia="宋体" w:cs="宋体"/>
          <w:color w:val="000000"/>
          <w:sz w:val="24"/>
          <w:szCs w:val="24"/>
          <w:highlight w:val="none"/>
        </w:rPr>
      </w:r>
      <w:r/>
    </w:p>
    <w:p>
      <w:pPr>
        <w:pStyle w:val="85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三、合同主要条款</w:t>
      </w:r>
      <w:r>
        <w:rPr>
          <w:rFonts w:hint="eastAsia" w:ascii="宋体" w:hAnsi="宋体" w:eastAsia="宋体" w:cs="宋体"/>
          <w:b/>
          <w:bCs/>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使用单位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w:t>
      </w: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一、定义</w:t>
      </w:r>
      <w:r>
        <w:rPr>
          <w:rFonts w:hint="eastAsia" w:ascii="宋体" w:hAnsi="宋体" w:eastAsia="宋体" w:cs="宋体"/>
          <w:b/>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以下术语有特定的含义：</w:t>
      </w:r>
      <w:r>
        <w:rPr>
          <w:rFonts w:hint="eastAsia" w:ascii="宋体" w:hAnsi="宋体" w:eastAsia="宋体" w:cs="宋体"/>
          <w:b/>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服务是指根据合同规定乙方应承担</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等工作和合同中规定乙方应承担的其它义务。</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合同价款是指根据成交单位的响应文件和合同规定，乙方在正确地履行合同义务后甲方应支付给乙方的价款。</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甲方是指合同中明确规定的实际购买和接受服务的单位。</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乙方是指合同中规定的提供服务的单位。</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二、合同项目及期限</w:t>
      </w:r>
      <w:r>
        <w:rPr>
          <w:rFonts w:hint="eastAsia" w:ascii="宋体" w:hAnsi="宋体" w:eastAsia="宋体" w:cs="宋体"/>
          <w:b/>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2.1乙方负责</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的服务工作。</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2.2服务期限：</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2.3服务地点：根据甲方指定地点。</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三、合同总价款：</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。合同总价款</w:t>
      </w:r>
      <w:r>
        <w:rPr>
          <w:rFonts w:hint="eastAsia" w:ascii="宋体" w:hAnsi="宋体" w:eastAsia="宋体" w:cs="宋体"/>
          <w:b w:val="0"/>
          <w:bCs w:val="0"/>
          <w:color w:val="000000"/>
          <w:sz w:val="24"/>
          <w:szCs w:val="24"/>
          <w:highlight w:val="none"/>
          <w:lang w:val="en-US" w:eastAsia="zh-CN"/>
        </w:rPr>
        <w:t xml:space="preserve">包括</w:t>
      </w:r>
      <w:r>
        <w:rPr>
          <w:rFonts w:hint="eastAsia" w:ascii="宋体" w:hAnsi="宋体" w:eastAsia="宋体" w:cs="宋体"/>
          <w:b w:val="0"/>
          <w:bCs w:val="0"/>
          <w:color w:val="000000"/>
          <w:sz w:val="24"/>
          <w:szCs w:val="24"/>
          <w:highlight w:val="none"/>
          <w:lang w:eastAsia="zh-CN"/>
        </w:rPr>
        <w:t xml:space="preserve">完成本项目服务内容所需的</w:t>
      </w:r>
      <w:r>
        <w:rPr>
          <w:rFonts w:hint="eastAsia" w:ascii="宋体" w:hAnsi="宋体" w:eastAsia="宋体" w:cs="宋体"/>
          <w:b w:val="0"/>
          <w:bCs w:val="0"/>
          <w:color w:val="000000"/>
          <w:sz w:val="24"/>
          <w:szCs w:val="24"/>
        </w:rPr>
        <w:t xml:space="preserve">材料费（包括清单内所有设备材料以及与之运行所相关的一切配套设施）、调试费、包装费、运费、人工费、安装费、工具劳保费、通讯费、各种税费等一切费用，服务期限内甲方不再为本项目支出合同之外的任何费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highlight w:val="none"/>
          <w:lang w:eastAsia="zh-CN"/>
        </w:rPr>
        <w:t xml:space="preserve">遇到法律法规规定的最低工资调整，其中人工费用相应浮动，及合同实施过程中的不可预见的各项费用，由供应商自行承担。</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四、付款方式</w:t>
      </w:r>
      <w:r>
        <w:rPr>
          <w:rFonts w:hint="eastAsia" w:ascii="宋体" w:hAnsi="宋体" w:eastAsia="宋体" w:cs="宋体"/>
          <w:b/>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1.付款步骤：</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（1）合同签订后支付合同价款的30%</w:t>
      </w:r>
      <w:r>
        <w:rPr>
          <w:rFonts w:hint="eastAsia" w:ascii="宋体" w:hAnsi="宋体" w:eastAsia="宋体" w:cs="宋体"/>
          <w:color w:val="000000"/>
          <w:sz w:val="24"/>
          <w:szCs w:val="24"/>
          <w:lang w:val="en-US" w:eastAsia="zh-CN"/>
        </w:rPr>
        <w:t xml:space="preserve">为预付款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每半年支付一次合同款项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需</w:t>
      </w:r>
      <w:r>
        <w:rPr>
          <w:rFonts w:hint="eastAsia" w:ascii="宋体" w:hAnsi="宋体" w:eastAsia="宋体" w:cs="宋体"/>
          <w:color w:val="000000"/>
          <w:sz w:val="24"/>
          <w:szCs w:val="24"/>
        </w:rPr>
        <w:t xml:space="preserve">根据服务的质量、效率、专业性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定期量化考核</w:t>
      </w:r>
      <w:r>
        <w:rPr>
          <w:rFonts w:hint="eastAsia" w:ascii="宋体" w:hAnsi="宋体" w:eastAsia="宋体" w:cs="宋体"/>
          <w:color w:val="000000"/>
          <w:sz w:val="24"/>
          <w:szCs w:val="24"/>
          <w:lang w:val="en-US" w:eastAsia="zh-CN"/>
        </w:rPr>
        <w:t xml:space="preserve">及监理审核后支付</w:t>
      </w:r>
      <w:r>
        <w:rPr>
          <w:rFonts w:hint="eastAsia" w:ascii="宋体" w:hAnsi="宋体" w:eastAsia="宋体" w:cs="宋体"/>
          <w:color w:val="000000"/>
          <w:sz w:val="24"/>
          <w:szCs w:val="24"/>
        </w:rPr>
        <w:t xml:space="preserve">，绩效考核分与服务费用相关联。</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（2）在签订合同时，乙方明确表示无需预付款或者主动要求降低预付款比例的，甲方可不适用上述关于预付款的规定。</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3.支付方式：本次货款以数字人民币形式支付。乙方账户信息如下：</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开户名称：</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数字人民币账户（数币钱包ID）：</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五、甲、乙双方的责任</w:t>
      </w:r>
      <w:r>
        <w:rPr>
          <w:rFonts w:hint="eastAsia" w:ascii="宋体" w:hAnsi="宋体" w:eastAsia="宋体" w:cs="宋体"/>
          <w:b/>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1.甲方责任：</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1.1依本合同约定按期支付合同款项；</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1.2依本合同约定及时组织验收；</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1.3协助乙方进行项目的相关协调工作及约定期限内提供相关资料以利于开展项目。</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2.乙方责任：</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六、违约责任</w:t>
      </w:r>
      <w:r>
        <w:rPr>
          <w:rFonts w:hint="eastAsia" w:ascii="宋体" w:hAnsi="宋体" w:eastAsia="宋体" w:cs="宋体"/>
          <w:b/>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1.甲方违约责任：</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1.1在合同生效后，甲方无故要求解除合同的，应向乙方偿付合同总价款5%的违约金，违约金不足以补偿损失的，乙方有权要求甲方补足。</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1.2甲方逾期付款的应按照逾期付款金额的每天万分之四支付逾期付款违约金，总额不超总价款的5%。</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2.乙方的违约责任：</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在合同生效后，乙方无故要求解除合同的，应向甲方偿付合同总价款5%的违约金，违约金不足以补偿损失的，甲方有权要求乙方补足。</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2.2乙方未按合同规定的质量要求提供服务，不能完成合同时，甲方有权解除合同，乙方向甲方偿付合同总价款5%的违约金，违约金不足以补偿损失的甲方有权要求乙方补足。</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2.3乙方必须自己完成合同内容，不得自行分包，否则，甲方有权按乙方不能完成合同处理。</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2.4乙方应执行国家有关规定（如苏州最低工资标准和其他规定），负责乙方员工的生病、事故、伤残、死亡和劳务纠纷，甲方不承担任何相关责任。</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2.5乙方负有对自己员工的安全责任，甲方不承担任何相关责任。</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七、不可抗力</w:t>
      </w:r>
      <w:r>
        <w:rPr>
          <w:rFonts w:hint="eastAsia" w:ascii="宋体" w:hAnsi="宋体" w:eastAsia="宋体" w:cs="宋体"/>
          <w:b/>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八、争端的解决 </w:t>
      </w:r>
      <w:r>
        <w:rPr>
          <w:rFonts w:hint="eastAsia" w:ascii="宋体" w:hAnsi="宋体" w:eastAsia="宋体" w:cs="宋体"/>
          <w:b/>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2.如果调解不成，双方中的任何一方可向人民法院提起诉讼。诉讼由合同签订地人民法院管辖。 </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3.诉讼费由败诉方负担。</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4.因合同部分履行引发诉讼的，在诉讼期间，除正在进行诉讼的部分外，本合同的其它部分应继续执行。</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九、违约终止合同</w:t>
      </w:r>
      <w:r>
        <w:rPr>
          <w:rFonts w:hint="eastAsia" w:ascii="宋体" w:hAnsi="宋体" w:eastAsia="宋体" w:cs="宋体"/>
          <w:b/>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1.在甲方因乙方违约而按合同约定采取的任何补救措施不受影响的情况下，甲方可在下列情况下向乙方发出书面通知，提出终止部分或全部合同。</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如果乙方未能在合同规定的限期或甲方同意延长的限期内提供部分或全部服务。</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如果乙方未能履行合同规定的其它任何义务。</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3.如果甲方违约，应承担相应的违约责任。 </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十、破产终止合同：</w:t>
      </w:r>
      <w:r>
        <w:rPr>
          <w:rFonts w:hint="eastAsia" w:ascii="宋体" w:hAnsi="宋体" w:eastAsia="宋体" w:cs="宋体"/>
          <w:color w:val="000000"/>
          <w:sz w:val="24"/>
          <w:szCs w:val="24"/>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十一、政府采购法对政府采购合同变更终止的规定：</w:t>
      </w:r>
      <w:r>
        <w:rPr>
          <w:rFonts w:hint="eastAsia" w:ascii="宋体" w:hAnsi="宋体" w:eastAsia="宋体" w:cs="宋体"/>
          <w:color w:val="000000"/>
          <w:sz w:val="24"/>
          <w:szCs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十二、合同转让和分包：</w:t>
      </w:r>
      <w:r>
        <w:rPr>
          <w:rFonts w:hint="eastAsia" w:ascii="宋体" w:hAnsi="宋体" w:eastAsia="宋体" w:cs="宋体"/>
          <w:color w:val="000000"/>
          <w:sz w:val="24"/>
          <w:szCs w:val="24"/>
        </w:rPr>
        <w:t xml:space="preserve">本项目不得转让和分包。</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十三、需要补充的合同条款：</w:t>
      </w:r>
      <w:r>
        <w:rPr>
          <w:rFonts w:hint="eastAsia" w:ascii="宋体" w:hAnsi="宋体" w:eastAsia="宋体" w:cs="宋体"/>
          <w:color w:val="000000"/>
          <w:sz w:val="24"/>
          <w:szCs w:val="24"/>
        </w:rPr>
        <w:t xml:space="preserve">（根据评审过程中或者商务谈判时商定的条款和条件在订立合同时标明）。</w:t>
      </w:r>
      <w:r>
        <w:rPr>
          <w:rFonts w:hint="eastAsia" w:ascii="宋体" w:hAnsi="宋体" w:eastAsia="宋体" w:cs="宋体"/>
          <w:color w:val="000000"/>
          <w:sz w:val="24"/>
          <w:szCs w:val="24"/>
        </w:rPr>
      </w:r>
      <w:r/>
    </w:p>
    <w:p>
      <w:pPr>
        <w:pStyle w:val="853"/>
        <w:ind w:left="0"/>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 xml:space="preserve">十四、合同生效</w:t>
      </w:r>
      <w:r>
        <w:rPr>
          <w:rFonts w:hint="eastAsia" w:ascii="宋体" w:hAnsi="宋体" w:eastAsia="宋体" w:cs="宋体"/>
          <w:b/>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1.双方签约人为各自法定代表人或被授权代表。</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2.本合同系指本文件及其附件中的所有部分，采购文件、成交单位的响应文件、成交通知书、成交单位在采购过程中的澄清和承诺等为本合同不可缺少的组成部分。</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3.本合同自甲乙双方签字盖章之日起生效。</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4.本合同壹式</w:t>
      </w:r>
      <w:r>
        <w:rPr>
          <w:rFonts w:hint="eastAsia" w:ascii="宋体" w:hAnsi="宋体" w:eastAsia="宋体" w:cs="宋体"/>
          <w:b/>
          <w:bCs w:val="0"/>
          <w:color w:val="000000"/>
          <w:sz w:val="24"/>
          <w:szCs w:val="24"/>
          <w:u w:val="single"/>
          <w:lang w:val="en-US" w:eastAsia="zh-CN"/>
        </w:rPr>
        <w:t xml:space="preserve">伍</w:t>
      </w:r>
      <w:r>
        <w:rPr>
          <w:rFonts w:hint="eastAsia" w:ascii="宋体" w:hAnsi="宋体" w:eastAsia="宋体" w:cs="宋体"/>
          <w:b/>
          <w:bCs w:val="0"/>
          <w:color w:val="000000"/>
          <w:sz w:val="24"/>
          <w:szCs w:val="24"/>
          <w:u w:val="single"/>
        </w:rPr>
        <w:t xml:space="preserve">份</w:t>
      </w:r>
      <w:r>
        <w:rPr>
          <w:rFonts w:hint="eastAsia" w:ascii="宋体" w:hAnsi="宋体" w:eastAsia="宋体" w:cs="宋体"/>
          <w:color w:val="000000"/>
          <w:sz w:val="24"/>
          <w:szCs w:val="24"/>
        </w:rPr>
        <w:t xml:space="preserve">，甲乙双方各执</w:t>
      </w:r>
      <w:r>
        <w:rPr>
          <w:rFonts w:hint="eastAsia" w:ascii="宋体" w:hAnsi="宋体" w:eastAsia="宋体" w:cs="宋体"/>
          <w:b/>
          <w:bCs w:val="0"/>
          <w:color w:val="000000"/>
          <w:sz w:val="24"/>
          <w:szCs w:val="24"/>
          <w:u w:val="single"/>
        </w:rPr>
        <w:t xml:space="preserve">贰份</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代理机构执</w:t>
      </w:r>
      <w:r>
        <w:rPr>
          <w:rFonts w:hint="eastAsia" w:ascii="宋体" w:hAnsi="宋体" w:eastAsia="宋体" w:cs="宋体"/>
          <w:b/>
          <w:bCs/>
          <w:color w:val="000000"/>
          <w:sz w:val="24"/>
          <w:szCs w:val="24"/>
          <w:u w:val="single"/>
          <w:lang w:val="en-US" w:eastAsia="zh-CN"/>
        </w:rPr>
        <w:t xml:space="preserve">壹份</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各份具有同等法律效力。</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5.本合同应按照中华人民共和国的现行法律进行解释。</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6.合同修改：除甲乙双方签署书面修改、补充协议，并成为本合同不可分割的一部分之外，本合同条件不得有任何变化或修改。 </w:t>
      </w:r>
      <w:r>
        <w:rPr>
          <w:rFonts w:hint="eastAsia" w:ascii="宋体" w:hAnsi="宋体" w:eastAsia="宋体" w:cs="宋体"/>
          <w:color w:val="000000"/>
          <w:sz w:val="24"/>
          <w:szCs w:val="24"/>
        </w:rPr>
      </w:r>
      <w:r/>
    </w:p>
    <w:p>
      <w:pPr>
        <w:pStyle w:val="860"/>
        <w:ind w:left="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53"/>
        <w:ind w:left="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甲方（公章）：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乙方（公章）：</w:t>
      </w:r>
      <w:r>
        <w:rPr>
          <w:rFonts w:hint="eastAsia" w:ascii="宋体" w:hAnsi="宋体" w:eastAsia="宋体" w:cs="宋体"/>
          <w:color w:val="000000"/>
          <w:sz w:val="24"/>
          <w:szCs w:val="24"/>
        </w:rPr>
      </w:r>
      <w:r/>
    </w:p>
    <w:p>
      <w:pPr>
        <w:pStyle w:val="853"/>
        <w:ind w:left="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法定代表人或授权代表（签字或盖章）：     法定代表人或授权代表（签字或盖章）： </w:t>
      </w:r>
      <w:r>
        <w:rPr>
          <w:rFonts w:hint="eastAsia" w:ascii="宋体" w:hAnsi="宋体" w:eastAsia="宋体" w:cs="宋体"/>
          <w:color w:val="000000"/>
          <w:sz w:val="24"/>
          <w:szCs w:val="24"/>
        </w:rPr>
      </w:r>
      <w:r/>
    </w:p>
    <w:p>
      <w:pPr>
        <w:pStyle w:val="853"/>
        <w:ind w:left="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签约日期：                                签约日期： </w:t>
      </w:r>
      <w:r>
        <w:rPr>
          <w:rFonts w:hint="eastAsia" w:ascii="宋体" w:hAnsi="宋体" w:eastAsia="宋体" w:cs="宋体"/>
          <w:color w:val="000000"/>
          <w:sz w:val="24"/>
          <w:szCs w:val="24"/>
        </w:rPr>
      </w:r>
      <w:r/>
    </w:p>
    <w:p>
      <w:pPr>
        <w:pStyle w:val="853"/>
        <w:ind w:left="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合同签订地：</w:t>
      </w:r>
      <w:r>
        <w:rPr>
          <w:rFonts w:hint="eastAsia" w:ascii="宋体" w:hAnsi="宋体" w:eastAsia="宋体" w:cs="宋体"/>
          <w:b w:val="0"/>
          <w:bCs/>
          <w:color w:val="000000"/>
          <w:sz w:val="24"/>
          <w:szCs w:val="24"/>
          <w:highlight w:val="none"/>
          <w:lang w:eastAsia="zh-CN"/>
        </w:rPr>
        <w:t xml:space="preserve">苏州市吴中区甪直镇人民政府</w:t>
      </w:r>
      <w:r>
        <w:rPr>
          <w:rFonts w:hint="eastAsia" w:ascii="宋体" w:hAnsi="宋体" w:eastAsia="宋体" w:cs="宋体"/>
          <w:b w:val="0"/>
          <w:bCs/>
          <w:color w:val="000000"/>
          <w:sz w:val="24"/>
          <w:szCs w:val="24"/>
          <w:highlight w:val="none"/>
          <w:lang w:eastAsia="zh-CN"/>
        </w:rPr>
      </w:r>
      <w:r/>
    </w:p>
    <w:p>
      <w:pPr>
        <w:pStyle w:val="885"/>
        <w:jc w:val="center"/>
        <w:spacing w:before="0" w:beforeAutospacing="0" w:after="0" w:afterAutospacing="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885"/>
        <w:jc w:val="center"/>
        <w:spacing w:before="0" w:beforeAutospacing="0" w:after="0" w:afterAutospacing="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四、竞争性磋商程序及磋商小组成员组成</w:t>
      </w:r>
      <w:r>
        <w:rPr>
          <w:rFonts w:hint="eastAsia" w:ascii="宋体" w:hAnsi="宋体" w:eastAsia="宋体" w:cs="宋体"/>
          <w:b/>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（一）程序： </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1.采购代理机构按本须知规定的时间、地点主持磋商采购活动。</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2.由磋商小组审查供应商提交的响应文件。</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.磋商小组要求供应商澄清、说明或者更正响应文件应当以书面形式作出。供应商的澄清、说明或者更正应当由法定代表人或其授权代表签字或者加盖</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公章。由授权代表签字的，应当附法定代表人授权书。供应商为自然人的，应当由本人签字并附身份证。</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.磋商小组所有成员集中与单一供应商分别进行磋商，并给予所有参加磋商的供应商平等的磋商机会。</w:t>
      </w:r>
      <w:r>
        <w:rPr>
          <w:rFonts w:hint="eastAsia" w:ascii="宋体" w:hAnsi="宋体" w:eastAsia="宋体" w:cs="宋体"/>
          <w:color w:val="000000"/>
          <w:sz w:val="24"/>
          <w:szCs w:val="24"/>
          <w:highlight w:val="none"/>
        </w:rPr>
      </w:r>
      <w:r/>
    </w:p>
    <w:p>
      <w:pPr>
        <w:pStyle w:val="853"/>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color w:val="000000"/>
          <w:sz w:val="24"/>
          <w:szCs w:val="24"/>
          <w:highlight w:val="none"/>
        </w:rPr>
      </w:r>
      <w:r/>
    </w:p>
    <w:p>
      <w:pPr>
        <w:pStyle w:val="853"/>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000000"/>
          <w:sz w:val="24"/>
          <w:szCs w:val="24"/>
          <w:highlight w:val="none"/>
        </w:rPr>
      </w:r>
      <w:r/>
    </w:p>
    <w:p>
      <w:pPr>
        <w:pStyle w:val="853"/>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b/>
          <w:color w:val="000000"/>
          <w:sz w:val="24"/>
          <w:szCs w:val="24"/>
          <w:highlight w:val="none"/>
        </w:rPr>
      </w:r>
      <w:r/>
    </w:p>
    <w:p>
      <w:pPr>
        <w:pStyle w:val="853"/>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磋商小组要求重新提交响应文件的并由其法定代表人或授权代表签字确认或者加盖</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公章。由授权代表签字的，应当附法定代表人授权书。供应商为自然人的，应当由本人签字并附身份证。</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.供应商根据磋商情况进行承诺说明并填写承诺函，磋商结束后，要求所有实质性响应的供应商在最后一个供应商磋商结束后十分钟内提交最后报价，提交最后有效报价的供应商不得少于3家。</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.经磋商确定最终采购需求和提交最后报价的供应商后，根据供应商的承诺、响应程度和供应商最后的报价，按照磋商文件规定的成交原则和评审办法进行综合评分。</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.磋商小组根据磋商成交原则确定成交供应商，并将结果通知服务承接商。</w:t>
      </w:r>
      <w:r>
        <w:rPr>
          <w:rFonts w:hint="eastAsia" w:ascii="宋体" w:hAnsi="宋体" w:eastAsia="宋体" w:cs="宋体"/>
          <w:color w:val="000000"/>
          <w:sz w:val="24"/>
          <w:szCs w:val="24"/>
          <w:highlight w:val="none"/>
        </w:rPr>
      </w:r>
      <w:r/>
    </w:p>
    <w:p>
      <w:pPr>
        <w:pStyle w:val="853"/>
        <w:ind w:firstLine="4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.如磋商过程中出现本采购文件未尽事宜，由磋商小组根据政府采购有关法律、法规讨论决定。</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lang w:val="zh-CN"/>
        </w:rPr>
      </w:pPr>
      <w:r/>
      <w:bookmarkStart w:id="9" w:name="_Toc2583655"/>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zh-CN"/>
        </w:rPr>
        <w:t xml:space="preserve">发出成交通知书</w:t>
      </w:r>
      <w:bookmarkEnd w:id="9"/>
      <w:r>
        <w:rPr>
          <w:rFonts w:hint="eastAsia" w:ascii="宋体" w:hAnsi="宋体" w:eastAsia="宋体" w:cs="宋体"/>
          <w:bCs/>
          <w:color w:val="000000"/>
          <w:sz w:val="24"/>
          <w:szCs w:val="24"/>
          <w:highlight w:val="none"/>
          <w:lang w:val="zh-CN"/>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采购代理机构按照法定流程发布成交公告，及时在项目交易系统中签发成交通知书。请成交供应商在成交结果公告届满之日起30日内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（二）磋商小组成员组成：</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hint="eastAsia" w:ascii="宋体" w:hAnsi="宋体" w:eastAsia="宋体" w:cs="宋体"/>
          <w:color w:val="000000"/>
          <w:sz w:val="24"/>
          <w:szCs w:val="24"/>
          <w:highlight w:val="none"/>
        </w:rPr>
      </w:r>
      <w:r/>
    </w:p>
    <w:p>
      <w:pPr>
        <w:pStyle w:val="85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2.磋商小组成员：采购单位1名，专家2名。</w:t>
      </w:r>
      <w:r>
        <w:rPr>
          <w:rFonts w:hint="eastAsia" w:ascii="宋体" w:hAnsi="宋体" w:eastAsia="宋体" w:cs="宋体"/>
          <w:color w:val="000000"/>
          <w:sz w:val="24"/>
          <w:szCs w:val="24"/>
          <w:highlight w:val="none"/>
        </w:rPr>
      </w:r>
      <w:r/>
    </w:p>
    <w:p>
      <w:pPr>
        <w:pStyle w:val="853"/>
        <w:ind w:firstLine="22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53"/>
        <w:ind w:firstLine="22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53"/>
        <w:ind w:firstLine="22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1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53"/>
        <w:jc w:val="center"/>
        <w:spacing w:line="360" w:lineRule="auto"/>
        <w:tabs>
          <w:tab w:val="left" w:pos="4500"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bCs/>
          <w:color w:val="000000"/>
          <w:sz w:val="24"/>
          <w:szCs w:val="24"/>
          <w:highlight w:val="none"/>
        </w:rPr>
        <w:t xml:space="preserve">五、评 分 标 准</w:t>
      </w:r>
      <w:r>
        <w:rPr>
          <w:rFonts w:hint="eastAsia" w:ascii="宋体" w:hAnsi="宋体" w:eastAsia="宋体" w:cs="宋体"/>
          <w:color w:val="000000"/>
          <w:sz w:val="24"/>
          <w:szCs w:val="24"/>
          <w:highlight w:val="none"/>
        </w:rPr>
      </w:r>
      <w:r/>
    </w:p>
    <w:p>
      <w:pPr>
        <w:pStyle w:val="853"/>
        <w:spacing w:line="360" w:lineRule="auto"/>
        <w:tabs>
          <w:tab w:val="left" w:pos="287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一、竞争性磋商成交原则：</w:t>
      </w:r>
      <w:r>
        <w:rPr>
          <w:rFonts w:hint="eastAsia" w:ascii="宋体" w:hAnsi="宋体" w:eastAsia="宋体" w:cs="宋体"/>
          <w:b/>
          <w:color w:val="000000"/>
          <w:sz w:val="24"/>
          <w:szCs w:val="24"/>
          <w:highlight w:val="none"/>
        </w:rPr>
      </w:r>
      <w:r/>
    </w:p>
    <w:p>
      <w:pPr>
        <w:pStyle w:val="853"/>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经磋商确定</w:t>
      </w:r>
      <w:r>
        <w:rPr>
          <w:rFonts w:hint="eastAsia" w:ascii="宋体" w:hAnsi="宋体" w:eastAsia="宋体" w:cs="宋体"/>
          <w:bCs/>
          <w:color w:val="000000"/>
          <w:sz w:val="24"/>
          <w:szCs w:val="24"/>
          <w:highlight w:val="none"/>
        </w:rPr>
        <w:t xml:space="preserve">最终采购需求和提交最后报价的供应商后，由磋商小组采用综合评分法对提交最后报价的供应商的响应文件和最后报价进行综合评分。</w:t>
      </w:r>
      <w:r>
        <w:rPr>
          <w:rFonts w:hint="eastAsia" w:ascii="宋体" w:hAnsi="宋体" w:eastAsia="宋体" w:cs="宋体"/>
          <w:bCs/>
          <w:color w:val="000000"/>
          <w:sz w:val="24"/>
          <w:szCs w:val="24"/>
          <w:highlight w:val="none"/>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综合评分法指响应文件满足磋商文件全部实质性要求且按评审因素的量化指标评审得分最高的供应商为成交候选单位的评审方法。评审时，磋商小组各成员应当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综合评分法中的价格分统一采用低价优先法计算，即满足磋商文件要求且最后报价最低的供应商的价格为磋商基准价，其价格分为满分。其他供应商的价格分统一按照下列公式计算：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color w:val="000000"/>
          <w:sz w:val="24"/>
          <w:szCs w:val="24"/>
          <w:highlight w:val="none"/>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磋商报价得分=（磋商基准价/最后磋商报价）×价格权值×100（项目评审过程中，不得去掉最后报价中的最高报价和最低报价）。</w:t>
      </w:r>
      <w:r>
        <w:rPr>
          <w:rFonts w:hint="eastAsia" w:ascii="宋体" w:hAnsi="宋体" w:eastAsia="宋体" w:cs="宋体"/>
          <w:color w:val="000000"/>
          <w:sz w:val="24"/>
          <w:szCs w:val="24"/>
          <w:highlight w:val="none"/>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中小企业</w:t>
      </w:r>
      <w:r>
        <w:rPr>
          <w:rFonts w:hint="eastAsia" w:ascii="宋体" w:hAnsi="宋体" w:eastAsia="宋体" w:cs="宋体"/>
          <w:color w:val="000000"/>
          <w:sz w:val="24"/>
          <w:szCs w:val="24"/>
          <w:highlight w:val="none"/>
          <w:lang w:val="en-US" w:eastAsia="zh-CN"/>
        </w:rPr>
        <w:t xml:space="preserve">折扣</w:t>
      </w:r>
      <w:r>
        <w:rPr>
          <w:rFonts w:hint="eastAsia" w:ascii="宋体" w:hAnsi="宋体" w:eastAsia="宋体" w:cs="宋体"/>
          <w:color w:val="000000"/>
          <w:sz w:val="24"/>
          <w:szCs w:val="24"/>
          <w:highlight w:val="none"/>
          <w:lang w:val="en-US" w:eastAsia="zh-CN"/>
        </w:rPr>
      </w:r>
      <w:r/>
    </w:p>
    <w:p>
      <w:pPr>
        <w:pStyle w:val="853"/>
        <w:ind w:left="0" w:right="0" w:firstLine="420"/>
        <w:pageBreakBefore w:val="0"/>
        <w:spacing w:beforeAutospacing="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cs="宋体"/>
          <w:b/>
          <w:bCs/>
          <w:color w:val="000000"/>
          <w:sz w:val="24"/>
          <w:szCs w:val="24"/>
          <w:highlight w:val="none"/>
        </w:rPr>
        <w:t xml:space="preserve">20%</w:t>
      </w:r>
      <w:r>
        <w:rPr>
          <w:rFonts w:hint="eastAsia" w:ascii="宋体" w:hAnsi="宋体" w:eastAsia="宋体" w:cs="宋体"/>
          <w:color w:val="000000"/>
          <w:sz w:val="24"/>
          <w:szCs w:val="24"/>
          <w:highlight w:val="none"/>
        </w:rPr>
        <w:t xml:space="preserve">的扣除，用扣除后的价格参与评审，如扣除后的价格为最低价的，则作为评标基准价，</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金额则以实际报价为准。残疾人福利性单位属于小型、微型企业的，不重复享受政策。</w:t>
      </w:r>
      <w:r>
        <w:rPr>
          <w:rFonts w:hint="eastAsia" w:ascii="宋体" w:hAnsi="宋体" w:eastAsia="宋体" w:cs="宋体"/>
          <w:b/>
          <w:bCs/>
          <w:color w:val="000000"/>
          <w:sz w:val="24"/>
          <w:szCs w:val="24"/>
          <w:highlight w:val="none"/>
        </w:rPr>
        <w:t xml:space="preserve">本项目所属行业为：软件和信息技术服务业。</w:t>
      </w:r>
      <w:r>
        <w:rPr>
          <w:rFonts w:hint="eastAsia" w:ascii="宋体" w:hAnsi="宋体" w:eastAsia="宋体" w:cs="宋体"/>
          <w:b/>
          <w:bCs/>
          <w:color w:val="000000"/>
          <w:sz w:val="24"/>
          <w:szCs w:val="24"/>
          <w:highlight w:val="none"/>
        </w:rPr>
      </w:r>
      <w:r/>
    </w:p>
    <w:p>
      <w:pPr>
        <w:pStyle w:val="853"/>
        <w:ind w:left="0" w:right="0" w:firstLine="42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残疾人福利性单位</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监狱企业属于小型、微型企业的，不重复享受政策。</w:t>
      </w:r>
      <w:r>
        <w:rPr>
          <w:rFonts w:hint="eastAsia" w:ascii="宋体" w:hAnsi="宋体" w:eastAsia="宋体" w:cs="宋体"/>
          <w:color w:val="000000"/>
          <w:sz w:val="24"/>
          <w:szCs w:val="24"/>
          <w:highlight w:val="none"/>
        </w:rPr>
      </w:r>
      <w:r/>
    </w:p>
    <w:p>
      <w:pPr>
        <w:pStyle w:val="853"/>
        <w:ind w:left="0" w:right="0" w:firstLine="42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rPr>
          <w:rFonts w:hint="eastAsia" w:ascii="宋体" w:hAnsi="宋体" w:eastAsia="宋体" w:cs="宋体"/>
          <w:color w:val="000000"/>
          <w:sz w:val="24"/>
          <w:szCs w:val="24"/>
          <w:highlight w:val="none"/>
        </w:rPr>
      </w:r>
      <w:r/>
    </w:p>
    <w:p>
      <w:pPr>
        <w:pStyle w:val="853"/>
        <w:ind w:left="0" w:right="0" w:firstLine="420"/>
        <w:keepLines w:val="0"/>
        <w:keepNext w:val="0"/>
        <w:spacing w:line="360" w:lineRule="auto"/>
        <w:rPr>
          <w:rFonts w:hint="eastAsia" w:ascii="宋体" w:hAnsi="宋体" w:eastAsia="宋体" w:cs="宋体"/>
          <w:color w:val="000000"/>
          <w:sz w:val="24"/>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rPr>
        <w:t xml:space="preserve">评</w:t>
      </w:r>
      <w:r>
        <w:rPr>
          <w:rFonts w:hint="eastAsia" w:ascii="宋体" w:hAnsi="宋体" w:eastAsia="宋体" w:cs="宋体"/>
          <w:color w:val="000000"/>
          <w:sz w:val="24"/>
        </w:rPr>
        <w:t xml:space="preserve">审过程中出现下列情形之一的，评审委员会应当启动异常低价投标（响应）审查程序：</w:t>
      </w:r>
      <w:r>
        <w:rPr>
          <w:rFonts w:hint="eastAsia" w:ascii="宋体" w:hAnsi="宋体" w:eastAsia="宋体" w:cs="宋体"/>
          <w:color w:val="000000"/>
          <w:sz w:val="24"/>
        </w:rPr>
      </w:r>
      <w:r/>
    </w:p>
    <w:p>
      <w:pPr>
        <w:pStyle w:val="853"/>
        <w:ind w:firstLine="470"/>
        <w:spacing w:line="44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rPr>
      </w:r>
      <w:r/>
    </w:p>
    <w:p>
      <w:pPr>
        <w:pStyle w:val="853"/>
        <w:ind w:firstLine="470"/>
        <w:spacing w:line="44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rPr>
      </w:r>
      <w:r/>
    </w:p>
    <w:p>
      <w:pPr>
        <w:pStyle w:val="853"/>
        <w:ind w:firstLine="470"/>
        <w:spacing w:line="44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投标（响应）报价低于采购项目最高限价45%的，即投标（响应）报价&lt;采购项目最高限价×45%；</w:t>
      </w:r>
      <w:r>
        <w:rPr>
          <w:rFonts w:hint="eastAsia" w:ascii="宋体" w:hAnsi="宋体" w:eastAsia="宋体" w:cs="宋体"/>
          <w:color w:val="000000"/>
          <w:sz w:val="24"/>
        </w:rPr>
      </w:r>
      <w:r/>
    </w:p>
    <w:p>
      <w:pPr>
        <w:pStyle w:val="853"/>
        <w:ind w:firstLine="470"/>
        <w:spacing w:line="44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评审委员会基于专业判断，认为供应商报价过低，有可能影响产品质量或者不能诚信履约的其他情形。</w:t>
      </w:r>
      <w:r>
        <w:rPr>
          <w:rFonts w:hint="eastAsia" w:ascii="宋体" w:hAnsi="宋体" w:eastAsia="宋体" w:cs="宋体"/>
          <w:color w:val="000000"/>
          <w:sz w:val="24"/>
        </w:rPr>
      </w:r>
      <w:r/>
    </w:p>
    <w:p>
      <w:pPr>
        <w:pStyle w:val="853"/>
        <w:ind w:firstLine="480"/>
        <w:spacing w:line="460" w:lineRule="exact"/>
        <w:rPr>
          <w:rFonts w:hint="eastAsia" w:ascii="宋体" w:hAnsi="宋体" w:eastAsia="宋体" w:cs="宋体"/>
          <w:b/>
          <w:color w:val="000000"/>
          <w:sz w:val="24"/>
          <w:szCs w:val="24"/>
        </w:rPr>
      </w:pPr>
      <w:r>
        <w:rPr>
          <w:rFonts w:hint="eastAsia" w:ascii="宋体" w:hAnsi="宋体" w:eastAsia="宋体" w:cs="宋体"/>
          <w:color w:val="000000"/>
          <w:sz w:val="24"/>
        </w:rPr>
        <w:t xml:space="preserve">启动异常低价投标（响应）审查后，评审委员会应当要求相关供应商在评审现场合理的时间内对投标（响应）价格作出解释，提供项目具体成本测算等与报价合理性相关的书面说明及必要的证明材</w:t>
      </w:r>
      <w:r>
        <w:rPr>
          <w:rFonts w:hint="eastAsia" w:ascii="宋体" w:hAnsi="宋体" w:eastAsia="宋体" w:cs="宋体"/>
          <w:color w:val="000000"/>
          <w:sz w:val="24"/>
        </w:rPr>
        <w:t xml:space="preserve">料，包括但不限于原材料成本、人工成本、制造费用等，给予相关供应商的合理时间（30分钟内）。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color w:val="000000"/>
          <w:sz w:val="24"/>
          <w:szCs w:val="24"/>
        </w:rPr>
      </w:r>
      <w:r/>
    </w:p>
    <w:p>
      <w:pPr>
        <w:pStyle w:val="860"/>
        <w:rPr>
          <w:rFonts w:hint="eastAsia" w:ascii="宋体" w:hAnsi="宋体" w:eastAsia="宋体" w:cs="宋体"/>
          <w:color w:val="000000"/>
        </w:rPr>
      </w:pPr>
      <w:r>
        <w:rPr>
          <w:rFonts w:hint="eastAsia" w:ascii="宋体" w:hAnsi="宋体" w:eastAsia="宋体" w:cs="宋体"/>
          <w:color w:val="000000"/>
        </w:rPr>
      </w:r>
      <w:r/>
    </w:p>
    <w:p>
      <w:pPr>
        <w:pStyle w:val="85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二、评分标准：</w:t>
      </w:r>
      <w:r>
        <w:rPr>
          <w:rFonts w:hint="eastAsia" w:ascii="宋体" w:hAnsi="宋体" w:eastAsia="宋体" w:cs="宋体"/>
          <w:b/>
          <w:color w:val="000000"/>
          <w:sz w:val="24"/>
          <w:szCs w:val="24"/>
          <w:highlight w:val="none"/>
        </w:rPr>
      </w:r>
      <w:r/>
    </w:p>
    <w:p>
      <w:pPr>
        <w:pStyle w:val="853"/>
        <w:ind w:firstLine="54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本次</w:t>
      </w:r>
      <w:r>
        <w:rPr>
          <w:rFonts w:hint="eastAsia" w:ascii="宋体" w:hAnsi="宋体" w:eastAsia="宋体" w:cs="宋体"/>
          <w:color w:val="000000"/>
          <w:sz w:val="24"/>
          <w:szCs w:val="24"/>
          <w:highlight w:val="none"/>
        </w:rPr>
        <w:t xml:space="preserve">磋商</w:t>
      </w:r>
      <w:r>
        <w:rPr>
          <w:rFonts w:hint="eastAsia" w:ascii="宋体" w:hAnsi="宋体" w:eastAsia="宋体" w:cs="宋体"/>
          <w:color w:val="000000"/>
          <w:sz w:val="24"/>
          <w:szCs w:val="24"/>
          <w:highlight w:val="none"/>
        </w:rPr>
        <w:t xml:space="preserve">采购的评标方法采用综合评估方法，即在最大限度地满足磋商采购文件实质性要求前提下，按照磋商采购文件中规定的各项因素进行综合评审。总分为100分，评审因素及各比重如下：价格分为</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0</w:t>
      </w:r>
      <w:r>
        <w:rPr>
          <w:rFonts w:hint="eastAsia" w:ascii="宋体" w:hAnsi="宋体" w:eastAsia="宋体" w:cs="宋体"/>
          <w:color w:val="000000"/>
          <w:sz w:val="24"/>
          <w:szCs w:val="24"/>
          <w:highlight w:val="none"/>
        </w:rPr>
        <w:t xml:space="preserve">分，技术部分、响应单位资质部分等为</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0</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853"/>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（一）价格分（</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0分）</w:t>
      </w:r>
      <w:r>
        <w:rPr>
          <w:rFonts w:hint="eastAsia" w:ascii="宋体" w:hAnsi="宋体" w:eastAsia="宋体" w:cs="宋体"/>
          <w:b/>
          <w:bCs/>
          <w:color w:val="000000"/>
          <w:sz w:val="24"/>
          <w:szCs w:val="24"/>
          <w:highlight w:val="none"/>
        </w:rPr>
      </w:r>
      <w:r/>
    </w:p>
    <w:p>
      <w:pPr>
        <w:pStyle w:val="85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第一步：响应报价低于或等于预算价格的，为有效响应报价。超出此范围的响应报价为无效响应报价。无效响应报价的响应文件不进行评审，也不得标。</w:t>
      </w:r>
      <w:r>
        <w:rPr>
          <w:rFonts w:hint="eastAsia" w:ascii="宋体" w:hAnsi="宋体" w:eastAsia="宋体" w:cs="宋体"/>
          <w:color w:val="000000"/>
          <w:sz w:val="24"/>
          <w:szCs w:val="24"/>
          <w:highlight w:val="none"/>
        </w:rPr>
      </w:r>
      <w:r/>
    </w:p>
    <w:p>
      <w:pPr>
        <w:pStyle w:val="85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第二步：在所有有效响应报价中选择报价最低的确定为基准报价。</w:t>
      </w:r>
      <w:r>
        <w:rPr>
          <w:rFonts w:hint="eastAsia" w:ascii="宋体" w:hAnsi="宋体" w:eastAsia="宋体" w:cs="宋体"/>
          <w:color w:val="000000"/>
          <w:sz w:val="24"/>
          <w:szCs w:val="24"/>
          <w:highlight w:val="none"/>
        </w:rPr>
      </w:r>
      <w:r/>
    </w:p>
    <w:p>
      <w:pPr>
        <w:pStyle w:val="85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第三步：将所有有效报价与基准报价相比较：等于基准报价的得10分，其他响应单位的价格分按照下列公式计算（计算结果四舍五入保留两位小数）：</w:t>
      </w:r>
      <w:r>
        <w:rPr>
          <w:rFonts w:hint="eastAsia" w:ascii="宋体" w:hAnsi="宋体" w:eastAsia="宋体" w:cs="宋体"/>
          <w:color w:val="000000"/>
          <w:sz w:val="24"/>
          <w:szCs w:val="24"/>
          <w:highlight w:val="none"/>
        </w:rPr>
      </w:r>
      <w:r/>
    </w:p>
    <w:p>
      <w:pPr>
        <w:pStyle w:val="853"/>
        <w:ind w:firstLine="422"/>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 xml:space="preserve">响应报价得分＝（基准报价/响应报价）×</w:t>
      </w:r>
      <w:r>
        <w:rPr>
          <w:rFonts w:hint="eastAsia" w:ascii="宋体" w:hAnsi="宋体" w:eastAsia="宋体" w:cs="宋体"/>
          <w:b/>
          <w:color w:val="000000"/>
          <w:sz w:val="24"/>
          <w:szCs w:val="24"/>
          <w:highlight w:val="none"/>
          <w:u w:val="single"/>
          <w:lang w:val="en-US" w:eastAsia="zh-CN"/>
        </w:rPr>
        <w:t xml:space="preserve">1</w:t>
      </w:r>
      <w:r>
        <w:rPr>
          <w:rFonts w:hint="eastAsia" w:ascii="宋体" w:hAnsi="宋体" w:eastAsia="宋体" w:cs="宋体"/>
          <w:b/>
          <w:color w:val="000000"/>
          <w:sz w:val="24"/>
          <w:szCs w:val="24"/>
          <w:highlight w:val="none"/>
          <w:u w:val="single"/>
        </w:rPr>
        <w:t xml:space="preserve">0％×100</w:t>
      </w:r>
      <w:r>
        <w:rPr>
          <w:rFonts w:hint="eastAsia" w:ascii="宋体" w:hAnsi="宋体" w:eastAsia="宋体" w:cs="宋体"/>
          <w:b/>
          <w:color w:val="000000"/>
          <w:sz w:val="24"/>
          <w:szCs w:val="24"/>
          <w:highlight w:val="none"/>
          <w:u w:val="single"/>
        </w:rPr>
      </w:r>
      <w:r/>
    </w:p>
    <w:p>
      <w:pPr>
        <w:pStyle w:val="85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3"/>
        <w:ind w:left="0" w:firstLine="422"/>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（二）技术方案（</w:t>
      </w:r>
      <w:r>
        <w:rPr>
          <w:rFonts w:hint="eastAsia" w:ascii="宋体" w:hAnsi="宋体" w:eastAsia="宋体" w:cs="宋体"/>
          <w:b/>
          <w:color w:val="000000"/>
          <w:sz w:val="24"/>
          <w:szCs w:val="24"/>
        </w:rPr>
        <w:t xml:space="preserve">51分）</w:t>
      </w:r>
      <w:r>
        <w:rPr>
          <w:rFonts w:hint="eastAsia" w:ascii="宋体" w:hAnsi="宋体" w:eastAsia="宋体" w:cs="宋体"/>
          <w:b/>
          <w:color w:val="000000"/>
          <w:sz w:val="24"/>
          <w:szCs w:val="24"/>
        </w:rPr>
      </w:r>
      <w:r/>
    </w:p>
    <w:p>
      <w:pPr>
        <w:pStyle w:val="853"/>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1.常见故障与处理流程方案（8分）</w:t>
      </w:r>
      <w:r>
        <w:rPr>
          <w:rFonts w:hint="eastAsia" w:ascii="宋体" w:hAnsi="宋体" w:eastAsia="宋体" w:cs="宋体"/>
          <w:b/>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符合现阶段道路监控的常见故障分析与处理流程图方案，方案包含但不限于：常见故障的快速定位、无图像处理流程、通讯故障排查流程、常见网络排查命令及使用方法、设备故障排查流程；质量管理体系完善、各控制要点明确的方案全面、合理、科学的得8分；方案比较全面、合理、科学得5分；方案简单、合理性欠缺的得3分；不提供不得分。</w:t>
      </w:r>
      <w:r>
        <w:rPr>
          <w:rFonts w:hint="eastAsia" w:ascii="宋体" w:hAnsi="宋体" w:eastAsia="宋体" w:cs="宋体"/>
          <w:color w:val="000000"/>
          <w:sz w:val="24"/>
          <w:szCs w:val="24"/>
        </w:rPr>
      </w:r>
      <w:r/>
    </w:p>
    <w:p>
      <w:pPr>
        <w:pStyle w:val="853"/>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w:t>
      </w: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 xml:space="preserve">提供网络通讯保障方案（8分）</w:t>
      </w:r>
      <w:r>
        <w:rPr>
          <w:rFonts w:hint="eastAsia" w:ascii="宋体" w:hAnsi="宋体" w:eastAsia="宋体" w:cs="宋体"/>
          <w:b/>
          <w:color w:val="000000"/>
          <w:sz w:val="24"/>
          <w:szCs w:val="24"/>
        </w:rPr>
      </w:r>
      <w:r/>
    </w:p>
    <w:p>
      <w:pPr>
        <w:pStyle w:val="853"/>
        <w:ind w:left="0" w:firstLine="42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道路监控网络通讯保障方案，包含但不限于：专网通讯保障，维护架构清晰、技术先进、维护简易、通讯保障处置能力得到保障的得8分；可满足使用要求、网络维护技术传统、故障难查找、解决时间得不到保障得5分；通讯保障方案结构复杂、执行效率低下的得3分；未提供不得分。</w:t>
      </w:r>
      <w:r>
        <w:rPr>
          <w:rFonts w:hint="eastAsia" w:ascii="宋体" w:hAnsi="宋体" w:eastAsia="宋体" w:cs="宋体"/>
          <w:color w:val="000000"/>
          <w:sz w:val="24"/>
          <w:szCs w:val="24"/>
        </w:rPr>
      </w:r>
      <w:r/>
    </w:p>
    <w:p>
      <w:pPr>
        <w:pStyle w:val="853"/>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3.针对本项目的理解（9分）</w:t>
      </w:r>
      <w:r>
        <w:rPr>
          <w:rFonts w:hint="eastAsia" w:ascii="宋体" w:hAnsi="宋体" w:eastAsia="宋体" w:cs="宋体"/>
          <w:b/>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本项目的阐述，对服务目标和要求充分理解，提供服务的范围和规划。掌握、理解分析准确、专业性强、深入程度高、与用户需求贴合度高的得9分；理解分析较准确、专业性较强、深入程度较高，与用户需求贴合度较高的得6分；理解分析不够准确、专业性不强、深入程度不够、与用户需求贴合度不强的得3分；未提供方案的不得分。</w:t>
      </w:r>
      <w:r>
        <w:rPr>
          <w:rFonts w:hint="eastAsia" w:ascii="宋体" w:hAnsi="宋体" w:eastAsia="宋体" w:cs="宋体"/>
          <w:color w:val="000000"/>
          <w:sz w:val="24"/>
          <w:szCs w:val="24"/>
        </w:rPr>
      </w:r>
      <w:r/>
    </w:p>
    <w:p>
      <w:pPr>
        <w:pStyle w:val="853"/>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4.监控应急保障方案（9分）</w:t>
      </w:r>
      <w:r>
        <w:rPr>
          <w:rFonts w:hint="eastAsia" w:ascii="宋体" w:hAnsi="宋体" w:eastAsia="宋体" w:cs="宋体"/>
          <w:b/>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完善的应急保障方案，包括但不限于：保障人员、保障团队、保障内容（系统保障、应急保障措施、应急保障维护流程图、应急电源配备），方案详细、合理、科学的得9分；方案较详细、较合理、较科学得6分；方案简单不详细、合理性欠缺的得3分；不提供不得分。</w:t>
      </w:r>
      <w:r>
        <w:rPr>
          <w:rFonts w:hint="eastAsia" w:ascii="宋体" w:hAnsi="宋体" w:eastAsia="宋体" w:cs="宋体"/>
          <w:color w:val="000000"/>
          <w:sz w:val="24"/>
          <w:szCs w:val="24"/>
        </w:rPr>
      </w:r>
      <w:r/>
    </w:p>
    <w:p>
      <w:pPr>
        <w:pStyle w:val="853"/>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5.视频联网技术方案（8分）</w:t>
      </w:r>
      <w:r>
        <w:rPr>
          <w:rFonts w:hint="eastAsia" w:ascii="宋体" w:hAnsi="宋体" w:eastAsia="宋体" w:cs="宋体"/>
          <w:b/>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针对现有平台的联网方案，分别为视频设备接入与特征识别设备接入，方案包含但不限于：系统架构、安装场景、客观因素的影响、关键性作用、传输保障、安装规范、图像调节。描述准确、内容完整、与实际情况贴合度高的得8分；描述较准确、内容较完整、与实际情况贴合度较高的得5分；描述不准确、内容不完整、与实际情况贴合度不高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分；不提供不得分。</w:t>
      </w:r>
      <w:r>
        <w:rPr>
          <w:rFonts w:hint="eastAsia" w:ascii="宋体" w:hAnsi="宋体" w:eastAsia="宋体" w:cs="宋体"/>
          <w:color w:val="000000"/>
          <w:sz w:val="24"/>
          <w:szCs w:val="24"/>
        </w:rPr>
      </w:r>
      <w:r/>
    </w:p>
    <w:p>
      <w:pPr>
        <w:pStyle w:val="853"/>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6.</w:t>
      </w:r>
      <w:bookmarkStart w:id="10" w:name="OLE_LINK5"/>
      <w:r>
        <w:rPr>
          <w:rFonts w:hint="eastAsia" w:ascii="宋体" w:hAnsi="宋体" w:eastAsia="宋体" w:cs="宋体"/>
          <w:b/>
          <w:color w:val="000000"/>
          <w:sz w:val="24"/>
          <w:szCs w:val="24"/>
        </w:rPr>
        <w:t xml:space="preserve">针对本项目的安全保密制度方案比较</w:t>
      </w:r>
      <w:bookmarkEnd w:id="10"/>
      <w:r>
        <w:rPr>
          <w:rFonts w:hint="eastAsia" w:ascii="宋体" w:hAnsi="宋体" w:eastAsia="宋体" w:cs="宋体"/>
          <w:b/>
          <w:color w:val="000000"/>
          <w:sz w:val="24"/>
          <w:szCs w:val="24"/>
        </w:rPr>
        <w:t xml:space="preserve">（9分）</w:t>
      </w:r>
      <w:r>
        <w:rPr>
          <w:rFonts w:hint="eastAsia" w:ascii="宋体" w:hAnsi="宋体" w:eastAsia="宋体" w:cs="宋体"/>
          <w:b/>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的针对本服务项目的安全保密方案，包含但不限于：项目安全的保密制度、培训机制、实操规则、安全档案管理方案的合理性、完善性、规范性、清晰性、可操作性高的得9分；管理制度方案的合理性、完善性、规范性、清晰性、可操作性较高的得6分；管理制度方案合理性、完善性、规范性、清晰性、可操作性不高的得3分；不提供不得分。</w:t>
      </w:r>
      <w:r>
        <w:rPr>
          <w:rFonts w:hint="eastAsia" w:ascii="宋体" w:hAnsi="宋体" w:eastAsia="宋体" w:cs="宋体"/>
          <w:color w:val="000000"/>
          <w:sz w:val="24"/>
          <w:szCs w:val="24"/>
        </w:rPr>
      </w:r>
      <w:r/>
    </w:p>
    <w:p>
      <w:pPr>
        <w:pStyle w:val="853"/>
        <w:ind w:left="0" w:firstLine="422"/>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（三）售后服务效率比较：（8分）</w:t>
      </w:r>
      <w:r>
        <w:rPr>
          <w:rFonts w:hint="eastAsia" w:ascii="宋体" w:hAnsi="宋体" w:eastAsia="宋体" w:cs="宋体"/>
          <w:b/>
          <w:color w:val="000000"/>
          <w:sz w:val="24"/>
          <w:szCs w:val="24"/>
        </w:rPr>
      </w:r>
      <w:r/>
    </w:p>
    <w:p>
      <w:pPr>
        <w:pStyle w:val="853"/>
        <w:ind w:left="0" w:firstLine="422"/>
        <w:jc w:val="left"/>
        <w:spacing w:line="36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供应商针对本项目实际提供售后服务方案，具有完整的售后服务三方框架（</w:t>
      </w:r>
      <w:r>
        <w:rPr>
          <w:rFonts w:hint="eastAsia" w:ascii="宋体" w:hAnsi="宋体" w:eastAsia="宋体" w:cs="宋体"/>
          <w:color w:val="000000"/>
          <w:sz w:val="24"/>
          <w:szCs w:val="24"/>
        </w:rPr>
        <w:t xml:space="preserve">以流程图形式展示售后服务运维中响应单位用户方、设备厂商、售后服务方的闭环故障处理服务流程。服务流程的展示包括但不限于用户的报修、综合调度中心的事故分析派发、故障的确认、一般事故、较大事故与重大事故的处理流程、售后服务负责人与设备厂商的对接工作界面、事故处理完毕后的归档及用户建议等）： 方案合理、实用性强、可操作性高、与用户需求贴合度高，优于采购需求的得8分；方案较合理、实用性较强、可操作性较高、与用户需求贴合度较高的得5分；方案不够合理、实用性一般、可操作性一般、与用户需求贴合度一般的得3分；未提供不得分。</w:t>
      </w:r>
      <w:r>
        <w:rPr>
          <w:rFonts w:hint="eastAsia" w:ascii="宋体" w:hAnsi="宋体" w:eastAsia="宋体" w:cs="宋体"/>
          <w:color w:val="000000"/>
          <w:sz w:val="24"/>
          <w:szCs w:val="24"/>
        </w:rPr>
      </w:r>
      <w:r/>
    </w:p>
    <w:p>
      <w:pPr>
        <w:pStyle w:val="853"/>
        <w:ind w:left="0" w:firstLine="422"/>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（四）针对本项目的运维客户端功能性演示（6分）</w:t>
      </w:r>
      <w:r>
        <w:rPr>
          <w:rFonts w:hint="eastAsia" w:ascii="宋体" w:hAnsi="宋体" w:eastAsia="宋体" w:cs="宋体"/>
          <w:b/>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运维客户端功能如下：</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1.实现服务内容中涉及流媒体的质量检测取样功能、检测能力的得2分，最高得2分。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2.在线率检测、颜色异常检测、亮度异常检测、噪点异常检测、视角移位检测、异物遮挡检测、聚焦异常检测的得2分，最高得2分。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3.显示界面可一图展示点位信息、视频接入数量、实时在线率、故障类型统计、故障时间超24小时统计的得2分，最高得2分。</w:t>
      </w:r>
      <w:r>
        <w:rPr>
          <w:rFonts w:hint="eastAsia" w:ascii="宋体" w:hAnsi="宋体" w:eastAsia="宋体" w:cs="宋体"/>
          <w:color w:val="000000"/>
          <w:sz w:val="24"/>
          <w:szCs w:val="24"/>
        </w:rPr>
      </w:r>
      <w:r/>
    </w:p>
    <w:p>
      <w:pPr>
        <w:pStyle w:val="853"/>
        <w:ind w:left="0" w:firstLine="422"/>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提供与上述功能要求相符合的功能展示，未提供或无法体现功能的不得分。注：1.供应商根据采购文件要求进行演示，演示时间不超过10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供应商上传文件本身损坏等自身原因导致演示资料无法正常读取的视为无效演示，本项不得分，由供应商自行承担责任。</w:t>
      </w:r>
      <w:r>
        <w:rPr>
          <w:rFonts w:hint="eastAsia" w:ascii="宋体" w:hAnsi="宋体" w:eastAsia="宋体" w:cs="宋体"/>
          <w:b/>
          <w:color w:val="000000"/>
          <w:sz w:val="24"/>
          <w:szCs w:val="24"/>
        </w:rPr>
      </w:r>
      <w:r/>
    </w:p>
    <w:p>
      <w:pPr>
        <w:pStyle w:val="853"/>
        <w:ind w:left="0" w:firstLine="422"/>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（五）针对本项目配备人员比较（15分）</w:t>
      </w:r>
      <w:r>
        <w:rPr>
          <w:rFonts w:hint="eastAsia" w:ascii="宋体" w:hAnsi="宋体" w:eastAsia="宋体" w:cs="宋体"/>
          <w:b/>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1.项目经理（4分）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（1）具有信息系统项目管理师证书得1分；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（2）具有系统规划与管理师证书得1分；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w:t>
      </w:r>
      <w:r>
        <w:rPr>
          <w:rFonts w:hint="eastAsia" w:ascii="宋体" w:hAnsi="宋体" w:eastAsia="宋体" w:cs="宋体"/>
          <w:color w:val="000000"/>
          <w:sz w:val="24"/>
          <w:szCs w:val="24"/>
          <w:shd w:val="clear" w:color="auto" w:fill="ffffff"/>
        </w:rPr>
        <w:t xml:space="preserve">注册信息安全专业人员（CISP）证书</w:t>
      </w:r>
      <w:r>
        <w:rPr>
          <w:rFonts w:hint="eastAsia" w:ascii="宋体" w:hAnsi="宋体" w:eastAsia="宋体" w:cs="宋体"/>
          <w:color w:val="000000"/>
          <w:sz w:val="24"/>
          <w:szCs w:val="24"/>
          <w:shd w:val="clear" w:color="auto" w:fill="ffffff"/>
          <w:lang w:val="en-US" w:eastAsia="zh-CN"/>
        </w:rPr>
        <w:t xml:space="preserve">得1分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（4）具有通信专业技术人员职业水平证书（终端与业务专业相关）得1分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2.项目技术负责人（4分）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（1）具有注册信息安全工程师 （CISE）证书的得1分；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（2）具有ITSS IT服务项目经理证书的得1分；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（3）具有数据库系统工程师证书的得2分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3.项目运维负责人（3分）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（1）具有CISAW 信息安全保障人员证书（安全运维）的得1分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（2）具有软件设计师证书的得1分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（3）具有IT 运维工程师证书的得1分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4.项目组成员（除项目负责人和项目技术负责人）（4分）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（1）每有一人具有数据库系统工程师证书的得2分。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（2）每有一人具有网络工程师证书的得1分。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（3）每有一人具有注册信息安全专业人员（CISP）证书的得1分。</w:t>
      </w:r>
      <w:r>
        <w:rPr>
          <w:rFonts w:hint="eastAsia" w:ascii="宋体" w:hAnsi="宋体" w:eastAsia="宋体" w:cs="宋体"/>
          <w:color w:val="000000"/>
          <w:sz w:val="24"/>
          <w:szCs w:val="24"/>
        </w:rPr>
      </w:r>
      <w:r/>
    </w:p>
    <w:p>
      <w:pPr>
        <w:pStyle w:val="853"/>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（注：响应文件中需提供以上1.-4.人员证书复印件及本企业为该员工缴纳至少最近一期的社保证明复印件，不提供相关证明不得分。）</w:t>
      </w:r>
      <w:r>
        <w:rPr>
          <w:rFonts w:hint="eastAsia" w:ascii="宋体" w:hAnsi="宋体" w:eastAsia="宋体" w:cs="宋体"/>
          <w:b/>
          <w:color w:val="000000"/>
          <w:sz w:val="24"/>
          <w:szCs w:val="24"/>
        </w:rPr>
      </w:r>
      <w:r/>
    </w:p>
    <w:p>
      <w:pPr>
        <w:pStyle w:val="853"/>
        <w:ind w:left="0" w:firstLine="422"/>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（六）响应单位综合能力比较（6分）</w:t>
      </w:r>
      <w:r>
        <w:rPr>
          <w:rFonts w:hint="eastAsia" w:ascii="宋体" w:hAnsi="宋体" w:eastAsia="宋体" w:cs="宋体"/>
          <w:b/>
          <w:color w:val="000000"/>
          <w:sz w:val="24"/>
          <w:szCs w:val="24"/>
        </w:rPr>
      </w:r>
      <w:r/>
    </w:p>
    <w:p>
      <w:pPr>
        <w:pStyle w:val="853"/>
        <w:ind w:left="0" w:firstLine="422"/>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Cs/>
          <w:color w:val="000000"/>
          <w:sz w:val="24"/>
          <w:szCs w:val="24"/>
        </w:rPr>
        <w:t xml:space="preserve">1.供应商具有质量管理体系认证证书、信息安全管理体系认证证书、信息技术服务管理体系认证证书，每提供一项得2分，最高得6分。</w:t>
      </w:r>
      <w:r>
        <w:rPr>
          <w:rFonts w:hint="eastAsia" w:ascii="宋体" w:hAnsi="宋体" w:eastAsia="宋体" w:cs="宋体"/>
          <w:b/>
          <w:color w:val="000000"/>
          <w:sz w:val="24"/>
          <w:szCs w:val="24"/>
        </w:rPr>
      </w:r>
      <w:r/>
    </w:p>
    <w:p>
      <w:pPr>
        <w:pStyle w:val="853"/>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注：响应文件中需提供以上相关证书复印件或网络查询截图，并加盖供应商公章；未按要求提供或未提供不得分。</w:t>
      </w:r>
      <w:r>
        <w:rPr>
          <w:rFonts w:hint="eastAsia" w:ascii="宋体" w:hAnsi="宋体" w:eastAsia="宋体" w:cs="宋体"/>
          <w:b/>
          <w:color w:val="000000"/>
          <w:sz w:val="24"/>
          <w:szCs w:val="24"/>
        </w:rPr>
      </w:r>
      <w:r/>
    </w:p>
    <w:p>
      <w:pPr>
        <w:pStyle w:val="853"/>
        <w:ind w:left="0" w:firstLine="422"/>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（七）类似项目业绩（4分）</w:t>
      </w:r>
      <w:r>
        <w:rPr>
          <w:rFonts w:hint="eastAsia" w:ascii="宋体" w:hAnsi="宋体" w:eastAsia="宋体" w:cs="宋体"/>
          <w:b/>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2023年1月1日（以合同签订日期为准）响应单位具有类似服务项目业绩的，每提供一个得1分，最高得4分。</w:t>
      </w:r>
      <w:r>
        <w:rPr>
          <w:rFonts w:hint="eastAsia" w:ascii="宋体" w:hAnsi="宋体" w:eastAsia="宋体" w:cs="宋体"/>
          <w:b/>
          <w:color w:val="000000"/>
          <w:sz w:val="24"/>
          <w:szCs w:val="24"/>
        </w:rPr>
        <w:t xml:space="preserve">（注：</w:t>
      </w:r>
      <w:r>
        <w:rPr>
          <w:rFonts w:hint="eastAsia" w:ascii="宋体" w:hAnsi="宋体" w:eastAsia="宋体" w:cs="宋体"/>
          <w:b/>
          <w:bCs/>
          <w:color w:val="000000"/>
          <w:sz w:val="24"/>
          <w:szCs w:val="24"/>
        </w:rPr>
        <w:t xml:space="preserve">提供完整合同复印件并加盖供应商公章，不提供相关证明不得分。</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r>
      <w:r/>
    </w:p>
    <w:p>
      <w:pPr>
        <w:pStyle w:val="919"/>
        <w:ind w:left="426" w:hanging="426"/>
        <w:spacing w:line="360" w:lineRule="auto"/>
        <w:tabs>
          <w:tab w:val="left" w:pos="2700" w:leader="none"/>
        </w:tabs>
        <w:rPr>
          <w:rFonts w:hint="eastAsia" w:ascii="宋体" w:hAnsi="宋体" w:eastAsia="宋体" w:cs="宋体"/>
          <w:b/>
          <w:bCs/>
          <w:color w:val="000000"/>
          <w:sz w:val="24"/>
          <w:szCs w:val="24"/>
          <w:highlight w:val="none"/>
          <w:lang w:val="zh-TW" w:eastAsia="zh-TW"/>
        </w:rPr>
        <w:framePr w:wrap="auto" w:vAnchor="page" w:hAnchor="page" w:x="1353" w:y="2995"/>
      </w:pPr>
      <w:r>
        <w:rPr>
          <w:rFonts w:hint="eastAsia" w:ascii="宋体" w:hAnsi="宋体" w:eastAsia="宋体" w:cs="宋体"/>
          <w:b/>
          <w:bCs/>
          <w:color w:val="000000"/>
          <w:sz w:val="24"/>
          <w:szCs w:val="24"/>
          <w:highlight w:val="none"/>
          <w:lang w:val="zh-TW" w:eastAsia="zh-TW"/>
        </w:rPr>
        <w:t xml:space="preserve">注：</w:t>
      </w:r>
      <w:r>
        <w:rPr>
          <w:rFonts w:hint="eastAsia" w:ascii="宋体" w:hAnsi="宋体" w:eastAsia="宋体" w:cs="宋体"/>
          <w:b/>
          <w:bCs/>
          <w:color w:val="000000"/>
          <w:sz w:val="24"/>
          <w:szCs w:val="24"/>
          <w:highlight w:val="none"/>
          <w:lang w:val="zh-TW" w:eastAsia="zh-TW"/>
        </w:rPr>
      </w:r>
      <w:r/>
    </w:p>
    <w:p>
      <w:pPr>
        <w:pStyle w:val="919"/>
        <w:spacing w:line="360" w:lineRule="auto"/>
        <w:tabs>
          <w:tab w:val="left" w:pos="509" w:leader="none"/>
        </w:tabs>
        <w:rPr>
          <w:rFonts w:hint="eastAsia" w:ascii="宋体" w:hAnsi="宋体" w:eastAsia="宋体" w:cs="宋体"/>
          <w:color w:val="000000"/>
          <w:sz w:val="24"/>
          <w:szCs w:val="24"/>
          <w:highlight w:val="none"/>
          <w:lang w:eastAsia="zh-TW"/>
        </w:rPr>
        <w:framePr w:wrap="auto" w:vAnchor="page" w:hAnchor="page" w:x="1353" w:y="2995"/>
      </w:pPr>
      <w:r>
        <w:rPr>
          <w:rFonts w:hint="eastAsia" w:ascii="宋体" w:hAnsi="宋体" w:eastAsia="宋体" w:cs="宋体"/>
          <w:color w:val="000000"/>
          <w:sz w:val="24"/>
          <w:szCs w:val="24"/>
          <w:highlight w:val="none"/>
          <w:lang w:eastAsia="zh-TW"/>
        </w:rPr>
        <w:t xml:space="preserve">1.</w:t>
      </w:r>
      <w:r>
        <w:rPr>
          <w:rFonts w:hint="eastAsia" w:ascii="宋体" w:hAnsi="宋体" w:eastAsia="宋体" w:cs="宋体"/>
          <w:color w:val="000000"/>
          <w:sz w:val="24"/>
          <w:szCs w:val="24"/>
          <w:highlight w:val="none"/>
          <w:lang w:val="zh-TW" w:eastAsia="zh-TW"/>
        </w:rPr>
        <w:t xml:space="preserve">评标时，未能按以上要求提供相应证明的，不作为评标依据，仅以按上述要求实际提供相关证明的数量作为评标依据。</w:t>
      </w:r>
      <w:r>
        <w:rPr>
          <w:rFonts w:hint="eastAsia" w:ascii="宋体" w:hAnsi="宋体" w:eastAsia="宋体" w:cs="宋体"/>
          <w:color w:val="000000"/>
          <w:sz w:val="24"/>
          <w:szCs w:val="24"/>
          <w:highlight w:val="none"/>
          <w:lang w:eastAsia="zh-TW"/>
        </w:rPr>
      </w:r>
      <w:r/>
    </w:p>
    <w:p>
      <w:pPr>
        <w:pStyle w:val="919"/>
        <w:spacing w:line="360" w:lineRule="auto"/>
        <w:tabs>
          <w:tab w:val="left" w:pos="509" w:leader="none"/>
        </w:tabs>
        <w:rPr>
          <w:rFonts w:hint="eastAsia" w:ascii="宋体" w:hAnsi="宋体" w:eastAsia="宋体" w:cs="宋体"/>
          <w:color w:val="000000"/>
          <w:sz w:val="24"/>
          <w:szCs w:val="24"/>
          <w:highlight w:val="none"/>
          <w:lang w:val="zh-TW" w:eastAsia="zh-TW"/>
        </w:rPr>
        <w:framePr w:wrap="auto" w:vAnchor="page" w:hAnchor="page" w:x="1353" w:y="2995"/>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TW"/>
        </w:rPr>
        <w:t xml:space="preserve">.</w:t>
      </w:r>
      <w:r>
        <w:rPr>
          <w:rFonts w:hint="eastAsia" w:ascii="宋体" w:hAnsi="宋体" w:eastAsia="宋体" w:cs="宋体"/>
          <w:color w:val="000000"/>
          <w:sz w:val="24"/>
          <w:szCs w:val="24"/>
          <w:highlight w:val="none"/>
          <w:lang w:val="zh-TW" w:eastAsia="zh-TW"/>
        </w:rPr>
        <w:t xml:space="preserve">针对评分标准中评分的每一条，</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lang w:val="zh-TW" w:eastAsia="zh-TW"/>
        </w:rPr>
        <w:t xml:space="preserve">均应提供相关资料并作出相应说明供评委评判，不提供相关资料的视为不具备该项得分的条件。</w:t>
      </w:r>
      <w:r>
        <w:rPr>
          <w:rFonts w:hint="eastAsia" w:ascii="宋体" w:hAnsi="宋体" w:eastAsia="宋体" w:cs="宋体"/>
          <w:color w:val="000000"/>
          <w:sz w:val="24"/>
          <w:szCs w:val="24"/>
          <w:highlight w:val="none"/>
          <w:lang w:val="zh-TW" w:eastAsia="zh-TW"/>
        </w:rPr>
      </w:r>
      <w:r/>
    </w:p>
    <w:p>
      <w:pPr>
        <w:pStyle w:val="919"/>
        <w:spacing w:line="360" w:lineRule="auto"/>
        <w:tabs>
          <w:tab w:val="left" w:pos="509" w:leader="none"/>
        </w:tabs>
        <w:rPr>
          <w:rFonts w:hint="eastAsia" w:ascii="宋体" w:hAnsi="宋体" w:eastAsia="宋体" w:cs="宋体"/>
          <w:color w:val="000000"/>
          <w:sz w:val="24"/>
          <w:szCs w:val="24"/>
          <w:highlight w:val="none"/>
        </w:rPr>
        <w:framePr w:wrap="auto" w:vAnchor="page" w:hAnchor="page" w:x="1353" w:y="2995"/>
      </w:pPr>
      <w:r>
        <w:rPr>
          <w:rFonts w:hint="eastAsia" w:ascii="宋体" w:hAnsi="宋体" w:eastAsia="宋体" w:cs="宋体"/>
          <w:color w:val="000000"/>
          <w:sz w:val="24"/>
          <w:szCs w:val="24"/>
          <w:highlight w:val="none"/>
        </w:rPr>
      </w:r>
      <w:r/>
    </w:p>
    <w:p>
      <w:pPr>
        <w:pStyle w:val="8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5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六、附   件</w:t>
      </w:r>
      <w:r>
        <w:rPr>
          <w:rFonts w:hint="eastAsia" w:ascii="宋体" w:hAnsi="宋体" w:eastAsia="宋体" w:cs="宋体"/>
          <w:b/>
          <w:color w:val="000000"/>
          <w:sz w:val="24"/>
          <w:szCs w:val="24"/>
          <w:highlight w:val="none"/>
        </w:rPr>
      </w:r>
      <w:r/>
    </w:p>
    <w:p>
      <w:pPr>
        <w:pStyle w:val="853"/>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参考格式，磋商响应单位可根据下述格式自制表格进行响应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53"/>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磋商响应报价表</w:t>
      </w:r>
      <w:r>
        <w:rPr>
          <w:rFonts w:hint="eastAsia" w:ascii="宋体" w:hAnsi="宋体" w:eastAsia="宋体" w:cs="宋体"/>
          <w:b/>
          <w:bCs/>
          <w:color w:val="000000"/>
          <w:sz w:val="24"/>
          <w:szCs w:val="24"/>
          <w:highlight w:val="none"/>
        </w:rPr>
      </w:r>
      <w:r/>
    </w:p>
    <w:p>
      <w:pPr>
        <w:pStyle w:val="85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磋商响应报价表</w:t>
      </w:r>
      <w:r>
        <w:rPr>
          <w:rFonts w:hint="eastAsia" w:ascii="宋体" w:hAnsi="宋体" w:eastAsia="宋体" w:cs="宋体"/>
          <w:b/>
          <w:bCs/>
          <w:color w:val="000000"/>
          <w:sz w:val="24"/>
          <w:szCs w:val="24"/>
          <w:highlight w:val="none"/>
        </w:rPr>
      </w:r>
      <w:r/>
    </w:p>
    <w:p>
      <w:pPr>
        <w:pStyle w:val="85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53"/>
        <w:ind w:left="0" w:firstLine="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2026年度全镇监控安防设备维护保养服务</w:t>
      </w:r>
      <w:r>
        <w:rPr>
          <w:rFonts w:hint="eastAsia" w:ascii="宋体" w:hAnsi="宋体" w:eastAsia="宋体" w:cs="宋体"/>
          <w:color w:val="000000"/>
          <w:sz w:val="24"/>
          <w:szCs w:val="24"/>
          <w:highlight w:val="none"/>
          <w:lang w:eastAsia="zh-CN"/>
        </w:rPr>
      </w:r>
      <w:r/>
    </w:p>
    <w:p>
      <w:pPr>
        <w:pStyle w:val="853"/>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采购编号：</w:t>
      </w:r>
      <w:r>
        <w:rPr>
          <w:rFonts w:hint="eastAsia" w:ascii="宋体" w:hAnsi="宋体" w:eastAsia="宋体" w:cs="宋体"/>
          <w:color w:val="000000"/>
          <w:sz w:val="24"/>
          <w:szCs w:val="24"/>
          <w:highlight w:val="none"/>
          <w:lang w:eastAsia="zh-CN"/>
        </w:rPr>
        <w:t xml:space="preserve">JSZC-320506-DLHX-C2026-0007</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8"/>
        <w:gridCol w:w="4249"/>
        <w:gridCol w:w="2111"/>
        <w:gridCol w:w="1234"/>
      </w:tblGrid>
      <w:tr>
        <w:trPr>
          <w:cantSplit/>
          <w:trHeight w:val="830"/>
        </w:trPr>
        <w:tc>
          <w:tcPr>
            <w:tcW w:w="1228"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4249"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c>
          <w:tcPr>
            <w:tcW w:w="2111"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总价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123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770"/>
        </w:trPr>
        <w:tc>
          <w:tcPr>
            <w:tcW w:w="1228"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249"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2026年度全镇监控安防设备维护保养服务</w:t>
            </w:r>
            <w:r>
              <w:rPr>
                <w:rFonts w:hint="eastAsia" w:ascii="宋体" w:hAnsi="宋体" w:eastAsia="宋体" w:cs="宋体"/>
                <w:color w:val="000000"/>
                <w:sz w:val="24"/>
                <w:szCs w:val="24"/>
                <w:highlight w:val="none"/>
              </w:rPr>
            </w:r>
            <w:r/>
          </w:p>
        </w:tc>
        <w:tc>
          <w:tcPr>
            <w:tcW w:w="2111"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28"/>
        </w:trPr>
        <w:tc>
          <w:tcPr>
            <w:tcW w:w="1228"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服务期限</w:t>
            </w:r>
            <w:r>
              <w:rPr>
                <w:rFonts w:hint="eastAsia" w:ascii="宋体" w:hAnsi="宋体" w:eastAsia="宋体" w:cs="宋体"/>
                <w:color w:val="000000"/>
                <w:sz w:val="24"/>
                <w:szCs w:val="24"/>
                <w:highlight w:val="none"/>
              </w:rPr>
            </w:r>
            <w:r/>
          </w:p>
        </w:tc>
        <w:tc>
          <w:tcPr>
            <w:gridSpan w:val="3"/>
            <w:tcW w:w="7594" w:type="dxa"/>
            <w:vAlign w:val="center"/>
            <w:textDirection w:val="lrTb"/>
            <w:noWrap w:val="false"/>
          </w:tcPr>
          <w:p>
            <w:pPr>
              <w:pStyle w:val="853"/>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z w:val="24"/>
                <w:szCs w:val="24"/>
                <w:highlight w:val="none"/>
                <w:lang w:eastAsia="zh-CN"/>
              </w:rPr>
              <w:t xml:space="preserve">一年（具体起始时间甲方书面通知为准）</w:t>
            </w:r>
            <w:r>
              <w:rPr>
                <w:rFonts w:hint="eastAsia" w:ascii="宋体" w:hAnsi="宋体" w:eastAsia="宋体" w:cs="宋体"/>
                <w:color w:val="000000"/>
                <w:spacing w:val="20"/>
                <w:sz w:val="24"/>
                <w:szCs w:val="24"/>
                <w:highlight w:val="none"/>
              </w:rPr>
            </w:r>
            <w:r/>
          </w:p>
        </w:tc>
      </w:tr>
    </w:tbl>
    <w:p>
      <w:pPr>
        <w:pStyle w:val="929"/>
        <w:ind w:left="0"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p>
      <w:pPr>
        <w:pStyle w:val="85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rPr>
      </w:r>
      <w:r/>
    </w:p>
    <w:p>
      <w:pPr>
        <w:pStyle w:val="85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8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jc w:val="left"/>
        <w:spacing w:line="360" w:lineRule="auto"/>
        <w:rPr>
          <w:rFonts w:hint="eastAsia" w:ascii="宋体" w:hAnsi="宋体" w:eastAsia="宋体" w:cs="宋体"/>
          <w:color w:val="000000"/>
          <w:sz w:val="24"/>
          <w:szCs w:val="24"/>
          <w:highlight w:val="none"/>
          <w:lang w:eastAsia="en-US"/>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b w:val="0"/>
          <w:bCs w:val="0"/>
          <w:color w:val="000000"/>
          <w:sz w:val="24"/>
          <w:szCs w:val="24"/>
          <w:highlight w:val="none"/>
          <w:lang w:val="en-US" w:eastAsia="zh-CN"/>
        </w:rPr>
        <w:t xml:space="preserve">包括</w:t>
      </w:r>
      <w:r>
        <w:rPr>
          <w:rFonts w:hint="eastAsia" w:ascii="宋体" w:hAnsi="宋体" w:eastAsia="宋体" w:cs="宋体"/>
          <w:b w:val="0"/>
          <w:bCs w:val="0"/>
          <w:color w:val="000000"/>
          <w:sz w:val="24"/>
          <w:szCs w:val="24"/>
          <w:highlight w:val="none"/>
          <w:lang w:eastAsia="zh-CN"/>
        </w:rPr>
        <w:t xml:space="preserve">完成本项目服务内容所需的</w:t>
      </w:r>
      <w:r>
        <w:rPr>
          <w:rFonts w:hint="eastAsia" w:ascii="宋体" w:hAnsi="宋体" w:eastAsia="宋体" w:cs="宋体"/>
          <w:b w:val="0"/>
          <w:bCs w:val="0"/>
          <w:color w:val="000000"/>
          <w:sz w:val="24"/>
          <w:szCs w:val="24"/>
        </w:rPr>
        <w:t xml:space="preserve">材料费（包括清单内所有设备材料以及与之运行所相关的一切配套设施）、调试费、包装费、运费、人工费、安装费、工具劳保费、通讯费、各种税费等一切费用，服务期限内甲方不再为本项目支出合同之外的任何费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highlight w:val="none"/>
          <w:lang w:eastAsia="zh-CN"/>
        </w:rPr>
        <w:t xml:space="preserve">遇到法律法规规定的最低工资调整，其中人工费用相应浮动，及合同实施过程中的不可预见的各项费用，由供应商自行承担。</w:t>
      </w:r>
      <w:r>
        <w:rPr>
          <w:rFonts w:hint="eastAsia" w:ascii="宋体" w:hAnsi="宋体" w:eastAsia="宋体" w:cs="宋体"/>
          <w:color w:val="000000"/>
          <w:sz w:val="24"/>
          <w:szCs w:val="24"/>
          <w:highlight w:val="none"/>
          <w:lang w:eastAsia="en-US"/>
        </w:rPr>
      </w:r>
      <w:r/>
    </w:p>
    <w:p>
      <w:pPr>
        <w:pStyle w:val="881"/>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65"/>
        <w:ind w:left="0" w:firstLine="0"/>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eastAsia="zh-CN"/>
        </w:rPr>
        <w:t xml:space="preserve">磋商响应</w:t>
      </w:r>
      <w:r>
        <w:rPr>
          <w:rFonts w:hint="eastAsia" w:ascii="宋体" w:hAnsi="宋体" w:eastAsia="宋体" w:cs="宋体"/>
          <w:b/>
          <w:color w:val="000000"/>
          <w:sz w:val="24"/>
          <w:szCs w:val="24"/>
          <w:highlight w:val="none"/>
        </w:rPr>
        <w:t xml:space="preserve">承诺书</w:t>
      </w:r>
      <w:r>
        <w:rPr>
          <w:rFonts w:hint="eastAsia" w:ascii="宋体" w:hAnsi="宋体" w:eastAsia="宋体" w:cs="宋体"/>
          <w:b/>
          <w:color w:val="000000"/>
          <w:sz w:val="24"/>
          <w:szCs w:val="24"/>
          <w:highlight w:val="none"/>
        </w:rPr>
      </w:r>
      <w:r/>
    </w:p>
    <w:p>
      <w:pPr>
        <w:pStyle w:val="865"/>
        <w:ind w:firstLine="0"/>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磋商响应</w:t>
      </w:r>
      <w:r>
        <w:rPr>
          <w:rFonts w:hint="eastAsia" w:ascii="宋体" w:hAnsi="宋体" w:eastAsia="宋体" w:cs="宋体"/>
          <w:b/>
          <w:bCs/>
          <w:color w:val="000000"/>
          <w:sz w:val="24"/>
          <w:szCs w:val="24"/>
          <w:highlight w:val="none"/>
        </w:rPr>
        <w:t xml:space="preserve">承诺书</w:t>
      </w:r>
      <w:r>
        <w:rPr>
          <w:rFonts w:hint="eastAsia" w:ascii="宋体" w:hAnsi="宋体" w:eastAsia="宋体" w:cs="宋体"/>
          <w:b/>
          <w:bCs/>
          <w:color w:val="000000"/>
          <w:sz w:val="24"/>
          <w:szCs w:val="24"/>
          <w:highlight w:val="none"/>
        </w:rPr>
      </w:r>
      <w:r/>
    </w:p>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苏州华厦招投标代理有限公司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我们收到贵公司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JSZC-320506-DLHX-C2026-0007</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号磋商邀请函，经仔细阅读和研究，我们决定参加该次磋商活动。</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1、我们愿意按照磋商邀请函的一切要求，提供包括完成该项目的各项应有费用。</w:t>
      </w:r>
      <w:r>
        <w:rPr>
          <w:rFonts w:hint="eastAsia" w:ascii="宋体" w:hAnsi="宋体" w:eastAsia="宋体" w:cs="宋体"/>
          <w:color w:val="000000"/>
          <w:sz w:val="24"/>
          <w:szCs w:val="24"/>
          <w:highlight w:val="none"/>
        </w:rPr>
      </w:r>
      <w:r/>
    </w:p>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2、如果我们磋商商务被接受，我们将严格履行磋商邀请函中规定的每一项要求，按期、按质、按量履行合同的义务。</w:t>
      </w:r>
      <w:r>
        <w:rPr>
          <w:rFonts w:hint="eastAsia" w:ascii="宋体" w:hAnsi="宋体" w:eastAsia="宋体" w:cs="宋体"/>
          <w:color w:val="000000"/>
          <w:sz w:val="24"/>
          <w:szCs w:val="24"/>
          <w:highlight w:val="none"/>
        </w:rPr>
      </w:r>
      <w:r/>
    </w:p>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3、我们愿意提供邀请方在磋商邀请函中要求的所有资料。</w:t>
      </w:r>
      <w:r>
        <w:rPr>
          <w:rFonts w:hint="eastAsia" w:ascii="宋体" w:hAnsi="宋体" w:eastAsia="宋体" w:cs="宋体"/>
          <w:color w:val="000000"/>
          <w:sz w:val="24"/>
          <w:szCs w:val="24"/>
          <w:highlight w:val="none"/>
        </w:rPr>
      </w:r>
      <w:r/>
    </w:p>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4、我们认为你们有权决定成交人者，还认为你们有权接受或拒绝所有的磋商供应商。</w:t>
      </w:r>
      <w:r>
        <w:rPr>
          <w:rFonts w:hint="eastAsia" w:ascii="宋体" w:hAnsi="宋体" w:eastAsia="宋体" w:cs="宋体"/>
          <w:color w:val="000000"/>
          <w:sz w:val="24"/>
          <w:szCs w:val="24"/>
          <w:highlight w:val="none"/>
        </w:rPr>
      </w:r>
      <w:r/>
    </w:p>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5、我们愿意遵守磋商邀请函中所列的收费标准。</w:t>
      </w:r>
      <w:r>
        <w:rPr>
          <w:rFonts w:hint="eastAsia" w:ascii="宋体" w:hAnsi="宋体" w:eastAsia="宋体" w:cs="宋体"/>
          <w:color w:val="000000"/>
          <w:sz w:val="24"/>
          <w:szCs w:val="24"/>
          <w:highlight w:val="none"/>
        </w:rPr>
      </w:r>
      <w:r/>
    </w:p>
    <w:p>
      <w:pPr>
        <w:pStyle w:val="865"/>
        <w:ind w:firstLine="480"/>
        <w:spacing w:line="360" w:lineRule="auto"/>
        <w:widowControl/>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6、如果我们成交后未履行以上承诺，我公司愿意接受有关部门的处理：</w:t>
      </w:r>
      <w:r>
        <w:rPr>
          <w:rFonts w:hint="eastAsia" w:ascii="宋体" w:hAnsi="宋体" w:eastAsia="宋体" w:cs="宋体"/>
          <w:color w:val="000000"/>
          <w:sz w:val="24"/>
          <w:szCs w:val="24"/>
          <w:highlight w:val="none"/>
        </w:rPr>
      </w:r>
      <w:r/>
    </w:p>
    <w:p>
      <w:pPr>
        <w:pStyle w:val="865"/>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A、取消成交资格</w:t>
      </w:r>
      <w:r>
        <w:rPr>
          <w:rFonts w:hint="eastAsia" w:ascii="宋体" w:hAnsi="宋体" w:eastAsia="宋体" w:cs="宋体"/>
          <w:color w:val="000000"/>
          <w:sz w:val="24"/>
          <w:szCs w:val="24"/>
          <w:highlight w:val="none"/>
        </w:rPr>
      </w:r>
      <w:r/>
    </w:p>
    <w:p>
      <w:pPr>
        <w:pStyle w:val="865"/>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B、列入不诚信企业名录予以曝光</w:t>
      </w:r>
      <w:r>
        <w:rPr>
          <w:rFonts w:hint="eastAsia" w:ascii="宋体" w:hAnsi="宋体" w:eastAsia="宋体" w:cs="宋体"/>
          <w:color w:val="000000"/>
          <w:sz w:val="24"/>
          <w:szCs w:val="24"/>
          <w:highlight w:val="none"/>
        </w:rPr>
      </w:r>
      <w:r/>
    </w:p>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、综合说明：</w:t>
      </w:r>
      <w:r>
        <w:rPr>
          <w:rFonts w:hint="eastAsia" w:ascii="宋体" w:hAnsi="宋体" w:eastAsia="宋体" w:cs="宋体"/>
          <w:color w:val="000000"/>
          <w:sz w:val="24"/>
          <w:szCs w:val="24"/>
          <w:highlight w:val="none"/>
        </w:rPr>
      </w:r>
      <w:r/>
    </w:p>
    <w:p>
      <w:pPr>
        <w:pStyle w:val="865"/>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（1）伴随服务及配合措施；      </w:t>
      </w:r>
      <w:r>
        <w:rPr>
          <w:rFonts w:hint="eastAsia" w:ascii="宋体" w:hAnsi="宋体" w:eastAsia="宋体" w:cs="宋体"/>
          <w:color w:val="000000"/>
          <w:sz w:val="24"/>
          <w:szCs w:val="24"/>
          <w:highlight w:val="none"/>
        </w:rPr>
      </w:r>
      <w:r/>
    </w:p>
    <w:p>
      <w:pPr>
        <w:pStyle w:val="865"/>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（2）要求甲方提供的配合；      </w:t>
      </w:r>
      <w:r>
        <w:rPr>
          <w:rFonts w:hint="eastAsia" w:ascii="宋体" w:hAnsi="宋体" w:eastAsia="宋体" w:cs="宋体"/>
          <w:color w:val="000000"/>
          <w:sz w:val="24"/>
          <w:szCs w:val="24"/>
          <w:highlight w:val="none"/>
        </w:rPr>
      </w:r>
      <w:r/>
    </w:p>
    <w:p>
      <w:pPr>
        <w:pStyle w:val="865"/>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（3）其它说明。</w:t>
      </w:r>
      <w:r>
        <w:rPr>
          <w:rFonts w:hint="eastAsia" w:ascii="宋体" w:hAnsi="宋体" w:eastAsia="宋体" w:cs="宋体"/>
          <w:color w:val="000000"/>
          <w:sz w:val="24"/>
          <w:szCs w:val="24"/>
          <w:highlight w:val="none"/>
        </w:rPr>
      </w:r>
      <w:r/>
    </w:p>
    <w:p>
      <w:pPr>
        <w:pStyle w:val="865"/>
        <w:ind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所有有关标书的函电，请按下列地址联系：</w:t>
      </w:r>
      <w:r>
        <w:rPr>
          <w:rFonts w:hint="eastAsia" w:ascii="宋体" w:hAnsi="宋体" w:eastAsia="宋体" w:cs="宋体"/>
          <w:color w:val="000000"/>
          <w:sz w:val="24"/>
          <w:szCs w:val="24"/>
          <w:highlight w:val="none"/>
        </w:rPr>
      </w:r>
      <w:r/>
    </w:p>
    <w:p>
      <w:pPr>
        <w:pStyle w:val="865"/>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                           联系人：</w:t>
      </w:r>
      <w:r>
        <w:rPr>
          <w:rFonts w:hint="eastAsia" w:ascii="宋体" w:hAnsi="宋体" w:eastAsia="宋体" w:cs="宋体"/>
          <w:color w:val="000000"/>
          <w:sz w:val="24"/>
          <w:szCs w:val="24"/>
          <w:highlight w:val="none"/>
        </w:rPr>
      </w:r>
      <w:r/>
    </w:p>
    <w:p>
      <w:pPr>
        <w:pStyle w:val="865"/>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邮政编码： </w:t>
      </w:r>
      <w:r>
        <w:rPr>
          <w:rFonts w:hint="eastAsia" w:ascii="宋体" w:hAnsi="宋体" w:eastAsia="宋体" w:cs="宋体"/>
          <w:color w:val="000000"/>
          <w:sz w:val="24"/>
          <w:szCs w:val="24"/>
          <w:highlight w:val="none"/>
        </w:rPr>
      </w:r>
      <w:r/>
    </w:p>
    <w:p>
      <w:pPr>
        <w:pStyle w:val="865"/>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传真：</w:t>
      </w:r>
      <w:r>
        <w:rPr>
          <w:rFonts w:hint="eastAsia" w:ascii="宋体" w:hAnsi="宋体" w:eastAsia="宋体" w:cs="宋体"/>
          <w:color w:val="000000"/>
          <w:sz w:val="24"/>
          <w:szCs w:val="24"/>
          <w:highlight w:val="none"/>
        </w:rPr>
      </w:r>
      <w:r/>
    </w:p>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853"/>
        <w:ind w:firstLine="69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5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3、（磋商方）法定代表人授权委托书 </w:t>
      </w:r>
      <w:r>
        <w:rPr>
          <w:rFonts w:hint="eastAsia" w:ascii="宋体" w:hAnsi="宋体" w:eastAsia="宋体" w:cs="宋体"/>
          <w:b/>
          <w:color w:val="000000"/>
          <w:sz w:val="24"/>
          <w:szCs w:val="24"/>
          <w:highlight w:val="none"/>
        </w:rPr>
      </w:r>
      <w:r/>
    </w:p>
    <w:p>
      <w:pPr>
        <w:pStyle w:val="929"/>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授权委托书</w:t>
      </w:r>
      <w:r>
        <w:rPr>
          <w:rFonts w:hint="eastAsia" w:ascii="宋体" w:hAnsi="宋体" w:eastAsia="宋体" w:cs="宋体"/>
          <w:color w:val="000000"/>
          <w:sz w:val="24"/>
          <w:szCs w:val="24"/>
          <w:highlight w:val="none"/>
        </w:rPr>
      </w:r>
      <w:r/>
    </w:p>
    <w:p>
      <w:pPr>
        <w:pStyle w:val="92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（磋商单位名称）的法定代表人，现授权委托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单位名称）的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（姓名）为我公司被授权人，以本公司的名义参加苏州华厦招投标代理有限公司组织实施的编号为</w:t>
      </w:r>
      <w:r>
        <w:rPr>
          <w:rFonts w:hint="eastAsia" w:ascii="宋体" w:hAnsi="宋体" w:eastAsia="宋体" w:cs="宋体"/>
          <w:color w:val="000000"/>
          <w:sz w:val="24"/>
          <w:szCs w:val="24"/>
          <w:highlight w:val="none"/>
          <w:u w:val="single"/>
          <w:lang w:eastAsia="zh-CN"/>
        </w:rPr>
        <w:t xml:space="preserve">JSZC-320506-DLHX-C2026-0007</w:t>
      </w:r>
      <w:r>
        <w:rPr>
          <w:rFonts w:hint="eastAsia" w:ascii="宋体" w:hAnsi="宋体" w:eastAsia="宋体" w:cs="宋体"/>
          <w:bCs/>
          <w:color w:val="000000"/>
          <w:sz w:val="24"/>
          <w:szCs w:val="24"/>
          <w:highlight w:val="none"/>
          <w:u w:val="single"/>
        </w:rPr>
        <w:t xml:space="preserve">号</w:t>
      </w:r>
      <w:r>
        <w:rPr>
          <w:rFonts w:hint="eastAsia" w:ascii="宋体" w:hAnsi="宋体" w:eastAsia="宋体" w:cs="宋体"/>
          <w:color w:val="000000"/>
          <w:sz w:val="24"/>
          <w:szCs w:val="24"/>
          <w:highlight w:val="none"/>
        </w:rPr>
        <w:t xml:space="preserve">的竞争性磋商活动。被授权人在开标、评标、合同磋商过程中所签署的一切文件和处理与这有关的一切事务，我均予以承认。</w:t>
      </w:r>
      <w:r>
        <w:rPr>
          <w:rFonts w:hint="eastAsia" w:ascii="宋体" w:hAnsi="宋体" w:eastAsia="宋体" w:cs="宋体"/>
          <w:color w:val="000000"/>
          <w:sz w:val="24"/>
          <w:szCs w:val="24"/>
          <w:highlight w:val="none"/>
        </w:rPr>
      </w:r>
      <w:r/>
    </w:p>
    <w:p>
      <w:pPr>
        <w:pStyle w:val="92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被授权人在授权委托书有效期内签署的所有文件不因授权委托的撤销而失效，除非有撤销授权委托的书面通知，本授权委托书自响应开始至合同履行完毕止。</w:t>
      </w:r>
      <w:r>
        <w:rPr>
          <w:rFonts w:hint="eastAsia" w:ascii="宋体" w:hAnsi="宋体" w:eastAsia="宋体" w:cs="宋体"/>
          <w:color w:val="000000"/>
          <w:sz w:val="24"/>
          <w:szCs w:val="24"/>
          <w:highlight w:val="none"/>
        </w:rPr>
      </w:r>
      <w:r/>
    </w:p>
    <w:p>
      <w:pPr>
        <w:pStyle w:val="92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被授权人无转委托权。特此委托。</w:t>
      </w:r>
      <w:r>
        <w:rPr>
          <w:rFonts w:hint="eastAsia" w:ascii="宋体" w:hAnsi="宋体" w:eastAsia="宋体" w:cs="宋体"/>
          <w:color w:val="000000"/>
          <w:sz w:val="24"/>
          <w:szCs w:val="24"/>
          <w:highlight w:val="none"/>
        </w:rPr>
      </w:r>
      <w:r/>
    </w:p>
    <w:p>
      <w:pPr>
        <w:pStyle w:val="92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853"/>
        <w:ind w:firstLine="69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29"/>
        <w:jc w:val="righ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left="0"/>
        <w:jc w:val="both"/>
        <w:spacing w:line="480" w:lineRule="exact"/>
        <w:rPr>
          <w:rFonts w:ascii="Times New Roman" w:hAnsi="Times New Roman"/>
          <w:b/>
          <w:color w:val="000000"/>
          <w:sz w:val="21"/>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4、</w:t>
      </w:r>
      <w:r>
        <w:rPr>
          <w:rFonts w:hint="eastAsia" w:ascii="宋体" w:hAnsi="宋体" w:eastAsia="宋体" w:cs="宋体"/>
          <w:b/>
          <w:color w:val="000000"/>
          <w:sz w:val="24"/>
          <w:szCs w:val="24"/>
        </w:rPr>
        <w:t xml:space="preserve">偏离表（技术、商务）</w:t>
      </w:r>
      <w:r>
        <w:rPr>
          <w:rFonts w:ascii="Times New Roman" w:hAnsi="Times New Roman"/>
          <w:b/>
          <w:color w:val="000000"/>
          <w:sz w:val="21"/>
        </w:rPr>
      </w:r>
      <w:r/>
    </w:p>
    <w:p>
      <w:pPr>
        <w:pStyle w:val="860"/>
        <w:ind w:left="40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偏离表</w:t>
      </w:r>
      <w:r>
        <w:rPr>
          <w:rFonts w:hint="eastAsia" w:ascii="宋体" w:hAnsi="宋体" w:eastAsia="宋体" w:cs="宋体"/>
          <w:b/>
          <w:color w:val="000000"/>
          <w:sz w:val="24"/>
          <w:szCs w:val="24"/>
        </w:rPr>
      </w:r>
      <w:r/>
    </w:p>
    <w:p>
      <w:pPr>
        <w:pStyle w:val="860"/>
        <w:ind w:left="40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tbl>
      <w:tblPr>
        <w:tblW w:w="95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3110"/>
        <w:gridCol w:w="2450"/>
        <w:gridCol w:w="1842"/>
        <w:gridCol w:w="1418"/>
      </w:tblGrid>
      <w:tr>
        <w:trPr>
          <w:trHeight w:val="760"/>
        </w:trPr>
        <w:tc>
          <w:tcPr>
            <w:tcW w:w="724" w:type="dxa"/>
            <w:vAlign w:val="center"/>
            <w:textDirection w:val="lrTb"/>
            <w:noWrap w:val="false"/>
          </w:tcPr>
          <w:p>
            <w:pPr>
              <w:pStyle w:val="853"/>
              <w:ind w:left="0"/>
              <w:widowControl w:val="off"/>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W w:w="3110" w:type="dxa"/>
            <w:vAlign w:val="center"/>
            <w:textDirection w:val="lrTb"/>
            <w:noWrap w:val="false"/>
          </w:tcPr>
          <w:p>
            <w:pPr>
              <w:pStyle w:val="853"/>
              <w:ind w:left="0"/>
              <w:jc w:val="center"/>
              <w:widowControl w:val="off"/>
              <w:rPr>
                <w:rFonts w:ascii="宋体" w:hAnsi="宋体"/>
                <w:color w:val="000000"/>
                <w:sz w:val="21"/>
                <w:szCs w:val="21"/>
              </w:rPr>
            </w:pPr>
            <w:r>
              <w:rPr>
                <w:rFonts w:hint="eastAsia" w:ascii="宋体" w:hAnsi="宋体"/>
                <w:color w:val="000000"/>
                <w:sz w:val="21"/>
                <w:szCs w:val="21"/>
              </w:rPr>
              <w:t xml:space="preserve">采购要求</w:t>
            </w:r>
            <w:r>
              <w:rPr>
                <w:rFonts w:ascii="宋体" w:hAnsi="宋体"/>
                <w:color w:val="000000"/>
                <w:sz w:val="21"/>
                <w:szCs w:val="21"/>
              </w:rPr>
            </w:r>
            <w:r/>
          </w:p>
        </w:tc>
        <w:tc>
          <w:tcPr>
            <w:tcW w:w="2450" w:type="dxa"/>
            <w:vAlign w:val="center"/>
            <w:textDirection w:val="lrTb"/>
            <w:noWrap w:val="false"/>
          </w:tcPr>
          <w:p>
            <w:pPr>
              <w:pStyle w:val="853"/>
              <w:ind w:left="0"/>
              <w:jc w:val="center"/>
              <w:widowControl w:val="off"/>
              <w:rPr>
                <w:rFonts w:ascii="宋体" w:hAnsi="宋体"/>
                <w:color w:val="000000"/>
                <w:sz w:val="21"/>
                <w:szCs w:val="21"/>
              </w:rPr>
            </w:pPr>
            <w:r>
              <w:rPr>
                <w:rFonts w:hint="eastAsia" w:ascii="宋体" w:hAnsi="宋体"/>
                <w:color w:val="000000"/>
                <w:sz w:val="21"/>
                <w:szCs w:val="21"/>
              </w:rPr>
              <w:t xml:space="preserve">响应情况</w:t>
            </w:r>
            <w:r>
              <w:rPr>
                <w:rFonts w:ascii="宋体" w:hAnsi="宋体"/>
                <w:color w:val="000000"/>
                <w:sz w:val="21"/>
                <w:szCs w:val="21"/>
              </w:rPr>
            </w:r>
            <w:r/>
          </w:p>
        </w:tc>
        <w:tc>
          <w:tcPr>
            <w:tcW w:w="1842" w:type="dxa"/>
            <w:vAlign w:val="center"/>
            <w:textDirection w:val="lrTb"/>
            <w:noWrap w:val="false"/>
          </w:tcPr>
          <w:p>
            <w:pPr>
              <w:pStyle w:val="853"/>
              <w:ind w:left="0"/>
              <w:jc w:val="center"/>
              <w:widowControl w:val="off"/>
              <w:rPr>
                <w:rFonts w:ascii="宋体" w:hAnsi="宋体"/>
                <w:color w:val="000000"/>
                <w:sz w:val="21"/>
                <w:szCs w:val="21"/>
              </w:rPr>
            </w:pPr>
            <w:r>
              <w:rPr>
                <w:rFonts w:hint="eastAsia" w:ascii="宋体" w:hAnsi="宋体"/>
                <w:color w:val="000000"/>
                <w:sz w:val="21"/>
                <w:szCs w:val="21"/>
              </w:rPr>
              <w:t xml:space="preserve">偏离说明</w:t>
            </w:r>
            <w:r>
              <w:rPr>
                <w:rFonts w:ascii="宋体" w:hAnsi="宋体"/>
                <w:color w:val="000000"/>
                <w:sz w:val="21"/>
                <w:szCs w:val="21"/>
              </w:rPr>
            </w:r>
            <w:r/>
          </w:p>
        </w:tc>
        <w:tc>
          <w:tcPr>
            <w:tcW w:w="1418" w:type="dxa"/>
            <w:vAlign w:val="top"/>
            <w:textDirection w:val="lrTb"/>
            <w:noWrap w:val="false"/>
          </w:tcPr>
          <w:p>
            <w:pPr>
              <w:pStyle w:val="853"/>
              <w:ind w:left="0"/>
              <w:jc w:val="center"/>
              <w:spacing w:line="600" w:lineRule="auto"/>
              <w:widowControl w:val="off"/>
              <w:rPr>
                <w:rFonts w:hint="eastAsia" w:ascii="宋体" w:hAnsi="宋体" w:eastAsia="宋体"/>
                <w:color w:val="000000"/>
                <w:sz w:val="21"/>
                <w:szCs w:val="21"/>
                <w:lang w:eastAsia="zh-CN"/>
              </w:rPr>
            </w:pPr>
            <w:r>
              <w:rPr>
                <w:rFonts w:hint="eastAsia" w:ascii="宋体" w:hAnsi="宋体"/>
                <w:color w:val="000000"/>
                <w:sz w:val="21"/>
                <w:szCs w:val="21"/>
                <w:lang w:val="en-US" w:eastAsia="zh-CN"/>
              </w:rPr>
              <w:t xml:space="preserve">备注</w:t>
            </w:r>
            <w:r>
              <w:rPr>
                <w:rFonts w:hint="eastAsia" w:ascii="宋体" w:hAnsi="宋体" w:eastAsia="宋体"/>
                <w:color w:val="000000"/>
                <w:sz w:val="21"/>
                <w:szCs w:val="21"/>
                <w:lang w:eastAsia="zh-CN"/>
              </w:rPr>
            </w:r>
            <w:r/>
          </w:p>
        </w:tc>
      </w:tr>
      <w:tr>
        <w:trPr>
          <w:cantSplit/>
          <w:trHeight w:val="495"/>
        </w:trPr>
        <w:tc>
          <w:tcPr>
            <w:tcW w:w="724"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r>
    </w:tbl>
    <w:p>
      <w:pPr>
        <w:pStyle w:val="853"/>
        <w:ind w:left="0"/>
        <w:jc w:val="left"/>
        <w:spacing w:line="380" w:lineRule="exact"/>
        <w:rPr>
          <w:rFonts w:ascii="Times New Roman" w:hAnsi="Times New Roman"/>
          <w:color w:val="000000"/>
          <w:sz w:val="21"/>
        </w:rPr>
      </w:pPr>
      <w:r>
        <w:rPr>
          <w:rFonts w:ascii="Times New Roman" w:hAnsi="Times New Roman"/>
          <w:color w:val="000000"/>
          <w:sz w:val="21"/>
        </w:rPr>
      </w:r>
      <w:r/>
    </w:p>
    <w:p>
      <w:pPr>
        <w:pStyle w:val="853"/>
        <w:ind w:firstLine="611"/>
        <w:spacing w:line="360" w:lineRule="auto"/>
        <w:rPr>
          <w:rFonts w:hint="eastAsia" w:ascii="宋体" w:hAnsi="宋体" w:eastAsia="宋体" w:cs="宋体"/>
          <w:color w:val="000000"/>
          <w:sz w:val="24"/>
          <w:szCs w:val="24"/>
          <w:highlight w:val="none"/>
        </w:rPr>
      </w:pPr>
      <w:r>
        <w:rPr>
          <w:rFonts w:hint="eastAsia" w:ascii="宋体" w:hAnsi="宋体" w:cs="宋体"/>
          <w:color w:val="000000"/>
          <w:sz w:val="21"/>
          <w:szCs w:val="21"/>
        </w:rPr>
        <w:t xml:space="preserve"> </w:t>
      </w: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853"/>
        <w:ind w:firstLine="698"/>
        <w:jc w:val="left"/>
        <w:spacing w:line="360" w:lineRule="auto"/>
        <w:rPr>
          <w:rFonts w:ascii="宋体" w:cs="宋体"/>
          <w:color w:val="000000"/>
          <w:sz w:val="22"/>
          <w:szCs w:val="22"/>
          <w:lang w:val="zh-CN"/>
        </w:rPr>
      </w:pPr>
      <w:r>
        <w:rPr>
          <w:rFonts w:hint="eastAsia" w:ascii="宋体" w:hAnsi="宋体" w:eastAsia="宋体" w:cs="宋体"/>
          <w:color w:val="000000"/>
          <w:sz w:val="24"/>
          <w:szCs w:val="24"/>
          <w:highlight w:val="none"/>
        </w:rPr>
        <w:t xml:space="preserve">日期：         年         月       日</w:t>
      </w:r>
      <w:r>
        <w:rPr>
          <w:rFonts w:hint="eastAsia" w:ascii="宋体" w:cs="宋体"/>
          <w:color w:val="000000"/>
          <w:sz w:val="22"/>
          <w:szCs w:val="22"/>
          <w:lang w:val="zh-CN"/>
        </w:rPr>
        <w:t xml:space="preserve"> </w:t>
      </w:r>
      <w:r>
        <w:rPr>
          <w:rFonts w:ascii="宋体" w:cs="宋体"/>
          <w:color w:val="000000"/>
          <w:sz w:val="22"/>
          <w:szCs w:val="22"/>
          <w:lang w:val="zh-CN"/>
        </w:rPr>
      </w:r>
      <w:r/>
    </w:p>
    <w:p>
      <w:pPr>
        <w:pStyle w:val="853"/>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853"/>
        <w:numPr>
          <w:ilvl w:val="0"/>
          <w:numId w:val="0"/>
        </w:numPr>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在本表中对照采购文件要求对应列出响应内容，并在“偏离说明”项下填写以下内容：优于的，填写“正偏离”；符合的，填写“无偏离”；低于的，填写“负偏离”。</w:t>
      </w:r>
      <w:r>
        <w:rPr>
          <w:rFonts w:hint="eastAsia" w:ascii="宋体" w:hAnsi="宋体" w:eastAsia="宋体" w:cs="宋体"/>
          <w:color w:val="000000"/>
          <w:sz w:val="24"/>
          <w:szCs w:val="24"/>
          <w:highlight w:val="none"/>
        </w:rPr>
      </w:r>
      <w:r/>
    </w:p>
    <w:p>
      <w:pPr>
        <w:pStyle w:val="853"/>
        <w:numPr>
          <w:ilvl w:val="0"/>
          <w:numId w:val="0"/>
        </w:numPr>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highlight w:val="none"/>
        </w:rPr>
        <w:t xml:space="preserve">未在上表中说明的，如在</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文件其他内容中已有文字说明的，则以已有文字说明为准，否则，将被认为完全响应</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文件的</w:t>
      </w:r>
      <w:r>
        <w:rPr>
          <w:rFonts w:hint="eastAsia" w:ascii="宋体" w:hAnsi="宋体" w:eastAsia="宋体" w:cs="宋体"/>
          <w:color w:val="000000"/>
          <w:sz w:val="24"/>
          <w:szCs w:val="24"/>
          <w:highlight w:val="none"/>
          <w:lang w:val="en-US" w:eastAsia="zh-CN"/>
        </w:rPr>
        <w:t xml:space="preserve">要求及规定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numPr>
          <w:ilvl w:val="0"/>
          <w:numId w:val="0"/>
        </w:numPr>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highlight w:val="none"/>
        </w:rPr>
        <w:t xml:space="preserve">若事项较多，供应商可根据实际情况另纸说明。</w:t>
      </w:r>
      <w:r>
        <w:rPr>
          <w:rFonts w:hint="eastAsia" w:ascii="宋体" w:hAnsi="宋体" w:eastAsia="宋体" w:cs="宋体"/>
          <w:color w:val="000000"/>
          <w:sz w:val="24"/>
          <w:szCs w:val="24"/>
          <w:highlight w:val="none"/>
        </w:rPr>
      </w:r>
      <w:r/>
    </w:p>
    <w:p>
      <w:pPr>
        <w:pStyle w:val="85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br w:type="page" w:clear="all"/>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服务人员表 </w:t>
      </w:r>
      <w:r>
        <w:rPr>
          <w:rFonts w:hint="eastAsia" w:ascii="宋体" w:hAnsi="宋体" w:eastAsia="宋体" w:cs="宋体"/>
          <w:b/>
          <w:color w:val="000000"/>
          <w:sz w:val="24"/>
          <w:szCs w:val="24"/>
          <w:highlight w:val="none"/>
        </w:rPr>
      </w:r>
      <w:r/>
    </w:p>
    <w:p>
      <w:pPr>
        <w:pStyle w:val="853"/>
        <w:ind w:firstLine="38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服务人员表</w:t>
      </w:r>
      <w:r>
        <w:rPr>
          <w:rFonts w:hint="eastAsia" w:ascii="宋体" w:hAnsi="宋体" w:eastAsia="宋体" w:cs="宋体"/>
          <w:color w:val="000000"/>
          <w:sz w:val="24"/>
          <w:szCs w:val="24"/>
          <w:highlight w:val="none"/>
        </w:rPr>
      </w:r>
      <w:r/>
    </w:p>
    <w:p>
      <w:pPr>
        <w:pStyle w:val="853"/>
        <w:jc w:val="center"/>
        <w:spacing w:line="360" w:lineRule="auto"/>
        <w:rPr>
          <w:rFonts w:hint="eastAsia" w:ascii="宋体" w:hAnsi="宋体" w:eastAsia="宋体" w:cs="宋体"/>
          <w:bCs/>
          <w:color w:val="000000"/>
          <w:spacing w:val="20"/>
          <w:sz w:val="24"/>
          <w:szCs w:val="24"/>
          <w:highlight w:val="none"/>
        </w:rPr>
      </w:pPr>
      <w:r>
        <w:rPr>
          <w:rFonts w:hint="eastAsia" w:ascii="宋体" w:hAnsi="宋体" w:eastAsia="宋体" w:cs="宋体"/>
          <w:bCs/>
          <w:color w:val="000000"/>
          <w:spacing w:val="20"/>
          <w:sz w:val="24"/>
          <w:szCs w:val="24"/>
          <w:highlight w:val="none"/>
        </w:rPr>
      </w:r>
      <w:r/>
    </w:p>
    <w:p>
      <w:pPr>
        <w:pStyle w:val="853"/>
        <w:jc w:val="left"/>
        <w:spacing w:line="360" w:lineRule="auto"/>
        <w:rPr>
          <w:rFonts w:hint="eastAsia" w:ascii="宋体" w:hAnsi="宋体" w:eastAsia="宋体" w:cs="宋体"/>
          <w:b w:val="0"/>
          <w:bCs/>
          <w:color w:val="000000"/>
          <w:sz w:val="24"/>
          <w:szCs w:val="24"/>
          <w:highlight w:val="none"/>
          <w:u w:val="single"/>
          <w:lang w:eastAsia="zh-CN"/>
        </w:rPr>
      </w:pPr>
      <w:r>
        <w:rPr>
          <w:rFonts w:hint="eastAsia" w:ascii="宋体" w:hAnsi="宋体" w:eastAsia="宋体" w:cs="宋体"/>
          <w:color w:val="000000"/>
          <w:sz w:val="24"/>
          <w:szCs w:val="24"/>
          <w:highlight w:val="none"/>
        </w:rPr>
        <w:t xml:space="preserve">采购内容：</w:t>
      </w:r>
      <w:r>
        <w:rPr>
          <w:rFonts w:hint="eastAsia" w:ascii="宋体" w:hAnsi="宋体" w:eastAsia="宋体" w:cs="宋体"/>
          <w:b w:val="0"/>
          <w:bCs/>
          <w:color w:val="000000"/>
          <w:sz w:val="24"/>
          <w:szCs w:val="24"/>
          <w:highlight w:val="none"/>
          <w:u w:val="none"/>
          <w:lang w:eastAsia="zh-CN"/>
        </w:rPr>
        <w:t xml:space="preserve">2026年度全镇监控安防设备维护保养服务</w:t>
      </w:r>
      <w:r>
        <w:rPr>
          <w:rFonts w:hint="eastAsia" w:ascii="宋体" w:hAnsi="宋体" w:eastAsia="宋体" w:cs="宋体"/>
          <w:b w:val="0"/>
          <w:bCs/>
          <w:color w:val="000000"/>
          <w:sz w:val="24"/>
          <w:szCs w:val="24"/>
          <w:highlight w:val="none"/>
          <w:u w:val="single"/>
          <w:lang w:eastAsia="zh-CN"/>
        </w:rPr>
      </w:r>
      <w:r/>
    </w:p>
    <w:p>
      <w:pPr>
        <w:pStyle w:val="853"/>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采购编号：</w:t>
      </w:r>
      <w:r>
        <w:rPr>
          <w:rFonts w:hint="eastAsia" w:ascii="宋体" w:hAnsi="宋体" w:eastAsia="宋体" w:cs="宋体"/>
          <w:color w:val="000000"/>
          <w:sz w:val="24"/>
          <w:szCs w:val="24"/>
          <w:highlight w:val="none"/>
          <w:lang w:eastAsia="zh-CN"/>
        </w:rPr>
        <w:t xml:space="preserve">JSZC-320506-DLHX-C2026-0007</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915"/>
        <w:gridCol w:w="1503"/>
        <w:gridCol w:w="1084"/>
        <w:gridCol w:w="1035"/>
        <w:gridCol w:w="1105"/>
        <w:gridCol w:w="1000"/>
      </w:tblGrid>
      <w:tr>
        <w:trPr>
          <w:trHeight w:val="760"/>
        </w:trPr>
        <w:tc>
          <w:tcPr>
            <w:tcW w:w="88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注：请按以上格式自制表格填写后响应。</w:t>
      </w:r>
      <w:r>
        <w:rPr>
          <w:rFonts w:hint="eastAsia" w:ascii="宋体" w:hAnsi="宋体" w:eastAsia="宋体" w:cs="宋体"/>
          <w:color w:val="000000"/>
          <w:sz w:val="24"/>
          <w:szCs w:val="24"/>
          <w:highlight w:val="none"/>
        </w:rPr>
      </w:r>
      <w:r/>
    </w:p>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853"/>
        <w:ind w:firstLine="69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5、类似项目业绩清单表 </w:t>
      </w:r>
      <w:r>
        <w:rPr>
          <w:rFonts w:hint="eastAsia" w:ascii="宋体" w:hAnsi="宋体" w:eastAsia="宋体" w:cs="宋体"/>
          <w:b/>
          <w:color w:val="000000"/>
          <w:sz w:val="24"/>
          <w:szCs w:val="24"/>
          <w:highlight w:val="none"/>
        </w:rPr>
      </w:r>
      <w:r/>
    </w:p>
    <w:p>
      <w:pPr>
        <w:pStyle w:val="85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5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类似项目业绩清单表</w:t>
      </w:r>
      <w:r>
        <w:rPr>
          <w:rFonts w:hint="eastAsia" w:ascii="宋体" w:hAnsi="宋体" w:eastAsia="宋体" w:cs="宋体"/>
          <w:bCs/>
          <w:color w:val="000000"/>
          <w:sz w:val="24"/>
          <w:szCs w:val="24"/>
          <w:highlight w:val="none"/>
        </w:rPr>
      </w:r>
      <w:r/>
    </w:p>
    <w:p>
      <w:pPr>
        <w:pStyle w:val="85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jc w:val="left"/>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项目名</w:t>
      </w:r>
      <w:r>
        <w:rPr>
          <w:rFonts w:hint="eastAsia" w:ascii="宋体" w:hAnsi="宋体" w:eastAsia="宋体" w:cs="宋体"/>
          <w:color w:val="000000"/>
          <w:sz w:val="24"/>
          <w:szCs w:val="24"/>
          <w:highlight w:val="none"/>
          <w:u w:val="none"/>
        </w:rPr>
        <w:t xml:space="preserve">称：</w:t>
      </w:r>
      <w:r>
        <w:rPr>
          <w:rFonts w:hint="eastAsia" w:ascii="宋体" w:hAnsi="宋体" w:eastAsia="宋体" w:cs="宋体"/>
          <w:b w:val="0"/>
          <w:bCs/>
          <w:color w:val="000000"/>
          <w:sz w:val="24"/>
          <w:szCs w:val="24"/>
          <w:highlight w:val="none"/>
          <w:u w:val="none"/>
          <w:lang w:eastAsia="zh-CN"/>
        </w:rPr>
        <w:t xml:space="preserve">2026年度全镇监控安防设备维护保养服务</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u w:val="none"/>
        </w:rPr>
      </w:r>
      <w:r/>
    </w:p>
    <w:p>
      <w:pPr>
        <w:pStyle w:val="853"/>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none"/>
        </w:rPr>
        <w:t xml:space="preserve">采购编号：</w:t>
      </w:r>
      <w:r>
        <w:rPr>
          <w:rFonts w:hint="eastAsia" w:ascii="宋体" w:hAnsi="宋体" w:eastAsia="宋体" w:cs="宋体"/>
          <w:color w:val="000000"/>
          <w:sz w:val="24"/>
          <w:szCs w:val="24"/>
          <w:highlight w:val="none"/>
          <w:u w:val="none"/>
          <w:lang w:eastAsia="zh-CN"/>
        </w:rPr>
        <w:t xml:space="preserve">JSZC-320506-DLHX-C2026-00</w:t>
      </w:r>
      <w:r>
        <w:rPr>
          <w:rFonts w:hint="eastAsia" w:ascii="宋体" w:hAnsi="宋体" w:eastAsia="宋体" w:cs="宋体"/>
          <w:color w:val="000000"/>
          <w:sz w:val="24"/>
          <w:szCs w:val="24"/>
          <w:highlight w:val="none"/>
          <w:lang w:eastAsia="zh-CN"/>
        </w:rPr>
        <w:t xml:space="preserve">07</w:t>
      </w:r>
      <w:r>
        <w:rPr>
          <w:rFonts w:hint="eastAsia" w:ascii="宋体" w:hAnsi="宋体" w:eastAsia="宋体" w:cs="宋体"/>
          <w:color w:val="000000"/>
          <w:sz w:val="24"/>
          <w:szCs w:val="24"/>
          <w:highlight w:val="none"/>
          <w:u w:val="singl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915"/>
        <w:gridCol w:w="918"/>
      </w:tblGrid>
      <w:tr>
        <w:trPr>
          <w:cantSplit/>
          <w:trHeight w:val="740"/>
        </w:trPr>
        <w:tc>
          <w:tcPr>
            <w:tcW w:w="897"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w:t>
            </w: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服务范围</w:t>
            </w: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合同金额（万元）</w:t>
            </w: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tbRlV"/>
            <w:noWrap w:val="false"/>
          </w:tcPr>
          <w:p>
            <w:pPr>
              <w:pStyle w:val="853"/>
              <w:ind w:left="113" w:right="11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853"/>
        <w:ind w:firstLine="69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53"/>
        <w:ind w:left="420" w:right="357" w:hanging="400"/>
        <w:spacing w:before="12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注：磋商响应单位应提供双方签订的合同复印件。</w:t>
      </w:r>
      <w:r>
        <w:rPr>
          <w:rFonts w:hint="eastAsia" w:ascii="宋体" w:hAnsi="宋体" w:eastAsia="宋体" w:cs="宋体"/>
          <w:b/>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3"/>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3"/>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3"/>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3"/>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3"/>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3"/>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3"/>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3"/>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5"/>
        <w:ind w:firstLine="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6、磋商响应单位情况表</w:t>
      </w:r>
      <w:r>
        <w:rPr>
          <w:rFonts w:hint="eastAsia" w:ascii="宋体" w:hAnsi="宋体" w:eastAsia="宋体" w:cs="宋体"/>
          <w:b/>
          <w:color w:val="000000"/>
          <w:sz w:val="24"/>
          <w:szCs w:val="24"/>
          <w:highlight w:val="none"/>
        </w:rPr>
      </w:r>
      <w:r/>
    </w:p>
    <w:p>
      <w:pPr>
        <w:pStyle w:val="865"/>
        <w:ind w:firstLine="480"/>
        <w:jc w:val="center"/>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磋商响应单位情况表</w:t>
      </w:r>
      <w:r>
        <w:rPr>
          <w:rFonts w:hint="eastAsia" w:ascii="宋体" w:hAnsi="宋体" w:eastAsia="宋体" w:cs="宋体"/>
          <w:bCs/>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44"/>
        <w:gridCol w:w="409"/>
        <w:gridCol w:w="1403"/>
        <w:gridCol w:w="400"/>
        <w:gridCol w:w="688"/>
        <w:gridCol w:w="1147"/>
        <w:gridCol w:w="346"/>
        <w:gridCol w:w="1577"/>
      </w:tblGrid>
      <w:tr>
        <w:trPr>
          <w:trHeight w:val="645"/>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企业法定代表人</w:t>
            </w:r>
            <w:r>
              <w:rPr>
                <w:rFonts w:hint="eastAsia" w:ascii="宋体" w:hAnsi="宋体" w:eastAsia="宋体" w:cs="宋体"/>
                <w:color w:val="000000"/>
                <w:sz w:val="24"/>
                <w:szCs w:val="24"/>
                <w:highlight w:val="none"/>
              </w:rPr>
            </w:r>
            <w:r/>
          </w:p>
        </w:tc>
        <w:tc>
          <w:tcPr>
            <w:gridSpan w:val="3"/>
            <w:tcW w:w="2212" w:type="dxa"/>
            <w:vAlign w:val="center"/>
            <w:textDirection w:val="lrTb"/>
            <w:noWrap w:val="false"/>
          </w:tcPr>
          <w:p>
            <w:pPr>
              <w:pStyle w:val="865"/>
              <w:ind w:firstLine="48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835" w:type="dxa"/>
            <w:vAlign w:val="center"/>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公司成立日期</w:t>
            </w:r>
            <w:r>
              <w:rPr>
                <w:rFonts w:hint="eastAsia" w:ascii="宋体" w:hAnsi="宋体" w:eastAsia="宋体" w:cs="宋体"/>
                <w:color w:val="000000"/>
                <w:sz w:val="24"/>
                <w:szCs w:val="24"/>
                <w:highlight w:val="none"/>
              </w:rPr>
            </w:r>
            <w:r/>
          </w:p>
        </w:tc>
        <w:tc>
          <w:tcPr>
            <w:gridSpan w:val="2"/>
            <w:tcW w:w="1923"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总部地址</w:t>
            </w:r>
            <w:r>
              <w:rPr>
                <w:rFonts w:hint="eastAsia" w:ascii="宋体" w:hAnsi="宋体" w:eastAsia="宋体" w:cs="宋体"/>
                <w:color w:val="000000"/>
                <w:sz w:val="24"/>
                <w:szCs w:val="24"/>
                <w:highlight w:val="none"/>
              </w:rPr>
            </w:r>
            <w:r/>
          </w:p>
        </w:tc>
        <w:tc>
          <w:tcPr>
            <w:gridSpan w:val="7"/>
            <w:tcW w:w="5970" w:type="dxa"/>
            <w:vAlign w:val="center"/>
            <w:textDirection w:val="lrTb"/>
            <w:noWrap w:val="false"/>
          </w:tcPr>
          <w:p>
            <w:pPr>
              <w:pStyle w:val="865"/>
              <w:ind w:firstLine="48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当地代表处地址</w:t>
            </w:r>
            <w:r>
              <w:rPr>
                <w:rFonts w:hint="eastAsia" w:ascii="宋体" w:hAnsi="宋体" w:eastAsia="宋体" w:cs="宋体"/>
                <w:color w:val="000000"/>
                <w:sz w:val="24"/>
                <w:szCs w:val="24"/>
                <w:highlight w:val="none"/>
              </w:rPr>
            </w:r>
            <w:r/>
          </w:p>
        </w:tc>
        <w:tc>
          <w:tcPr>
            <w:gridSpan w:val="7"/>
            <w:tcW w:w="5970"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gridSpan w:val="2"/>
            <w:tcW w:w="1812"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088" w:type="dxa"/>
            <w:vAlign w:val="center"/>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c>
          <w:tcPr>
            <w:gridSpan w:val="3"/>
            <w:tcW w:w="3070"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5"/>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tc>
        <w:tc>
          <w:tcPr>
            <w:gridSpan w:val="2"/>
            <w:tcW w:w="1812"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088" w:type="dxa"/>
            <w:vAlign w:val="center"/>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电子邮箱</w:t>
            </w:r>
            <w:r>
              <w:rPr>
                <w:rFonts w:hint="eastAsia" w:ascii="宋体" w:hAnsi="宋体" w:eastAsia="宋体" w:cs="宋体"/>
                <w:color w:val="000000"/>
                <w:sz w:val="24"/>
                <w:szCs w:val="24"/>
                <w:highlight w:val="none"/>
              </w:rPr>
            </w:r>
            <w:r/>
          </w:p>
        </w:tc>
        <w:tc>
          <w:tcPr>
            <w:gridSpan w:val="3"/>
            <w:tcW w:w="3070"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w:t>
            </w:r>
            <w:r>
              <w:rPr>
                <w:rFonts w:hint="eastAsia" w:ascii="宋体" w:hAnsi="宋体" w:eastAsia="宋体" w:cs="宋体"/>
                <w:color w:val="000000"/>
                <w:sz w:val="24"/>
                <w:szCs w:val="24"/>
                <w:highlight w:val="none"/>
              </w:rPr>
            </w:r>
            <w:r/>
          </w:p>
        </w:tc>
        <w:tc>
          <w:tcPr>
            <w:gridSpan w:val="2"/>
            <w:tcW w:w="1812"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088" w:type="dxa"/>
            <w:vAlign w:val="center"/>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注册年份</w:t>
            </w:r>
            <w:r>
              <w:rPr>
                <w:rFonts w:hint="eastAsia" w:ascii="宋体" w:hAnsi="宋体" w:eastAsia="宋体" w:cs="宋体"/>
                <w:color w:val="000000"/>
                <w:sz w:val="24"/>
                <w:szCs w:val="24"/>
                <w:highlight w:val="none"/>
              </w:rPr>
            </w:r>
            <w:r/>
          </w:p>
        </w:tc>
        <w:tc>
          <w:tcPr>
            <w:gridSpan w:val="3"/>
            <w:tcW w:w="3070" w:type="dxa"/>
            <w:vAlign w:val="center"/>
            <w:textDirection w:val="lrTb"/>
            <w:noWrap w:val="false"/>
          </w:tcPr>
          <w:p>
            <w:pPr>
              <w:pStyle w:val="865"/>
              <w:ind w:left="437"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单位职工人数</w:t>
            </w:r>
            <w:r>
              <w:rPr>
                <w:rFonts w:hint="eastAsia" w:ascii="宋体" w:hAnsi="宋体" w:eastAsia="宋体" w:cs="宋体"/>
                <w:color w:val="000000"/>
                <w:sz w:val="24"/>
                <w:szCs w:val="24"/>
                <w:highlight w:val="none"/>
              </w:rPr>
            </w:r>
            <w:r/>
          </w:p>
        </w:tc>
        <w:tc>
          <w:tcPr>
            <w:gridSpan w:val="2"/>
            <w:tcW w:w="1812"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gridSpan w:val="4"/>
            <w:tcW w:w="2581" w:type="dxa"/>
            <w:vAlign w:val="center"/>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最近一</w:t>
            </w:r>
            <w:r>
              <w:rPr>
                <w:rFonts w:hint="eastAsia" w:ascii="宋体" w:hAnsi="宋体" w:eastAsia="宋体" w:cs="宋体"/>
                <w:color w:val="000000"/>
                <w:sz w:val="24"/>
                <w:szCs w:val="24"/>
                <w:highlight w:val="none"/>
              </w:rPr>
              <w:t xml:space="preserve">年总营业收入</w:t>
            </w: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r>
      <w:tr>
        <w:trPr>
          <w:cantSplit/>
          <w:trHeight w:val="645"/>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gridSpan w:val="8"/>
            <w:tcW w:w="7814" w:type="dxa"/>
            <w:vAlign w:val="center"/>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企业或社会团体办公场所的面积：</w:t>
            </w:r>
            <w:r>
              <w:rPr>
                <w:rFonts w:hint="eastAsia" w:ascii="宋体" w:hAnsi="宋体" w:eastAsia="宋体" w:cs="宋体"/>
                <w:color w:val="000000"/>
                <w:sz w:val="24"/>
                <w:szCs w:val="24"/>
                <w:highlight w:val="none"/>
              </w:rPr>
            </w:r>
            <w:r/>
          </w:p>
        </w:tc>
      </w:tr>
      <w:tr>
        <w:trPr>
          <w:trHeight w:val="1767"/>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gridSpan w:val="8"/>
            <w:tcW w:w="7814"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主营范围</w:t>
            </w:r>
            <w:r>
              <w:rPr>
                <w:rFonts w:hint="eastAsia" w:ascii="宋体" w:hAnsi="宋体" w:eastAsia="宋体" w:cs="宋体"/>
                <w:color w:val="000000"/>
                <w:sz w:val="24"/>
                <w:szCs w:val="24"/>
                <w:highlight w:val="none"/>
              </w:rPr>
            </w:r>
            <w:r/>
          </w:p>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1、_____________________________________</w:t>
            </w:r>
            <w:r>
              <w:rPr>
                <w:rFonts w:hint="eastAsia" w:ascii="宋体" w:hAnsi="宋体" w:eastAsia="宋体" w:cs="宋体"/>
                <w:color w:val="000000"/>
                <w:sz w:val="24"/>
                <w:szCs w:val="24"/>
                <w:highlight w:val="none"/>
              </w:rPr>
            </w:r>
            <w:r/>
          </w:p>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2、____________________________________</w:t>
            </w:r>
            <w:r>
              <w:rPr>
                <w:rFonts w:hint="eastAsia" w:ascii="宋体" w:hAnsi="宋体" w:eastAsia="宋体" w:cs="宋体"/>
                <w:color w:val="000000"/>
                <w:sz w:val="24"/>
                <w:szCs w:val="24"/>
                <w:highlight w:val="none"/>
              </w:rPr>
            </w:r>
            <w:r/>
          </w:p>
        </w:tc>
      </w:tr>
      <w:tr>
        <w:trPr>
          <w:trHeight w:val="1013"/>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gridSpan w:val="2"/>
            <w:tcW w:w="2253" w:type="dxa"/>
            <w:vAlign w:val="top"/>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最近2年内在经营过程中受到何种奖励或处分</w:t>
            </w:r>
            <w:r>
              <w:rPr>
                <w:rFonts w:hint="eastAsia" w:ascii="宋体" w:hAnsi="宋体" w:eastAsia="宋体" w:cs="宋体"/>
                <w:color w:val="000000"/>
                <w:sz w:val="24"/>
                <w:szCs w:val="24"/>
                <w:highlight w:val="none"/>
              </w:rPr>
            </w:r>
            <w:r/>
          </w:p>
        </w:tc>
        <w:tc>
          <w:tcPr>
            <w:gridSpan w:val="6"/>
            <w:tcW w:w="5561" w:type="dxa"/>
            <w:vAlign w:val="top"/>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8"/>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gridSpan w:val="2"/>
            <w:tcW w:w="2253" w:type="dxa"/>
            <w:vAlign w:val="top"/>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最近3年内有无因售假、售劣或是其他原因被消费者投诉或起诉的情况及说明</w:t>
            </w:r>
            <w:r>
              <w:rPr>
                <w:rFonts w:hint="eastAsia" w:ascii="宋体" w:hAnsi="宋体" w:eastAsia="宋体" w:cs="宋体"/>
                <w:color w:val="000000"/>
                <w:sz w:val="24"/>
                <w:szCs w:val="24"/>
                <w:highlight w:val="none"/>
              </w:rPr>
            </w:r>
            <w:r/>
          </w:p>
        </w:tc>
        <w:tc>
          <w:tcPr>
            <w:gridSpan w:val="6"/>
            <w:tcW w:w="5561" w:type="dxa"/>
            <w:vAlign w:val="top"/>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8"/>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gridSpan w:val="8"/>
            <w:tcW w:w="7814" w:type="dxa"/>
            <w:vAlign w:val="center"/>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其他需要说明的情况</w:t>
            </w:r>
            <w:r>
              <w:rPr>
                <w:rFonts w:hint="eastAsia" w:ascii="宋体" w:hAnsi="宋体" w:eastAsia="宋体" w:cs="宋体"/>
                <w:color w:val="000000"/>
                <w:sz w:val="24"/>
                <w:szCs w:val="24"/>
                <w:highlight w:val="none"/>
              </w:rPr>
            </w:r>
            <w:r/>
          </w:p>
        </w:tc>
      </w:tr>
    </w:tbl>
    <w:p>
      <w:pPr>
        <w:pStyle w:val="85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7</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中小企业声明函 </w:t>
      </w:r>
      <w:r>
        <w:rPr>
          <w:rFonts w:hint="eastAsia" w:ascii="宋体" w:hAnsi="宋体" w:eastAsia="宋体" w:cs="宋体"/>
          <w:b/>
          <w:color w:val="000000"/>
          <w:sz w:val="24"/>
          <w:szCs w:val="24"/>
          <w:highlight w:val="none"/>
        </w:rPr>
      </w:r>
      <w:r/>
    </w:p>
    <w:p>
      <w:pPr>
        <w:pStyle w:val="85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 企业发展管理办法》（财库﹝2020﹞46 号）的规定，本公司 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b w:val="0"/>
          <w:bCs/>
          <w:color w:val="000000"/>
          <w:sz w:val="24"/>
          <w:szCs w:val="24"/>
          <w:highlight w:val="none"/>
          <w:u w:val="single"/>
          <w:lang w:eastAsia="zh-CN"/>
        </w:rPr>
        <w:t xml:space="preserve">2026年度全镇监控安防设备维护保养服务</w:t>
      </w:r>
      <w:r>
        <w:rPr>
          <w:rFonts w:hint="eastAsia" w:ascii="宋体" w:hAnsi="宋体" w:eastAsia="宋体" w:cs="宋体"/>
          <w:color w:val="000000"/>
          <w:sz w:val="24"/>
          <w:szCs w:val="24"/>
          <w:highlight w:val="none"/>
        </w:rPr>
        <w:t xml:space="preserve">采购活动，服务全部由符合政策要求的中小企业承接。相关企业的具体情 况如下： </w:t>
      </w:r>
      <w:r>
        <w:rPr>
          <w:rFonts w:hint="eastAsia" w:ascii="宋体" w:hAnsi="宋体" w:eastAsia="宋体" w:cs="宋体"/>
          <w:color w:val="000000"/>
          <w:sz w:val="24"/>
          <w:szCs w:val="24"/>
          <w:highlight w:val="none"/>
        </w:rPr>
      </w:r>
      <w:r/>
    </w:p>
    <w:p>
      <w:pPr>
        <w:pStyle w:val="853"/>
        <w:numPr>
          <w:ilvl w:val="0"/>
          <w:numId w:val="3"/>
        </w:numPr>
        <w:ind w:left="-6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软件和信息技术服务业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元，属于</w:t>
      </w:r>
      <w:r>
        <w:rPr>
          <w:rFonts w:hint="eastAsia" w:ascii="宋体" w:hAnsi="宋体" w:eastAsia="宋体" w:cs="宋体"/>
          <w:color w:val="000000"/>
          <w:sz w:val="24"/>
          <w:szCs w:val="24"/>
          <w:highlight w:val="none"/>
          <w:u w:val="single"/>
        </w:rPr>
        <w:t xml:space="preserve">（中型企业、 小型企业、微型企业）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53"/>
        <w:numPr>
          <w:ilvl w:val="0"/>
          <w:numId w:val="3"/>
        </w:numPr>
        <w:ind w:left="-6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软件和信息技术服务业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元，属于</w:t>
      </w:r>
      <w:r>
        <w:rPr>
          <w:rFonts w:hint="eastAsia" w:ascii="宋体" w:hAnsi="宋体" w:eastAsia="宋体" w:cs="宋体"/>
          <w:color w:val="000000"/>
          <w:sz w:val="24"/>
          <w:szCs w:val="24"/>
          <w:highlight w:val="none"/>
          <w:u w:val="single"/>
        </w:rPr>
        <w:t xml:space="preserve">（中型企业、 小型企业、微型企业）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53"/>
        <w:numPr>
          <w:ilvl w:val="0"/>
          <w:numId w:val="0"/>
        </w:numPr>
        <w:ind w:left="42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53"/>
        <w:numPr>
          <w:ilvl w:val="0"/>
          <w:numId w:val="0"/>
        </w:numPr>
        <w:ind w:left="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numPr>
          <w:ilvl w:val="0"/>
          <w:numId w:val="0"/>
        </w:numPr>
        <w:ind w:left="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 形。 </w:t>
      </w:r>
      <w:r>
        <w:rPr>
          <w:rFonts w:hint="eastAsia" w:ascii="宋体" w:hAnsi="宋体" w:eastAsia="宋体" w:cs="宋体"/>
          <w:color w:val="000000"/>
          <w:sz w:val="24"/>
          <w:szCs w:val="24"/>
          <w:highlight w:val="none"/>
        </w:rPr>
      </w:r>
      <w:r/>
    </w:p>
    <w:p>
      <w:pPr>
        <w:pStyle w:val="853"/>
        <w:numPr>
          <w:ilvl w:val="0"/>
          <w:numId w:val="0"/>
        </w:numPr>
        <w:ind w:left="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 法承担相应责任。</w:t>
      </w:r>
      <w:r>
        <w:rPr>
          <w:rFonts w:hint="eastAsia" w:ascii="宋体" w:hAnsi="宋体" w:eastAsia="宋体" w:cs="宋体"/>
          <w:color w:val="000000"/>
          <w:sz w:val="24"/>
          <w:szCs w:val="24"/>
          <w:highlight w:val="none"/>
        </w:rPr>
      </w:r>
      <w:r/>
    </w:p>
    <w:p>
      <w:pPr>
        <w:pStyle w:val="853"/>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注：从业人员、营业收入、资产总额填报上一年度数据，无上一年度数据的新成立企业可不填报。</w:t>
      </w:r>
      <w:r>
        <w:rPr>
          <w:rFonts w:hint="eastAsia" w:ascii="宋体" w:hAnsi="宋体" w:eastAsia="宋体" w:cs="宋体"/>
          <w:b/>
          <w:color w:val="000000"/>
          <w:sz w:val="24"/>
          <w:szCs w:val="24"/>
          <w:highlight w:val="none"/>
        </w:rPr>
      </w:r>
      <w:r/>
    </w:p>
    <w:p>
      <w:pPr>
        <w:pStyle w:val="85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8、</w:t>
      </w:r>
      <w:r>
        <w:rPr>
          <w:rFonts w:hint="eastAsia" w:ascii="宋体" w:hAnsi="宋体" w:eastAsia="宋体" w:cs="宋体"/>
          <w:b/>
          <w:color w:val="000000"/>
          <w:sz w:val="24"/>
          <w:szCs w:val="24"/>
          <w:highlight w:val="none"/>
        </w:rPr>
        <w:t xml:space="preserve">残疾人福利性单位声明函 </w:t>
      </w:r>
      <w:r>
        <w:rPr>
          <w:rFonts w:hint="eastAsia" w:ascii="宋体" w:hAnsi="宋体" w:eastAsia="宋体" w:cs="宋体"/>
          <w:b/>
          <w:color w:val="000000"/>
          <w:sz w:val="24"/>
          <w:szCs w:val="24"/>
          <w:highlight w:val="none"/>
        </w:rPr>
      </w:r>
      <w:r/>
    </w:p>
    <w:p>
      <w:pPr>
        <w:pStyle w:val="885"/>
        <w:jc w:val="center"/>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5"/>
        <w:jc w:val="center"/>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残疾人福利性单位声明函</w:t>
      </w:r>
      <w:r>
        <w:rPr>
          <w:rFonts w:hint="eastAsia" w:ascii="宋体" w:hAnsi="宋体" w:eastAsia="宋体" w:cs="宋体"/>
          <w:color w:val="000000"/>
          <w:sz w:val="24"/>
          <w:szCs w:val="24"/>
          <w:highlight w:val="none"/>
        </w:rPr>
      </w:r>
      <w:r/>
    </w:p>
    <w:p>
      <w:pPr>
        <w:pStyle w:val="885"/>
        <w:jc w:val="center"/>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5"/>
        <w:ind w:firstLine="48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885"/>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885"/>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5"/>
        <w:jc w:val="righ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单位名称（盖章）：</w:t>
      </w:r>
      <w:r>
        <w:rPr>
          <w:rFonts w:hint="eastAsia" w:ascii="宋体" w:hAnsi="宋体" w:eastAsia="宋体" w:cs="宋体"/>
          <w:color w:val="000000"/>
          <w:sz w:val="24"/>
          <w:szCs w:val="24"/>
          <w:highlight w:val="none"/>
        </w:rPr>
      </w:r>
      <w:r/>
    </w:p>
    <w:p>
      <w:pPr>
        <w:pStyle w:val="885"/>
        <w:jc w:val="righ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865"/>
        <w:ind w:left="0" w:firstLine="0"/>
        <w:jc w:val="both"/>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rPr>
        <w:t xml:space="preserve">关于资格文件的声明函</w:t>
      </w:r>
      <w:r>
        <w:rPr>
          <w:rFonts w:hint="eastAsia" w:ascii="宋体" w:hAnsi="宋体" w:eastAsia="宋体" w:cs="宋体"/>
          <w:b/>
          <w:bCs/>
          <w:color w:val="000000"/>
          <w:sz w:val="24"/>
          <w:szCs w:val="24"/>
        </w:rPr>
      </w:r>
      <w:r/>
    </w:p>
    <w:p>
      <w:pPr>
        <w:pStyle w:val="865"/>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5"/>
        <w:ind w:firstLine="0"/>
        <w:jc w:val="center"/>
        <w:spacing w:line="360" w:lineRule="auto"/>
        <w:rPr>
          <w:rFonts w:hint="eastAsia" w:ascii="宋体" w:hAnsi="宋体" w:eastAsia="宋体" w:cs="宋体"/>
          <w:b w:val="0"/>
          <w:bCs w:val="0"/>
          <w:color w:val="000000"/>
          <w:sz w:val="24"/>
          <w:szCs w:val="24"/>
          <w:u w:val="single"/>
        </w:rPr>
      </w:pPr>
      <w:r>
        <w:rPr>
          <w:rFonts w:hint="eastAsia" w:ascii="宋体" w:hAnsi="宋体" w:eastAsia="宋体" w:cs="宋体"/>
          <w:b w:val="0"/>
          <w:bCs w:val="0"/>
          <w:color w:val="000000"/>
          <w:sz w:val="24"/>
          <w:szCs w:val="24"/>
        </w:rPr>
        <w:t xml:space="preserve">关于资格文件的声明函</w:t>
      </w:r>
      <w:r>
        <w:rPr>
          <w:rFonts w:hint="eastAsia" w:ascii="宋体" w:hAnsi="宋体" w:eastAsia="宋体" w:cs="宋体"/>
          <w:b w:val="0"/>
          <w:bCs w:val="0"/>
          <w:color w:val="000000"/>
          <w:sz w:val="24"/>
          <w:szCs w:val="24"/>
          <w:u w:val="single"/>
        </w:rPr>
      </w:r>
      <w:r/>
    </w:p>
    <w:p>
      <w:pPr>
        <w:pStyle w:val="865"/>
        <w:ind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本公司愿就由贵公司组织实施的编号为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号的采购活动进行投标。本公司所提交的响应文件中所有关于响应资格的文件、证明和陈述均是真实的、有效的。若与真实情况不符，本公司愿意承担由此而产生的一切后果。</w:t>
      </w:r>
      <w:r>
        <w:rPr>
          <w:rFonts w:hint="eastAsia" w:ascii="宋体" w:hAnsi="宋体" w:eastAsia="宋体" w:cs="宋体"/>
          <w:color w:val="000000"/>
          <w:sz w:val="24"/>
          <w:szCs w:val="24"/>
        </w:rPr>
      </w:r>
      <w:r/>
    </w:p>
    <w:p>
      <w:pPr>
        <w:pStyle w:val="8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5"/>
        <w:ind w:left="0" w:firstLine="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磋商响应单位法定代表人：（签字或盖章）</w:t>
      </w:r>
      <w:r>
        <w:rPr>
          <w:rFonts w:hint="eastAsia" w:ascii="宋体" w:hAnsi="宋体" w:eastAsia="宋体" w:cs="宋体"/>
          <w:color w:val="000000"/>
          <w:sz w:val="24"/>
          <w:szCs w:val="24"/>
        </w:rPr>
      </w:r>
      <w:r/>
    </w:p>
    <w:p>
      <w:pPr>
        <w:pStyle w:val="865"/>
        <w:ind w:left="0" w:firstLine="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磋商响应单位：（公章）         </w:t>
      </w:r>
      <w:r>
        <w:rPr>
          <w:rFonts w:hint="eastAsia" w:ascii="宋体" w:hAnsi="宋体" w:eastAsia="宋体" w:cs="宋体"/>
          <w:color w:val="000000"/>
          <w:sz w:val="24"/>
          <w:szCs w:val="24"/>
        </w:rPr>
      </w:r>
      <w:r/>
    </w:p>
    <w:p>
      <w:pPr>
        <w:pStyle w:val="865"/>
        <w:ind w:left="0" w:firstLine="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 月 </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885"/>
        <w:jc w:val="right"/>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53"/>
        <w:jc w:val="center"/>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（全文完）</w:t>
      </w:r>
      <w:r/>
    </w:p>
    <w:sectPr>
      <w:headerReference w:type="default" r:id="rId9"/>
      <w:footerReference w:type="default" r:id="rId10"/>
      <w:footnotePr/>
      <w:endnotePr/>
      <w:type w:val="nextPage"/>
      <w:pgSz w:w="11906" w:h="16838" w:orient="portrait"/>
      <w:pgMar w:top="1440" w:right="1286" w:bottom="1440" w:left="1380" w:header="851" w:footer="992" w:gutter="0"/>
      <w:rtlGutter/>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Courier New">
    <w:panose1 w:val="02070309020205020404"/>
  </w:font>
  <w:font w:name="楷体_GB2312">
    <w:panose1 w:val="02010609060101010101"/>
  </w:font>
  <w:font w:name="方正仿宋简体">
    <w:panose1 w:val="020B0503020202020204"/>
  </w:font>
  <w:font w:name="仿宋_GB2312">
    <w:panose1 w:val="02010609060101010101"/>
  </w:font>
  <w:font w:name="黑体">
    <w:panose1 w:val="02010609060101010101"/>
  </w:font>
  <w:font w:name="Calibri">
    <w:panose1 w:val="020F050202020403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17</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35</w:t>
    </w:r>
    <w:r>
      <w:rPr>
        <w:szCs w:val="21"/>
      </w:rPr>
      <w:fldChar w:fldCharType="end"/>
    </w:r>
    <w:r>
      <w:rPr>
        <w:rFonts w:hint="eastAsia"/>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both"/>
      <w:keepLines w:val="0"/>
      <w:keepNext w:val="0"/>
      <w:pageBreakBefore w:val="0"/>
      <w:widowControl w:val="off"/>
      <w:tabs>
        <w:tab w:val="center" w:pos="4153" w:leader="none"/>
        <w:tab w:val="right" w:pos="8306" w:leader="none"/>
      </w:tabs>
      <w:rPr>
        <w:rFonts w:hint="eastAsia" w:eastAsia="宋体"/>
        <w:b/>
        <w:lang w:eastAsia="zh-CN"/>
      </w:rPr>
    </w:pPr>
    <w:r>
      <w:rPr>
        <w:rFonts w:hint="eastAsia"/>
        <w:b/>
      </w:rPr>
      <w:t xml:space="preserve">苏州华厦招投标代理有限公司竞争性磋商文件                         </w:t>
    </w:r>
    <w:r>
      <w:rPr>
        <w:rFonts w:hint="eastAsia"/>
        <w:b/>
        <w:lang w:val="en-US" w:eastAsia="zh-CN"/>
      </w:rPr>
      <w:t xml:space="preserve">  </w:t>
    </w:r>
    <w:r>
      <w:rPr>
        <w:rFonts w:hint="eastAsia"/>
        <w:b/>
      </w:rPr>
      <w:t xml:space="preserve">         </w:t>
    </w:r>
    <w:r>
      <w:rPr>
        <w:rFonts w:hint="eastAsia"/>
        <w:b/>
        <w:lang w:val="en-US" w:eastAsia="zh-CN"/>
      </w:rPr>
      <w:t xml:space="preserve">JSZC-320506-DLHX-C2026-0007</w:t>
    </w:r>
    <w:r>
      <w:rPr>
        <w:rFonts w:hint="eastAsia" w:eastAsia="宋体"/>
        <w:b/>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53"/>
        <w:ind w:left="-60" w:firstLine="0"/>
      </w:pPr>
    </w:lvl>
    <w:lvl w:ilvl="1">
      <w:start w:val="1"/>
      <w:numFmt w:val="decimal"/>
      <w:isLgl w:val="false"/>
      <w:suff w:val="tab"/>
      <w:lvlText w:val="%2."/>
      <w:lvlJc w:val="left"/>
      <w:pPr>
        <w:pStyle w:val="853"/>
        <w:ind w:left="1380" w:hanging="360"/>
        <w:tabs>
          <w:tab w:val="num" w:pos="1440" w:leader="none"/>
        </w:tabs>
      </w:pPr>
    </w:lvl>
    <w:lvl w:ilvl="2">
      <w:start w:val="1"/>
      <w:numFmt w:val="decimal"/>
      <w:isLgl w:val="false"/>
      <w:suff w:val="tab"/>
      <w:lvlText w:val="%3."/>
      <w:lvlJc w:val="left"/>
      <w:pPr>
        <w:pStyle w:val="853"/>
        <w:ind w:left="2100" w:hanging="360"/>
        <w:tabs>
          <w:tab w:val="num" w:pos="2160" w:leader="none"/>
        </w:tabs>
      </w:pPr>
    </w:lvl>
    <w:lvl w:ilvl="3">
      <w:start w:val="1"/>
      <w:numFmt w:val="decimal"/>
      <w:isLgl w:val="false"/>
      <w:suff w:val="tab"/>
      <w:lvlText w:val="%4."/>
      <w:lvlJc w:val="left"/>
      <w:pPr>
        <w:pStyle w:val="853"/>
        <w:ind w:left="2820" w:hanging="360"/>
        <w:tabs>
          <w:tab w:val="num" w:pos="2880" w:leader="none"/>
        </w:tabs>
      </w:pPr>
    </w:lvl>
    <w:lvl w:ilvl="4">
      <w:start w:val="1"/>
      <w:numFmt w:val="decimal"/>
      <w:isLgl w:val="false"/>
      <w:suff w:val="tab"/>
      <w:lvlText w:val="%5."/>
      <w:lvlJc w:val="left"/>
      <w:pPr>
        <w:pStyle w:val="853"/>
        <w:ind w:left="3540" w:hanging="360"/>
        <w:tabs>
          <w:tab w:val="num" w:pos="3600" w:leader="none"/>
        </w:tabs>
      </w:pPr>
    </w:lvl>
    <w:lvl w:ilvl="5">
      <w:start w:val="1"/>
      <w:numFmt w:val="decimal"/>
      <w:isLgl w:val="false"/>
      <w:suff w:val="tab"/>
      <w:lvlText w:val="%6."/>
      <w:lvlJc w:val="left"/>
      <w:pPr>
        <w:pStyle w:val="853"/>
        <w:ind w:left="4260" w:hanging="360"/>
        <w:tabs>
          <w:tab w:val="num" w:pos="4320" w:leader="none"/>
        </w:tabs>
      </w:pPr>
    </w:lvl>
    <w:lvl w:ilvl="6">
      <w:start w:val="1"/>
      <w:numFmt w:val="decimal"/>
      <w:isLgl w:val="false"/>
      <w:suff w:val="tab"/>
      <w:lvlText w:val="%7."/>
      <w:lvlJc w:val="left"/>
      <w:pPr>
        <w:pStyle w:val="853"/>
        <w:ind w:left="4980" w:hanging="360"/>
        <w:tabs>
          <w:tab w:val="num" w:pos="5040" w:leader="none"/>
        </w:tabs>
      </w:pPr>
    </w:lvl>
    <w:lvl w:ilvl="7">
      <w:start w:val="1"/>
      <w:numFmt w:val="decimal"/>
      <w:isLgl w:val="false"/>
      <w:suff w:val="tab"/>
      <w:lvlText w:val="%8."/>
      <w:lvlJc w:val="left"/>
      <w:pPr>
        <w:pStyle w:val="853"/>
        <w:ind w:left="5700" w:hanging="360"/>
        <w:tabs>
          <w:tab w:val="num" w:pos="5760" w:leader="none"/>
        </w:tabs>
      </w:pPr>
    </w:lvl>
    <w:lvl w:ilvl="8">
      <w:start w:val="1"/>
      <w:numFmt w:val="decimal"/>
      <w:isLgl w:val="false"/>
      <w:suff w:val="tab"/>
      <w:lvlText w:val="%9."/>
      <w:lvlJc w:val="left"/>
      <w:pPr>
        <w:pStyle w:val="853"/>
        <w:ind w:left="6420" w:hanging="360"/>
        <w:tabs>
          <w:tab w:val="num" w:pos="6480" w:leader="none"/>
        </w:tabs>
      </w:pPr>
    </w:lvl>
  </w:abstractNum>
  <w:abstractNum w:abstractNumId="1">
    <w:multiLevelType w:val="hybridMultilevel"/>
    <w:lvl w:ilvl="0">
      <w:start w:val="1"/>
      <w:numFmt w:val="japaneseCounting"/>
      <w:isLgl w:val="false"/>
      <w:suff w:val="tab"/>
      <w:lvlText w:val="%1、"/>
      <w:lvlJc w:val="left"/>
      <w:pPr>
        <w:pStyle w:val="853"/>
        <w:ind w:left="720" w:hanging="720"/>
        <w:tabs>
          <w:tab w:val="num" w:pos="720" w:leader="none"/>
        </w:tabs>
      </w:pPr>
      <w:rPr>
        <w:rFonts w:hint="eastAsia"/>
      </w:rPr>
    </w:lvl>
    <w:lvl w:ilvl="1">
      <w:start w:val="1"/>
      <w:numFmt w:val="decimal"/>
      <w:isLgl w:val="false"/>
      <w:suff w:val="tab"/>
      <w:lvlText w:val="%2．"/>
      <w:lvlJc w:val="left"/>
      <w:pPr>
        <w:pStyle w:val="853"/>
        <w:ind w:left="1140" w:hanging="720"/>
        <w:tabs>
          <w:tab w:val="num" w:pos="1140" w:leader="none"/>
        </w:tabs>
      </w:pPr>
      <w:rPr>
        <w:rFonts w:hint="eastAsia"/>
      </w:rPr>
    </w:lvl>
    <w:lvl w:ilvl="2">
      <w:start w:val="5"/>
      <w:numFmt w:val="decimal"/>
      <w:isLgl w:val="false"/>
      <w:suff w:val="tab"/>
      <w:lvlText w:val="%3."/>
      <w:lvlJc w:val="left"/>
      <w:pPr>
        <w:pStyle w:val="853"/>
        <w:ind w:left="1200" w:hanging="360"/>
        <w:tabs>
          <w:tab w:val="num" w:pos="1200" w:leader="none"/>
        </w:tabs>
      </w:pPr>
    </w:lvl>
    <w:lvl w:ilvl="3">
      <w:start w:val="1"/>
      <w:numFmt w:val="decimal"/>
      <w:isLgl w:val="false"/>
      <w:suff w:val="tab"/>
      <w:lvlText w:val="%4."/>
      <w:lvlJc w:val="left"/>
      <w:pPr>
        <w:pStyle w:val="853"/>
        <w:ind w:left="1680" w:hanging="420"/>
        <w:tabs>
          <w:tab w:val="num" w:pos="1680" w:leader="none"/>
        </w:tabs>
      </w:pPr>
    </w:lvl>
    <w:lvl w:ilvl="4">
      <w:start w:val="1"/>
      <w:numFmt w:val="lowerLetter"/>
      <w:isLgl w:val="false"/>
      <w:suff w:val="tab"/>
      <w:lvlText w:val="%5)"/>
      <w:lvlJc w:val="left"/>
      <w:pPr>
        <w:pStyle w:val="853"/>
        <w:ind w:left="2100" w:hanging="420"/>
        <w:tabs>
          <w:tab w:val="num" w:pos="2100" w:leader="none"/>
        </w:tabs>
      </w:pPr>
    </w:lvl>
    <w:lvl w:ilvl="5">
      <w:start w:val="1"/>
      <w:numFmt w:val="lowerRoman"/>
      <w:isLgl w:val="false"/>
      <w:suff w:val="tab"/>
      <w:lvlText w:val="%6."/>
      <w:lvlJc w:val="right"/>
      <w:pPr>
        <w:pStyle w:val="853"/>
        <w:ind w:left="2520" w:hanging="420"/>
        <w:tabs>
          <w:tab w:val="num" w:pos="2520" w:leader="none"/>
        </w:tabs>
      </w:pPr>
    </w:lvl>
    <w:lvl w:ilvl="6">
      <w:start w:val="1"/>
      <w:numFmt w:val="decimal"/>
      <w:isLgl w:val="false"/>
      <w:suff w:val="tab"/>
      <w:lvlText w:val="%7."/>
      <w:lvlJc w:val="left"/>
      <w:pPr>
        <w:pStyle w:val="853"/>
        <w:ind w:left="2940" w:hanging="420"/>
        <w:tabs>
          <w:tab w:val="num" w:pos="2940" w:leader="none"/>
        </w:tabs>
      </w:pPr>
    </w:lvl>
    <w:lvl w:ilvl="7">
      <w:start w:val="1"/>
      <w:numFmt w:val="lowerLetter"/>
      <w:isLgl w:val="false"/>
      <w:suff w:val="tab"/>
      <w:lvlText w:val="%8)"/>
      <w:lvlJc w:val="left"/>
      <w:pPr>
        <w:pStyle w:val="853"/>
        <w:ind w:left="3360" w:hanging="420"/>
        <w:tabs>
          <w:tab w:val="num" w:pos="3360" w:leader="none"/>
        </w:tabs>
      </w:pPr>
    </w:lvl>
    <w:lvl w:ilvl="8">
      <w:start w:val="1"/>
      <w:numFmt w:val="lowerRoman"/>
      <w:isLgl w:val="false"/>
      <w:suff w:val="tab"/>
      <w:lvlText w:val="%9."/>
      <w:lvlJc w:val="right"/>
      <w:pPr>
        <w:pStyle w:val="853"/>
        <w:ind w:left="3780" w:hanging="420"/>
        <w:tabs>
          <w:tab w:val="num" w:pos="3780" w:leader="none"/>
        </w:tabs>
      </w:pPr>
    </w:lvl>
  </w:abstractNum>
  <w:abstractNum w:abstractNumId="2">
    <w:multiLevelType w:val="hybridMultilevel"/>
    <w:lvl w:ilvl="0">
      <w:start w:val="1"/>
      <w:numFmt w:val="bullet"/>
      <w:pStyle w:val="910"/>
      <w:isLgl w:val="false"/>
      <w:suff w:val="tab"/>
      <w:lvlText w:val=""/>
      <w:lvlJc w:val="left"/>
      <w:pPr>
        <w:pStyle w:val="853"/>
        <w:ind w:left="840" w:hanging="420"/>
        <w:tabs>
          <w:tab w:val="num" w:pos="840" w:leader="none"/>
        </w:tabs>
      </w:pPr>
      <w:rPr>
        <w:rFonts w:ascii="Wingdings" w:hAnsi="Wingdings"/>
      </w:rPr>
    </w:lvl>
    <w:lvl w:ilvl="1">
      <w:start w:val="1"/>
      <w:numFmt w:val="bullet"/>
      <w:isLgl w:val="false"/>
      <w:suff w:val="tab"/>
      <w:lvlText w:val=""/>
      <w:lvlJc w:val="left"/>
      <w:pPr>
        <w:pStyle w:val="853"/>
        <w:ind w:left="1260" w:hanging="420"/>
        <w:tabs>
          <w:tab w:val="num" w:pos="1260" w:leader="none"/>
        </w:tabs>
      </w:pPr>
      <w:rPr>
        <w:rFonts w:ascii="Wingdings" w:hAnsi="Wingdings"/>
      </w:rPr>
    </w:lvl>
    <w:lvl w:ilvl="2">
      <w:start w:val="1"/>
      <w:numFmt w:val="bullet"/>
      <w:isLgl w:val="false"/>
      <w:suff w:val="tab"/>
      <w:lvlText w:val=""/>
      <w:lvlJc w:val="left"/>
      <w:pPr>
        <w:pStyle w:val="853"/>
        <w:ind w:left="1680" w:hanging="420"/>
        <w:tabs>
          <w:tab w:val="num" w:pos="1680" w:leader="none"/>
        </w:tabs>
      </w:pPr>
      <w:rPr>
        <w:rFonts w:ascii="Wingdings" w:hAnsi="Wingdings"/>
      </w:rPr>
    </w:lvl>
    <w:lvl w:ilvl="3">
      <w:start w:val="1"/>
      <w:numFmt w:val="bullet"/>
      <w:isLgl w:val="false"/>
      <w:suff w:val="tab"/>
      <w:lvlText w:val=""/>
      <w:lvlJc w:val="left"/>
      <w:pPr>
        <w:pStyle w:val="853"/>
        <w:ind w:left="2100" w:hanging="420"/>
        <w:tabs>
          <w:tab w:val="num" w:pos="2100" w:leader="none"/>
        </w:tabs>
      </w:pPr>
      <w:rPr>
        <w:rFonts w:ascii="Wingdings" w:hAnsi="Wingdings"/>
      </w:rPr>
    </w:lvl>
    <w:lvl w:ilvl="4">
      <w:start w:val="1"/>
      <w:numFmt w:val="bullet"/>
      <w:isLgl w:val="false"/>
      <w:suff w:val="tab"/>
      <w:lvlText w:val=""/>
      <w:lvlJc w:val="left"/>
      <w:pPr>
        <w:pStyle w:val="853"/>
        <w:ind w:left="2520" w:hanging="420"/>
        <w:tabs>
          <w:tab w:val="num" w:pos="2520" w:leader="none"/>
        </w:tabs>
      </w:pPr>
      <w:rPr>
        <w:rFonts w:ascii="Wingdings" w:hAnsi="Wingdings"/>
      </w:rPr>
    </w:lvl>
    <w:lvl w:ilvl="5">
      <w:start w:val="1"/>
      <w:numFmt w:val="bullet"/>
      <w:isLgl w:val="false"/>
      <w:suff w:val="tab"/>
      <w:lvlText w:val=""/>
      <w:lvlJc w:val="left"/>
      <w:pPr>
        <w:pStyle w:val="853"/>
        <w:ind w:left="2940" w:hanging="420"/>
        <w:tabs>
          <w:tab w:val="num" w:pos="2940" w:leader="none"/>
        </w:tabs>
      </w:pPr>
      <w:rPr>
        <w:rFonts w:ascii="Wingdings" w:hAnsi="Wingdings"/>
      </w:rPr>
    </w:lvl>
    <w:lvl w:ilvl="6">
      <w:start w:val="1"/>
      <w:numFmt w:val="bullet"/>
      <w:isLgl w:val="false"/>
      <w:suff w:val="tab"/>
      <w:lvlText w:val=""/>
      <w:lvlJc w:val="left"/>
      <w:pPr>
        <w:pStyle w:val="853"/>
        <w:ind w:left="3360" w:hanging="420"/>
        <w:tabs>
          <w:tab w:val="num" w:pos="3360" w:leader="none"/>
        </w:tabs>
      </w:pPr>
      <w:rPr>
        <w:rFonts w:ascii="Wingdings" w:hAnsi="Wingdings"/>
      </w:rPr>
    </w:lvl>
    <w:lvl w:ilvl="7">
      <w:start w:val="1"/>
      <w:numFmt w:val="bullet"/>
      <w:isLgl w:val="false"/>
      <w:suff w:val="tab"/>
      <w:lvlText w:val=""/>
      <w:lvlJc w:val="left"/>
      <w:pPr>
        <w:pStyle w:val="853"/>
        <w:ind w:left="3780" w:hanging="420"/>
        <w:tabs>
          <w:tab w:val="num" w:pos="3780" w:leader="none"/>
        </w:tabs>
      </w:pPr>
      <w:rPr>
        <w:rFonts w:ascii="Wingdings" w:hAnsi="Wingdings"/>
      </w:rPr>
    </w:lvl>
    <w:lvl w:ilvl="8">
      <w:start w:val="1"/>
      <w:numFmt w:val="bullet"/>
      <w:isLgl w:val="false"/>
      <w:suff w:val="tab"/>
      <w:lvlText w:val=""/>
      <w:lvlJc w:val="left"/>
      <w:pPr>
        <w:pStyle w:val="853"/>
        <w:ind w:left="4200" w:hanging="420"/>
        <w:tabs>
          <w:tab w:val="num" w:pos="4200" w:leader="none"/>
        </w:tabs>
      </w:pPr>
      <w:rPr>
        <w:rFonts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basedOn w:val="853"/>
    <w:next w:val="853"/>
    <w:link w:val="677"/>
    <w:uiPriority w:val="9"/>
    <w:qFormat/>
    <w:pPr>
      <w:keepLines/>
      <w:keepNext/>
      <w:spacing w:before="480" w:after="200"/>
      <w:outlineLvl w:val="0"/>
    </w:pPr>
    <w:rPr>
      <w:rFonts w:ascii="Arial" w:hAnsi="Arial" w:eastAsia="Arial" w:cs="Arial"/>
      <w:sz w:val="40"/>
      <w:szCs w:val="40"/>
    </w:rPr>
  </w:style>
  <w:style w:type="character" w:styleId="677">
    <w:name w:val="Heading 1 Char"/>
    <w:link w:val="676"/>
    <w:uiPriority w:val="9"/>
    <w:rPr>
      <w:rFonts w:ascii="Arial" w:hAnsi="Arial" w:eastAsia="Arial" w:cs="Arial"/>
      <w:sz w:val="40"/>
      <w:szCs w:val="40"/>
    </w:rPr>
  </w:style>
  <w:style w:type="paragraph" w:styleId="678">
    <w:name w:val="Heading 2"/>
    <w:basedOn w:val="853"/>
    <w:next w:val="853"/>
    <w:link w:val="679"/>
    <w:uiPriority w:val="9"/>
    <w:unhideWhenUsed/>
    <w:qFormat/>
    <w:pPr>
      <w:keepLines/>
      <w:keepNext/>
      <w:spacing w:before="360" w:after="200"/>
      <w:outlineLvl w:val="1"/>
    </w:pPr>
    <w:rPr>
      <w:rFonts w:ascii="Arial" w:hAnsi="Arial" w:eastAsia="Arial" w:cs="Arial"/>
      <w:sz w:val="34"/>
    </w:rPr>
  </w:style>
  <w:style w:type="character" w:styleId="679">
    <w:name w:val="Heading 2 Char"/>
    <w:link w:val="678"/>
    <w:uiPriority w:val="9"/>
    <w:rPr>
      <w:rFonts w:ascii="Arial" w:hAnsi="Arial" w:eastAsia="Arial" w:cs="Arial"/>
      <w:sz w:val="34"/>
    </w:rPr>
  </w:style>
  <w:style w:type="paragraph" w:styleId="680">
    <w:name w:val="Heading 3"/>
    <w:basedOn w:val="853"/>
    <w:next w:val="853"/>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link w:val="680"/>
    <w:uiPriority w:val="9"/>
    <w:rPr>
      <w:rFonts w:ascii="Arial" w:hAnsi="Arial" w:eastAsia="Arial" w:cs="Arial"/>
      <w:sz w:val="30"/>
      <w:szCs w:val="30"/>
    </w:rPr>
  </w:style>
  <w:style w:type="paragraph" w:styleId="682">
    <w:name w:val="Heading 4"/>
    <w:basedOn w:val="853"/>
    <w:next w:val="853"/>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link w:val="682"/>
    <w:uiPriority w:val="9"/>
    <w:rPr>
      <w:rFonts w:ascii="Arial" w:hAnsi="Arial" w:eastAsia="Arial" w:cs="Arial"/>
      <w:b/>
      <w:bCs/>
      <w:sz w:val="26"/>
      <w:szCs w:val="26"/>
    </w:rPr>
  </w:style>
  <w:style w:type="paragraph" w:styleId="684">
    <w:name w:val="Heading 5"/>
    <w:basedOn w:val="853"/>
    <w:next w:val="853"/>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link w:val="684"/>
    <w:uiPriority w:val="9"/>
    <w:rPr>
      <w:rFonts w:ascii="Arial" w:hAnsi="Arial" w:eastAsia="Arial" w:cs="Arial"/>
      <w:b/>
      <w:bCs/>
      <w:sz w:val="24"/>
      <w:szCs w:val="24"/>
    </w:rPr>
  </w:style>
  <w:style w:type="paragraph" w:styleId="686">
    <w:name w:val="Heading 6"/>
    <w:basedOn w:val="853"/>
    <w:next w:val="853"/>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link w:val="686"/>
    <w:uiPriority w:val="9"/>
    <w:rPr>
      <w:rFonts w:ascii="Arial" w:hAnsi="Arial" w:eastAsia="Arial" w:cs="Arial"/>
      <w:b/>
      <w:bCs/>
      <w:sz w:val="22"/>
      <w:szCs w:val="22"/>
    </w:rPr>
  </w:style>
  <w:style w:type="paragraph" w:styleId="688">
    <w:name w:val="Heading 7"/>
    <w:basedOn w:val="853"/>
    <w:next w:val="853"/>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link w:val="688"/>
    <w:uiPriority w:val="9"/>
    <w:rPr>
      <w:rFonts w:ascii="Arial" w:hAnsi="Arial" w:eastAsia="Arial" w:cs="Arial"/>
      <w:b/>
      <w:bCs/>
      <w:i/>
      <w:iCs/>
      <w:sz w:val="22"/>
      <w:szCs w:val="22"/>
    </w:rPr>
  </w:style>
  <w:style w:type="paragraph" w:styleId="690">
    <w:name w:val="Heading 8"/>
    <w:basedOn w:val="853"/>
    <w:next w:val="853"/>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link w:val="690"/>
    <w:uiPriority w:val="9"/>
    <w:rPr>
      <w:rFonts w:ascii="Arial" w:hAnsi="Arial" w:eastAsia="Arial" w:cs="Arial"/>
      <w:i/>
      <w:iCs/>
      <w:sz w:val="22"/>
      <w:szCs w:val="22"/>
    </w:rPr>
  </w:style>
  <w:style w:type="paragraph" w:styleId="692">
    <w:name w:val="Heading 9"/>
    <w:basedOn w:val="853"/>
    <w:next w:val="853"/>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link w:val="692"/>
    <w:uiPriority w:val="9"/>
    <w:rPr>
      <w:rFonts w:ascii="Arial" w:hAnsi="Arial" w:eastAsia="Arial" w:cs="Arial"/>
      <w:i/>
      <w:iCs/>
      <w:sz w:val="21"/>
      <w:szCs w:val="21"/>
    </w:rPr>
  </w:style>
  <w:style w:type="paragraph" w:styleId="694">
    <w:name w:val="No Spacing"/>
    <w:uiPriority w:val="1"/>
    <w:qFormat/>
    <w:pPr>
      <w:spacing w:before="0" w:after="0" w:line="240" w:lineRule="auto"/>
    </w:pPr>
  </w:style>
  <w:style w:type="paragraph" w:styleId="695">
    <w:name w:val="Title"/>
    <w:basedOn w:val="853"/>
    <w:next w:val="853"/>
    <w:link w:val="696"/>
    <w:uiPriority w:val="10"/>
    <w:qFormat/>
    <w:pPr>
      <w:contextualSpacing/>
      <w:spacing w:before="300" w:after="200"/>
    </w:pPr>
    <w:rPr>
      <w:sz w:val="48"/>
      <w:szCs w:val="48"/>
    </w:rPr>
  </w:style>
  <w:style w:type="character" w:styleId="696">
    <w:name w:val="Title Char"/>
    <w:link w:val="695"/>
    <w:uiPriority w:val="10"/>
    <w:rPr>
      <w:sz w:val="48"/>
      <w:szCs w:val="48"/>
    </w:rPr>
  </w:style>
  <w:style w:type="paragraph" w:styleId="697">
    <w:name w:val="Subtitle"/>
    <w:basedOn w:val="853"/>
    <w:next w:val="853"/>
    <w:link w:val="698"/>
    <w:uiPriority w:val="11"/>
    <w:qFormat/>
    <w:pPr>
      <w:spacing w:before="200" w:after="200"/>
    </w:pPr>
    <w:rPr>
      <w:sz w:val="24"/>
      <w:szCs w:val="24"/>
    </w:rPr>
  </w:style>
  <w:style w:type="character" w:styleId="698">
    <w:name w:val="Subtitle Char"/>
    <w:link w:val="697"/>
    <w:uiPriority w:val="11"/>
    <w:rPr>
      <w:sz w:val="24"/>
      <w:szCs w:val="24"/>
    </w:rPr>
  </w:style>
  <w:style w:type="paragraph" w:styleId="699">
    <w:name w:val="Quote"/>
    <w:basedOn w:val="853"/>
    <w:next w:val="853"/>
    <w:link w:val="700"/>
    <w:uiPriority w:val="29"/>
    <w:qFormat/>
    <w:pPr>
      <w:ind w:left="720" w:right="720"/>
    </w:pPr>
    <w:rPr>
      <w:i/>
    </w:rPr>
  </w:style>
  <w:style w:type="character" w:styleId="700">
    <w:name w:val="Quote Char"/>
    <w:link w:val="699"/>
    <w:uiPriority w:val="29"/>
    <w:rPr>
      <w:i/>
    </w:rPr>
  </w:style>
  <w:style w:type="paragraph" w:styleId="701">
    <w:name w:val="Intense Quote"/>
    <w:basedOn w:val="853"/>
    <w:next w:val="853"/>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paragraph" w:styleId="703">
    <w:name w:val="Header"/>
    <w:basedOn w:val="853"/>
    <w:link w:val="704"/>
    <w:uiPriority w:val="99"/>
    <w:unhideWhenUsed/>
    <w:pPr>
      <w:spacing w:after="0" w:line="240" w:lineRule="auto"/>
      <w:tabs>
        <w:tab w:val="center" w:pos="7143" w:leader="none"/>
        <w:tab w:val="right" w:pos="14287" w:leader="none"/>
      </w:tabs>
    </w:pPr>
  </w:style>
  <w:style w:type="character" w:styleId="704">
    <w:name w:val="Header Char"/>
    <w:link w:val="703"/>
    <w:uiPriority w:val="99"/>
  </w:style>
  <w:style w:type="paragraph" w:styleId="705">
    <w:name w:val="Footer"/>
    <w:basedOn w:val="853"/>
    <w:link w:val="708"/>
    <w:uiPriority w:val="99"/>
    <w:unhideWhenUsed/>
    <w:pPr>
      <w:spacing w:after="0" w:line="240" w:lineRule="auto"/>
      <w:tabs>
        <w:tab w:val="center" w:pos="7143" w:leader="none"/>
        <w:tab w:val="right" w:pos="14287" w:leader="none"/>
      </w:tabs>
    </w:pPr>
  </w:style>
  <w:style w:type="character" w:styleId="706">
    <w:name w:val="Footer Char"/>
    <w:link w:val="705"/>
    <w:uiPriority w:val="99"/>
  </w:style>
  <w:style w:type="paragraph" w:styleId="707">
    <w:name w:val="Caption"/>
    <w:basedOn w:val="853"/>
    <w:next w:val="853"/>
    <w:uiPriority w:val="35"/>
    <w:semiHidden/>
    <w:unhideWhenUsed/>
    <w:qFormat/>
    <w:pPr>
      <w:spacing w:line="276" w:lineRule="auto"/>
    </w:pPr>
    <w:rPr>
      <w:b/>
      <w:bCs/>
      <w:color w:val="4f81bd" w:themeColor="accent1"/>
      <w:sz w:val="18"/>
      <w:szCs w:val="18"/>
    </w:rPr>
  </w:style>
  <w:style w:type="character" w:styleId="708">
    <w:name w:val="Caption Char"/>
    <w:basedOn w:val="707"/>
    <w:link w:val="705"/>
    <w:uiPriority w:val="99"/>
  </w:style>
  <w:style w:type="table" w:styleId="7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5">
    <w:name w:val="Hyperlink"/>
    <w:uiPriority w:val="99"/>
    <w:unhideWhenUsed/>
    <w:rPr>
      <w:color w:val="0000ff" w:themeColor="hyperlink"/>
      <w:u w:val="single"/>
    </w:rPr>
  </w:style>
  <w:style w:type="paragraph" w:styleId="836">
    <w:name w:val="footnote text"/>
    <w:basedOn w:val="85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uiPriority w:val="99"/>
    <w:unhideWhenUsed/>
    <w:rPr>
      <w:vertAlign w:val="superscript"/>
    </w:rPr>
  </w:style>
  <w:style w:type="paragraph" w:styleId="839">
    <w:name w:val="endnote text"/>
    <w:basedOn w:val="85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uiPriority w:val="99"/>
    <w:semiHidden/>
    <w:unhideWhenUsed/>
    <w:rPr>
      <w:vertAlign w:val="superscript"/>
    </w:rPr>
  </w:style>
  <w:style w:type="paragraph" w:styleId="842">
    <w:name w:val="toc 1"/>
    <w:basedOn w:val="853"/>
    <w:next w:val="853"/>
    <w:uiPriority w:val="39"/>
    <w:unhideWhenUsed/>
    <w:pPr>
      <w:ind w:left="0" w:right="0" w:firstLine="0"/>
      <w:spacing w:after="57"/>
    </w:pPr>
  </w:style>
  <w:style w:type="paragraph" w:styleId="843">
    <w:name w:val="toc 2"/>
    <w:basedOn w:val="853"/>
    <w:next w:val="853"/>
    <w:uiPriority w:val="39"/>
    <w:unhideWhenUsed/>
    <w:pPr>
      <w:ind w:left="283" w:right="0" w:firstLine="0"/>
      <w:spacing w:after="57"/>
    </w:pPr>
  </w:style>
  <w:style w:type="paragraph" w:styleId="844">
    <w:name w:val="toc 3"/>
    <w:basedOn w:val="853"/>
    <w:next w:val="853"/>
    <w:uiPriority w:val="39"/>
    <w:unhideWhenUsed/>
    <w:pPr>
      <w:ind w:left="567" w:right="0" w:firstLine="0"/>
      <w:spacing w:after="57"/>
    </w:pPr>
  </w:style>
  <w:style w:type="paragraph" w:styleId="845">
    <w:name w:val="toc 4"/>
    <w:basedOn w:val="853"/>
    <w:next w:val="853"/>
    <w:uiPriority w:val="39"/>
    <w:unhideWhenUsed/>
    <w:pPr>
      <w:ind w:left="850" w:right="0" w:firstLine="0"/>
      <w:spacing w:after="57"/>
    </w:pPr>
  </w:style>
  <w:style w:type="paragraph" w:styleId="846">
    <w:name w:val="toc 5"/>
    <w:basedOn w:val="853"/>
    <w:next w:val="853"/>
    <w:uiPriority w:val="39"/>
    <w:unhideWhenUsed/>
    <w:pPr>
      <w:ind w:left="1134" w:right="0" w:firstLine="0"/>
      <w:spacing w:after="57"/>
    </w:pPr>
  </w:style>
  <w:style w:type="paragraph" w:styleId="847">
    <w:name w:val="toc 6"/>
    <w:basedOn w:val="853"/>
    <w:next w:val="853"/>
    <w:uiPriority w:val="39"/>
    <w:unhideWhenUsed/>
    <w:pPr>
      <w:ind w:left="1417" w:right="0" w:firstLine="0"/>
      <w:spacing w:after="57"/>
    </w:pPr>
  </w:style>
  <w:style w:type="paragraph" w:styleId="848">
    <w:name w:val="toc 7"/>
    <w:basedOn w:val="853"/>
    <w:next w:val="853"/>
    <w:uiPriority w:val="39"/>
    <w:unhideWhenUsed/>
    <w:pPr>
      <w:ind w:left="1701" w:right="0" w:firstLine="0"/>
      <w:spacing w:after="57"/>
    </w:pPr>
  </w:style>
  <w:style w:type="paragraph" w:styleId="849">
    <w:name w:val="toc 8"/>
    <w:basedOn w:val="853"/>
    <w:next w:val="853"/>
    <w:uiPriority w:val="39"/>
    <w:unhideWhenUsed/>
    <w:pPr>
      <w:ind w:left="1984" w:right="0" w:firstLine="0"/>
      <w:spacing w:after="57"/>
    </w:pPr>
  </w:style>
  <w:style w:type="paragraph" w:styleId="850">
    <w:name w:val="toc 9"/>
    <w:basedOn w:val="853"/>
    <w:next w:val="853"/>
    <w:uiPriority w:val="39"/>
    <w:unhideWhenUsed/>
    <w:pPr>
      <w:ind w:left="2268" w:right="0" w:firstLine="0"/>
      <w:spacing w:after="57"/>
    </w:p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next w:val="860"/>
    <w:link w:val="853"/>
    <w:qFormat/>
    <w:pPr>
      <w:jc w:val="both"/>
      <w:widowControl w:val="off"/>
    </w:pPr>
    <w:rPr>
      <w:rFonts w:ascii="Calibri" w:hAnsi="Calibri" w:eastAsia="宋体" w:cs="Times New Roman"/>
      <w:sz w:val="21"/>
      <w:szCs w:val="24"/>
      <w:lang w:val="en-US" w:eastAsia="zh-CN" w:bidi="ar-SA"/>
    </w:rPr>
  </w:style>
  <w:style w:type="paragraph" w:styleId="854">
    <w:name w:val="标题 1"/>
    <w:basedOn w:val="853"/>
    <w:next w:val="853"/>
    <w:link w:val="862"/>
    <w:qFormat/>
    <w:pPr>
      <w:jc w:val="center"/>
      <w:keepLines/>
      <w:keepNext/>
      <w:tabs>
        <w:tab w:val="left" w:pos="1134" w:leader="none"/>
      </w:tabs>
      <w:outlineLvl w:val="0"/>
    </w:pPr>
    <w:rPr>
      <w:rFonts w:ascii="宋体" w:hAnsi="宋体"/>
      <w:b/>
      <w:sz w:val="24"/>
      <w:szCs w:val="20"/>
    </w:rPr>
  </w:style>
  <w:style w:type="paragraph" w:styleId="855">
    <w:name w:val="标题 2"/>
    <w:basedOn w:val="853"/>
    <w:next w:val="853"/>
    <w:link w:val="863"/>
    <w:qFormat/>
    <w:pPr>
      <w:keepLines/>
      <w:keepNext/>
      <w:spacing w:before="260" w:after="260" w:line="416" w:lineRule="auto"/>
      <w:outlineLvl w:val="1"/>
    </w:pPr>
    <w:rPr>
      <w:rFonts w:ascii="Arial" w:hAnsi="Arial" w:eastAsia="黑体"/>
      <w:b/>
      <w:bCs/>
      <w:sz w:val="32"/>
      <w:szCs w:val="32"/>
    </w:rPr>
  </w:style>
  <w:style w:type="paragraph" w:styleId="856">
    <w:name w:val="标题 3"/>
    <w:basedOn w:val="853"/>
    <w:next w:val="853"/>
    <w:link w:val="853"/>
    <w:qFormat/>
    <w:pPr>
      <w:keepLines/>
      <w:keepNext/>
      <w:spacing w:line="360" w:lineRule="auto"/>
      <w:outlineLvl w:val="2"/>
    </w:pPr>
    <w:rPr>
      <w:b/>
      <w:bCs/>
      <w:sz w:val="26"/>
      <w:szCs w:val="26"/>
    </w:rPr>
  </w:style>
  <w:style w:type="paragraph" w:styleId="857">
    <w:name w:val="标题 6"/>
    <w:basedOn w:val="853"/>
    <w:next w:val="853"/>
    <w:link w:val="864"/>
    <w:qFormat/>
    <w:pPr>
      <w:keepLines/>
      <w:keepNext/>
      <w:spacing w:before="240" w:after="64" w:line="320" w:lineRule="auto"/>
      <w:outlineLvl w:val="5"/>
    </w:pPr>
    <w:rPr>
      <w:rFonts w:ascii="Arial" w:hAnsi="Arial" w:eastAsia="黑体"/>
      <w:b/>
      <w:bCs/>
      <w:sz w:val="24"/>
    </w:rPr>
  </w:style>
  <w:style w:type="character" w:styleId="858">
    <w:name w:val="默认段落字体"/>
    <w:next w:val="858"/>
    <w:link w:val="853"/>
    <w:uiPriority w:val="1"/>
    <w:unhideWhenUsed/>
    <w:qFormat/>
  </w:style>
  <w:style w:type="table" w:styleId="859">
    <w:name w:val="普通表格"/>
    <w:next w:val="859"/>
    <w:link w:val="853"/>
    <w:uiPriority w:val="99"/>
    <w:unhideWhenUsed/>
    <w:qFormat/>
    <w:tblPr/>
  </w:style>
  <w:style w:type="paragraph" w:styleId="860">
    <w:name w:val="正文首行缩进 2"/>
    <w:basedOn w:val="861"/>
    <w:next w:val="860"/>
    <w:link w:val="853"/>
    <w:uiPriority w:val="99"/>
    <w:unhideWhenUsed/>
    <w:qFormat/>
    <w:pPr>
      <w:ind w:firstLine="420"/>
    </w:pPr>
  </w:style>
  <w:style w:type="paragraph" w:styleId="861">
    <w:name w:val="正文文本缩进"/>
    <w:basedOn w:val="853"/>
    <w:next w:val="853"/>
    <w:link w:val="853"/>
    <w:qFormat/>
    <w:pPr>
      <w:ind w:left="570"/>
      <w:spacing w:line="520" w:lineRule="exact"/>
    </w:pPr>
    <w:rPr>
      <w:rFonts w:ascii="方正仿宋简体" w:hAnsi="创艺简仿宋" w:eastAsia="方正仿宋简体"/>
      <w:sz w:val="24"/>
      <w:szCs w:val="20"/>
    </w:rPr>
  </w:style>
  <w:style w:type="character" w:styleId="862">
    <w:name w:val="标题 1 Char"/>
    <w:next w:val="862"/>
    <w:link w:val="854"/>
    <w:qFormat/>
    <w:rPr>
      <w:rFonts w:ascii="宋体" w:hAnsi="宋体" w:eastAsia="宋体"/>
      <w:b/>
      <w:sz w:val="24"/>
      <w:lang w:val="en-US" w:eastAsia="zh-CN" w:bidi="ar-SA"/>
    </w:rPr>
  </w:style>
  <w:style w:type="character" w:styleId="863">
    <w:name w:val="标题 2 Char"/>
    <w:next w:val="863"/>
    <w:link w:val="855"/>
    <w:qFormat/>
    <w:rPr>
      <w:rFonts w:ascii="Arial" w:hAnsi="Arial" w:eastAsia="黑体"/>
      <w:b/>
      <w:bCs/>
      <w:sz w:val="32"/>
      <w:szCs w:val="32"/>
      <w:lang w:val="en-US" w:eastAsia="zh-CN" w:bidi="ar-SA"/>
    </w:rPr>
  </w:style>
  <w:style w:type="character" w:styleId="864">
    <w:name w:val="标题 6 Char"/>
    <w:next w:val="864"/>
    <w:link w:val="857"/>
    <w:qFormat/>
    <w:rPr>
      <w:rFonts w:ascii="Arial" w:hAnsi="Arial" w:eastAsia="黑体"/>
      <w:b/>
      <w:bCs/>
      <w:sz w:val="24"/>
      <w:szCs w:val="24"/>
    </w:rPr>
  </w:style>
  <w:style w:type="paragraph" w:styleId="865">
    <w:name w:val="正文缩进"/>
    <w:basedOn w:val="853"/>
    <w:next w:val="853"/>
    <w:link w:val="853"/>
    <w:qFormat/>
    <w:pPr>
      <w:ind w:firstLine="420"/>
      <w:jc w:val="left"/>
    </w:pPr>
    <w:rPr>
      <w:rFonts w:eastAsia="楷体_GB2312"/>
      <w:sz w:val="24"/>
      <w:szCs w:val="20"/>
    </w:rPr>
  </w:style>
  <w:style w:type="paragraph" w:styleId="866">
    <w:name w:val="文档结构图"/>
    <w:basedOn w:val="853"/>
    <w:next w:val="866"/>
    <w:link w:val="867"/>
    <w:qFormat/>
    <w:rPr>
      <w:rFonts w:ascii="宋体"/>
      <w:sz w:val="18"/>
      <w:szCs w:val="18"/>
    </w:rPr>
  </w:style>
  <w:style w:type="character" w:styleId="867">
    <w:name w:val="文档结构图 Char"/>
    <w:next w:val="867"/>
    <w:link w:val="866"/>
    <w:qFormat/>
    <w:rPr>
      <w:rFonts w:ascii="宋体"/>
      <w:sz w:val="18"/>
      <w:szCs w:val="18"/>
    </w:rPr>
  </w:style>
  <w:style w:type="paragraph" w:styleId="868">
    <w:name w:val="批注文字"/>
    <w:basedOn w:val="853"/>
    <w:next w:val="868"/>
    <w:link w:val="869"/>
    <w:qFormat/>
    <w:pPr>
      <w:jc w:val="left"/>
    </w:pPr>
  </w:style>
  <w:style w:type="character" w:styleId="869">
    <w:name w:val="批注文字 Char"/>
    <w:next w:val="869"/>
    <w:link w:val="868"/>
    <w:qFormat/>
    <w:rPr>
      <w:sz w:val="21"/>
      <w:szCs w:val="24"/>
    </w:rPr>
  </w:style>
  <w:style w:type="paragraph" w:styleId="870">
    <w:name w:val="正文文本"/>
    <w:basedOn w:val="853"/>
    <w:next w:val="865"/>
    <w:link w:val="853"/>
    <w:qFormat/>
    <w:pPr>
      <w:tabs>
        <w:tab w:val="left" w:pos="5250" w:leader="none"/>
      </w:tabs>
    </w:pPr>
    <w:rPr>
      <w:sz w:val="28"/>
    </w:rPr>
  </w:style>
  <w:style w:type="paragraph" w:styleId="871">
    <w:name w:val="列表 2"/>
    <w:basedOn w:val="853"/>
    <w:next w:val="871"/>
    <w:link w:val="853"/>
    <w:qFormat/>
    <w:pPr>
      <w:ind w:left="100" w:hanging="200"/>
    </w:pPr>
  </w:style>
  <w:style w:type="paragraph" w:styleId="872">
    <w:name w:val="纯文本"/>
    <w:basedOn w:val="853"/>
    <w:next w:val="872"/>
    <w:link w:val="873"/>
    <w:qFormat/>
    <w:rPr>
      <w:rFonts w:ascii="宋体" w:hAnsi="Courier New" w:eastAsia="楷体_GB2312"/>
      <w:sz w:val="28"/>
      <w:szCs w:val="20"/>
    </w:rPr>
  </w:style>
  <w:style w:type="character" w:styleId="873">
    <w:name w:val="纯文本 Char"/>
    <w:next w:val="873"/>
    <w:link w:val="872"/>
    <w:qFormat/>
    <w:rPr>
      <w:rFonts w:ascii="宋体" w:hAnsi="Courier New" w:eastAsia="楷体_GB2312"/>
      <w:sz w:val="28"/>
    </w:rPr>
  </w:style>
  <w:style w:type="paragraph" w:styleId="874">
    <w:name w:val="日期"/>
    <w:basedOn w:val="853"/>
    <w:next w:val="853"/>
    <w:link w:val="853"/>
    <w:qFormat/>
    <w:pPr>
      <w:ind w:left="100"/>
    </w:pPr>
    <w:rPr>
      <w:sz w:val="28"/>
    </w:rPr>
  </w:style>
  <w:style w:type="paragraph" w:styleId="875">
    <w:name w:val="正文文本缩进 2"/>
    <w:basedOn w:val="853"/>
    <w:next w:val="875"/>
    <w:link w:val="853"/>
    <w:qFormat/>
    <w:pPr>
      <w:ind w:firstLine="570"/>
      <w:spacing w:line="520" w:lineRule="exact"/>
    </w:pPr>
    <w:rPr>
      <w:rFonts w:ascii="方正仿宋简体" w:hAnsi="创艺简仿宋" w:eastAsia="方正仿宋简体"/>
      <w:bCs/>
      <w:sz w:val="24"/>
      <w:szCs w:val="20"/>
    </w:rPr>
  </w:style>
  <w:style w:type="paragraph" w:styleId="876">
    <w:name w:val="批注框文本"/>
    <w:basedOn w:val="853"/>
    <w:next w:val="876"/>
    <w:link w:val="853"/>
    <w:semiHidden/>
    <w:qFormat/>
    <w:rPr>
      <w:sz w:val="18"/>
      <w:szCs w:val="18"/>
    </w:rPr>
  </w:style>
  <w:style w:type="paragraph" w:styleId="877">
    <w:name w:val="页脚"/>
    <w:basedOn w:val="853"/>
    <w:next w:val="877"/>
    <w:link w:val="853"/>
    <w:qFormat/>
    <w:pPr>
      <w:jc w:val="left"/>
      <w:tabs>
        <w:tab w:val="center" w:pos="4153" w:leader="none"/>
        <w:tab w:val="right" w:pos="8306" w:leader="none"/>
      </w:tabs>
    </w:pPr>
    <w:rPr>
      <w:sz w:val="18"/>
      <w:szCs w:val="18"/>
    </w:rPr>
  </w:style>
  <w:style w:type="paragraph" w:styleId="878">
    <w:name w:val="寄信人地址"/>
    <w:basedOn w:val="853"/>
    <w:next w:val="878"/>
    <w:link w:val="853"/>
    <w:qFormat/>
    <w:pPr>
      <w:jc w:val="both"/>
      <w:widowControl w:val="off"/>
    </w:pPr>
    <w:rPr>
      <w:rFonts w:ascii="Arial" w:hAnsi="Arial" w:eastAsia="宋体" w:cs="Times New Roman"/>
      <w:sz w:val="21"/>
      <w:szCs w:val="24"/>
      <w:lang w:val="en-US" w:eastAsia="zh-CN" w:bidi="ar-SA"/>
    </w:rPr>
  </w:style>
  <w:style w:type="paragraph" w:styleId="879">
    <w:name w:val="页眉"/>
    <w:basedOn w:val="853"/>
    <w:next w:val="879"/>
    <w:link w:val="853"/>
    <w:qFormat/>
    <w:pPr>
      <w:jc w:val="center"/>
      <w:tabs>
        <w:tab w:val="center" w:pos="4153" w:leader="none"/>
        <w:tab w:val="right" w:pos="8306" w:leader="none"/>
      </w:tabs>
      <w:pBdr>
        <w:bottom w:val="single" w:color="000000" w:sz="6" w:space="1"/>
      </w:pBdr>
    </w:pPr>
    <w:rPr>
      <w:sz w:val="18"/>
      <w:szCs w:val="18"/>
    </w:rPr>
  </w:style>
  <w:style w:type="paragraph" w:styleId="880">
    <w:name w:val="索引标题"/>
    <w:basedOn w:val="853"/>
    <w:next w:val="881"/>
    <w:link w:val="853"/>
    <w:qFormat/>
    <w:pPr>
      <w:ind w:firstLine="0"/>
      <w:jc w:val="left"/>
      <w:spacing w:line="300" w:lineRule="exact"/>
    </w:pPr>
    <w:rPr>
      <w:rFonts w:ascii="仿宋_GB2312" w:hAnsi="仿宋_GB2312" w:cs="仿宋_GB2312"/>
      <w:sz w:val="30"/>
      <w:szCs w:val="30"/>
    </w:rPr>
  </w:style>
  <w:style w:type="paragraph" w:styleId="881">
    <w:name w:val="索引 1"/>
    <w:basedOn w:val="853"/>
    <w:next w:val="853"/>
    <w:link w:val="853"/>
    <w:qFormat/>
    <w:pPr>
      <w:spacing w:line="240" w:lineRule="exact"/>
    </w:pPr>
  </w:style>
  <w:style w:type="paragraph" w:styleId="882">
    <w:name w:val="脚注文本"/>
    <w:basedOn w:val="853"/>
    <w:next w:val="882"/>
    <w:link w:val="853"/>
    <w:qFormat/>
    <w:pPr>
      <w:jc w:val="left"/>
    </w:pPr>
    <w:rPr>
      <w:sz w:val="18"/>
      <w:szCs w:val="18"/>
    </w:rPr>
  </w:style>
  <w:style w:type="paragraph" w:styleId="883">
    <w:name w:val="正文文本缩进 3"/>
    <w:basedOn w:val="853"/>
    <w:next w:val="883"/>
    <w:link w:val="853"/>
    <w:qFormat/>
    <w:pPr>
      <w:ind w:left="420"/>
      <w:spacing w:after="120"/>
    </w:pPr>
    <w:rPr>
      <w:sz w:val="16"/>
      <w:szCs w:val="16"/>
    </w:rPr>
  </w:style>
  <w:style w:type="paragraph" w:styleId="884">
    <w:name w:val="目录 2"/>
    <w:basedOn w:val="853"/>
    <w:next w:val="853"/>
    <w:link w:val="853"/>
    <w:uiPriority w:val="39"/>
    <w:qFormat/>
    <w:pPr>
      <w:ind w:left="210"/>
      <w:jc w:val="left"/>
    </w:pPr>
    <w:rPr>
      <w:rFonts w:ascii="Times New Roman" w:hAnsi="Times New Roman"/>
      <w:smallCaps/>
      <w:sz w:val="20"/>
      <w:szCs w:val="20"/>
    </w:rPr>
  </w:style>
  <w:style w:type="paragraph" w:styleId="885">
    <w:name w:val="普通(网站)"/>
    <w:basedOn w:val="853"/>
    <w:next w:val="885"/>
    <w:link w:val="853"/>
    <w:uiPriority w:val="99"/>
    <w:unhideWhenUsed/>
    <w:qFormat/>
    <w:pPr>
      <w:jc w:val="left"/>
      <w:spacing w:before="100" w:beforeAutospacing="1" w:after="100" w:afterAutospacing="1"/>
      <w:widowControl/>
    </w:pPr>
    <w:rPr>
      <w:rFonts w:ascii="宋体" w:hAnsi="宋体" w:cs="宋体"/>
      <w:sz w:val="24"/>
    </w:rPr>
  </w:style>
  <w:style w:type="paragraph" w:styleId="886">
    <w:name w:val="标题"/>
    <w:basedOn w:val="853"/>
    <w:next w:val="853"/>
    <w:link w:val="853"/>
    <w:qFormat/>
    <w:pPr>
      <w:jc w:val="center"/>
      <w:spacing w:before="240" w:after="60"/>
      <w:outlineLvl w:val="0"/>
    </w:pPr>
    <w:rPr>
      <w:rFonts w:ascii="Arial" w:hAnsi="Arial"/>
      <w:b/>
      <w:sz w:val="32"/>
    </w:rPr>
  </w:style>
  <w:style w:type="paragraph" w:styleId="887">
    <w:name w:val="批注主题"/>
    <w:basedOn w:val="868"/>
    <w:next w:val="868"/>
    <w:link w:val="888"/>
    <w:qFormat/>
    <w:rPr>
      <w:b/>
      <w:bCs/>
    </w:rPr>
  </w:style>
  <w:style w:type="character" w:styleId="888">
    <w:name w:val="批注主题 Char"/>
    <w:next w:val="888"/>
    <w:link w:val="887"/>
    <w:qFormat/>
    <w:rPr>
      <w:b/>
      <w:bCs/>
      <w:sz w:val="21"/>
      <w:szCs w:val="24"/>
    </w:rPr>
  </w:style>
  <w:style w:type="paragraph" w:styleId="889">
    <w:name w:val="正文首行缩进"/>
    <w:basedOn w:val="870"/>
    <w:next w:val="889"/>
    <w:link w:val="853"/>
    <w:qFormat/>
    <w:pPr>
      <w:ind w:firstLine="200"/>
      <w:spacing w:line="360" w:lineRule="auto"/>
      <w:tabs>
        <w:tab w:val="left" w:pos="5250" w:leader="none"/>
      </w:tabs>
    </w:pPr>
    <w:rPr>
      <w:rFonts w:ascii="仿宋_GB2312" w:hAnsi="Arial" w:eastAsia="仿宋_GB2312"/>
      <w:sz w:val="30"/>
      <w:szCs w:val="30"/>
    </w:rPr>
  </w:style>
  <w:style w:type="table" w:styleId="890">
    <w:name w:val="网格型"/>
    <w:basedOn w:val="859"/>
    <w:next w:val="890"/>
    <w:link w:val="853"/>
    <w:uiPriority w:val="99"/>
    <w:unhideWhenUsed/>
    <w:qFormat/>
    <w:pPr>
      <w:jc w:val="both"/>
      <w:widowControl w:val="off"/>
    </w:pPr>
    <w:tblPr/>
  </w:style>
  <w:style w:type="character" w:styleId="891">
    <w:name w:val="要点"/>
    <w:next w:val="891"/>
    <w:link w:val="853"/>
    <w:qFormat/>
    <w:rPr>
      <w:b/>
    </w:rPr>
  </w:style>
  <w:style w:type="character" w:styleId="892">
    <w:name w:val="页码"/>
    <w:basedOn w:val="858"/>
    <w:next w:val="892"/>
    <w:link w:val="853"/>
    <w:qFormat/>
  </w:style>
  <w:style w:type="character" w:styleId="893">
    <w:name w:val="已访问的超链接"/>
    <w:next w:val="893"/>
    <w:link w:val="853"/>
    <w:qFormat/>
    <w:rPr>
      <w:color w:val="999999"/>
      <w:u w:val="none"/>
    </w:rPr>
  </w:style>
  <w:style w:type="character" w:styleId="894">
    <w:name w:val="强调"/>
    <w:next w:val="894"/>
    <w:link w:val="853"/>
    <w:qFormat/>
  </w:style>
  <w:style w:type="character" w:styleId="895">
    <w:name w:val="超链接"/>
    <w:next w:val="895"/>
    <w:link w:val="853"/>
    <w:qFormat/>
    <w:rPr>
      <w:color w:val="333333"/>
      <w:u w:val="none"/>
    </w:rPr>
  </w:style>
  <w:style w:type="character" w:styleId="896">
    <w:name w:val="批注引用"/>
    <w:next w:val="896"/>
    <w:link w:val="853"/>
    <w:qFormat/>
    <w:rPr>
      <w:sz w:val="21"/>
      <w:szCs w:val="21"/>
    </w:rPr>
  </w:style>
  <w:style w:type="character" w:styleId="897">
    <w:name w:val="脚注引用"/>
    <w:next w:val="897"/>
    <w:link w:val="853"/>
    <w:qFormat/>
    <w:rPr>
      <w:vertAlign w:val="superscript"/>
    </w:rPr>
  </w:style>
  <w:style w:type="paragraph" w:styleId="898">
    <w:name w:val="段"/>
    <w:next w:val="853"/>
    <w:link w:val="853"/>
    <w:qFormat/>
    <w:pPr>
      <w:ind w:firstLine="200"/>
      <w:jc w:val="both"/>
    </w:pPr>
    <w:rPr>
      <w:rFonts w:ascii="宋体" w:hAnsi="Calibri" w:eastAsia="宋体" w:cs="Times New Roman"/>
      <w:sz w:val="21"/>
      <w:lang w:val="en-US" w:eastAsia="zh-CN" w:bidi="ar-SA"/>
    </w:rPr>
  </w:style>
  <w:style w:type="paragraph" w:styleId="899">
    <w:name w:val="首行缩进"/>
    <w:basedOn w:val="853"/>
    <w:next w:val="899"/>
    <w:link w:val="853"/>
    <w:qFormat/>
    <w:pPr>
      <w:ind w:firstLine="200"/>
      <w:spacing w:line="500" w:lineRule="exact"/>
    </w:pPr>
  </w:style>
  <w:style w:type="paragraph" w:styleId="900">
    <w:name w:val="p18"/>
    <w:basedOn w:val="853"/>
    <w:next w:val="900"/>
    <w:link w:val="853"/>
    <w:qFormat/>
    <w:pPr>
      <w:ind w:firstLine="570"/>
      <w:spacing w:line="520" w:lineRule="atLeast"/>
      <w:widowControl/>
    </w:pPr>
    <w:rPr>
      <w:rFonts w:ascii="方正仿宋简体" w:hAnsi="方正仿宋简体" w:cs="宋体"/>
      <w:sz w:val="24"/>
    </w:rPr>
  </w:style>
  <w:style w:type="paragraph" w:styleId="901">
    <w:name w:val="正文段落"/>
    <w:basedOn w:val="853"/>
    <w:next w:val="901"/>
    <w:link w:val="853"/>
    <w:qFormat/>
    <w:pPr>
      <w:ind w:firstLine="440"/>
      <w:spacing w:line="360" w:lineRule="auto"/>
      <w:widowControl/>
    </w:pPr>
    <w:rPr>
      <w:sz w:val="22"/>
      <w:szCs w:val="22"/>
      <w:lang w:val="de-DE"/>
    </w:rPr>
  </w:style>
  <w:style w:type="paragraph" w:styleId="902">
    <w:name w:val="【正文】"/>
    <w:basedOn w:val="853"/>
    <w:next w:val="902"/>
    <w:link w:val="853"/>
    <w:qFormat/>
    <w:pPr>
      <w:ind w:firstLine="420"/>
      <w:spacing w:line="360" w:lineRule="auto"/>
    </w:pPr>
    <w:rPr>
      <w:rFonts w:cs="黑体"/>
      <w:sz w:val="24"/>
    </w:rPr>
  </w:style>
  <w:style w:type="paragraph" w:styleId="903">
    <w:name w:val="样式 (西文) 宋体 小四 首行缩进:  0.95 厘米 段前: 5 磅 段后: 5 磅 行距: 1.5 倍行距"/>
    <w:basedOn w:val="853"/>
    <w:next w:val="903"/>
    <w:link w:val="853"/>
    <w:qFormat/>
    <w:pPr>
      <w:ind w:firstLine="540"/>
      <w:jc w:val="left"/>
      <w:spacing w:before="100" w:after="100" w:line="360" w:lineRule="auto"/>
      <w:widowControl/>
    </w:pPr>
    <w:rPr>
      <w:rFonts w:ascii="宋体" w:hAnsi="宋体" w:cs="宋体"/>
      <w:sz w:val="24"/>
      <w:szCs w:val="20"/>
    </w:rPr>
  </w:style>
  <w:style w:type="paragraph" w:styleId="904">
    <w:name w:val="列表段落1"/>
    <w:basedOn w:val="853"/>
    <w:next w:val="904"/>
    <w:link w:val="853"/>
    <w:qFormat/>
    <w:pPr>
      <w:ind w:firstLine="420"/>
    </w:pPr>
  </w:style>
  <w:style w:type="paragraph" w:styleId="905">
    <w:name w:val="179"/>
    <w:basedOn w:val="853"/>
    <w:next w:val="905"/>
    <w:link w:val="853"/>
    <w:qFormat/>
    <w:pPr>
      <w:ind w:firstLine="420"/>
    </w:pPr>
    <w:rPr>
      <w:sz w:val="28"/>
      <w:szCs w:val="20"/>
    </w:rPr>
  </w:style>
  <w:style w:type="paragraph" w:styleId="906">
    <w:name w:val="_Style 12"/>
    <w:basedOn w:val="866"/>
    <w:next w:val="906"/>
    <w:link w:val="853"/>
    <w:qFormat/>
    <w:pPr>
      <w:spacing w:line="360" w:lineRule="auto"/>
      <w:shd w:val="clear" w:color="auto" w:fill="000080"/>
    </w:pPr>
    <w:rPr>
      <w:rFonts w:ascii="Times New Roman"/>
      <w:sz w:val="21"/>
      <w:szCs w:val="24"/>
    </w:rPr>
  </w:style>
  <w:style w:type="paragraph" w:styleId="907">
    <w:name w:val="List Paragraph1"/>
    <w:basedOn w:val="853"/>
    <w:next w:val="907"/>
    <w:link w:val="853"/>
    <w:uiPriority w:val="34"/>
    <w:qFormat/>
    <w:pPr>
      <w:ind w:firstLine="420"/>
    </w:pPr>
  </w:style>
  <w:style w:type="paragraph" w:styleId="908">
    <w:name w:val="正文2"/>
    <w:basedOn w:val="853"/>
    <w:next w:val="908"/>
    <w:link w:val="853"/>
    <w:qFormat/>
    <w:pPr>
      <w:ind w:firstLine="200"/>
      <w:jc w:val="left"/>
      <w:spacing w:after="160" w:line="360" w:lineRule="auto"/>
      <w:widowControl/>
    </w:pPr>
    <w:rPr>
      <w:szCs w:val="20"/>
    </w:rPr>
  </w:style>
  <w:style w:type="paragraph" w:styleId="909">
    <w:name w:val="纯文本1"/>
    <w:basedOn w:val="853"/>
    <w:next w:val="909"/>
    <w:link w:val="853"/>
    <w:qFormat/>
    <w:rPr>
      <w:rFonts w:ascii="宋体" w:hAnsi="Courier New"/>
    </w:rPr>
  </w:style>
  <w:style w:type="paragraph" w:styleId="910">
    <w:name w:val="正文文本缩进 2 + 仿宋_GB2312"/>
    <w:basedOn w:val="875"/>
    <w:next w:val="910"/>
    <w:link w:val="853"/>
    <w:qFormat/>
    <w:pPr>
      <w:numPr>
        <w:ilvl w:val="0"/>
        <w:numId w:val="1"/>
      </w:numPr>
      <w:ind w:left="-6" w:firstLine="0"/>
      <w:spacing w:line="360" w:lineRule="auto"/>
      <w:tabs>
        <w:tab w:val="left" w:pos="420" w:leader="none"/>
      </w:tabs>
    </w:pPr>
    <w:rPr>
      <w:rFonts w:ascii="仿宋_GB2312" w:hAnsi="宋体" w:eastAsia="仿宋_GB2312" w:cs="宋体"/>
      <w:bCs w:val="0"/>
      <w:color w:val="000000"/>
      <w:szCs w:val="24"/>
      <w:lang w:bidi="th-TH"/>
    </w:rPr>
  </w:style>
  <w:style w:type="paragraph" w:styleId="911">
    <w:name w:val="列表段落11"/>
    <w:basedOn w:val="853"/>
    <w:next w:val="911"/>
    <w:link w:val="853"/>
    <w:qFormat/>
    <w:pPr>
      <w:ind w:firstLine="420"/>
    </w:pPr>
    <w:rPr>
      <w:rFonts w:eastAsia="等线"/>
    </w:rPr>
  </w:style>
  <w:style w:type="paragraph" w:styleId="912">
    <w:name w:val="+正文"/>
    <w:basedOn w:val="853"/>
    <w:next w:val="912"/>
    <w:link w:val="853"/>
    <w:uiPriority w:val="99"/>
    <w:qFormat/>
    <w:pPr>
      <w:ind w:firstLine="200"/>
      <w:spacing w:line="360" w:lineRule="auto"/>
    </w:pPr>
    <w:rPr>
      <w:rFonts w:ascii="Times New Roman" w:hAnsi="Times New Roman"/>
      <w:sz w:val="24"/>
      <w:szCs w:val="28"/>
    </w:rPr>
  </w:style>
  <w:style w:type="paragraph" w:styleId="913">
    <w:name w:val="List Paragraph"/>
    <w:basedOn w:val="853"/>
    <w:next w:val="913"/>
    <w:link w:val="853"/>
    <w:uiPriority w:val="34"/>
    <w:qFormat/>
    <w:pPr>
      <w:ind w:firstLine="420"/>
    </w:pPr>
    <w:rPr>
      <w:sz w:val="28"/>
      <w:szCs w:val="20"/>
    </w:rPr>
  </w:style>
  <w:style w:type="paragraph" w:styleId="914">
    <w:name w:val="p0"/>
    <w:basedOn w:val="853"/>
    <w:next w:val="914"/>
    <w:link w:val="853"/>
    <w:qFormat/>
    <w:pPr>
      <w:widowControl/>
    </w:pPr>
    <w:rPr>
      <w:szCs w:val="21"/>
    </w:rPr>
  </w:style>
  <w:style w:type="paragraph" w:styleId="915">
    <w:name w:val="列出段落1"/>
    <w:basedOn w:val="853"/>
    <w:next w:val="915"/>
    <w:link w:val="853"/>
    <w:uiPriority w:val="34"/>
    <w:qFormat/>
    <w:pPr>
      <w:ind w:firstLine="420"/>
    </w:pPr>
    <w:rPr>
      <w:rFonts w:ascii="Times New Roman" w:hAnsi="Times New Roman"/>
    </w:rPr>
  </w:style>
  <w:style w:type="paragraph" w:styleId="916">
    <w:name w:val="Char Char Char Char Char Char Char Char Char Char Char Char Char"/>
    <w:basedOn w:val="853"/>
    <w:next w:val="916"/>
    <w:link w:val="853"/>
    <w:qFormat/>
    <w:pPr>
      <w:ind w:firstLine="480"/>
      <w:spacing w:line="360" w:lineRule="auto"/>
    </w:pPr>
    <w:rPr>
      <w:rFonts w:hAnsi="宋体"/>
      <w:color w:val="000000"/>
      <w:sz w:val="18"/>
      <w:szCs w:val="18"/>
    </w:rPr>
  </w:style>
  <w:style w:type="paragraph" w:styleId="917">
    <w:name w:val="纯文本2"/>
    <w:basedOn w:val="853"/>
    <w:next w:val="917"/>
    <w:link w:val="853"/>
    <w:qFormat/>
    <w:rPr>
      <w:rFonts w:hint="eastAsia" w:ascii="宋体" w:hAnsi="Courier New" w:eastAsia="楷体_GB2312"/>
      <w:sz w:val="28"/>
      <w:szCs w:val="20"/>
    </w:rPr>
  </w:style>
  <w:style w:type="paragraph" w:styleId="918">
    <w:name w:val="Default"/>
    <w:next w:val="918"/>
    <w:link w:val="853"/>
    <w:uiPriority w:val="99"/>
    <w:qFormat/>
    <w:pPr>
      <w:widowControl w:val="off"/>
    </w:pPr>
    <w:rPr>
      <w:rFonts w:ascii="宋体" w:hAnsi="Calibri" w:eastAsia="宋体" w:cs="宋体"/>
      <w:color w:val="000000"/>
      <w:sz w:val="24"/>
      <w:szCs w:val="24"/>
      <w:lang w:val="en-US" w:eastAsia="zh-CN" w:bidi="ar-SA"/>
    </w:rPr>
  </w:style>
  <w:style w:type="paragraph" w:styleId="919">
    <w:name w:val="正文 A"/>
    <w:next w:val="919"/>
    <w:link w:val="853"/>
    <w:qFormat/>
    <w:pPr>
      <w:jc w:val="both"/>
      <w:widowControl w:val="off"/>
      <w:framePr w:wrap="around" w:vAnchor="margin" w:hAnchor="text" w:yAlign="top"/>
    </w:pPr>
    <w:rPr>
      <w:rFonts w:ascii="Calibri" w:hAnsi="Arial Unicode MS" w:eastAsia="Arial Unicode MS" w:cs="Arial Unicode MS"/>
      <w:color w:val="000000"/>
      <w:sz w:val="21"/>
      <w:szCs w:val="21"/>
      <w:lang w:val="en-US" w:eastAsia="zh-CN" w:bidi="ar-SA"/>
    </w:rPr>
  </w:style>
  <w:style w:type="paragraph" w:styleId="920">
    <w:name w:val="dt2"/>
    <w:basedOn w:val="853"/>
    <w:next w:val="920"/>
    <w:link w:val="853"/>
    <w:qFormat/>
    <w:pPr>
      <w:jc w:val="left"/>
    </w:pPr>
  </w:style>
  <w:style w:type="paragraph" w:styleId="921">
    <w:name w:val="111111"/>
    <w:basedOn w:val="853"/>
    <w:next w:val="921"/>
    <w:link w:val="853"/>
    <w:qFormat/>
    <w:pPr>
      <w:jc w:val="center"/>
      <w:spacing w:before="120" w:after="120"/>
    </w:pPr>
    <w:rPr>
      <w:rFonts w:ascii="宋体" w:hAnsi="宋体" w:eastAsia="黑体"/>
      <w:b/>
      <w:bCs/>
      <w:szCs w:val="21"/>
    </w:rPr>
  </w:style>
  <w:style w:type="character" w:styleId="922">
    <w:name w:val="Char Char1"/>
    <w:next w:val="922"/>
    <w:link w:val="853"/>
    <w:qFormat/>
    <w:rPr>
      <w:rFonts w:ascii="宋体" w:hAnsi="Courier New"/>
      <w:szCs w:val="20"/>
    </w:rPr>
  </w:style>
  <w:style w:type="character" w:styleId="923">
    <w:name w:val="style4"/>
    <w:basedOn w:val="858"/>
    <w:next w:val="923"/>
    <w:link w:val="853"/>
    <w:qFormat/>
  </w:style>
  <w:style w:type="character" w:styleId="924">
    <w:name w:val="fontstyle01"/>
    <w:next w:val="924"/>
    <w:link w:val="853"/>
    <w:qFormat/>
    <w:rPr>
      <w:rFonts w:ascii="宋体" w:hAnsi="宋体" w:eastAsia="宋体" w:cs="宋体"/>
      <w:color w:val="000000"/>
      <w:sz w:val="24"/>
      <w:szCs w:val="24"/>
    </w:rPr>
  </w:style>
  <w:style w:type="character" w:styleId="925">
    <w:name w:val="NormalCharacter1"/>
    <w:next w:val="925"/>
    <w:link w:val="853"/>
    <w:qFormat/>
  </w:style>
  <w:style w:type="character" w:styleId="926">
    <w:name w:val="font11"/>
    <w:next w:val="926"/>
    <w:link w:val="853"/>
    <w:qFormat/>
    <w:rPr>
      <w:rFonts w:hint="eastAsia" w:ascii="宋体" w:hAnsi="宋体" w:eastAsia="宋体" w:cs="宋体"/>
      <w:color w:val="000000"/>
      <w:sz w:val="20"/>
      <w:szCs w:val="20"/>
      <w:u w:val="none"/>
    </w:rPr>
  </w:style>
  <w:style w:type="character" w:styleId="927">
    <w:name w:val="font01"/>
    <w:next w:val="927"/>
    <w:link w:val="853"/>
    <w:qFormat/>
    <w:rPr>
      <w:rFonts w:hint="eastAsia" w:ascii="宋体" w:hAnsi="宋体" w:eastAsia="宋体" w:cs="宋体"/>
      <w:b/>
      <w:color w:val="ff0000"/>
      <w:sz w:val="22"/>
      <w:szCs w:val="22"/>
      <w:u w:val="none"/>
    </w:rPr>
  </w:style>
  <w:style w:type="paragraph" w:styleId="928">
    <w:name w:val="标题 21"/>
    <w:next w:val="919"/>
    <w:link w:val="853"/>
    <w:uiPriority w:val="99"/>
    <w:qFormat/>
    <w:pPr>
      <w:jc w:val="both"/>
      <w:keepLines/>
      <w:keepNext/>
      <w:spacing w:before="260" w:after="260" w:line="413" w:lineRule="auto"/>
      <w:widowControl w:val="off"/>
      <w:framePr w:wrap="around" w:vAnchor="margin" w:hAnchor="text" w:y="1"/>
      <w:outlineLvl w:val="1"/>
    </w:pPr>
    <w:rPr>
      <w:rFonts w:ascii="Arial Unicode MS" w:hAnsi="Arial Unicode MS" w:eastAsia="Arial Unicode MS" w:cs="Arial Unicode MS"/>
      <w:color w:val="000000"/>
      <w:sz w:val="32"/>
      <w:szCs w:val="32"/>
      <w:lang w:val="en-US" w:eastAsia="zh-CN" w:bidi="ar-SA"/>
    </w:rPr>
  </w:style>
  <w:style w:type="paragraph" w:styleId="929">
    <w:name w:val="正文缩进 Char Char"/>
    <w:basedOn w:val="853"/>
    <w:next w:val="929"/>
    <w:link w:val="853"/>
    <w:qFormat/>
    <w:pPr>
      <w:ind w:firstLine="420"/>
    </w:pPr>
  </w:style>
  <w:style w:type="paragraph" w:styleId="930">
    <w:name w:val="Table Paragraph"/>
    <w:basedOn w:val="853"/>
    <w:next w:val="930"/>
    <w:link w:val="853"/>
    <w:uiPriority w:val="1"/>
    <w:qFormat/>
    <w:rPr>
      <w:sz w:val="26"/>
      <w:szCs w:val="20"/>
      <w:lang w:val="zh-CN" w:bidi="zh-CN"/>
    </w:rPr>
  </w:style>
  <w:style w:type="paragraph" w:styleId="931">
    <w:name w:val="纯文本3"/>
    <w:basedOn w:val="853"/>
    <w:next w:val="931"/>
    <w:link w:val="853"/>
    <w:qFormat/>
    <w:rPr>
      <w:rFonts w:ascii="宋体" w:hAnsi="Courier New" w:eastAsia="楷体_GB2312"/>
      <w:sz w:val="26"/>
      <w:szCs w:val="20"/>
    </w:rPr>
  </w:style>
  <w:style w:type="paragraph" w:styleId="932">
    <w:name w:val="p25"/>
    <w:basedOn w:val="853"/>
    <w:next w:val="932"/>
    <w:link w:val="853"/>
    <w:qFormat/>
    <w:rPr>
      <w:rFonts w:ascii="黑体" w:hAnsi="黑体" w:cs="黑体"/>
      <w:szCs w:val="26"/>
    </w:rPr>
  </w:style>
  <w:style w:type="paragraph" w:styleId="933">
    <w:name w:val="纯文本111"/>
    <w:basedOn w:val="853"/>
    <w:next w:val="933"/>
    <w:link w:val="853"/>
    <w:qFormat/>
    <w:rPr>
      <w:rFonts w:ascii="宋体" w:hAnsi="Courier New"/>
      <w:sz w:val="28"/>
      <w:szCs w:val="28"/>
    </w:rPr>
  </w:style>
  <w:style w:type="paragraph" w:styleId="934">
    <w:name w:val="纯文本21"/>
    <w:basedOn w:val="853"/>
    <w:next w:val="934"/>
    <w:link w:val="853"/>
    <w:qFormat/>
    <w:rPr>
      <w:rFonts w:hint="eastAsia" w:ascii="宋体" w:hAnsi="Courier New" w:eastAsia="楷体_GB2312"/>
      <w:sz w:val="28"/>
    </w:rPr>
  </w:style>
  <w:style w:type="paragraph" w:styleId="935">
    <w:name w:val="正文1"/>
    <w:next w:val="853"/>
    <w:link w:val="853"/>
    <w:qFormat/>
    <w:pPr>
      <w:jc w:val="both"/>
      <w:spacing w:line="312" w:lineRule="atLeast"/>
      <w:widowControl w:val="off"/>
    </w:pPr>
    <w:rPr>
      <w:rFonts w:ascii="宋体" w:hAnsi="Times New Roman" w:eastAsia="宋体" w:cs="Times New Roman"/>
      <w:sz w:val="34"/>
      <w:szCs w:val="22"/>
      <w:lang w:val="en-US" w:eastAsia="zh-CN" w:bidi="ar-SA"/>
    </w:rPr>
  </w:style>
  <w:style w:type="character" w:styleId="936">
    <w:name w:val="font21"/>
    <w:basedOn w:val="858"/>
    <w:next w:val="936"/>
    <w:link w:val="853"/>
    <w:qFormat/>
    <w:rPr>
      <w:rFonts w:hint="eastAsia" w:ascii="宋体" w:hAnsi="宋体" w:eastAsia="宋体" w:cs="宋体"/>
      <w:b/>
      <w:color w:val="000000"/>
      <w:sz w:val="20"/>
      <w:szCs w:val="20"/>
      <w:u w:val="none"/>
    </w:rPr>
  </w:style>
  <w:style w:type="character" w:styleId="937">
    <w:name w:val="font91"/>
    <w:next w:val="937"/>
    <w:link w:val="853"/>
    <w:qFormat/>
    <w:rPr>
      <w:rFonts w:ascii="Calibri" w:hAnsi="Calibri" w:cs="Calibri"/>
      <w:b/>
      <w:color w:val="000000"/>
      <w:sz w:val="20"/>
      <w:szCs w:val="20"/>
      <w:u w:val="none"/>
    </w:rPr>
  </w:style>
  <w:style w:type="character" w:styleId="938">
    <w:name w:val="font71"/>
    <w:next w:val="938"/>
    <w:link w:val="853"/>
    <w:qFormat/>
    <w:rPr>
      <w:rFonts w:hint="eastAsia" w:ascii="宋体" w:hAnsi="宋体" w:eastAsia="宋体" w:cs="宋体"/>
      <w:color w:val="000000"/>
      <w:sz w:val="20"/>
      <w:szCs w:val="20"/>
      <w:u w:val="none"/>
    </w:rPr>
  </w:style>
  <w:style w:type="paragraph" w:styleId="939">
    <w:name w:val="_Style 15"/>
    <w:basedOn w:val="861"/>
    <w:next w:val="860"/>
    <w:link w:val="853"/>
    <w:uiPriority w:val="99"/>
    <w:unhideWhenUsed/>
    <w:qFormat/>
    <w:pPr>
      <w:ind w:firstLine="420"/>
    </w:pPr>
  </w:style>
  <w:style w:type="character" w:styleId="940">
    <w:name w:val="font61"/>
    <w:basedOn w:val="858"/>
    <w:next w:val="940"/>
    <w:link w:val="853"/>
    <w:qFormat/>
    <w:rPr>
      <w:rFonts w:hint="eastAsia" w:ascii="仿宋_GB2312" w:eastAsia="仿宋_GB2312" w:cs="仿宋_GB2312"/>
      <w:color w:val="000000"/>
      <w:sz w:val="24"/>
      <w:szCs w:val="24"/>
      <w:u w:val="none"/>
    </w:rPr>
  </w:style>
  <w:style w:type="paragraph" w:styleId="941">
    <w:name w:val="索引 41"/>
    <w:basedOn w:val="853"/>
    <w:next w:val="853"/>
    <w:link w:val="853"/>
    <w:semiHidden/>
    <w:qFormat/>
    <w:pPr>
      <w:ind w:left="600"/>
    </w:pPr>
    <w:rPr>
      <w:rFonts w:ascii="Times New Roman" w:hAnsi="Times New Roman"/>
      <w:szCs w:val="20"/>
    </w:rPr>
  </w:style>
  <w:style w:type="character" w:styleId="942" w:default="1">
    <w:name w:val="Default Paragraph Font"/>
    <w:uiPriority w:val="1"/>
    <w:semiHidden/>
    <w:unhideWhenUsed/>
  </w:style>
  <w:style w:type="numbering" w:styleId="943" w:default="1">
    <w:name w:val="No List"/>
    <w:uiPriority w:val="99"/>
    <w:semiHidden/>
    <w:unhideWhenUsed/>
  </w:style>
  <w:style w:type="table" w:styleId="9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dc:title>
  <dc:creator>a</dc:creator>
  <cp:lastModifiedBy>于文婷</cp:lastModifiedBy>
  <cp:revision>7</cp:revision>
  <dcterms:created xsi:type="dcterms:W3CDTF">2021-12-28T08:23:00Z</dcterms:created>
  <dcterms:modified xsi:type="dcterms:W3CDTF">2026-06-30T05:42:12Z</dcterms:modified>
</cp:coreProperties>
</file>