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宋体" w:hAnsi="宋体" w:cs="宋体"/>
          <w:b/>
          <w:bCs/>
          <w:color w:val="000000"/>
          <w:sz w:val="44"/>
          <w:szCs w:val="44"/>
        </w:rPr>
      </w:pPr>
      <w:r>
        <w:rPr>
          <w:rFonts w:ascii="宋体" w:hAnsi="宋体" w:cs="宋体"/>
          <w:b/>
          <w:bCs/>
          <w:color w:val="000000"/>
          <w:sz w:val="44"/>
          <w:szCs w:val="44"/>
        </w:rPr>
      </w:r>
      <w:r/>
    </w:p>
    <w:p>
      <w:pP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shd w:val="clear" w:color="auto" w:fill="ffffff"/>
        <w:widowControl/>
        <w:rPr>
          <w:rFonts w:hint="eastAsia" w:ascii="宋体" w:hAnsi="宋体" w:eastAsia="宋体" w:cs="宋体"/>
          <w:b/>
          <w:bCs/>
          <w:sz w:val="40"/>
          <w:szCs w:val="40"/>
          <w:lang w:val="zh-CN" w:eastAsia="zh-CN"/>
        </w:rPr>
      </w:pPr>
      <w:r>
        <w:rPr>
          <w:rFonts w:hint="eastAsia" w:ascii="宋体" w:hAnsi="宋体" w:cs="宋体"/>
          <w:b/>
          <w:bCs/>
          <w:sz w:val="40"/>
          <w:szCs w:val="40"/>
          <w:lang w:eastAsia="zh-CN"/>
        </w:rPr>
        <w:t xml:space="preserve">中共江苏省委党校励学大厦学员宿舍设施更新改造项目</w:t>
      </w:r>
      <w:r/>
    </w:p>
    <w:p>
      <w:pPr>
        <w:spacing w:line="360" w:lineRule="auto"/>
        <w:rPr>
          <w:rFonts w:ascii="宋体" w:hAnsi="宋体" w:cs="宋体"/>
          <w:color w:val="000000"/>
          <w:sz w:val="44"/>
          <w:szCs w:val="44"/>
        </w:rPr>
      </w:pPr>
      <w:r>
        <w:rPr>
          <w:rFonts w:ascii="宋体" w:hAnsi="宋体" w:cs="宋体"/>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jc w:val="center"/>
        <w:spacing w:line="360" w:lineRule="auto"/>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JSZC-320000-JCEC-C2026-0206</w:t>
      </w:r>
      <w:r/>
    </w:p>
    <w:p>
      <w:pPr>
        <w:jc w:val="center"/>
        <w:spacing w:line="360" w:lineRule="auto"/>
        <w:rPr>
          <w:rFonts w:ascii="宋体" w:hAnsi="宋体" w:cs="宋体"/>
          <w:b/>
          <w:bCs/>
          <w:color w:val="000000"/>
          <w:sz w:val="40"/>
          <w:szCs w:val="40"/>
        </w:rPr>
      </w:pPr>
      <w:r>
        <w:rPr>
          <w:rFonts w:hint="eastAsia" w:ascii="宋体" w:hAnsi="宋体" w:cs="宋体"/>
          <w:b/>
          <w:bCs/>
          <w:color w:val="000000"/>
          <w:sz w:val="36"/>
          <w:szCs w:val="36"/>
        </w:rPr>
        <w:t xml:space="preserve">（</w:t>
      </w:r>
      <w:r>
        <w:rPr>
          <w:rFonts w:hint="eastAsia" w:ascii="宋体" w:hAnsi="宋体" w:cs="宋体"/>
          <w:b/>
          <w:bCs/>
          <w:color w:val="000000"/>
          <w:sz w:val="36"/>
          <w:szCs w:val="36"/>
          <w:lang w:eastAsia="zh-CN"/>
        </w:rPr>
        <w:t xml:space="preserve">ZZ066026V7ZC02139</w:t>
      </w:r>
      <w:r>
        <w:rPr>
          <w:rFonts w:hint="eastAsia" w:ascii="宋体" w:hAnsi="宋体" w:cs="宋体"/>
          <w:b/>
          <w:bCs/>
          <w:color w:val="000000"/>
          <w:sz w:val="36"/>
          <w:szCs w:val="36"/>
        </w:rPr>
        <w:t xml:space="preserve">）</w:t>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jc w:val="center"/>
        <w:spacing w:line="360" w:lineRule="auto"/>
        <w:rPr>
          <w:rFonts w:ascii="宋体" w:hAnsi="宋体" w:cs="宋体"/>
          <w:color w:val="000000"/>
          <w:sz w:val="48"/>
          <w:szCs w:val="48"/>
        </w:rPr>
      </w:pPr>
      <w:r>
        <w:rPr>
          <w:rFonts w:ascii="宋体" w:hAnsi="宋体" w:cs="宋体"/>
          <w:color w:val="000000"/>
          <w:sz w:val="48"/>
          <w:szCs w:val="48"/>
        </w:rPr>
      </w:r>
      <w:r/>
    </w:p>
    <w:p>
      <w:pPr>
        <w:pStyle w:val="1171"/>
        <w:ind w:firstLine="960"/>
        <w:rPr>
          <w:rFonts w:hAnsi="宋体" w:cs="宋体"/>
          <w:color w:val="000000"/>
          <w:sz w:val="48"/>
          <w:szCs w:val="48"/>
        </w:rPr>
      </w:pPr>
      <w:r>
        <w:rPr>
          <w:rFonts w:hAnsi="宋体" w:cs="宋体"/>
          <w:color w:val="000000"/>
          <w:sz w:val="48"/>
          <w:szCs w:val="48"/>
        </w:rPr>
      </w:r>
      <w:r/>
    </w:p>
    <w:p>
      <w:r/>
      <w:r/>
    </w:p>
    <w:p>
      <w:pPr>
        <w:pStyle w:val="1171"/>
        <w:ind w:firstLine="480"/>
      </w:pPr>
      <w:r/>
      <w:r/>
    </w:p>
    <w:p>
      <w:r/>
      <w:r/>
    </w:p>
    <w:p>
      <w:pPr>
        <w:pStyle w:val="1156"/>
        <w:ind w:firstLine="1285"/>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中共江苏省委党校</w:t>
      </w:r>
      <w:r/>
    </w:p>
    <w:p>
      <w:pPr>
        <w:pStyle w:val="1156"/>
        <w:ind w:firstLine="1285"/>
        <w:rPr>
          <w:rFonts w:ascii="宋体" w:hAnsi="宋体" w:cs="宋体"/>
          <w:b/>
        </w:rPr>
      </w:pPr>
      <w:r>
        <w:rPr>
          <w:rFonts w:hint="eastAsia" w:ascii="宋体" w:hAnsi="宋体" w:cs="宋体"/>
          <w:b/>
          <w:sz w:val="32"/>
          <w:szCs w:val="32"/>
        </w:rPr>
        <w:t xml:space="preserve">采购代理机构：江苏省设备成套股份有限公司</w:t>
      </w:r>
      <w:r/>
    </w:p>
    <w:p>
      <w:pPr>
        <w:pStyle w:val="1249"/>
        <w:numPr>
          <w:ilvl w:val="0"/>
          <w:numId w:val="0"/>
        </w:numPr>
        <w:ind w:right="-733"/>
        <w:jc w:val="center"/>
        <w:spacing w:after="480" w:line="360" w:lineRule="auto"/>
        <w:rPr>
          <w:rFonts w:ascii="宋体" w:hAnsi="宋体" w:cs="宋体"/>
          <w:bCs w:val="0"/>
          <w:color w:val="auto"/>
          <w:sz w:val="32"/>
          <w:szCs w:val="32"/>
          <w:lang w:val="zh-CN"/>
        </w:rPr>
        <w:sectPr>
          <w:headerReference w:type="default" r:id="rId9"/>
          <w:headerReference w:type="first" r:id="rId10"/>
          <w:footerReference w:type="default" r:id="rId13"/>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宋体" w:hAnsi="宋体" w:cs="宋体"/>
          <w:bCs w:val="0"/>
          <w:color w:val="auto"/>
          <w:sz w:val="32"/>
          <w:szCs w:val="32"/>
        </w:rPr>
        <w:t xml:space="preserve">2026年</w:t>
      </w:r>
      <w:r>
        <w:rPr>
          <w:rFonts w:hint="eastAsia" w:ascii="宋体" w:hAnsi="宋体" w:cs="宋体"/>
          <w:bCs w:val="0"/>
          <w:color w:val="auto"/>
          <w:sz w:val="32"/>
          <w:szCs w:val="32"/>
          <w:lang w:val="en-US" w:eastAsia="zh-CN"/>
        </w:rPr>
        <w:t xml:space="preserve">6</w:t>
      </w:r>
      <w:r>
        <w:rPr>
          <w:rFonts w:hint="eastAsia" w:ascii="宋体" w:hAnsi="宋体" w:cs="宋体"/>
          <w:bCs w:val="0"/>
          <w:color w:val="auto"/>
          <w:sz w:val="32"/>
          <w:szCs w:val="32"/>
        </w:rPr>
        <w:t xml:space="preserve">月</w:t>
      </w:r>
      <w:r/>
    </w:p>
    <w:p>
      <w:pPr>
        <w:pStyle w:val="1249"/>
        <w:numPr>
          <w:ilvl w:val="0"/>
          <w:numId w:val="0"/>
        </w:numPr>
        <w:jc w:val="center"/>
        <w:spacing w:after="624" w:line="360" w:lineRule="auto"/>
        <w:rPr>
          <w:rFonts w:ascii="宋体" w:hAnsi="宋体" w:cs="宋体"/>
          <w:color w:val="auto"/>
          <w:sz w:val="36"/>
          <w:lang w:val="zh-CN"/>
        </w:rPr>
      </w:pPr>
      <w:r>
        <w:rPr>
          <w:rFonts w:hint="eastAsia" w:ascii="宋体" w:hAnsi="宋体" w:cs="宋体"/>
          <w:color w:val="auto"/>
          <w:sz w:val="36"/>
          <w:lang w:val="zh-CN"/>
        </w:rPr>
        <w:br w:type="page" w:clear="all"/>
      </w:r>
      <w:r>
        <w:rPr>
          <w:rFonts w:hint="eastAsia" w:ascii="宋体" w:hAnsi="宋体" w:cs="宋体"/>
          <w:color w:val="auto"/>
          <w:sz w:val="36"/>
          <w:lang w:val="zh-CN"/>
        </w:rPr>
        <w:t xml:space="preserve">目</w:t>
      </w:r>
      <w:r>
        <w:rPr>
          <w:rFonts w:hint="eastAsia" w:ascii="宋体" w:hAnsi="宋体" w:cs="宋体"/>
          <w:color w:val="auto"/>
          <w:sz w:val="36"/>
        </w:rPr>
        <w:t xml:space="preserve"> </w:t>
      </w:r>
      <w:r>
        <w:rPr>
          <w:rFonts w:hint="eastAsia" w:ascii="宋体" w:hAnsi="宋体" w:cs="宋体"/>
          <w:color w:val="auto"/>
          <w:sz w:val="36"/>
          <w:lang w:val="zh-CN"/>
        </w:rPr>
        <w:t xml:space="preserve">录</w:t>
      </w:r>
      <w:bookmarkEnd w:id="0"/>
      <w:r/>
      <w:r/>
    </w:p>
    <w:p>
      <w:pPr>
        <w:pStyle w:val="1138"/>
        <w:spacing w:before="0" w:after="0" w:line="480" w:lineRule="auto"/>
        <w:tabs>
          <w:tab w:val="right" w:pos="8306" w:leader="dot"/>
        </w:tabs>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 xml:space="preserve">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 xml:space="preserve">1</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8"/>
        <w:spacing w:before="0" w:after="0" w:line="480" w:lineRule="auto"/>
        <w:tabs>
          <w:tab w:val="right" w:pos="8306" w:leader="dot"/>
        </w:tabs>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 xml:space="preserve">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 xml:space="preserve">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8"/>
        <w:spacing w:before="0" w:after="0" w:line="480" w:lineRule="auto"/>
        <w:tabs>
          <w:tab w:val="right" w:pos="8306" w:leader="dot"/>
        </w:tabs>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 xml:space="preserve">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 xml:space="preserve">15</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8"/>
        <w:spacing w:before="0" w:after="0" w:line="480" w:lineRule="auto"/>
        <w:tabs>
          <w:tab w:val="right" w:pos="8306" w:leader="dot"/>
        </w:tabs>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 xml:space="preserve">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 xml:space="preserve">19</w:t>
      </w:r>
      <w:r>
        <w:rPr>
          <w:rFonts w:hint="eastAsia" w:ascii="宋体" w:hAnsi="宋体" w:cs="宋体"/>
          <w:b w:val="0"/>
          <w:sz w:val="24"/>
          <w:szCs w:val="24"/>
        </w:rPr>
        <w:fldChar w:fldCharType="end"/>
      </w:r>
      <w:r>
        <w:rPr>
          <w:rFonts w:hint="eastAsia" w:ascii="宋体" w:hAnsi="宋体" w:cs="宋体"/>
          <w:b w:val="0"/>
          <w:sz w:val="24"/>
          <w:szCs w:val="24"/>
        </w:rPr>
        <w:fldChar w:fldCharType="end"/>
      </w:r>
      <w:r/>
    </w:p>
    <w:p>
      <w:pPr>
        <w:pStyle w:val="1138"/>
        <w:spacing w:before="0" w:after="0" w:line="480" w:lineRule="auto"/>
        <w:tabs>
          <w:tab w:val="right" w:pos="8306" w:leader="dot"/>
        </w:tabs>
        <w:rPr>
          <w:rFonts w:hint="default" w:ascii="宋体" w:hAnsi="宋体" w:eastAsia="宋体" w:cs="宋体"/>
          <w:b w:val="0"/>
          <w:sz w:val="24"/>
          <w:szCs w:val="24"/>
          <w:lang w:val="en-US" w:eastAsia="zh-CN"/>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 xml:space="preserve">合同主要条款</w:t>
      </w:r>
      <w:r>
        <w:rPr>
          <w:rFonts w:hint="eastAsia" w:ascii="宋体" w:hAnsi="宋体" w:cs="宋体"/>
          <w:b w:val="0"/>
          <w:sz w:val="24"/>
          <w:szCs w:val="24"/>
        </w:rPr>
        <w:tab/>
      </w:r>
      <w:r>
        <w:rPr>
          <w:rFonts w:hint="eastAsia" w:ascii="宋体" w:hAnsi="宋体" w:cs="宋体"/>
          <w:b w:val="0"/>
          <w:sz w:val="24"/>
          <w:szCs w:val="24"/>
        </w:rPr>
        <w:fldChar w:fldCharType="end"/>
      </w:r>
      <w:r>
        <w:rPr>
          <w:rFonts w:hint="eastAsia" w:ascii="宋体" w:hAnsi="宋体" w:cs="宋体"/>
          <w:b w:val="0"/>
          <w:sz w:val="24"/>
          <w:szCs w:val="24"/>
          <w:lang w:val="en-US" w:eastAsia="zh-CN"/>
        </w:rPr>
        <w:t xml:space="preserve">20</w:t>
      </w:r>
      <w:r/>
    </w:p>
    <w:p>
      <w:pPr>
        <w:pStyle w:val="1138"/>
        <w:spacing w:before="0" w:after="0" w:line="480" w:lineRule="auto"/>
        <w:tabs>
          <w:tab w:val="right" w:pos="8306" w:leader="dot"/>
        </w:tabs>
        <w:rPr>
          <w:rFonts w:hint="default" w:ascii="宋体" w:hAnsi="宋体" w:eastAsia="宋体" w:cs="宋体"/>
          <w:b w:val="0"/>
          <w:sz w:val="24"/>
          <w:szCs w:val="24"/>
          <w:lang w:val="en-US" w:eastAsia="zh-CN"/>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sz w:val="24"/>
          <w:szCs w:val="24"/>
        </w:rPr>
        <w:t xml:space="preserve">磋商响应文件格式及附件</w:t>
      </w:r>
      <w:r>
        <w:rPr>
          <w:rFonts w:hint="eastAsia" w:ascii="宋体" w:hAnsi="宋体" w:cs="宋体"/>
          <w:b w:val="0"/>
          <w:sz w:val="24"/>
          <w:szCs w:val="24"/>
        </w:rPr>
        <w:tab/>
      </w:r>
      <w:r>
        <w:rPr>
          <w:rFonts w:hint="eastAsia" w:ascii="宋体" w:hAnsi="宋体" w:cs="宋体"/>
          <w:b w:val="0"/>
          <w:sz w:val="24"/>
          <w:szCs w:val="24"/>
        </w:rPr>
        <w:fldChar w:fldCharType="end"/>
      </w:r>
      <w:r>
        <w:rPr>
          <w:rFonts w:hint="eastAsia" w:ascii="宋体" w:hAnsi="宋体" w:cs="宋体"/>
          <w:b w:val="0"/>
          <w:sz w:val="24"/>
          <w:szCs w:val="24"/>
          <w:lang w:val="en-US" w:eastAsia="zh-CN"/>
        </w:rPr>
        <w:t xml:space="preserve">51</w:t>
      </w:r>
      <w:r/>
    </w:p>
    <w:p>
      <w:pPr>
        <w:jc w:val="center"/>
        <w:spacing w:line="480" w:lineRule="auto"/>
        <w:rPr>
          <w:rFonts w:ascii="宋体" w:hAnsi="宋体" w:cs="宋体"/>
          <w:b/>
          <w:bCs/>
          <w:sz w:val="72"/>
          <w:szCs w:val="30"/>
          <w:lang w:val="zh-CN"/>
        </w:rPr>
      </w:pPr>
      <w:r>
        <w:rPr>
          <w:rFonts w:hint="eastAsia" w:ascii="宋体" w:hAnsi="宋体" w:cs="宋体"/>
          <w:sz w:val="24"/>
          <w:szCs w:val="24"/>
          <w:lang w:val="zh-CN"/>
        </w:rPr>
        <w:fldChar w:fldCharType="end"/>
      </w:r>
      <w:r/>
    </w:p>
    <w:p>
      <w:pPr>
        <w:pStyle w:val="1154"/>
        <w:rPr>
          <w:rFonts w:ascii="宋体" w:hAnsi="宋体" w:cs="宋体"/>
          <w:lang w:val="zh-CN"/>
        </w:rPr>
        <w:sectPr>
          <w:footerReference w:type="default" r:id="rId14"/>
          <w:footerReference w:type="first" r:id="rId15"/>
          <w:footnotePr/>
          <w:endnotePr/>
          <w:type w:val="continuous"/>
          <w:pgSz w:w="11906" w:h="16838" w:orient="portrait"/>
          <w:pgMar w:top="1440" w:right="1486" w:bottom="1440" w:left="1600" w:header="851" w:footer="992" w:gutter="0"/>
          <w:pgNumType w:start="1"/>
          <w:cols w:num="1" w:sep="0" w:space="720" w:equalWidth="1"/>
          <w:docGrid w:linePitch="360"/>
          <w:titlePg/>
        </w:sectPr>
      </w:pPr>
      <w:r/>
      <w:bookmarkStart w:id="1" w:name="_Toc22476"/>
      <w:r/>
      <w:r/>
    </w:p>
    <w:p>
      <w:pPr>
        <w:pStyle w:val="1154"/>
        <w:rPr>
          <w:rFonts w:ascii="宋体" w:hAnsi="宋体" w:cs="宋体"/>
        </w:rPr>
      </w:pPr>
      <w:r>
        <w:rPr>
          <w:rFonts w:hint="eastAsia" w:ascii="宋体" w:hAnsi="宋体" w:cs="宋体"/>
          <w:lang w:val="zh-CN"/>
        </w:rPr>
        <w:t xml:space="preserve">第一章 竞争性磋商公告</w:t>
      </w:r>
      <w:bookmarkEnd w:id="1"/>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360"/>
        <w:spacing w:line="360" w:lineRule="auto"/>
        <w:shd w:val="clear" w:color="auto" w:fill="ffffff"/>
        <w:widowControl/>
        <w:rPr>
          <w:rFonts w:ascii="宋体" w:hAnsi="宋体" w:cs="宋体"/>
          <w:szCs w:val="21"/>
        </w:rPr>
      </w:pPr>
      <w:r>
        <w:rPr>
          <w:rFonts w:hint="eastAsia" w:ascii="宋体" w:hAnsi="宋体" w:cs="宋体"/>
          <w:spacing w:val="8"/>
          <w:szCs w:val="21"/>
          <w:lang w:eastAsia="zh-CN"/>
        </w:rPr>
        <w:t xml:space="preserve">中共江苏省委党校励学大厦学员宿舍设施更新改造项目</w:t>
      </w:r>
      <w:r>
        <w:rPr>
          <w:rFonts w:hint="eastAsia" w:ascii="宋体" w:hAnsi="宋体" w:cs="宋体"/>
          <w:szCs w:val="21"/>
        </w:rPr>
        <w:t xml:space="preserve">的潜在供应商应在</w:t>
      </w:r>
      <w:r>
        <w:rPr>
          <w:rFonts w:hint="eastAsia" w:ascii="宋体" w:hAnsi="宋体" w:cs="宋体"/>
          <w:spacing w:val="15"/>
          <w:szCs w:val="21"/>
          <w:u w:val="single"/>
          <w:shd w:val="clear" w:color="auto" w:fill="ffffff"/>
        </w:rPr>
        <w:t xml:space="preserve">江苏政府采购网</w:t>
      </w:r>
      <w:r>
        <w:fldChar w:fldCharType="begin"/>
      </w:r>
      <w:r>
        <w:instrText xml:space="preserve"> HYPERLINK "http://nynct.jiangsu.gov.cn）获取采购文件，并于2025年" </w:instrText>
      </w:r>
      <w:r>
        <w:fldChar w:fldCharType="separate"/>
      </w:r>
      <w:r>
        <w:rPr>
          <w:rStyle w:val="1165"/>
          <w:rFonts w:hint="eastAsia" w:ascii="宋体" w:hAnsi="宋体" w:cs="宋体"/>
          <w:color w:val="auto"/>
          <w:szCs w:val="21"/>
          <w:u w:val="none"/>
        </w:rPr>
        <w:t xml:space="preserve">获取采购文件，并于</w:t>
      </w:r>
      <w:r>
        <w:rPr>
          <w:rStyle w:val="1165"/>
          <w:rFonts w:ascii="宋体" w:hAnsi="宋体" w:cs="宋体"/>
          <w:iCs/>
          <w:color w:val="auto"/>
          <w:spacing w:val="8"/>
          <w:szCs w:val="21"/>
          <w:u w:val="none"/>
        </w:rPr>
        <w:t xml:space="preserve">202</w:t>
      </w:r>
      <w:r>
        <w:rPr>
          <w:rStyle w:val="1165"/>
          <w:rFonts w:hint="eastAsia" w:ascii="宋体" w:hAnsi="宋体" w:cs="宋体"/>
          <w:iCs/>
          <w:color w:val="auto"/>
          <w:spacing w:val="8"/>
          <w:szCs w:val="21"/>
          <w:u w:val="none"/>
        </w:rPr>
        <w:t xml:space="preserve">6</w:t>
      </w:r>
      <w:r>
        <w:rPr>
          <w:rStyle w:val="1165"/>
          <w:rFonts w:ascii="宋体" w:hAnsi="宋体" w:cs="宋体"/>
          <w:iCs/>
          <w:color w:val="auto"/>
          <w:spacing w:val="8"/>
          <w:szCs w:val="21"/>
          <w:u w:val="none"/>
        </w:rPr>
        <w:t xml:space="preserve">年</w:t>
      </w:r>
      <w:r>
        <w:rPr>
          <w:rStyle w:val="1165"/>
          <w:rFonts w:ascii="宋体" w:hAnsi="宋体" w:cs="宋体"/>
          <w:iCs/>
          <w:color w:val="auto"/>
          <w:spacing w:val="8"/>
          <w:szCs w:val="21"/>
          <w:u w:val="none"/>
        </w:rPr>
        <w:fldChar w:fldCharType="end"/>
      </w:r>
      <w:r>
        <w:rPr>
          <w:rFonts w:hint="eastAsia" w:ascii="宋体" w:hAnsi="宋体" w:cs="宋体"/>
          <w:iCs/>
          <w:spacing w:val="8"/>
          <w:szCs w:val="21"/>
          <w:lang w:val="en-US" w:eastAsia="zh-CN"/>
        </w:rPr>
        <w:t xml:space="preserve">7</w:t>
      </w:r>
      <w:r>
        <w:rPr>
          <w:rFonts w:hint="eastAsia" w:ascii="宋体" w:hAnsi="宋体" w:cs="宋体"/>
          <w:iCs/>
          <w:spacing w:val="8"/>
          <w:szCs w:val="21"/>
        </w:rPr>
        <w:t xml:space="preserve">月</w:t>
      </w:r>
      <w:r>
        <w:rPr>
          <w:rFonts w:hint="eastAsia" w:ascii="宋体" w:hAnsi="宋体" w:cs="宋体"/>
          <w:iCs/>
          <w:spacing w:val="8"/>
          <w:szCs w:val="21"/>
          <w:lang w:val="en-US" w:eastAsia="zh-CN"/>
        </w:rPr>
        <w:t xml:space="preserve">3</w:t>
      </w:r>
      <w:r>
        <w:rPr>
          <w:rFonts w:hint="eastAsia" w:ascii="宋体" w:hAnsi="宋体" w:cs="宋体"/>
          <w:iCs/>
          <w:spacing w:val="8"/>
          <w:szCs w:val="21"/>
        </w:rPr>
        <w:t xml:space="preserve">日</w:t>
      </w:r>
      <w:r>
        <w:rPr>
          <w:rFonts w:hint="eastAsia" w:ascii="宋体" w:hAnsi="宋体" w:cs="宋体"/>
          <w:iCs/>
          <w:spacing w:val="8"/>
          <w:szCs w:val="21"/>
          <w:lang w:val="en-US" w:eastAsia="zh-CN"/>
        </w:rPr>
        <w:t xml:space="preserve">09</w:t>
      </w:r>
      <w:r>
        <w:rPr>
          <w:rFonts w:hint="eastAsia" w:ascii="宋体" w:hAnsi="宋体" w:cs="宋体"/>
          <w:iCs/>
          <w:spacing w:val="8"/>
          <w:szCs w:val="21"/>
        </w:rPr>
        <w:t xml:space="preserve">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0"/>
        <w:jc w:val="left"/>
        <w:spacing w:line="360" w:lineRule="auto"/>
        <w:tabs>
          <w:tab w:val="left" w:pos="390" w:leader="none"/>
          <w:tab w:val="center" w:pos="4404" w:leader="none"/>
        </w:tabs>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b/>
          <w:spacing w:val="8"/>
          <w:sz w:val="24"/>
        </w:rPr>
        <w:outlineLvl w:val="1"/>
      </w:pPr>
      <w:r/>
      <w:bookmarkStart w:id="2" w:name="_Toc19084"/>
      <w:r/>
      <w:bookmarkStart w:id="3" w:name="_Toc1270"/>
      <w:r>
        <w:rPr>
          <w:rFonts w:hint="eastAsia" w:ascii="宋体" w:hAnsi="宋体" w:cs="宋体"/>
          <w:b/>
          <w:spacing w:val="8"/>
          <w:sz w:val="24"/>
        </w:rPr>
        <w:t xml:space="preserve">一、项目基本情况</w:t>
      </w:r>
      <w:bookmarkEnd w:id="2"/>
      <w:r/>
      <w:bookmarkEnd w:id="3"/>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JSZC-320000-JCEC-C2026-0206</w:t>
      </w:r>
      <w:r>
        <w:rPr>
          <w:rFonts w:hint="eastAsia" w:ascii="宋体" w:hAnsi="宋体" w:cs="宋体"/>
          <w:spacing w:val="8"/>
          <w:szCs w:val="21"/>
        </w:rPr>
        <w:t xml:space="preserve">(</w:t>
      </w:r>
      <w:r>
        <w:rPr>
          <w:rFonts w:hint="eastAsia" w:ascii="宋体" w:hAnsi="宋体" w:cs="宋体"/>
          <w:spacing w:val="8"/>
          <w:szCs w:val="21"/>
          <w:lang w:eastAsia="zh-CN"/>
        </w:rPr>
        <w:t xml:space="preserve">ZZ066026V7ZC02139</w:t>
      </w:r>
      <w:r>
        <w:rPr>
          <w:rFonts w:hint="eastAsia" w:ascii="宋体" w:hAnsi="宋体" w:cs="宋体"/>
          <w:spacing w:val="8"/>
          <w:szCs w:val="21"/>
        </w:rPr>
        <w:t xml:space="preserve">)</w:t>
      </w:r>
      <w:r/>
    </w:p>
    <w:p>
      <w:pPr>
        <w:ind w:firstLine="370"/>
        <w:spacing w:line="360" w:lineRule="auto"/>
        <w:shd w:val="clear" w:color="auto" w:fill="ffffff"/>
        <w:widowControl/>
        <w:rPr>
          <w:rFonts w:hint="eastAsia" w:ascii="宋体" w:hAnsi="宋体" w:eastAsia="宋体" w:cs="宋体"/>
          <w:color w:val="auto"/>
          <w:spacing w:val="8"/>
          <w:szCs w:val="21"/>
          <w:lang w:eastAsia="zh-CN"/>
        </w:rPr>
      </w:pPr>
      <w:r>
        <w:rPr>
          <w:rFonts w:hint="eastAsia" w:ascii="宋体" w:hAnsi="宋体" w:cs="宋体"/>
          <w:color w:val="auto"/>
          <w:spacing w:val="8"/>
          <w:szCs w:val="21"/>
        </w:rPr>
        <w:t xml:space="preserve">1.2项目名称：</w:t>
      </w:r>
      <w:bookmarkStart w:id="4" w:name="OLE_LINK4"/>
      <w:r>
        <w:rPr>
          <w:rFonts w:hint="eastAsia" w:ascii="宋体" w:hAnsi="宋体" w:cs="宋体"/>
          <w:color w:val="auto"/>
          <w:spacing w:val="8"/>
          <w:szCs w:val="21"/>
          <w:lang w:eastAsia="zh-CN"/>
        </w:rPr>
        <w:t xml:space="preserve">中共江苏省委党校励学大厦学员宿舍设施更新改造项目</w:t>
      </w:r>
      <w:bookmarkEnd w:id="4"/>
      <w:r/>
      <w:r/>
    </w:p>
    <w:p>
      <w:pPr>
        <w:ind w:firstLine="370"/>
        <w:spacing w:line="360" w:lineRule="auto"/>
        <w:shd w:val="clear" w:color="auto" w:fill="ffffff"/>
        <w:widowControl/>
        <w:rPr>
          <w:rFonts w:ascii="宋体" w:hAnsi="宋体" w:cs="宋体"/>
          <w:color w:val="auto"/>
          <w:spacing w:val="8"/>
          <w:szCs w:val="21"/>
        </w:rPr>
      </w:pPr>
      <w:r>
        <w:rPr>
          <w:rFonts w:hint="eastAsia" w:ascii="宋体" w:hAnsi="宋体" w:cs="宋体"/>
          <w:color w:val="auto"/>
          <w:spacing w:val="8"/>
          <w:szCs w:val="21"/>
        </w:rPr>
        <w:t xml:space="preserve">1.3采购方式：竞争性磋商。</w:t>
      </w:r>
      <w:r/>
    </w:p>
    <w:p>
      <w:pPr>
        <w:ind w:firstLine="370"/>
        <w:spacing w:line="360" w:lineRule="auto"/>
        <w:shd w:val="clear" w:color="auto" w:fill="ffffff"/>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1.4预算金额：</w:t>
      </w:r>
      <w:r>
        <w:rPr>
          <w:rFonts w:hint="eastAsia" w:ascii="宋体" w:hAnsi="宋体" w:cs="宋体"/>
          <w:color w:val="auto"/>
          <w:spacing w:val="8"/>
          <w:szCs w:val="21"/>
          <w:highlight w:val="none"/>
          <w:lang w:val="en-US" w:eastAsia="zh-CN"/>
        </w:rPr>
        <w:t xml:space="preserve">348</w:t>
      </w:r>
      <w:r>
        <w:rPr>
          <w:rFonts w:hint="eastAsia" w:ascii="宋体" w:hAnsi="宋体" w:cs="宋体"/>
          <w:color w:val="auto"/>
          <w:spacing w:val="8"/>
          <w:szCs w:val="21"/>
          <w:highlight w:val="none"/>
        </w:rPr>
        <w:t xml:space="preserve">万元。</w:t>
      </w:r>
      <w:r/>
    </w:p>
    <w:p>
      <w:pPr>
        <w:ind w:firstLine="370"/>
        <w:spacing w:line="360" w:lineRule="auto"/>
        <w:shd w:val="clear" w:color="auto" w:fill="ffffff"/>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1.5最高限价：</w:t>
      </w:r>
      <w:r>
        <w:rPr>
          <w:rFonts w:hint="eastAsia" w:ascii="宋体" w:hAnsi="宋体" w:cs="宋体"/>
          <w:color w:val="auto"/>
          <w:spacing w:val="8"/>
          <w:szCs w:val="21"/>
          <w:highlight w:val="none"/>
          <w:lang w:val="en-US" w:eastAsia="zh-CN"/>
        </w:rPr>
        <w:t xml:space="preserve">348</w:t>
      </w:r>
      <w:r>
        <w:rPr>
          <w:rFonts w:hint="eastAsia" w:ascii="宋体" w:hAnsi="宋体" w:cs="宋体"/>
          <w:color w:val="auto"/>
          <w:spacing w:val="8"/>
          <w:szCs w:val="21"/>
          <w:highlight w:val="none"/>
        </w:rPr>
        <w:t xml:space="preserve">万元,</w:t>
      </w:r>
      <w:r>
        <w:rPr>
          <w:rFonts w:hint="eastAsia" w:ascii="宋体" w:hAnsi="宋体" w:cs="宋体"/>
          <w:color w:val="auto"/>
          <w:szCs w:val="21"/>
          <w:highlight w:val="none"/>
        </w:rPr>
        <w:t xml:space="preserve">超过</w:t>
      </w:r>
      <w:r>
        <w:rPr>
          <w:rFonts w:hint="eastAsia" w:ascii="宋体" w:hAnsi="宋体" w:cs="宋体"/>
          <w:color w:val="auto"/>
          <w:spacing w:val="8"/>
          <w:szCs w:val="21"/>
          <w:highlight w:val="none"/>
        </w:rPr>
        <w:t xml:space="preserve">最高限价</w:t>
      </w:r>
      <w:r>
        <w:rPr>
          <w:rFonts w:hint="eastAsia" w:ascii="宋体" w:hAnsi="宋体" w:cs="宋体"/>
          <w:color w:val="auto"/>
          <w:szCs w:val="21"/>
          <w:highlight w:val="none"/>
        </w:rPr>
        <w:t xml:space="preserve">作无效响应处理。</w:t>
      </w:r>
      <w:r/>
    </w:p>
    <w:p>
      <w:pPr>
        <w:ind w:firstLine="370"/>
        <w:spacing w:line="360" w:lineRule="auto"/>
        <w:shd w:val="clear" w:color="auto" w:fill="ffffff"/>
        <w:widowControl/>
        <w:rPr>
          <w:rFonts w:ascii="宋体" w:hAnsi="宋体" w:cs="宋体"/>
          <w:color w:val="auto"/>
          <w:spacing w:val="8"/>
          <w:szCs w:val="21"/>
          <w:highlight w:val="none"/>
        </w:rPr>
      </w:pPr>
      <w:r>
        <w:rPr>
          <w:rFonts w:ascii="宋体" w:hAnsi="宋体" w:cs="宋体"/>
          <w:color w:val="auto"/>
          <w:spacing w:val="8"/>
          <w:szCs w:val="21"/>
          <w:highlight w:val="none"/>
        </w:rPr>
        <w:t xml:space="preserve">1.6采购需求：</w:t>
      </w:r>
      <w:r>
        <w:rPr>
          <w:rFonts w:hint="eastAsia" w:ascii="宋体" w:hAnsi="宋体" w:cs="宋体"/>
          <w:color w:val="auto"/>
          <w:spacing w:val="8"/>
          <w:szCs w:val="21"/>
          <w:highlight w:val="none"/>
          <w:lang w:eastAsia="zh-CN"/>
        </w:rPr>
        <w:t xml:space="preserve">中共江苏省委党校励学大厦学员宿舍设施更新改造项目</w:t>
      </w:r>
      <w:r>
        <w:rPr>
          <w:rFonts w:hint="eastAsia" w:ascii="宋体" w:hAnsi="宋体" w:cs="宋体"/>
          <w:color w:val="auto"/>
          <w:spacing w:val="8"/>
          <w:szCs w:val="21"/>
          <w:highlight w:val="none"/>
        </w:rPr>
        <w:t xml:space="preserve">，具体详见图纸、工程量清单及第四章采购需求。</w:t>
      </w:r>
      <w:r/>
    </w:p>
    <w:p>
      <w:pPr>
        <w:ind w:firstLine="370"/>
        <w:spacing w:line="360" w:lineRule="auto"/>
        <w:shd w:val="clear" w:color="auto" w:fill="ffffff"/>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1.7合同履行期限：</w:t>
      </w:r>
      <w:r>
        <w:rPr>
          <w:rFonts w:hint="eastAsia" w:ascii="宋体" w:hAnsi="宋体" w:eastAsia="宋体" w:cs="宋体"/>
          <w:spacing w:val="8"/>
          <w:szCs w:val="21"/>
          <w:highlight w:val="none"/>
          <w:lang w:val="en-US" w:eastAsia="zh-CN"/>
        </w:rPr>
        <w:t xml:space="preserve">50日历天</w:t>
      </w:r>
      <w:r>
        <w:rPr>
          <w:rFonts w:hint="eastAsia" w:ascii="宋体" w:hAnsi="宋体" w:eastAsia="宋体" w:cs="宋体"/>
          <w:spacing w:val="8"/>
          <w:szCs w:val="21"/>
          <w:highlight w:val="none"/>
        </w:rPr>
        <w:t xml:space="preserve">。</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1.8行业划分：建筑业。</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1.9本项目专门面向中小企业（或监狱企业或残疾人福利性单位）采购。</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1.10本项目</w:t>
      </w:r>
      <w:r>
        <w:rPr>
          <w:rFonts w:hint="eastAsia" w:ascii="宋体" w:hAnsi="宋体" w:cs="宋体"/>
          <w:spacing w:val="8"/>
          <w:szCs w:val="21"/>
          <w:u w:val="single"/>
        </w:rPr>
        <w:t xml:space="preserve">不接受</w:t>
      </w:r>
      <w:r>
        <w:rPr>
          <w:rFonts w:hint="eastAsia" w:ascii="宋体" w:hAnsi="宋体" w:cs="宋体"/>
          <w:spacing w:val="8"/>
          <w:szCs w:val="21"/>
        </w:rPr>
        <w:t xml:space="preserve">联合体投标。</w:t>
      </w:r>
      <w:r/>
    </w:p>
    <w:p>
      <w:pPr>
        <w:ind w:firstLine="370"/>
        <w:spacing w:line="360" w:lineRule="auto"/>
        <w:shd w:val="clear" w:color="auto" w:fill="ffffff"/>
        <w:widowControl/>
        <w:rPr>
          <w:rFonts w:ascii="宋体" w:hAnsi="宋体" w:cs="宋体"/>
          <w:spacing w:val="8"/>
          <w:szCs w:val="21"/>
        </w:rPr>
      </w:pPr>
      <w:r>
        <w:rPr>
          <w:rFonts w:ascii="宋体" w:hAnsi="宋体" w:cs="宋体"/>
          <w:spacing w:val="8"/>
          <w:szCs w:val="21"/>
        </w:rPr>
      </w:r>
      <w:r/>
    </w:p>
    <w:p>
      <w:pPr>
        <w:spacing w:line="360" w:lineRule="auto"/>
        <w:shd w:val="clear" w:color="auto" w:fill="ffffff"/>
        <w:widowControl/>
        <w:rPr>
          <w:rFonts w:ascii="宋体" w:hAnsi="宋体" w:cs="宋体"/>
          <w:b/>
          <w:spacing w:val="8"/>
          <w:sz w:val="24"/>
        </w:rPr>
        <w:outlineLvl w:val="1"/>
      </w:pPr>
      <w:r/>
      <w:bookmarkStart w:id="5" w:name="_Toc1756"/>
      <w:r/>
      <w:bookmarkStart w:id="6" w:name="_Toc26468"/>
      <w:r>
        <w:rPr>
          <w:rFonts w:hint="eastAsia" w:ascii="宋体" w:hAnsi="宋体" w:cs="宋体"/>
          <w:b/>
          <w:spacing w:val="8"/>
          <w:sz w:val="24"/>
        </w:rPr>
        <w:t xml:space="preserve">二、申请人的资格要求：</w:t>
      </w:r>
      <w:bookmarkEnd w:id="5"/>
      <w:r/>
      <w:bookmarkEnd w:id="6"/>
      <w:r/>
      <w:r/>
    </w:p>
    <w:p>
      <w:pPr>
        <w:ind w:firstLine="422"/>
        <w:spacing w:line="360" w:lineRule="auto"/>
        <w:rPr>
          <w:rFonts w:ascii="宋体" w:hAnsi="宋体" w:cs="宋体"/>
          <w:b/>
          <w:color w:val="000000"/>
          <w:szCs w:val="21"/>
          <w:lang w:val="zh-CN"/>
        </w:rPr>
      </w:pPr>
      <w:r>
        <w:rPr>
          <w:rFonts w:hint="eastAsia" w:ascii="宋体" w:hAnsi="宋体" w:cs="宋体"/>
          <w:b/>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宋体" w:hAnsi="宋体" w:cs="宋体"/>
          <w:i/>
          <w:color w:val="ff0000"/>
          <w:spacing w:val="8"/>
          <w:szCs w:val="21"/>
          <w:u w:val="single"/>
        </w:rPr>
      </w:pPr>
      <w:r>
        <w:rPr>
          <w:rFonts w:hint="eastAsia" w:ascii="宋体" w:hAnsi="宋体" w:cs="宋体"/>
          <w:b/>
          <w:spacing w:val="8"/>
          <w:szCs w:val="21"/>
        </w:rPr>
        <w:t xml:space="preserve">2.2落实政府采购政策需满足的资格要求：</w:t>
      </w:r>
      <w:r>
        <w:rPr>
          <w:rFonts w:hint="eastAsia" w:ascii="宋体" w:hAnsi="宋体" w:cs="宋体"/>
          <w:b/>
          <w:highlight w:val="none"/>
        </w:rPr>
        <w:t xml:space="preserve">本项目专门面向中小企业（或监狱企业或残疾人福利性单位）采购，供应商须提供《中小企业声明函》（或残疾人福利性单位声明函、属于监狱企业的证明文件）</w:t>
      </w:r>
      <w:r>
        <w:rPr>
          <w:rFonts w:hint="eastAsia" w:ascii="宋体" w:hAnsi="宋体" w:cs="宋体"/>
          <w:b/>
          <w:highlight w:val="none"/>
          <w:lang w:eastAsia="zh-CN"/>
        </w:rPr>
        <w:t xml:space="preserve">。</w:t>
      </w:r>
      <w:r/>
    </w:p>
    <w:p>
      <w:pPr>
        <w:ind w:firstLine="454"/>
        <w:spacing w:line="360" w:lineRule="auto"/>
        <w:rPr>
          <w:rFonts w:ascii="宋体" w:hAnsi="宋体" w:cs="宋体"/>
          <w:b/>
          <w:szCs w:val="21"/>
        </w:rPr>
      </w:pPr>
      <w:r>
        <w:rPr>
          <w:rFonts w:hint="eastAsia" w:ascii="宋体" w:hAnsi="宋体" w:cs="宋体"/>
          <w:b/>
          <w:spacing w:val="8"/>
          <w:szCs w:val="21"/>
        </w:rPr>
        <w:t xml:space="preserve">2.3</w:t>
      </w:r>
      <w:r>
        <w:rPr>
          <w:rFonts w:hint="eastAsia" w:ascii="宋体" w:hAnsi="宋体" w:cs="宋体"/>
          <w:b/>
          <w:szCs w:val="21"/>
        </w:rPr>
        <w:t xml:space="preserve">采购人根据采购项目的特殊要求规定的特定条件，并提供符合特殊要求的证明材料或者情况说明：</w:t>
      </w:r>
      <w:r/>
    </w:p>
    <w:p>
      <w:pPr>
        <w:ind w:firstLine="454"/>
        <w:spacing w:line="360" w:lineRule="auto"/>
        <w:rPr>
          <w:rFonts w:hint="eastAsia" w:ascii="宋体" w:hAnsi="宋体" w:eastAsia="宋体" w:cs="宋体"/>
          <w:b/>
          <w:bCs/>
          <w:color w:val="auto"/>
          <w:spacing w:val="8"/>
          <w:szCs w:val="21"/>
          <w:highlight w:val="none"/>
          <w:lang w:val="en-US" w:eastAsia="zh-CN"/>
        </w:rPr>
      </w:pPr>
      <w:r>
        <w:rPr>
          <w:rFonts w:hint="eastAsia" w:ascii="宋体" w:hAnsi="宋体" w:eastAsia="宋体" w:cs="宋体"/>
          <w:b/>
          <w:bCs/>
          <w:color w:val="auto"/>
          <w:spacing w:val="8"/>
          <w:szCs w:val="21"/>
          <w:highlight w:val="none"/>
          <w:lang w:val="en-US" w:eastAsia="zh-CN"/>
        </w:rPr>
        <w:t xml:space="preserve">（1）供应商须具有有效的建筑装修装饰工程二级(含）以上资质并具有有效的安全生产许可证（提供证书复印件并加盖公章）；</w:t>
      </w:r>
      <w:r/>
    </w:p>
    <w:p>
      <w:pPr>
        <w:ind w:firstLine="454"/>
        <w:spacing w:line="360" w:lineRule="auto"/>
        <w:rPr>
          <w:rFonts w:hint="eastAsia" w:ascii="宋体" w:hAnsi="宋体" w:eastAsia="宋体" w:cs="宋体"/>
          <w:b w:val="0"/>
          <w:bCs w:val="0"/>
          <w:color w:val="auto"/>
          <w:spacing w:val="8"/>
          <w:szCs w:val="21"/>
          <w:highlight w:val="none"/>
          <w:lang w:val="en-US" w:eastAsia="zh-CN"/>
        </w:rPr>
      </w:pPr>
      <w:r>
        <w:rPr>
          <w:rFonts w:hint="eastAsia" w:ascii="宋体" w:hAnsi="宋体" w:eastAsia="宋体" w:cs="宋体"/>
          <w:b/>
          <w:bCs/>
          <w:color w:val="auto"/>
          <w:spacing w:val="8"/>
          <w:szCs w:val="21"/>
          <w:highlight w:val="none"/>
          <w:lang w:val="en-US" w:eastAsia="zh-CN"/>
        </w:rPr>
        <w:t xml:space="preserve">（2）拟派项目负责人具有注册建造师证建筑工程二级(含)以上，并具有有效的安全生产考核合格证书（B类证），且不得担任其他在建工程，供应商必须提供拟派项目负责人无在建工程的承诺书。（提供承诺书、证书复印件及近半年内社保缴纳证明，并加盖公章。）</w:t>
      </w:r>
      <w:r/>
    </w:p>
    <w:p>
      <w:pPr>
        <w:ind w:firstLine="454"/>
        <w:spacing w:line="360" w:lineRule="auto"/>
        <w:rPr>
          <w:rFonts w:hint="eastAsia" w:ascii="宋体" w:hAnsi="宋体" w:eastAsia="宋体" w:cs="宋体"/>
          <w:b/>
          <w:bCs/>
          <w:color w:val="auto"/>
          <w:spacing w:val="8"/>
          <w:szCs w:val="21"/>
          <w:highlight w:val="none"/>
          <w:lang w:val="en-US" w:eastAsia="zh-CN"/>
        </w:rPr>
      </w:pPr>
      <w:r>
        <w:rPr>
          <w:rFonts w:hint="eastAsia" w:ascii="宋体" w:hAnsi="宋体" w:eastAsia="宋体" w:cs="宋体"/>
          <w:b/>
          <w:bCs/>
          <w:color w:val="auto"/>
          <w:spacing w:val="8"/>
          <w:szCs w:val="21"/>
          <w:highlight w:val="none"/>
          <w:lang w:val="en-US" w:eastAsia="zh-CN"/>
        </w:rPr>
        <w:t xml:space="preserve">注：根据《全国注册建筑师管理委员会关于开展使用一级注册建筑师电子注册证书工作的通知》（注建［2021]2号）要求，自2022年7月1日起，一级注册建筑师统一使用电子证书，纸质注册证书作废。各投标人须提供一级注册建筑师证书电子证书，电子证书应当符合相关文件规定，签名图像应当与持证人个人手写签名笔迹一致，证书应当在使用有效期限内。若电子件无法识别有效信息的，视为无效。投标人将自行承担资格审查不通过或不得分等相应后果。</w:t>
      </w:r>
      <w:r/>
    </w:p>
    <w:p>
      <w:pPr>
        <w:ind w:firstLine="456"/>
        <w:spacing w:line="360" w:lineRule="auto"/>
        <w:rPr>
          <w:rFonts w:ascii="宋体" w:hAnsi="宋体" w:cs="宋体"/>
          <w:bCs/>
          <w:szCs w:val="21"/>
        </w:rPr>
      </w:pPr>
      <w:r>
        <w:rPr>
          <w:rFonts w:hint="eastAsia" w:ascii="宋体" w:hAnsi="宋体" w:cs="宋体"/>
          <w:spacing w:val="8"/>
          <w:szCs w:val="21"/>
        </w:rPr>
        <w:t xml:space="preserve">2.4</w:t>
      </w:r>
      <w:r>
        <w:rPr>
          <w:rFonts w:hint="eastAsia" w:ascii="宋体" w:hAnsi="宋体" w:cs="宋体"/>
          <w:bCs/>
          <w:szCs w:val="21"/>
        </w:rPr>
        <w:t xml:space="preserve">第2.1（5）条所称重大违法记录，是指供应商因违法经营受到刑事处罚或者责令停产停业、吊销许可证或者执照、较大数额罚款等行政处罚。</w:t>
      </w:r>
      <w:r/>
    </w:p>
    <w:p>
      <w:pPr>
        <w:ind w:firstLine="456"/>
        <w:spacing w:line="360" w:lineRule="auto"/>
        <w:rPr>
          <w:rFonts w:ascii="宋体" w:hAnsi="宋体" w:cs="宋体"/>
          <w:bCs/>
          <w:szCs w:val="21"/>
        </w:rPr>
      </w:pPr>
      <w:r>
        <w:rPr>
          <w:rFonts w:hint="eastAsia" w:ascii="宋体" w:hAnsi="宋体" w:cs="宋体"/>
          <w:spacing w:val="8"/>
          <w:szCs w:val="21"/>
        </w:rPr>
        <w:t xml:space="preserve">2.5</w:t>
      </w:r>
      <w:r>
        <w:rPr>
          <w:rFonts w:hint="eastAsia" w:ascii="宋体" w:hAnsi="宋体" w:cs="宋体"/>
          <w:bCs/>
          <w:szCs w:val="21"/>
        </w:rPr>
        <w:t xml:space="preserve">供应商在参加政府采购活动前3年内因违法经营被禁止在一定期限内参加政府采购活动，期限届满的，可以参加政府采购活动。</w:t>
      </w:r>
      <w:r/>
    </w:p>
    <w:p>
      <w:pPr>
        <w:ind w:firstLine="456"/>
        <w:spacing w:line="360" w:lineRule="auto"/>
        <w:rPr>
          <w:rFonts w:ascii="宋体" w:hAnsi="宋体" w:cs="宋体"/>
          <w:bCs/>
          <w:szCs w:val="21"/>
        </w:rPr>
      </w:pPr>
      <w:r>
        <w:rPr>
          <w:rFonts w:hint="eastAsia" w:ascii="宋体" w:hAnsi="宋体" w:cs="宋体"/>
          <w:spacing w:val="8"/>
          <w:szCs w:val="21"/>
        </w:rPr>
        <w:t xml:space="preserve">2.6</w:t>
      </w:r>
      <w:r>
        <w:rPr>
          <w:rFonts w:hint="eastAsia" w:ascii="宋体" w:hAnsi="宋体" w:cs="宋体"/>
          <w:bCs/>
          <w:szCs w:val="21"/>
        </w:rPr>
        <w:t xml:space="preserve">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56"/>
        <w:spacing w:line="360" w:lineRule="auto"/>
        <w:rPr>
          <w:rFonts w:ascii="宋体" w:hAnsi="宋体" w:cs="宋体"/>
          <w:bCs/>
          <w:szCs w:val="21"/>
        </w:rPr>
      </w:pPr>
      <w:r>
        <w:rPr>
          <w:rFonts w:hint="eastAsia" w:ascii="宋体" w:hAnsi="宋体" w:cs="宋体"/>
          <w:spacing w:val="8"/>
          <w:szCs w:val="21"/>
        </w:rPr>
        <w:t xml:space="preserve">2.7</w:t>
      </w:r>
      <w:r>
        <w:rPr>
          <w:rFonts w:hint="eastAsia" w:ascii="宋体" w:hAnsi="宋体" w:cs="宋体"/>
          <w:bCs/>
          <w:szCs w:val="21"/>
        </w:rPr>
        <w:t xml:space="preserve">拒绝列入失信被执行人、重大税收违法案件当事人名单、政府采购严重违法失信行为记录名单</w:t>
      </w:r>
      <w:r>
        <w:rPr>
          <w:rFonts w:hint="eastAsia" w:ascii="宋体" w:hAnsi="宋体" w:cs="宋体"/>
          <w:color w:val="333333"/>
          <w:szCs w:val="21"/>
          <w:shd w:val="clear" w:color="auto" w:fill="ffffff"/>
        </w:rPr>
        <w:t xml:space="preserve">及其他不符合《中华人民共和国政府采购法》第二十二条规定条件</w:t>
      </w:r>
      <w:r>
        <w:rPr>
          <w:rFonts w:hint="eastAsia" w:ascii="宋体" w:hAnsi="宋体" w:cs="宋体"/>
          <w:bCs/>
          <w:szCs w:val="21"/>
        </w:rPr>
        <w:t xml:space="preserve">的供应商参与政府采购活动。磋商小组对响应文件进行审查时，依法通过“中国政府采购网”、“信用中国”网站渠道查询供应商信用记录并保存。</w:t>
      </w:r>
      <w:r/>
    </w:p>
    <w:p>
      <w:pPr>
        <w:ind w:firstLine="422"/>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spacing w:line="360" w:lineRule="auto"/>
        <w:shd w:val="clear" w:color="auto" w:fill="ffffff"/>
        <w:widowControl/>
        <w:rPr>
          <w:rFonts w:ascii="宋体" w:hAnsi="宋体" w:cs="宋体"/>
          <w:b/>
          <w:spacing w:val="8"/>
          <w:sz w:val="24"/>
        </w:rPr>
        <w:outlineLvl w:val="1"/>
      </w:pPr>
      <w:r/>
      <w:bookmarkStart w:id="7" w:name="_Toc24617"/>
      <w:r/>
      <w:bookmarkStart w:id="8" w:name="_Toc5823"/>
      <w:r>
        <w:rPr>
          <w:rFonts w:hint="eastAsia" w:ascii="宋体" w:hAnsi="宋体" w:cs="宋体"/>
          <w:b/>
          <w:spacing w:val="8"/>
          <w:sz w:val="24"/>
        </w:rPr>
        <w:t xml:space="preserve">三、获取采购文件</w:t>
      </w:r>
      <w:bookmarkEnd w:id="7"/>
      <w:r/>
      <w:bookmarkEnd w:id="8"/>
      <w:r/>
      <w:r/>
    </w:p>
    <w:p>
      <w:pPr>
        <w:ind w:firstLine="360"/>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3.1时间：</w:t>
      </w:r>
      <w:r>
        <w:rPr>
          <w:rFonts w:hint="eastAsia" w:ascii="Arial" w:hAnsi="Arial" w:cs="Arial"/>
          <w:color w:val="auto"/>
          <w:spacing w:val="8"/>
          <w:szCs w:val="21"/>
          <w:highlight w:val="none"/>
          <w:lang w:val="en-US" w:eastAsia="zh-CN"/>
        </w:rPr>
        <w:t xml:space="preserve">自公告发布之日起5个工作日</w:t>
      </w:r>
      <w:r/>
    </w:p>
    <w:p>
      <w:pPr>
        <w:ind w:firstLine="360"/>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lang w:val="en-US" w:eastAsia="zh-CN"/>
        </w:rPr>
        <w:t xml:space="preserve">3.2地点：江苏政府采购网</w:t>
      </w:r>
      <w:r/>
    </w:p>
    <w:p>
      <w:pPr>
        <w:ind w:firstLine="360"/>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lang w:val="en-US" w:eastAsia="zh-CN"/>
        </w:rPr>
        <w:t xml:space="preserve">3.3</w:t>
      </w:r>
      <w:r>
        <w:rPr>
          <w:rFonts w:hint="eastAsia" w:ascii="Arial" w:hAnsi="Arial" w:cs="Arial"/>
          <w:color w:val="auto"/>
          <w:szCs w:val="21"/>
          <w:highlight w:val="none"/>
          <w:lang w:val="en-US" w:eastAsia="zh-CN"/>
        </w:rPr>
        <w:t xml:space="preserve">获取方式：</w:t>
      </w:r>
      <w:bookmarkStart w:id="9" w:name="OLE_LINK10"/>
      <w:r>
        <w:rPr>
          <w:rFonts w:hint="eastAsia" w:ascii="Arial" w:hAnsi="Arial" w:cs="Arial"/>
          <w:color w:val="auto"/>
          <w:szCs w:val="21"/>
          <w:highlight w:val="none"/>
          <w:lang w:val="en-US" w:eastAsia="zh-CN"/>
        </w:rPr>
        <w:t xml:space="preserve">网上下载</w:t>
      </w:r>
      <w:bookmarkEnd w:id="9"/>
      <w:r>
        <w:rPr>
          <w:rFonts w:hint="eastAsia" w:ascii="Arial" w:hAnsi="Arial" w:cs="Arial"/>
          <w:color w:val="auto"/>
          <w:szCs w:val="21"/>
          <w:highlight w:val="none"/>
        </w:rPr>
        <w:t xml:space="preserve"> </w:t>
      </w:r>
      <w:r/>
    </w:p>
    <w:p>
      <w:pPr>
        <w:spacing w:line="360" w:lineRule="auto"/>
        <w:shd w:val="clear" w:color="auto" w:fill="ffffff"/>
        <w:widowControl/>
        <w:rPr>
          <w:rFonts w:ascii="宋体" w:hAnsi="宋体" w:cs="宋体"/>
          <w:b/>
          <w:spacing w:val="8"/>
          <w:sz w:val="24"/>
        </w:rPr>
        <w:outlineLvl w:val="1"/>
      </w:pPr>
      <w:r/>
      <w:bookmarkStart w:id="10" w:name="_Toc21817"/>
      <w:r/>
      <w:bookmarkStart w:id="11" w:name="_Toc1456"/>
      <w:r>
        <w:rPr>
          <w:rFonts w:hint="eastAsia" w:ascii="宋体" w:hAnsi="宋体" w:cs="宋体"/>
          <w:b/>
          <w:spacing w:val="8"/>
          <w:sz w:val="24"/>
        </w:rPr>
        <w:t xml:space="preserve">四、响应文件提交</w:t>
      </w:r>
      <w:bookmarkEnd w:id="10"/>
      <w:r/>
      <w:bookmarkEnd w:id="11"/>
      <w:r/>
      <w:r/>
    </w:p>
    <w:p>
      <w:pPr>
        <w:ind w:firstLine="420"/>
        <w:spacing w:line="360" w:lineRule="auto"/>
        <w:rPr>
          <w:rFonts w:ascii="宋体" w:hAnsi="宋体" w:cs="宋体"/>
          <w:spacing w:val="8"/>
          <w:szCs w:val="21"/>
        </w:rPr>
      </w:pPr>
      <w:r>
        <w:rPr>
          <w:rFonts w:hint="eastAsia" w:ascii="宋体" w:hAnsi="宋体" w:cs="宋体"/>
          <w:szCs w:val="21"/>
        </w:rPr>
        <w:t xml:space="preserve">4.1截止时间：2026年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点30分</w:t>
      </w:r>
      <w:r>
        <w:rPr>
          <w:rFonts w:hint="eastAsia" w:ascii="宋体" w:hAnsi="宋体" w:cs="宋体"/>
          <w:spacing w:val="8"/>
          <w:szCs w:val="21"/>
        </w:rPr>
        <w:t xml:space="preserve">（北京时间）</w:t>
      </w:r>
      <w:r/>
    </w:p>
    <w:p>
      <w:pPr>
        <w:ind w:firstLine="420"/>
        <w:spacing w:line="360" w:lineRule="auto"/>
        <w:rPr>
          <w:rFonts w:ascii="宋体" w:hAnsi="宋体" w:cs="宋体"/>
          <w:b/>
          <w:spacing w:val="8"/>
          <w:sz w:val="24"/>
        </w:rPr>
      </w:pPr>
      <w:r>
        <w:rPr>
          <w:rFonts w:hint="eastAsia" w:ascii="宋体" w:hAnsi="宋体" w:cs="宋体"/>
          <w:szCs w:val="21"/>
        </w:rPr>
        <w:t xml:space="preserve">4.2</w:t>
      </w:r>
      <w:r>
        <w:rPr>
          <w:rFonts w:hint="eastAsia" w:ascii="宋体" w:hAnsi="宋体" w:cs="宋体"/>
          <w:spacing w:val="8"/>
          <w:szCs w:val="21"/>
        </w:rPr>
        <w:t xml:space="preserve">提交响应文件地点：</w:t>
      </w:r>
      <w:r>
        <w:rPr>
          <w:color w:val="auto"/>
          <w:spacing w:val="8"/>
          <w:szCs w:val="21"/>
          <w:highlight w:val="none"/>
        </w:rPr>
        <w:t xml:space="preserve">江苏省政府采购管理交易系统（苏采云）</w:t>
      </w:r>
      <w:bookmarkStart w:id="12" w:name="_Toc22940"/>
      <w:r/>
      <w:bookmarkStart w:id="13" w:name="_Toc21891"/>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12"/>
      <w:r/>
      <w:bookmarkEnd w:id="13"/>
      <w:r>
        <w:t xml:space="preserve"> </w:t>
      </w:r>
      <w:r/>
    </w:p>
    <w:p>
      <w:pPr>
        <w:ind w:firstLine="420"/>
        <w:spacing w:line="360" w:lineRule="auto"/>
        <w:rPr>
          <w:rFonts w:ascii="宋体" w:hAnsi="宋体" w:cs="宋体"/>
          <w:spacing w:val="8"/>
          <w:szCs w:val="21"/>
        </w:rPr>
      </w:pPr>
      <w:r>
        <w:rPr>
          <w:rFonts w:hint="eastAsia" w:ascii="宋体" w:hAnsi="宋体" w:cs="宋体"/>
          <w:szCs w:val="21"/>
        </w:rPr>
        <w:t xml:space="preserve">5.1时间：2026年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点30分（北京时间）</w:t>
      </w:r>
      <w:r/>
    </w:p>
    <w:p>
      <w:pPr>
        <w:ind w:firstLine="420"/>
        <w:spacing w:line="360" w:lineRule="auto"/>
        <w:rPr>
          <w:rFonts w:ascii="宋体" w:hAnsi="宋体" w:cs="宋体"/>
          <w:color w:val="00b0f0"/>
          <w:spacing w:val="8"/>
          <w:szCs w:val="21"/>
        </w:rPr>
      </w:pPr>
      <w:r>
        <w:rPr>
          <w:rFonts w:hint="eastAsia" w:ascii="宋体" w:hAnsi="宋体" w:cs="宋体"/>
          <w:szCs w:val="21"/>
        </w:rPr>
        <w:t xml:space="preserve">5.2地点：</w:t>
      </w:r>
      <w:r>
        <w:rPr>
          <w:rFonts w:hint="eastAsia" w:ascii="Arial" w:hAnsi="Arial" w:eastAsia="宋体" w:cs="Arial"/>
          <w:color w:val="auto"/>
          <w:szCs w:val="21"/>
          <w:highlight w:val="none"/>
          <w:lang w:eastAsia="zh-CN"/>
        </w:rPr>
        <w:t xml:space="preserve">“</w:t>
      </w:r>
      <w:r>
        <w:rPr>
          <w:rFonts w:hint="default" w:ascii="Arial" w:hAnsi="Arial" w:eastAsia="宋体" w:cs="Arial"/>
          <w:color w:val="auto"/>
          <w:szCs w:val="21"/>
          <w:highlight w:val="none"/>
          <w:lang w:val="en-US" w:eastAsia="zh-CN"/>
        </w:rPr>
        <w:t xml:space="preserve">苏采云</w:t>
      </w:r>
      <w:r>
        <w:rPr>
          <w:rFonts w:hint="eastAsia" w:ascii="Arial" w:hAnsi="Arial" w:eastAsia="宋体" w:cs="Arial"/>
          <w:color w:val="auto"/>
          <w:szCs w:val="21"/>
          <w:highlight w:val="none"/>
          <w:lang w:eastAsia="zh-CN"/>
        </w:rPr>
        <w:t xml:space="preserve">”</w:t>
      </w:r>
      <w:r>
        <w:rPr>
          <w:rFonts w:ascii="Arial" w:hAnsi="Arial" w:eastAsia="宋体" w:cs="Arial"/>
          <w:color w:val="auto"/>
          <w:szCs w:val="21"/>
          <w:highlight w:val="none"/>
        </w:rPr>
        <w:t xml:space="preserve">网上开标大厅</w:t>
      </w:r>
      <w:r/>
    </w:p>
    <w:p>
      <w:pPr>
        <w:spacing w:line="360" w:lineRule="auto"/>
        <w:shd w:val="clear" w:color="auto" w:fill="ffffff"/>
        <w:widowControl/>
        <w:rPr>
          <w:rFonts w:ascii="宋体" w:hAnsi="宋体" w:cs="宋体"/>
          <w:b/>
          <w:spacing w:val="8"/>
          <w:sz w:val="24"/>
        </w:rPr>
        <w:outlineLvl w:val="1"/>
      </w:pPr>
      <w:r/>
      <w:bookmarkStart w:id="14" w:name="_Toc23729"/>
      <w:r/>
      <w:bookmarkStart w:id="15" w:name="_Toc26308"/>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六、公告期限</w:t>
      </w:r>
      <w:bookmarkEnd w:id="14"/>
      <w:r/>
      <w:bookmarkEnd w:id="15"/>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w:t>
      </w:r>
      <w:r>
        <w:rPr>
          <w:rFonts w:hint="eastAsia" w:ascii="宋体" w:hAnsi="宋体" w:cs="宋体"/>
          <w:spacing w:val="8"/>
          <w:szCs w:val="21"/>
          <w:lang w:val="en-US" w:eastAsia="zh-CN"/>
        </w:rPr>
        <w:t xml:space="preserve">3</w:t>
      </w:r>
      <w:r>
        <w:rPr>
          <w:rFonts w:hint="eastAsia" w:ascii="宋体" w:hAnsi="宋体" w:cs="宋体"/>
          <w:spacing w:val="8"/>
          <w:szCs w:val="21"/>
        </w:rPr>
        <w:t xml:space="preserve">个工作日。</w:t>
      </w:r>
      <w:r/>
    </w:p>
    <w:p>
      <w:pPr>
        <w:spacing w:line="360" w:lineRule="auto"/>
        <w:shd w:val="clear" w:color="auto" w:fill="ffffff"/>
        <w:widowControl/>
        <w:tabs>
          <w:tab w:val="left" w:pos="426" w:leader="none"/>
        </w:tabs>
        <w:rPr>
          <w:rFonts w:ascii="宋体" w:hAnsi="宋体" w:cs="宋体"/>
          <w:b/>
          <w:spacing w:val="8"/>
          <w:sz w:val="24"/>
        </w:rPr>
        <w:outlineLvl w:val="1"/>
      </w:pPr>
      <w:r/>
      <w:bookmarkStart w:id="16" w:name="_Toc29605"/>
      <w:r/>
      <w:bookmarkStart w:id="17" w:name="_Toc11013"/>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七、其他补充事宜</w:t>
      </w:r>
      <w:bookmarkEnd w:id="16"/>
      <w:r/>
      <w:bookmarkEnd w:id="17"/>
      <w:r/>
      <w:r/>
    </w:p>
    <w:p>
      <w:pPr>
        <w:ind w:firstLine="420"/>
        <w:spacing w:line="360" w:lineRule="auto"/>
        <w:rPr>
          <w:rFonts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rPr>
      </w:pPr>
      <w:r>
        <w:rPr>
          <w:rFonts w:hint="eastAsia" w:ascii="宋体" w:hAnsi="宋体" w:cs="宋体"/>
        </w:rPr>
        <w:t xml:space="preserve">7.2供应商应当从采购代理机构合法获得本项目磋商文件。</w:t>
      </w:r>
      <w:r/>
    </w:p>
    <w:p>
      <w:pPr>
        <w:ind w:firstLine="420"/>
        <w:spacing w:line="360" w:lineRule="auto"/>
        <w:rPr>
          <w:rFonts w:ascii="宋体" w:hAnsi="宋体" w:cs="宋体"/>
          <w:b/>
          <w:bCs/>
          <w:szCs w:val="21"/>
        </w:rPr>
      </w:pPr>
      <w:r>
        <w:rPr>
          <w:rFonts w:hint="eastAsia" w:ascii="宋体" w:hAnsi="宋体" w:cs="宋体"/>
        </w:rPr>
        <w:t xml:space="preserve">7.3勘察现场或答疑</w:t>
      </w:r>
      <w:r>
        <w:rPr>
          <w:rFonts w:hint="eastAsia" w:ascii="宋体" w:hAnsi="宋体" w:cs="宋体"/>
          <w:lang w:eastAsia="zh-CN"/>
        </w:rPr>
        <w:t xml:space="preserve">：</w:t>
      </w:r>
      <w:r>
        <w:rPr>
          <w:rFonts w:hint="eastAsia" w:ascii="宋体" w:hAnsi="宋体" w:cs="宋体"/>
          <w:lang w:val="en-US" w:eastAsia="zh-CN"/>
        </w:rPr>
        <w:t xml:space="preserve">自行踏勘，</w:t>
      </w:r>
      <w:r>
        <w:rPr>
          <w:rFonts w:hint="eastAsia" w:ascii="宋体" w:hAnsi="宋体" w:cs="宋体"/>
        </w:rPr>
        <w:t xml:space="preserve">未勘察现场或勘察工作不详细的供应商中标后，不得以不完全了解现场情况为理由而向采购人提出任何索赔或其他要求，对此采购人不承担任何责任并将不作任何答复</w:t>
      </w:r>
      <w:r>
        <w:rPr>
          <w:rFonts w:hint="eastAsia" w:ascii="宋体" w:hAnsi="宋体" w:cs="宋体"/>
          <w:szCs w:val="21"/>
        </w:rPr>
        <w:t xml:space="preserve">。</w:t>
      </w:r>
      <w:r/>
    </w:p>
    <w:p>
      <w:pPr>
        <w:ind w:firstLine="420"/>
        <w:keepLines w:val="0"/>
        <w:keepNext w:val="0"/>
        <w:pageBreakBefore w:val="0"/>
        <w:spacing w:line="360" w:lineRule="auto"/>
        <w:widowControl w:val="off"/>
        <w:rPr>
          <w:rFonts w:ascii="宋体" w:hAnsi="宋体" w:cs="宋体"/>
          <w:b/>
          <w:spacing w:val="8"/>
          <w:sz w:val="24"/>
        </w:rPr>
      </w:pPr>
      <w:r/>
      <w:bookmarkStart w:id="18" w:name="_Toc18338"/>
      <w:r/>
      <w:bookmarkStart w:id="19" w:name="_Toc7011"/>
      <w:r>
        <w:rPr>
          <w:rFonts w:hint="eastAsia" w:ascii="宋体" w:hAnsi="宋体" w:eastAsia="宋体" w:cs="宋体"/>
          <w:color w:val="auto"/>
          <w:sz w:val="21"/>
          <w:szCs w:val="21"/>
          <w:highlight w:val="non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“苏采云”南京地区客服热线025-83633744、025-83633743。</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 xml:space="preserve">7.5有关本次采购的事项若存在变动或修改，请及时关注“江苏政府采购网”（www.ccgp-jiangsu.gov.cn）更正公告。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8"/>
      <w:r/>
      <w:bookmarkEnd w:id="19"/>
      <w:r/>
      <w:r/>
    </w:p>
    <w:p>
      <w:pPr>
        <w:ind w:firstLine="420"/>
        <w:jc w:val="left"/>
        <w:spacing w:line="360" w:lineRule="auto"/>
        <w:rPr>
          <w:rFonts w:ascii="宋体" w:hAnsi="宋体" w:cs="宋体"/>
          <w:szCs w:val="21"/>
        </w:rPr>
      </w:pPr>
      <w:r>
        <w:rPr>
          <w:rFonts w:hint="eastAsia" w:ascii="宋体" w:hAnsi="宋体" w:cs="宋体"/>
          <w:szCs w:val="21"/>
        </w:rPr>
        <w:t xml:space="preserve">8.1采购人信息</w:t>
      </w:r>
      <w:r/>
    </w:p>
    <w:p>
      <w:pPr>
        <w:ind w:firstLine="420"/>
        <w:jc w:val="left"/>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中共江苏省委党校</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    址：南京市鼓楼区水佐岗路49号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联系方式：黄其兵 025-83382179</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名称：江苏省设备成套股份有限公司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地址：南京市鼓楼区清江南路18号鼓楼创新广场D栋1002室</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联系电话：025-83320576</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邮箱：xiefy@jcec.cn</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8.3项目联系方式</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项目联系人：</w:t>
      </w:r>
      <w:r>
        <w:rPr>
          <w:rFonts w:hint="eastAsia" w:ascii="宋体" w:hAnsi="宋体" w:cs="宋体"/>
          <w:spacing w:val="8"/>
          <w:szCs w:val="21"/>
        </w:rPr>
        <w:t xml:space="preserve">解凤宇</w:t>
      </w:r>
      <w:r/>
    </w:p>
    <w:p>
      <w:pPr>
        <w:ind w:firstLine="452"/>
        <w:jc w:val="left"/>
        <w:spacing w:line="360" w:lineRule="auto"/>
        <w:shd w:val="clear" w:color="auto" w:fill="ffffff"/>
        <w:widowControl/>
        <w:rPr>
          <w:rFonts w:ascii="宋体" w:hAnsi="宋体" w:cs="宋体"/>
          <w:spacing w:val="8"/>
          <w:szCs w:val="21"/>
          <w:lang w:val="zh-CN"/>
        </w:rPr>
      </w:pPr>
      <w:r>
        <w:rPr>
          <w:rFonts w:hint="eastAsia" w:ascii="宋体" w:hAnsi="宋体" w:cs="宋体"/>
          <w:spacing w:val="8"/>
          <w:szCs w:val="21"/>
          <w:lang w:val="zh-CN"/>
        </w:rPr>
        <w:t xml:space="preserve">电话：025-83320576</w:t>
      </w:r>
      <w:r/>
    </w:p>
    <w:p>
      <w:pPr>
        <w:pStyle w:val="1235"/>
        <w:ind w:firstLine="452"/>
        <w:rPr>
          <w:rFonts w:ascii="宋体" w:hAnsi="宋体" w:cs="宋体"/>
          <w:spacing w:val="8"/>
        </w:rPr>
        <w:sectPr>
          <w:footnotePr/>
          <w:endnotePr/>
          <w:type w:val="nextPage"/>
          <w:pgSz w:w="11906" w:h="16838" w:orient="portrait"/>
          <w:pgMar w:top="1440" w:right="1486" w:bottom="1440" w:left="1600" w:header="851" w:footer="992" w:gutter="0"/>
          <w:pgNumType w:start="1"/>
          <w:cols w:num="1" w:sep="0" w:space="720" w:equalWidth="1"/>
          <w:docGrid w:linePitch="360"/>
          <w:titlePg/>
        </w:sectPr>
      </w:pPr>
      <w:r>
        <w:rPr>
          <w:rFonts w:ascii="宋体" w:hAnsi="宋体" w:cs="宋体"/>
          <w:spacing w:val="8"/>
        </w:rPr>
      </w:r>
      <w:r/>
    </w:p>
    <w:p>
      <w:pPr>
        <w:pStyle w:val="1154"/>
        <w:rPr>
          <w:rFonts w:ascii="宋体" w:hAnsi="宋体" w:cs="宋体"/>
          <w:lang w:val="zh-CN"/>
        </w:rPr>
      </w:pPr>
      <w:r/>
      <w:bookmarkStart w:id="20"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0"/>
      <w:r/>
      <w:r/>
    </w:p>
    <w:p>
      <w:pPr>
        <w:ind w:firstLine="420"/>
        <w:spacing w:line="360" w:lineRule="auto"/>
        <w:rPr>
          <w:rFonts w:ascii="宋体" w:hAnsi="宋体" w:cs="宋体"/>
          <w:szCs w:val="21"/>
          <w:lang w:val="zh-CN"/>
        </w:rPr>
      </w:pPr>
      <w:r>
        <w:rPr>
          <w:rFonts w:hint="eastAsia" w:ascii="宋体" w:hAnsi="宋体" w:cs="宋体"/>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宋体" w:hAnsi="宋体" w:cs="宋体"/>
          <w:szCs w:val="21"/>
          <w:lang w:val="zh-CN"/>
        </w:rPr>
      </w:pPr>
      <w:r>
        <w:rPr>
          <w:rFonts w:hint="eastAsia" w:ascii="宋体" w:hAnsi="宋体" w:cs="宋体"/>
          <w:szCs w:val="21"/>
        </w:rPr>
        <w:t xml:space="preserve">三</w:t>
      </w:r>
      <w:r>
        <w:rPr>
          <w:rFonts w:hint="eastAsia" w:ascii="宋体" w:hAnsi="宋体" w:cs="宋体"/>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项目技术方案或服务说明；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w:t>
      </w:r>
      <w:r>
        <w:rPr>
          <w:rFonts w:hint="eastAsia" w:ascii="宋体" w:hAnsi="宋体" w:cs="宋体"/>
          <w:szCs w:val="21"/>
        </w:rPr>
        <w:t xml:space="preserve">技术资料、设计成果、人员培训等发生的所有含税费用、支付给员工的工资和国家强制缴纳的各种社会保障资金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ascii="宋体" w:hAnsi="宋体" w:cs="宋体"/>
          <w:szCs w:val="21"/>
          <w:lang w:val="zh-CN"/>
        </w:rPr>
      </w:pPr>
      <w:r>
        <w:rPr>
          <w:rFonts w:hint="eastAsia" w:ascii="宋体" w:hAnsi="宋体" w:cs="宋体"/>
          <w:szCs w:val="21"/>
          <w:lang w:val="zh-CN"/>
        </w:rPr>
        <w:t xml:space="preserve">四、磋商响应文件的递交</w:t>
      </w:r>
      <w:r/>
    </w:p>
    <w:p>
      <w:pPr>
        <w:ind w:firstLine="420"/>
        <w:spacing w:line="360" w:lineRule="auto"/>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响应文件递交与解密</w:t>
      </w:r>
      <w:r/>
    </w:p>
    <w:p>
      <w:pPr>
        <w:ind w:firstLine="420"/>
        <w:spacing w:line="360" w:lineRule="auto"/>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9</w:t>
      </w:r>
      <w:r>
        <w:rPr>
          <w:rFonts w:hint="default" w:ascii="Arial" w:hAnsi="Arial" w:cs="Arial"/>
          <w:color w:val="auto"/>
          <w:szCs w:val="21"/>
          <w:highlight w:val="none"/>
          <w:lang w:val="zh-CN" w:eastAsia="zh-CN"/>
        </w:rPr>
        <w:t xml:space="preserve">.1</w:t>
      </w:r>
      <w:r>
        <w:rPr>
          <w:rFonts w:hint="eastAsia" w:ascii="Arial" w:hAnsi="Arial" w:cs="Arial"/>
          <w:color w:val="auto"/>
          <w:szCs w:val="21"/>
          <w:highlight w:val="none"/>
          <w:lang w:val="zh-CN"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 xml:space="preserve">9</w:t>
      </w:r>
      <w:r>
        <w:rPr>
          <w:rFonts w:hint="default" w:ascii="Arial" w:hAnsi="Arial" w:cs="Arial"/>
          <w:color w:val="auto"/>
          <w:szCs w:val="21"/>
          <w:highlight w:val="none"/>
          <w:lang w:val="zh-CN" w:eastAsia="zh-CN"/>
        </w:rPr>
        <w:t xml:space="preserve">.</w:t>
      </w:r>
      <w:r>
        <w:rPr>
          <w:rFonts w:hint="eastAsia" w:ascii="Arial" w:hAnsi="Arial" w:cs="Arial"/>
          <w:color w:val="auto"/>
          <w:szCs w:val="21"/>
          <w:highlight w:val="none"/>
          <w:lang w:val="zh-CN" w:eastAsia="zh-CN"/>
        </w:rPr>
        <w:t xml:space="preserve">2</w:t>
      </w:r>
      <w:r>
        <w:rPr>
          <w:rFonts w:hint="default" w:ascii="Arial" w:hAnsi="Arial" w:cs="Arial"/>
          <w:color w:val="auto"/>
          <w:szCs w:val="21"/>
          <w:highlight w:val="none"/>
          <w:lang w:val="zh-CN" w:eastAsia="zh-CN"/>
        </w:rPr>
        <w:t xml:space="preserve"> </w:t>
      </w:r>
      <w:r>
        <w:rPr>
          <w:rFonts w:hint="eastAsia" w:ascii="Arial" w:hAnsi="Arial" w:cs="Arial"/>
          <w:color w:val="auto"/>
          <w:szCs w:val="21"/>
          <w:highlight w:val="none"/>
          <w:lang w:val="zh-CN" w:eastAsia="zh-CN"/>
        </w:rPr>
        <w:t xml:space="preserve">供应商应当按照《操作手册》规定，在</w:t>
      </w:r>
      <w:r>
        <w:rPr>
          <w:rFonts w:hint="eastAsia" w:ascii="Arial" w:hAnsi="Arial" w:cs="Arial"/>
          <w:color w:val="auto"/>
          <w:szCs w:val="21"/>
          <w:highlight w:val="none"/>
          <w:lang w:val="zh-CN"/>
        </w:rPr>
        <w:t xml:space="preserve">“苏采云”</w:t>
      </w:r>
      <w:r>
        <w:rPr>
          <w:rFonts w:hint="eastAsia" w:ascii="Arial" w:hAnsi="Arial" w:cs="Arial"/>
          <w:color w:val="auto"/>
          <w:szCs w:val="21"/>
          <w:highlight w:val="none"/>
          <w:lang w:val="zh-CN" w:eastAsia="zh-CN"/>
        </w:rPr>
        <w:t xml:space="preserve">系统规定的时间内对响应文件进行解密。</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eastAsia="zh-CN"/>
        </w:rPr>
        <w:t xml:space="preserve">9.3 供应商应充分考虑到网络环境、网络带宽等风险因素，如因供应商自身原因造成电子响应文件未</w:t>
      </w:r>
      <w:r>
        <w:rPr>
          <w:rFonts w:hint="eastAsia" w:ascii="Arial" w:hAnsi="Arial" w:cs="Arial"/>
          <w:color w:val="auto"/>
          <w:szCs w:val="21"/>
          <w:highlight w:val="none"/>
          <w:lang w:val="zh-CN"/>
        </w:rPr>
        <w:t xml:space="preserve">在“苏采云”系统规定的时间内成功解密</w:t>
      </w:r>
      <w:r>
        <w:rPr>
          <w:rFonts w:hint="eastAsia" w:ascii="Arial" w:hAnsi="Arial" w:cs="Arial"/>
          <w:color w:val="auto"/>
          <w:szCs w:val="21"/>
          <w:highlight w:val="none"/>
          <w:lang w:val="zh-CN" w:eastAsia="zh-CN"/>
        </w:rPr>
        <w:t xml:space="preserve">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不接受联合体投标。</w:t>
      </w:r>
      <w:r/>
    </w:p>
    <w:p>
      <w:pPr>
        <w:ind w:firstLine="420"/>
        <w:spacing w:line="360" w:lineRule="auto"/>
        <w:rPr>
          <w:rFonts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、磋商</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.1 磋商小组审阅供应商所递交的响应文件，凡不具备资格条件的供应商不得进入磋商程序。</w:t>
      </w:r>
      <w:r/>
    </w:p>
    <w:p>
      <w:pPr>
        <w:ind w:firstLine="420"/>
        <w:spacing w:line="360" w:lineRule="auto"/>
        <w:rPr>
          <w:rFonts w:hint="eastAsia"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.2 </w:t>
      </w:r>
      <w:r>
        <w:rPr>
          <w:rFonts w:hint="eastAsia" w:ascii="Arial" w:hAnsi="Arial" w:cs="Arial"/>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.4 如磋商文件有实质性变动的，</w:t>
      </w:r>
      <w:r>
        <w:rPr>
          <w:rFonts w:hint="eastAsia" w:ascii="Arial" w:hAnsi="Arial" w:cs="Arial"/>
          <w:color w:val="auto"/>
          <w:szCs w:val="21"/>
          <w:highlight w:val="none"/>
          <w:lang w:val="zh-CN"/>
        </w:rPr>
        <w:t xml:space="preserve">供应商应当按照磋商文件的变动情况和磋商小组的要求在苏采云系统中重新提交响应文件，并加盖电子公章</w:t>
      </w:r>
      <w:r>
        <w:rPr>
          <w:rFonts w:ascii="Arial" w:hAnsi="Arial" w:cs="Arial"/>
          <w:color w:val="auto"/>
          <w:szCs w:val="21"/>
          <w:highlight w:val="none"/>
          <w:lang w:val="zh-CN"/>
        </w:rPr>
        <w:t xml:space="preserve">。</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13.5 磋商</w:t>
      </w:r>
      <w:r>
        <w:rPr>
          <w:rFonts w:hint="eastAsia" w:ascii="Arial" w:hAnsi="Arial" w:cs="Arial"/>
          <w:color w:val="auto"/>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cs="Arial"/>
          <w:color w:val="auto"/>
          <w:szCs w:val="21"/>
          <w:highlight w:val="none"/>
          <w:lang w:val="zh-CN"/>
        </w:rPr>
      </w:pPr>
      <w:r>
        <w:rPr>
          <w:rFonts w:hint="eastAsia" w:ascii="Arial" w:hAnsi="Arial" w:cs="Arial"/>
          <w:color w:val="auto"/>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Arial" w:hAnsi="Arial" w:cs="Arial"/>
          <w:color w:val="auto"/>
          <w:szCs w:val="21"/>
          <w:highlight w:val="none"/>
          <w:lang w:val="zh-CN" w:eastAsia="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.7 出现下列情形之一的响应文件按照无效处理：</w:t>
      </w:r>
      <w:r/>
    </w:p>
    <w:p>
      <w:pPr>
        <w:ind w:firstLine="422"/>
        <w:spacing w:line="360" w:lineRule="auto"/>
        <w:rPr>
          <w:rFonts w:hint="eastAsia" w:ascii="Arial" w:hAnsi="Arial" w:eastAsia="宋体" w:cs="Arial"/>
          <w:b/>
          <w:bCs/>
          <w:color w:val="auto"/>
          <w:szCs w:val="21"/>
          <w:highlight w:val="none"/>
          <w:lang w:val="zh-CN" w:eastAsia="zh-CN"/>
        </w:rPr>
      </w:pPr>
      <w:r>
        <w:rPr>
          <w:rFonts w:ascii="Arial" w:hAnsi="Arial" w:cs="Arial"/>
          <w:b/>
          <w:bCs/>
          <w:color w:val="auto"/>
          <w:szCs w:val="21"/>
          <w:highlight w:val="none"/>
          <w:lang w:val="zh-CN"/>
        </w:rPr>
        <w:t xml:space="preserve">（</w:t>
      </w:r>
      <w:r>
        <w:rPr>
          <w:rFonts w:hint="eastAsia" w:ascii="Arial" w:hAnsi="Arial" w:cs="Arial"/>
          <w:b/>
          <w:bCs/>
          <w:color w:val="auto"/>
          <w:szCs w:val="21"/>
          <w:highlight w:val="none"/>
          <w:lang w:val="zh-CN"/>
        </w:rPr>
        <w:t xml:space="preserve">1</w:t>
      </w:r>
      <w:r>
        <w:rPr>
          <w:rFonts w:ascii="Arial" w:hAnsi="Arial" w:cs="Arial"/>
          <w:b/>
          <w:bCs/>
          <w:color w:val="auto"/>
          <w:szCs w:val="21"/>
          <w:highlight w:val="none"/>
          <w:lang w:val="zh-CN"/>
        </w:rPr>
        <w:t xml:space="preserve">）</w:t>
      </w:r>
      <w:bookmarkStart w:id="21" w:name="OLE_LINK2"/>
      <w:r>
        <w:rPr>
          <w:rFonts w:ascii="Arial" w:hAnsi="Arial" w:cs="Arial"/>
          <w:b/>
          <w:bCs/>
          <w:color w:val="auto"/>
          <w:szCs w:val="21"/>
          <w:highlight w:val="none"/>
        </w:rPr>
        <w:t xml:space="preserve">响应文件所报的投标价格超过磋商文件规定的预算价、限价</w:t>
      </w:r>
      <w:r>
        <w:rPr>
          <w:rFonts w:hint="eastAsia" w:ascii="Arial" w:hAnsi="Arial" w:cs="Arial"/>
          <w:b/>
          <w:bCs/>
          <w:color w:val="auto"/>
          <w:szCs w:val="21"/>
          <w:highlight w:val="none"/>
          <w:lang w:eastAsia="zh-CN"/>
        </w:rPr>
        <w:t xml:space="preserve">的</w:t>
      </w:r>
      <w:bookmarkEnd w:id="21"/>
      <w:r>
        <w:rPr>
          <w:rFonts w:hint="eastAsia" w:ascii="Arial" w:hAnsi="Arial" w:cs="Arial"/>
          <w:b/>
          <w:bCs/>
          <w:color w:val="auto"/>
          <w:szCs w:val="21"/>
          <w:highlight w:val="none"/>
          <w:lang w:eastAsia="zh-CN"/>
        </w:rPr>
        <w:t xml:space="preserve">；</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lang w:val="zh-CN"/>
        </w:rPr>
        <w:t xml:space="preserve">（</w:t>
      </w:r>
      <w:r>
        <w:rPr>
          <w:rFonts w:hint="eastAsia" w:ascii="Arial" w:hAnsi="Arial" w:cs="Arial"/>
          <w:b/>
          <w:bCs/>
          <w:color w:val="auto"/>
          <w:szCs w:val="21"/>
          <w:highlight w:val="none"/>
          <w:lang w:val="en-US" w:eastAsia="zh-CN"/>
        </w:rPr>
        <w:t xml:space="preserve">2</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未实质性响应</w:t>
      </w:r>
      <w:r>
        <w:rPr>
          <w:rFonts w:hint="eastAsia" w:ascii="Arial" w:hAnsi="Arial" w:cs="Arial"/>
          <w:b/>
          <w:bCs/>
          <w:color w:val="auto"/>
          <w:szCs w:val="21"/>
          <w:highlight w:val="none"/>
          <w:lang w:val="zh-CN"/>
        </w:rPr>
        <w:t xml:space="preserve">磋商</w:t>
      </w:r>
      <w:r>
        <w:rPr>
          <w:rFonts w:ascii="Arial" w:hAnsi="Arial" w:cs="Arial"/>
          <w:b/>
          <w:bCs/>
          <w:color w:val="auto"/>
          <w:szCs w:val="21"/>
          <w:highlight w:val="none"/>
          <w:lang w:val="zh-CN"/>
        </w:rPr>
        <w:t xml:space="preserve">文件要求的；</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实质性要求是指本磋商文件中用带星号（“*”）、“须（必须）”或“应（应当）”等其他文字说明的商务和技术要求。</w:t>
      </w:r>
      <w:r>
        <w:rPr>
          <w:rFonts w:hint="eastAsia" w:ascii="Arial" w:hAnsi="Arial" w:cs="Arial"/>
          <w:b/>
          <w:bCs/>
          <w:color w:val="auto"/>
          <w:szCs w:val="21"/>
          <w:highlight w:val="none"/>
          <w:lang w:val="zh-CN"/>
        </w:rPr>
        <w:t xml:space="preserve">）；</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lang w:val="zh-CN"/>
        </w:rPr>
        <w:t xml:space="preserve">（3）响应文件中已标价工程量清单与采购文件规定的暂估价、暂列金额及甲供材料价格不一致的；</w:t>
      </w:r>
      <w:r/>
    </w:p>
    <w:p>
      <w:pPr>
        <w:ind w:firstLine="422"/>
        <w:spacing w:line="360" w:lineRule="auto"/>
        <w:rPr>
          <w:rFonts w:hint="eastAsia" w:ascii="Arial" w:hAnsi="Arial" w:cs="Arial"/>
          <w:b/>
          <w:bCs/>
          <w:color w:val="auto"/>
          <w:szCs w:val="21"/>
          <w:highlight w:val="none"/>
          <w:lang w:val="zh-CN"/>
        </w:rPr>
      </w:pPr>
      <w:r>
        <w:rPr>
          <w:rFonts w:hint="eastAsia" w:ascii="Arial" w:hAnsi="Arial" w:cs="Arial"/>
          <w:b/>
          <w:bCs/>
          <w:color w:val="auto"/>
          <w:szCs w:val="21"/>
          <w:highlight w:val="none"/>
          <w:lang w:val="zh-CN"/>
        </w:rPr>
        <w:t xml:space="preserve">（4）响应文件中已标价工程量清单与采购文件明确列出的不可竞争费用项目或费率或计算基础不一致的；</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lang w:val="zh-CN"/>
        </w:rPr>
        <w:t xml:space="preserve">（5）</w:t>
      </w:r>
      <w:bookmarkStart w:id="22" w:name="OLE_LINK3"/>
      <w:r>
        <w:rPr>
          <w:rFonts w:hint="eastAsia" w:ascii="Arial" w:hAnsi="Arial" w:cs="Arial"/>
          <w:b/>
          <w:bCs/>
          <w:color w:val="auto"/>
          <w:szCs w:val="21"/>
          <w:highlight w:val="none"/>
          <w:lang w:val="zh-CN"/>
        </w:rPr>
        <w:t xml:space="preserve">响应文件中已标价工程量清单与采购文件提供的工程量清单中的项目编码、项目名称、项目特征、计量单位、工程量不一致的（措施项目增项除外）</w:t>
      </w:r>
      <w:bookmarkEnd w:id="22"/>
      <w:r>
        <w:rPr>
          <w:rFonts w:hint="eastAsia" w:ascii="Arial" w:hAnsi="Arial" w:cs="Arial"/>
          <w:b/>
          <w:bCs/>
          <w:color w:val="auto"/>
          <w:szCs w:val="21"/>
          <w:highlight w:val="none"/>
          <w:lang w:val="zh-CN"/>
        </w:rPr>
        <w:t xml:space="preserve">；</w:t>
      </w:r>
      <w:r/>
    </w:p>
    <w:p>
      <w:pPr>
        <w:ind w:firstLine="422"/>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w:t>
      </w:r>
      <w:r>
        <w:rPr>
          <w:rFonts w:hint="eastAsia" w:ascii="Arial" w:hAnsi="Arial" w:cs="Arial"/>
          <w:b/>
          <w:bCs/>
          <w:color w:val="auto"/>
          <w:szCs w:val="21"/>
          <w:highlight w:val="none"/>
          <w:lang w:val="en-US" w:eastAsia="zh-CN"/>
        </w:rPr>
        <w:t xml:space="preserve">6</w:t>
      </w:r>
      <w:r>
        <w:rPr>
          <w:rFonts w:ascii="Arial" w:hAnsi="Arial" w:cs="Arial"/>
          <w:b/>
          <w:bCs/>
          <w:color w:val="auto"/>
          <w:szCs w:val="21"/>
          <w:highlight w:val="none"/>
          <w:lang w:val="zh-CN"/>
        </w:rPr>
        <w:t xml:space="preserve">）不符合法律、法规和磋商文件规定的其他实质性要求的</w:t>
      </w:r>
      <w:r>
        <w:rPr>
          <w:rFonts w:hint="eastAsia" w:ascii="Arial" w:hAnsi="Arial" w:cs="Arial"/>
          <w:b/>
          <w:bCs/>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zh-CN"/>
        </w:rPr>
        <w:t xml:space="preserve">3</w:t>
      </w:r>
      <w:r>
        <w:rPr>
          <w:rFonts w:ascii="Arial" w:hAnsi="Arial" w:cs="Arial"/>
          <w:color w:val="auto"/>
          <w:szCs w:val="21"/>
          <w:highlight w:val="none"/>
          <w:lang w:val="zh-CN"/>
        </w:rPr>
        <w:t xml:space="preserve">.8</w:t>
      </w:r>
      <w:r>
        <w:rPr>
          <w:rFonts w:hint="eastAsia" w:ascii="Arial" w:hAnsi="Arial" w:cs="Arial"/>
          <w:color w:val="auto"/>
          <w:szCs w:val="21"/>
          <w:highlight w:val="none"/>
          <w:lang w:val="en-US" w:eastAsia="zh-CN"/>
        </w:rPr>
        <w:t xml:space="preserve"> </w:t>
      </w:r>
      <w:r>
        <w:rPr>
          <w:rFonts w:ascii="Arial" w:hAnsi="Arial" w:cs="Arial"/>
          <w:color w:val="auto"/>
          <w:szCs w:val="21"/>
          <w:highlight w:val="none"/>
          <w:lang w:val="zh-CN"/>
        </w:rPr>
        <w:t xml:space="preserve">出现下列情形之一的磋商终止：</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（1）因情况变化，不再符合规定的竞争性磋商采购方式适用情形的；</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（2）出现影响采购公正的违法、违规行为的；</w:t>
      </w:r>
      <w:r/>
    </w:p>
    <w:p>
      <w:pPr>
        <w:ind w:firstLine="420"/>
        <w:spacing w:line="360" w:lineRule="auto"/>
        <w:rPr>
          <w:rFonts w:hint="eastAsia" w:ascii="Arial" w:hAnsi="Arial" w:cs="Arial"/>
          <w:color w:val="auto"/>
          <w:szCs w:val="21"/>
          <w:highlight w:val="none"/>
          <w:lang w:val="zh-CN"/>
        </w:rPr>
      </w:pPr>
      <w:r>
        <w:rPr>
          <w:rFonts w:ascii="Arial" w:hAnsi="Arial" w:cs="Arial"/>
          <w:color w:val="auto"/>
          <w:szCs w:val="21"/>
          <w:highlight w:val="none"/>
          <w:lang w:val="zh-CN"/>
        </w:rPr>
        <w:t xml:space="preserve">（3）</w:t>
      </w:r>
      <w:r>
        <w:rPr>
          <w:rFonts w:hint="eastAsia" w:ascii="Arial" w:hAnsi="Arial" w:cs="Arial"/>
          <w:color w:val="auto"/>
          <w:szCs w:val="21"/>
          <w:highlight w:val="none"/>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lang w:val="zh-CN" w:eastAsia="zh-CN"/>
        </w:rPr>
        <w:t xml:space="preserve">4</w:t>
      </w:r>
      <w:r>
        <w:rPr>
          <w:rFonts w:hint="eastAsia" w:ascii="Arial" w:hAnsi="Arial" w:cs="Arial"/>
          <w:color w:val="auto"/>
          <w:szCs w:val="21"/>
          <w:highlight w:val="none"/>
          <w:lang w:val="zh-CN"/>
        </w:rPr>
        <w:t xml:space="preserve">）在“苏采云”系统规定时间内成功解密电子响应文件的供应商不足3家</w:t>
      </w:r>
      <w:r>
        <w:rPr>
          <w:rFonts w:hint="eastAsia" w:ascii="Arial" w:hAnsi="Arial" w:cs="Arial"/>
          <w:color w:val="auto"/>
          <w:szCs w:val="21"/>
          <w:highlight w:val="none"/>
          <w:lang w:val="zh-CN" w:eastAsia="zh-CN"/>
        </w:rPr>
        <w:t xml:space="preserve">的</w:t>
      </w:r>
      <w:r>
        <w:rPr>
          <w:rFonts w:hint="eastAsia" w:ascii="Arial" w:hAnsi="Arial" w:cs="Arial"/>
          <w:color w:val="auto"/>
          <w:szCs w:val="21"/>
          <w:highlight w:val="none"/>
          <w:lang w:val="zh-CN"/>
        </w:rPr>
        <w:t xml:space="preserve">。</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宋体" w:hAnsi="宋体" w:cs="宋体"/>
          <w:szCs w:val="21"/>
          <w:lang w:val="zh-CN"/>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 xml:space="preserve">1</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color w:val="000000"/>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szCs w:val="21"/>
          <w:highlight w:val="none"/>
          <w:lang w:eastAsia="zh-CN"/>
        </w:rPr>
        <w:t xml:space="preserve">评审</w:t>
      </w:r>
      <w:r>
        <w:rPr>
          <w:rFonts w:ascii="Arial" w:hAnsi="Arial" w:cs="Arial"/>
          <w:color w:val="auto"/>
          <w:szCs w:val="21"/>
          <w:highlight w:val="none"/>
        </w:rPr>
        <w:t xml:space="preserve">委员会将综合排名第一的供应商确定为中标供应商。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color w:val="auto"/>
          <w:szCs w:val="21"/>
          <w:highlight w:val="none"/>
          <w:lang w:val="zh-CN"/>
        </w:rPr>
      </w:pPr>
      <w:r>
        <w:rPr>
          <w:rFonts w:hint="eastAsia" w:ascii="Arial" w:hAnsi="Arial"/>
          <w:color w:val="auto"/>
          <w:szCs w:val="21"/>
          <w:highlight w:val="none"/>
          <w:lang w:val="en-US" w:eastAsia="zh-CN"/>
        </w:rPr>
        <w:t xml:space="preserve">15.3</w:t>
      </w:r>
      <w:r>
        <w:rPr>
          <w:rFonts w:ascii="Arial" w:hAnsi="Arial"/>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olor w:val="auto"/>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lang w:val="zh-CN"/>
        </w:rPr>
        <w:t xml:space="preserve">.</w:t>
      </w:r>
      <w:r>
        <w:rPr>
          <w:rFonts w:hint="eastAsia" w:ascii="Arial" w:hAnsi="Arial" w:cs="Arial"/>
          <w:color w:val="auto"/>
          <w:szCs w:val="21"/>
          <w:highlight w:val="none"/>
          <w:lang w:val="en-US" w:eastAsia="zh-CN"/>
        </w:rPr>
        <w:t xml:space="preserve">4</w:t>
      </w:r>
      <w:r>
        <w:rPr>
          <w:rFonts w:ascii="Arial" w:hAnsi="Arial" w:cs="Arial"/>
          <w:color w:val="auto"/>
          <w:szCs w:val="21"/>
          <w:highlight w:val="none"/>
          <w:lang w:val="zh-CN"/>
        </w:rPr>
        <w:t xml:space="preserve"> 成交通知书对采购人和成交供应商具有同等法律效力。</w:t>
      </w:r>
      <w:r/>
    </w:p>
    <w:p>
      <w:pPr>
        <w:ind w:firstLine="420"/>
        <w:keepLines w:val="0"/>
        <w:keepNext w:val="0"/>
        <w:pageBreakBefore w:val="0"/>
        <w:spacing w:line="360" w:lineRule="auto"/>
        <w:shd w:val="clear" w:color="auto" w:fill="ffffff"/>
        <w:widowControl/>
        <w:rPr>
          <w:rFonts w:ascii="Arial" w:hAnsi="Arial" w:eastAsia="宋体" w:cs="Arial"/>
          <w:color w:val="auto"/>
          <w:szCs w:val="21"/>
          <w:highlight w:val="none"/>
          <w:lang w:val="zh-CN"/>
        </w:rPr>
      </w:pPr>
      <w:r>
        <w:rPr>
          <w:rFonts w:ascii="Arial" w:hAnsi="Arial" w:eastAsia="宋体" w:cs="Arial"/>
          <w:color w:val="auto"/>
          <w:szCs w:val="21"/>
          <w:highlight w:val="none"/>
          <w:lang w:val="zh-CN"/>
        </w:rPr>
        <w:t xml:space="preserve">1</w:t>
      </w:r>
      <w:r>
        <w:rPr>
          <w:rFonts w:hint="eastAsia" w:ascii="Arial" w:hAnsi="Arial" w:eastAsia="宋体" w:cs="Arial"/>
          <w:color w:val="auto"/>
          <w:szCs w:val="21"/>
          <w:highlight w:val="none"/>
          <w:lang w:val="en-US" w:eastAsia="zh-CN"/>
        </w:rPr>
        <w:t xml:space="preserve">5</w:t>
      </w:r>
      <w:r>
        <w:rPr>
          <w:rFonts w:ascii="Arial" w:hAnsi="Arial" w:eastAsia="宋体" w:cs="Arial"/>
          <w:color w:val="auto"/>
          <w:szCs w:val="21"/>
          <w:highlight w:val="none"/>
          <w:lang w:val="zh-CN"/>
        </w:rPr>
        <w:t xml:space="preserve">.</w:t>
      </w:r>
      <w:r>
        <w:rPr>
          <w:rFonts w:hint="eastAsia" w:ascii="Arial" w:hAnsi="Arial" w:eastAsia="宋体" w:cs="Arial"/>
          <w:color w:val="auto"/>
          <w:szCs w:val="21"/>
          <w:highlight w:val="none"/>
          <w:lang w:val="en-US" w:eastAsia="zh-CN"/>
        </w:rPr>
        <w:t xml:space="preserve">5</w:t>
      </w:r>
      <w:r>
        <w:rPr>
          <w:rFonts w:ascii="Arial" w:hAnsi="Arial" w:eastAsia="宋体" w:cs="Arial"/>
          <w:color w:val="auto"/>
          <w:szCs w:val="21"/>
          <w:highlight w:val="none"/>
          <w:lang w:val="zh-CN"/>
        </w:rPr>
        <w:t xml:space="preserve"> </w:t>
      </w:r>
      <w:r>
        <w:rPr>
          <w:rFonts w:hint="eastAsia" w:ascii="Arial" w:hAnsi="Arial" w:eastAsia="宋体" w:cs="Arial"/>
          <w:color w:val="auto"/>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color w:val="auto"/>
          <w:szCs w:val="21"/>
          <w:highlight w:val="none"/>
        </w:rPr>
        <w:t xml:space="preserve">1</w:t>
      </w:r>
      <w:r>
        <w:rPr>
          <w:rFonts w:hint="eastAsia" w:ascii="Arial" w:hAnsi="Arial" w:cs="Arial"/>
          <w:color w:val="auto"/>
          <w:szCs w:val="21"/>
          <w:highlight w:val="none"/>
          <w:lang w:val="en-US" w:eastAsia="zh-CN"/>
        </w:rPr>
        <w:t xml:space="preserve">5</w:t>
      </w:r>
      <w:r>
        <w:rPr>
          <w:rFonts w:ascii="Arial" w:hAnsi="Arial" w:cs="Arial"/>
          <w:color w:val="auto"/>
          <w:szCs w:val="21"/>
          <w:highlight w:val="none"/>
        </w:rPr>
        <w:t xml:space="preserve">.</w:t>
      </w:r>
      <w:r>
        <w:rPr>
          <w:rFonts w:hint="eastAsia" w:ascii="Arial" w:hAnsi="Arial" w:cs="Arial"/>
          <w:color w:val="auto"/>
          <w:szCs w:val="21"/>
          <w:highlight w:val="none"/>
          <w:lang w:val="en-US" w:eastAsia="zh-CN"/>
        </w:rPr>
        <w:t xml:space="preserve">6</w:t>
      </w:r>
      <w:r>
        <w:rPr>
          <w:rFonts w:ascii="Arial" w:hAnsi="Arial" w:cs="Arial"/>
          <w:color w:val="auto"/>
          <w:szCs w:val="21"/>
          <w:highlight w:val="none"/>
        </w:rPr>
        <w:t xml:space="preserve"> 所有响应文件不论成交与否，均不退回。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、质疑和投诉</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w:t>
      </w:r>
      <w:r>
        <w:rPr>
          <w:rFonts w:hint="eastAsia" w:ascii="宋体" w:hAnsi="宋体" w:cs="宋体"/>
          <w:szCs w:val="21"/>
          <w:lang w:val="en-US" w:eastAsia="zh-CN"/>
        </w:rPr>
        <w:t xml:space="preserve">采购人或</w:t>
      </w:r>
      <w:r>
        <w:rPr>
          <w:rFonts w:hint="eastAsia" w:ascii="宋体" w:hAnsi="宋体" w:cs="宋体"/>
          <w:szCs w:val="21"/>
          <w:lang w:val="zh-CN"/>
        </w:rPr>
        <w:t xml:space="preserve">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rPr>
          <w:rFonts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0"/>
        <w:spacing w:line="360" w:lineRule="auto"/>
        <w:rPr>
          <w:rFonts w:ascii="宋体" w:hAnsi="宋体" w:cs="宋体"/>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cs="宋体"/>
          <w:szCs w:val="21"/>
          <w:lang w:val="zh-CN"/>
        </w:rPr>
      </w:pPr>
      <w:r>
        <w:rPr>
          <w:rFonts w:hint="eastAsia" w:ascii="宋体" w:hAnsi="宋体" w:cs="宋体"/>
          <w:szCs w:val="21"/>
        </w:rPr>
        <w:t xml:space="preserve">七</w:t>
      </w:r>
      <w:r>
        <w:rPr>
          <w:rFonts w:hint="eastAsia" w:ascii="宋体" w:hAnsi="宋体" w:cs="宋体"/>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lang w:val="zh-CN"/>
        </w:rPr>
      </w:pPr>
      <w:r>
        <w:rPr>
          <w:rFonts w:hint="eastAsia" w:ascii="宋体" w:hAnsi="宋体" w:cs="宋体"/>
          <w:szCs w:val="21"/>
        </w:rPr>
        <w:t xml:space="preserve">20</w:t>
      </w:r>
      <w:r>
        <w:rPr>
          <w:rFonts w:hint="eastAsia" w:ascii="宋体" w:hAnsi="宋体" w:cs="宋体"/>
          <w:szCs w:val="21"/>
          <w:lang w:val="zh-CN"/>
        </w:rPr>
        <w:t xml:space="preserve">.2本次采购收取代理服务费参照《招标代理服务费管理暂行办法》（国家发展计划委员会计价格【2002】1980号）招标收费基准费率</w:t>
      </w:r>
      <w:r>
        <w:rPr>
          <w:rFonts w:hint="eastAsia" w:ascii="宋体" w:hAnsi="宋体" w:cs="宋体"/>
          <w:szCs w:val="21"/>
          <w:lang w:val="en-US" w:eastAsia="zh-CN"/>
        </w:rPr>
        <w:t xml:space="preserve">70%</w:t>
      </w:r>
      <w:r>
        <w:rPr>
          <w:rFonts w:hint="eastAsia" w:ascii="宋体" w:hAnsi="宋体" w:cs="宋体"/>
          <w:szCs w:val="21"/>
          <w:lang w:val="zh-CN"/>
        </w:rPr>
        <w:t xml:space="preserve">计</w:t>
      </w:r>
      <w:r>
        <w:rPr>
          <w:rFonts w:hint="eastAsia" w:ascii="宋体" w:hAnsi="宋体" w:cs="宋体"/>
          <w:szCs w:val="21"/>
          <w:highlight w:val="none"/>
          <w:lang w:val="zh-CN"/>
        </w:rPr>
        <w:t xml:space="preserve">算（</w:t>
      </w:r>
      <w:r>
        <w:rPr>
          <w:rFonts w:hint="eastAsia" w:ascii="宋体" w:hAnsi="宋体" w:cs="宋体"/>
          <w:szCs w:val="21"/>
          <w:highlight w:val="none"/>
          <w:lang w:val="en-US" w:eastAsia="zh-CN"/>
        </w:rPr>
        <w:t xml:space="preserve">最低6000元</w:t>
      </w:r>
      <w:r>
        <w:rPr>
          <w:rFonts w:hint="eastAsia" w:ascii="宋体" w:hAnsi="宋体" w:cs="宋体"/>
          <w:szCs w:val="21"/>
          <w:highlight w:val="none"/>
          <w:lang w:val="zh-CN"/>
        </w:rPr>
        <w:t xml:space="preserve">）</w:t>
      </w:r>
      <w:r>
        <w:rPr>
          <w:rFonts w:hint="eastAsia"/>
          <w:highlight w:val="none"/>
          <w:lang w:val="zh-CN"/>
        </w:rPr>
        <w:t xml:space="preserve">，</w:t>
      </w:r>
      <w:r>
        <w:rPr>
          <w:rFonts w:hint="eastAsia" w:ascii="宋体" w:hAnsi="宋体" w:cs="宋体"/>
          <w:szCs w:val="21"/>
          <w:lang w:val="zh-CN"/>
        </w:rPr>
        <w:t xml:space="preserve">成交</w:t>
      </w:r>
      <w:r>
        <w:rPr>
          <w:rFonts w:hint="eastAsia" w:ascii="宋体" w:hAnsi="宋体" w:cs="宋体"/>
          <w:szCs w:val="21"/>
        </w:rPr>
        <w:t xml:space="preserve">供应商</w:t>
      </w:r>
      <w:r>
        <w:rPr>
          <w:rFonts w:hint="eastAsia" w:ascii="宋体" w:hAnsi="宋体" w:cs="宋体"/>
          <w:szCs w:val="21"/>
          <w:lang w:val="zh-CN"/>
        </w:rPr>
        <w:t xml:space="preserve">领取成交通知书时向采购代理机构缴纳费用，此项费用不单独开列而应计入投标报价。</w:t>
      </w:r>
      <w:r/>
    </w:p>
    <w:p>
      <w:pPr>
        <w:ind w:firstLine="420"/>
        <w:spacing w:line="360" w:lineRule="auto"/>
        <w:rPr>
          <w:rFonts w:ascii="宋体" w:hAnsi="宋体" w:cs="宋体"/>
          <w:szCs w:val="21"/>
        </w:rPr>
      </w:pPr>
      <w:r>
        <w:rPr>
          <w:rFonts w:hint="eastAsia" w:ascii="宋体" w:hAnsi="宋体" w:cs="宋体"/>
          <w:szCs w:val="21"/>
        </w:rPr>
        <w:t xml:space="preserve">九</w:t>
      </w:r>
      <w:r>
        <w:rPr>
          <w:rFonts w:hint="eastAsia" w:ascii="宋体" w:hAnsi="宋体" w:cs="宋体"/>
          <w:szCs w:val="21"/>
          <w:lang w:val="zh-CN"/>
        </w:rPr>
        <w:t xml:space="preserve">、</w:t>
      </w:r>
      <w:r>
        <w:rPr>
          <w:rFonts w:hint="eastAsia" w:ascii="宋体" w:hAnsi="宋体" w:cs="宋体"/>
          <w:szCs w:val="21"/>
        </w:rPr>
        <w:t xml:space="preserve">其它</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21、绿色采购</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21.1本项目根据江苏省财政厅关于加强政府绿色采购有关事项的通知（苏财购〔2023〕65号）规定，执行绿色采购需求标准。</w:t>
      </w:r>
      <w:r/>
    </w:p>
    <w:p>
      <w:pPr>
        <w:pStyle w:val="1235"/>
        <w:ind w:firstLine="422"/>
        <w:rPr>
          <w:rFonts w:ascii="宋体" w:hAnsi="宋体" w:cs="宋体"/>
          <w:b/>
          <w:szCs w:val="21"/>
        </w:rPr>
        <w:sectPr>
          <w:footerReference w:type="default" r:id="rId16"/>
          <w:footerReference w:type="first" r:id="rId17"/>
          <w:footnotePr/>
          <w:endnotePr/>
          <w:type w:val="continuous"/>
          <w:pgSz w:w="11906" w:h="16838" w:orient="portrait"/>
          <w:pgMar w:top="1440" w:right="1800" w:bottom="1440" w:left="1600" w:header="851" w:footer="992" w:gutter="0"/>
          <w:cols w:num="1" w:sep="0" w:space="720" w:equalWidth="1"/>
          <w:docGrid w:linePitch="360"/>
          <w:titlePg/>
        </w:sectPr>
      </w:pPr>
      <w:r>
        <w:rPr>
          <w:rFonts w:ascii="宋体" w:hAnsi="宋体" w:cs="宋体"/>
          <w:b/>
          <w:szCs w:val="21"/>
        </w:rPr>
      </w:r>
      <w:r/>
    </w:p>
    <w:p>
      <w:pPr>
        <w:pStyle w:val="1235"/>
        <w:ind w:firstLine="422"/>
        <w:rPr>
          <w:rFonts w:ascii="宋体" w:hAnsi="宋体" w:cs="宋体"/>
          <w:b/>
          <w:szCs w:val="21"/>
          <w:lang w:val="zh-CN"/>
        </w:rPr>
      </w:pPr>
      <w:r>
        <w:rPr>
          <w:rFonts w:ascii="宋体" w:hAnsi="宋体" w:cs="宋体"/>
          <w:b/>
          <w:szCs w:val="21"/>
          <w:lang w:val="zh-CN"/>
        </w:rPr>
      </w:r>
      <w:r/>
    </w:p>
    <w:p>
      <w:pPr>
        <w:spacing w:line="360" w:lineRule="auto"/>
        <w:rPr>
          <w:rFonts w:ascii="宋体" w:hAnsi="宋体" w:cs="宋体"/>
          <w:szCs w:val="21"/>
        </w:rPr>
      </w:pPr>
      <w:r>
        <w:rPr>
          <w:rFonts w:ascii="宋体" w:hAnsi="宋体" w:cs="宋体"/>
          <w:szCs w:val="21"/>
        </w:rPr>
      </w:r>
      <w:r/>
    </w:p>
    <w:p>
      <w:pPr>
        <w:pStyle w:val="1154"/>
        <w:rPr>
          <w:rFonts w:ascii="宋体" w:hAnsi="宋体" w:cs="宋体"/>
          <w:lang w:val="zh-CN"/>
        </w:rPr>
      </w:pPr>
      <w:r/>
      <w:bookmarkStart w:id="23" w:name="_Toc614"/>
      <w:r>
        <w:rPr>
          <w:rFonts w:hint="eastAsia" w:ascii="宋体" w:hAnsi="宋体" w:cs="宋体"/>
          <w:lang w:val="zh-CN"/>
        </w:rPr>
        <w:br w:type="page" w:clear="all"/>
      </w:r>
      <w:r>
        <w:rPr>
          <w:rFonts w:hint="eastAsia" w:ascii="宋体" w:hAnsi="宋体" w:cs="宋体"/>
          <w:lang w:val="zh-CN"/>
        </w:rPr>
        <w:t xml:space="preserve">第三章 评标标准</w:t>
      </w:r>
      <w:bookmarkEnd w:id="23"/>
      <w:r/>
      <w:r/>
    </w:p>
    <w:p>
      <w:pPr>
        <w:spacing w:line="360" w:lineRule="auto"/>
        <w:shd w:val="clear" w:color="auto" w:fill="ffffff"/>
        <w:widowControl/>
        <w:rPr>
          <w:rFonts w:ascii="宋体" w:hAnsi="宋体" w:cs="宋体"/>
          <w:b/>
          <w:bCs/>
          <w:szCs w:val="21"/>
        </w:rPr>
      </w:pPr>
      <w:r>
        <w:rPr>
          <w:rFonts w:ascii="宋体" w:hAnsi="宋体" w:cs="宋体"/>
          <w:b/>
          <w:bCs/>
          <w:szCs w:val="21"/>
        </w:rPr>
      </w:r>
      <w:r/>
    </w:p>
    <w:p>
      <w:pPr>
        <w:ind w:firstLine="420"/>
        <w:spacing w:line="360" w:lineRule="auto"/>
        <w:rPr>
          <w:rFonts w:ascii="宋体" w:hAnsi="宋体" w:cs="宋体"/>
          <w:highlight w:val="yellow"/>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1106"/>
        <w:tblW w:w="9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4"/>
        <w:gridCol w:w="1128"/>
        <w:gridCol w:w="6658"/>
        <w:gridCol w:w="684"/>
      </w:tblGrid>
      <w:tr>
        <w:trPr>
          <w:jc w:val="center"/>
          <w:trHeight w:val="590"/>
        </w:trPr>
        <w:tc>
          <w:tcPr>
            <w:tcMar>
              <w:left w:w="12" w:type="dxa"/>
              <w:top w:w="12" w:type="dxa"/>
              <w:right w:w="12" w:type="dxa"/>
            </w:tcMar>
            <w:tcW w:w="582" w:type="dxa"/>
            <w:vAlign w:val="center"/>
            <w:textDirection w:val="lrTb"/>
            <w:noWrap w:val="false"/>
          </w:tcPr>
          <w:p>
            <w:pPr>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p>
        </w:tc>
        <w:tc>
          <w:tcPr>
            <w:tcMar>
              <w:left w:w="12" w:type="dxa"/>
              <w:top w:w="12" w:type="dxa"/>
              <w:right w:w="12" w:type="dxa"/>
            </w:tcMar>
            <w:tcW w:w="1105" w:type="dxa"/>
            <w:vAlign w:val="center"/>
            <w:textDirection w:val="lrTb"/>
            <w:noWrap w:val="false"/>
          </w:tcPr>
          <w:p>
            <w:pPr>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评审因素</w:t>
            </w:r>
            <w:r/>
          </w:p>
        </w:tc>
        <w:tc>
          <w:tcPr>
            <w:tcMar>
              <w:left w:w="12" w:type="dxa"/>
              <w:top w:w="12" w:type="dxa"/>
              <w:right w:w="12" w:type="dxa"/>
            </w:tcMar>
            <w:tcW w:w="6521" w:type="dxa"/>
            <w:vAlign w:val="center"/>
            <w:textDirection w:val="lrTb"/>
            <w:noWrap w:val="false"/>
          </w:tcPr>
          <w:p>
            <w:pPr>
              <w:ind w:firstLine="422"/>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评审细则</w:t>
            </w:r>
            <w:r/>
          </w:p>
        </w:tc>
        <w:tc>
          <w:tcPr>
            <w:tcMar>
              <w:left w:w="12" w:type="dxa"/>
              <w:top w:w="12" w:type="dxa"/>
              <w:right w:w="12" w:type="dxa"/>
            </w:tcMar>
            <w:tcW w:w="669" w:type="dxa"/>
            <w:vAlign w:val="center"/>
            <w:textDirection w:val="lrTb"/>
            <w:noWrap w:val="false"/>
          </w:tcPr>
          <w:p>
            <w:pPr>
              <w:jc w:val="center"/>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分值</w:t>
            </w:r>
            <w:r/>
          </w:p>
        </w:tc>
      </w:tr>
      <w:tr>
        <w:trPr>
          <w:jc w:val="center"/>
          <w:trHeight w:val="1002"/>
        </w:trPr>
        <w:tc>
          <w:tcPr>
            <w:tcMar>
              <w:left w:w="12" w:type="dxa"/>
              <w:top w:w="12" w:type="dxa"/>
              <w:right w:w="12" w:type="dxa"/>
            </w:tcMar>
            <w:tcW w:w="582" w:type="dxa"/>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Mar>
              <w:left w:w="12" w:type="dxa"/>
              <w:top w:w="12" w:type="dxa"/>
              <w:right w:w="12" w:type="dxa"/>
            </w:tcMar>
            <w:tcW w:w="1105" w:type="dxa"/>
            <w:vAlign w:val="center"/>
            <w:textDirection w:val="lrTb"/>
            <w:noWrap w:val="false"/>
          </w:tcPr>
          <w:p>
            <w:pPr>
              <w:ind w:firstLine="0"/>
              <w:jc w:val="center"/>
              <w:spacing w:line="240" w:lineRule="auto"/>
              <w:widowControl/>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lang w:val="en-US" w:eastAsia="zh-CN" w:bidi="ar"/>
              </w:rPr>
              <w:t xml:space="preserve">投标报</w:t>
            </w:r>
            <w:r>
              <w:rPr>
                <w:rFonts w:hint="eastAsia" w:ascii="宋体" w:hAnsi="宋体" w:eastAsia="宋体" w:cs="宋体"/>
                <w:b w:val="0"/>
                <w:bCs/>
                <w:color w:val="auto"/>
                <w:szCs w:val="21"/>
                <w:highlight w:val="none"/>
                <w:lang w:bidi="ar"/>
              </w:rPr>
              <w:t xml:space="preserve">价</w:t>
            </w:r>
            <w:r/>
          </w:p>
        </w:tc>
        <w:tc>
          <w:tcPr>
            <w:tcMar>
              <w:left w:w="12" w:type="dxa"/>
              <w:top w:w="12" w:type="dxa"/>
              <w:right w:w="12" w:type="dxa"/>
            </w:tcMar>
            <w:tcW w:w="6521" w:type="dxa"/>
            <w:vAlign w:val="center"/>
            <w:textDirection w:val="lrTb"/>
            <w:noWrap w:val="false"/>
          </w:tcPr>
          <w:p>
            <w:pPr>
              <w:ind w:firstLine="420"/>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b w:val="0"/>
                <w:bCs/>
                <w:color w:val="auto"/>
                <w:szCs w:val="21"/>
                <w:highlight w:val="none"/>
                <w:lang w:val="en-US" w:eastAsia="zh-CN"/>
              </w:rPr>
              <w:t xml:space="preserve">35</w:t>
            </w:r>
            <w:r>
              <w:rPr>
                <w:rFonts w:hint="eastAsia" w:ascii="宋体" w:hAnsi="宋体" w:eastAsia="宋体" w:cs="宋体"/>
                <w:b w:val="0"/>
                <w:bCs/>
                <w:color w:val="auto"/>
                <w:szCs w:val="21"/>
                <w:highlight w:val="none"/>
              </w:rPr>
              <w:t xml:space="preserve">；（结果保留两位小数）</w:t>
            </w:r>
            <w:r/>
          </w:p>
        </w:tc>
        <w:tc>
          <w:tcPr>
            <w:tcMar>
              <w:left w:w="12" w:type="dxa"/>
              <w:top w:w="12" w:type="dxa"/>
              <w:right w:w="12" w:type="dxa"/>
            </w:tcMar>
            <w:tcW w:w="669" w:type="dxa"/>
            <w:vAlign w:val="center"/>
            <w:textDirection w:val="lrTb"/>
            <w:noWrap w:val="false"/>
          </w:tcPr>
          <w:p>
            <w:pPr>
              <w:jc w:val="center"/>
              <w:spacing w:line="24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35</w:t>
            </w:r>
            <w:r/>
          </w:p>
        </w:tc>
      </w:tr>
      <w:tr>
        <w:trPr>
          <w:jc w:val="center"/>
          <w:trHeight w:val="5040"/>
        </w:trPr>
        <w:tc>
          <w:tcPr>
            <w:tcMar>
              <w:left w:w="12" w:type="dxa"/>
              <w:top w:w="12" w:type="dxa"/>
              <w:right w:w="12" w:type="dxa"/>
            </w:tcMar>
            <w:tcW w:w="582" w:type="dxa"/>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Mar>
              <w:left w:w="12" w:type="dxa"/>
              <w:top w:w="12" w:type="dxa"/>
              <w:right w:w="12" w:type="dxa"/>
            </w:tcMar>
            <w:tcW w:w="1105" w:type="dxa"/>
            <w:vAlign w:val="center"/>
            <w:textDirection w:val="lrTb"/>
            <w:noWrap w:val="false"/>
          </w:tcPr>
          <w:p>
            <w:pPr>
              <w:ind w:firstLine="0"/>
              <w:jc w:val="center"/>
              <w:spacing w:line="240" w:lineRule="auto"/>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bidi="ar"/>
              </w:rPr>
              <w:t xml:space="preserve">投入本项目人员</w:t>
            </w:r>
            <w:r/>
          </w:p>
        </w:tc>
        <w:tc>
          <w:tcPr>
            <w:tcMar>
              <w:left w:w="12" w:type="dxa"/>
              <w:top w:w="12" w:type="dxa"/>
              <w:right w:w="12" w:type="dxa"/>
            </w:tcMar>
            <w:tcW w:w="6521" w:type="dxa"/>
            <w:vAlign w:val="center"/>
            <w:textDirection w:val="lrTb"/>
            <w:noWrap w:val="false"/>
          </w:tcPr>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(1）拟派项目负责人具有工程类</w:t>
            </w:r>
            <w:r>
              <w:rPr>
                <w:rFonts w:hint="eastAsia" w:ascii="宋体" w:hAnsi="宋体" w:eastAsia="宋体" w:cs="宋体"/>
                <w:b w:val="0"/>
                <w:bCs w:val="0"/>
                <w:color w:val="auto"/>
                <w:szCs w:val="21"/>
                <w:highlight w:val="none"/>
                <w:u w:val="single"/>
              </w:rPr>
              <w:t xml:space="preserve">中级工程师职称</w:t>
            </w:r>
            <w:r>
              <w:rPr>
                <w:rFonts w:hint="eastAsia" w:ascii="宋体" w:hAnsi="宋体" w:eastAsia="宋体" w:cs="宋体"/>
                <w:b w:val="0"/>
                <w:bCs w:val="0"/>
                <w:color w:val="auto"/>
                <w:szCs w:val="21"/>
                <w:highlight w:val="none"/>
              </w:rPr>
              <w:t xml:space="preserve">得</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分，具有工程类高级工程师职称得</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满分</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分。（提供有效期内的职称证书复印件加盖供应商公章）</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(2）技术负责人1名：具有</w:t>
            </w:r>
            <w:r>
              <w:rPr>
                <w:rFonts w:hint="eastAsia" w:ascii="宋体" w:hAnsi="宋体" w:eastAsia="宋体" w:cs="宋体"/>
                <w:b w:val="0"/>
                <w:bCs w:val="0"/>
                <w:color w:val="auto"/>
                <w:szCs w:val="21"/>
                <w:highlight w:val="none"/>
                <w:u w:val="single"/>
              </w:rPr>
              <w:t xml:space="preserve">注册建造师证建筑工程二级及以上</w:t>
            </w:r>
            <w:r>
              <w:rPr>
                <w:rFonts w:hint="eastAsia" w:ascii="宋体" w:hAnsi="宋体" w:eastAsia="宋体" w:cs="宋体"/>
                <w:b w:val="0"/>
                <w:bCs w:val="0"/>
                <w:color w:val="auto"/>
                <w:szCs w:val="21"/>
                <w:highlight w:val="none"/>
              </w:rPr>
              <w:t xml:space="preserve">得</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分。（提供有效的证书复印件加盖供应商公章）</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）安全员1名：具有</w:t>
            </w:r>
            <w:r>
              <w:rPr>
                <w:rFonts w:hint="eastAsia" w:ascii="宋体" w:hAnsi="宋体" w:eastAsia="宋体" w:cs="宋体"/>
                <w:b w:val="0"/>
                <w:bCs w:val="0"/>
                <w:color w:val="auto"/>
                <w:szCs w:val="21"/>
                <w:highlight w:val="none"/>
                <w:u w:val="single"/>
              </w:rPr>
              <w:t xml:space="preserve">安全生产考核合格证书（C证）</w:t>
            </w:r>
            <w:r>
              <w:rPr>
                <w:rFonts w:hint="eastAsia" w:ascii="宋体" w:hAnsi="宋体" w:eastAsia="宋体" w:cs="宋体"/>
                <w:b w:val="0"/>
                <w:bCs w:val="0"/>
                <w:color w:val="auto"/>
                <w:szCs w:val="21"/>
                <w:highlight w:val="none"/>
              </w:rPr>
              <w:t xml:space="preserve">的得</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分；（提供有效的证书复印件加盖供应商公章）</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）拟派项目组成员具有</w:t>
            </w:r>
            <w:r>
              <w:rPr>
                <w:rFonts w:hint="eastAsia" w:ascii="宋体" w:hAnsi="宋体" w:eastAsia="宋体" w:cs="宋体"/>
                <w:b w:val="0"/>
                <w:bCs w:val="0"/>
                <w:color w:val="auto"/>
                <w:szCs w:val="21"/>
                <w:highlight w:val="none"/>
                <w:u w:val="single"/>
              </w:rPr>
              <w:t xml:space="preserve">材料员、造价员、质量员、施工员</w:t>
            </w:r>
            <w:r>
              <w:rPr>
                <w:rFonts w:hint="eastAsia" w:ascii="宋体" w:hAnsi="宋体" w:eastAsia="宋体" w:cs="宋体"/>
                <w:b w:val="0"/>
                <w:bCs w:val="0"/>
                <w:color w:val="auto"/>
                <w:szCs w:val="21"/>
                <w:highlight w:val="none"/>
              </w:rPr>
              <w:t xml:space="preserve">各一名，每提供一个得</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分，满分</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分。</w:t>
            </w:r>
            <w:r>
              <w:rPr>
                <w:rFonts w:hint="eastAsia" w:ascii="宋体" w:hAnsi="宋体" w:eastAsia="宋体" w:cs="宋体"/>
                <w:b w:val="0"/>
                <w:bCs w:val="0"/>
                <w:color w:val="auto"/>
                <w:szCs w:val="21"/>
                <w:highlight w:val="none"/>
                <w:lang w:val="en-US" w:eastAsia="zh-CN"/>
              </w:rPr>
              <w:t xml:space="preserve">以上人员</w:t>
            </w:r>
            <w:r>
              <w:rPr>
                <w:rFonts w:hint="eastAsia" w:ascii="宋体" w:hAnsi="宋体" w:eastAsia="宋体" w:cs="宋体"/>
                <w:b w:val="0"/>
                <w:bCs w:val="0"/>
                <w:color w:val="auto"/>
                <w:szCs w:val="21"/>
                <w:highlight w:val="none"/>
              </w:rPr>
              <w:t xml:space="preserve">具有工程类中级工程师职称</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每提供一个1</w:t>
            </w:r>
            <w:r>
              <w:rPr>
                <w:rFonts w:hint="eastAsia" w:ascii="宋体" w:hAnsi="宋体" w:eastAsia="宋体" w:cs="宋体"/>
                <w:b w:val="0"/>
                <w:bCs w:val="0"/>
                <w:color w:val="auto"/>
                <w:szCs w:val="21"/>
                <w:highlight w:val="none"/>
              </w:rPr>
              <w:t xml:space="preserve">分，满分</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分（提供有效的证书复印件加盖供应商公章）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 w:val="0"/>
                <w:bCs w:val="0"/>
                <w:color w:val="auto"/>
                <w:szCs w:val="21"/>
                <w:highlight w:val="none"/>
              </w:rPr>
              <w:t xml:space="preserve">以上各人员不得重复得分，（</w:t>
            </w:r>
            <w:r>
              <w:rPr>
                <w:rFonts w:hint="eastAsia" w:ascii="宋体" w:hAnsi="宋体" w:eastAsia="宋体" w:cs="宋体"/>
                <w:b w:val="0"/>
                <w:bCs w:val="0"/>
                <w:color w:val="auto"/>
                <w:szCs w:val="21"/>
                <w:highlight w:val="none"/>
                <w:lang w:val="en-US" w:eastAsia="zh-CN"/>
              </w:rPr>
              <w:t xml:space="preserve">即</w:t>
            </w:r>
            <w:r>
              <w:rPr>
                <w:rFonts w:hint="eastAsia" w:ascii="宋体" w:hAnsi="宋体" w:eastAsia="宋体" w:cs="宋体"/>
                <w:b w:val="0"/>
                <w:bCs w:val="0"/>
                <w:color w:val="auto"/>
                <w:szCs w:val="21"/>
                <w:highlight w:val="none"/>
              </w:rPr>
              <w:t xml:space="preserve">一人多证不可兼得）同时提供有效期内的人员证书复印件及社保机构出具的近半年（202</w:t>
            </w: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年12月</w:t>
            </w:r>
            <w:r>
              <w:rPr>
                <w:rFonts w:hint="eastAsia" w:ascii="宋体" w:hAnsi="宋体" w:eastAsia="宋体" w:cs="宋体"/>
                <w:b w:val="0"/>
                <w:bCs w:val="0"/>
                <w:color w:val="auto"/>
                <w:szCs w:val="21"/>
                <w:highlight w:val="none"/>
                <w:lang w:val="en-US" w:eastAsia="zh-CN"/>
              </w:rPr>
              <w:t xml:space="preserve">以来</w:t>
            </w:r>
            <w:r>
              <w:rPr>
                <w:rFonts w:hint="eastAsia" w:ascii="宋体" w:hAnsi="宋体" w:eastAsia="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任意一个月</w:t>
            </w:r>
            <w:r>
              <w:rPr>
                <w:rFonts w:hint="eastAsia" w:ascii="宋体" w:hAnsi="宋体" w:eastAsia="宋体" w:cs="宋体"/>
                <w:b w:val="0"/>
                <w:bCs w:val="0"/>
                <w:color w:val="auto"/>
                <w:szCs w:val="21"/>
                <w:highlight w:val="none"/>
              </w:rPr>
              <w:t xml:space="preserve">供应商为其缴纳的养老保险缴费证明材料并加盖社保中心章或社保中心参保缴费证明电子专用章，加盖社保中心参保缴费证明电子专用章的社保材料可视为原件，未提供的不得分。</w:t>
            </w:r>
            <w:r/>
          </w:p>
        </w:tc>
        <w:tc>
          <w:tcPr>
            <w:tcMar>
              <w:left w:w="12" w:type="dxa"/>
              <w:top w:w="12" w:type="dxa"/>
              <w:right w:w="12" w:type="dxa"/>
            </w:tcMar>
            <w:tcW w:w="669" w:type="dxa"/>
            <w:vAlign w:val="center"/>
            <w:textDirection w:val="lrTb"/>
            <w:noWrap w:val="false"/>
          </w:tcPr>
          <w:p>
            <w:pPr>
              <w:jc w:val="center"/>
              <w:spacing w:line="24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14</w:t>
            </w:r>
            <w:r/>
          </w:p>
        </w:tc>
      </w:tr>
      <w:tr>
        <w:trPr>
          <w:jc w:val="center"/>
          <w:trHeight w:val="600"/>
        </w:trPr>
        <w:tc>
          <w:tcPr>
            <w:tcMar>
              <w:left w:w="12" w:type="dxa"/>
              <w:top w:w="12" w:type="dxa"/>
              <w:right w:w="12" w:type="dxa"/>
            </w:tcMar>
            <w:tcW w:w="582" w:type="dxa"/>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Mar>
              <w:left w:w="12" w:type="dxa"/>
              <w:top w:w="12" w:type="dxa"/>
              <w:right w:w="12" w:type="dxa"/>
            </w:tcMar>
            <w:tcW w:w="1105" w:type="dxa"/>
            <w:vAlign w:val="center"/>
            <w:textDirection w:val="lrTb"/>
            <w:noWrap w:val="false"/>
          </w:tcPr>
          <w:p>
            <w:pPr>
              <w:ind w:firstLine="0"/>
              <w:jc w:val="center"/>
              <w:spacing w:line="240" w:lineRule="auto"/>
              <w:widowControl/>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rPr>
              <w:t xml:space="preserve">项目</w:t>
            </w:r>
            <w:r>
              <w:rPr>
                <w:rFonts w:hint="eastAsia" w:ascii="宋体" w:hAnsi="宋体" w:eastAsia="宋体" w:cs="宋体"/>
                <w:b w:val="0"/>
                <w:bCs/>
                <w:color w:val="auto"/>
                <w:szCs w:val="21"/>
                <w:highlight w:val="none"/>
                <w:lang w:val="en-US" w:eastAsia="zh-CN"/>
              </w:rPr>
              <w:t xml:space="preserve">负责人</w:t>
            </w:r>
            <w:r>
              <w:rPr>
                <w:rFonts w:hint="eastAsia" w:ascii="宋体" w:hAnsi="宋体" w:eastAsia="宋体" w:cs="宋体"/>
                <w:b w:val="0"/>
                <w:bCs/>
                <w:color w:val="auto"/>
                <w:szCs w:val="21"/>
                <w:highlight w:val="none"/>
              </w:rPr>
              <w:t xml:space="preserve">答辩</w:t>
            </w:r>
            <w:r/>
          </w:p>
        </w:tc>
        <w:tc>
          <w:tcPr>
            <w:tcMar>
              <w:left w:w="12" w:type="dxa"/>
              <w:top w:w="12" w:type="dxa"/>
              <w:right w:w="12" w:type="dxa"/>
            </w:tcMar>
            <w:tcW w:w="6521" w:type="dxa"/>
            <w:vAlign w:val="center"/>
            <w:textDirection w:val="lrTb"/>
            <w:noWrap w:val="false"/>
          </w:tcPr>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项目</w:t>
            </w:r>
            <w:r>
              <w:rPr>
                <w:rFonts w:hint="eastAsia" w:ascii="宋体" w:hAnsi="宋体" w:eastAsia="宋体" w:cs="宋体"/>
                <w:b/>
                <w:bCs/>
                <w:color w:val="auto"/>
                <w:highlight w:val="none"/>
                <w:lang w:val="en-US" w:eastAsia="zh-CN"/>
              </w:rPr>
              <w:t xml:space="preserve">负责人</w:t>
            </w:r>
            <w:r>
              <w:rPr>
                <w:rFonts w:hint="eastAsia" w:ascii="宋体" w:hAnsi="宋体" w:eastAsia="宋体" w:cs="宋体"/>
                <w:color w:val="auto"/>
                <w:highlight w:val="none"/>
              </w:rPr>
              <w:t xml:space="preserve">需进行</w:t>
            </w:r>
            <w:r>
              <w:rPr>
                <w:rFonts w:hint="eastAsia" w:ascii="宋体" w:hAnsi="宋体" w:eastAsia="宋体" w:cs="宋体"/>
                <w:b/>
                <w:bCs/>
                <w:color w:val="auto"/>
                <w:highlight w:val="none"/>
              </w:rPr>
              <w:t xml:space="preserve">现场</w:t>
            </w:r>
            <w:r>
              <w:rPr>
                <w:rFonts w:hint="eastAsia" w:ascii="宋体" w:hAnsi="宋体" w:eastAsia="宋体" w:cs="宋体"/>
                <w:b/>
                <w:bCs/>
                <w:color w:val="auto"/>
                <w:highlight w:val="none"/>
              </w:rPr>
              <w:t xml:space="preserve">答辩</w:t>
            </w: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val="en-US" w:eastAsia="zh-CN"/>
              </w:rPr>
              <w:t xml:space="preserve">评委现场出题对</w:t>
            </w:r>
            <w:r>
              <w:rPr>
                <w:rFonts w:hint="eastAsia" w:ascii="宋体" w:hAnsi="宋体" w:eastAsia="宋体" w:cs="宋体"/>
                <w:color w:val="auto"/>
                <w:highlight w:val="none"/>
              </w:rPr>
              <w:t xml:space="preserve">该项目进行</w:t>
            </w:r>
            <w:r>
              <w:rPr>
                <w:rFonts w:hint="eastAsia" w:ascii="宋体" w:hAnsi="宋体" w:eastAsia="宋体" w:cs="宋体"/>
                <w:color w:val="auto"/>
                <w:highlight w:val="none"/>
                <w:lang w:val="en-US" w:eastAsia="zh-CN"/>
              </w:rPr>
              <w:t xml:space="preserve">答辩：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答辩</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清晰、全面、合理、可</w:t>
            </w:r>
            <w:r>
              <w:rPr>
                <w:rFonts w:hint="eastAsia" w:ascii="宋体" w:hAnsi="宋体" w:eastAsia="宋体" w:cs="宋体"/>
                <w:color w:val="auto"/>
                <w:highlight w:val="none"/>
                <w:lang w:val="en-US" w:eastAsia="zh-CN"/>
              </w:rPr>
              <w:t xml:space="preserve">操作</w:t>
            </w:r>
            <w:r>
              <w:rPr>
                <w:rFonts w:hint="eastAsia" w:ascii="宋体" w:hAnsi="宋体" w:eastAsia="宋体" w:cs="宋体"/>
                <w:color w:val="auto"/>
                <w:highlight w:val="none"/>
              </w:rPr>
              <w:t xml:space="preserve">性强的得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答辩</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清晰、全面、合理、可</w:t>
            </w:r>
            <w:r>
              <w:rPr>
                <w:rFonts w:hint="eastAsia" w:ascii="宋体" w:hAnsi="宋体" w:eastAsia="宋体" w:cs="宋体"/>
                <w:color w:val="auto"/>
                <w:highlight w:val="none"/>
                <w:lang w:val="en-US" w:eastAsia="zh-CN"/>
              </w:rPr>
              <w:t xml:space="preserve">操作</w:t>
            </w:r>
            <w:r>
              <w:rPr>
                <w:rFonts w:hint="eastAsia" w:ascii="宋体" w:hAnsi="宋体" w:eastAsia="宋体" w:cs="宋体"/>
                <w:color w:val="auto"/>
                <w:highlight w:val="none"/>
              </w:rPr>
              <w:t xml:space="preserve">性</w:t>
            </w:r>
            <w:r>
              <w:rPr>
                <w:rFonts w:hint="eastAsia" w:ascii="宋体" w:hAnsi="宋体" w:eastAsia="宋体" w:cs="宋体"/>
                <w:color w:val="auto"/>
                <w:highlight w:val="none"/>
                <w:lang w:val="en-US" w:eastAsia="zh-CN"/>
              </w:rPr>
              <w:t xml:space="preserve">较</w:t>
            </w:r>
            <w:r>
              <w:rPr>
                <w:rFonts w:hint="eastAsia" w:ascii="宋体" w:hAnsi="宋体" w:eastAsia="宋体" w:cs="宋体"/>
                <w:color w:val="auto"/>
                <w:highlight w:val="none"/>
              </w:rPr>
              <w:t xml:space="preserve">强的得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答辩</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内容</w:t>
            </w:r>
            <w:r>
              <w:rPr>
                <w:rFonts w:hint="eastAsia" w:ascii="宋体" w:hAnsi="宋体" w:eastAsia="宋体" w:cs="宋体"/>
                <w:color w:val="auto"/>
                <w:highlight w:val="none"/>
              </w:rPr>
              <w:t xml:space="preserve">清晰、全面、合理、可</w:t>
            </w:r>
            <w:r>
              <w:rPr>
                <w:rFonts w:hint="eastAsia" w:ascii="宋体" w:hAnsi="宋体" w:eastAsia="宋体" w:cs="宋体"/>
                <w:color w:val="auto"/>
                <w:highlight w:val="none"/>
                <w:lang w:val="en-US" w:eastAsia="zh-CN"/>
              </w:rPr>
              <w:t xml:space="preserve">操作</w:t>
            </w:r>
            <w:r>
              <w:rPr>
                <w:rFonts w:hint="eastAsia" w:ascii="宋体" w:hAnsi="宋体" w:eastAsia="宋体" w:cs="宋体"/>
                <w:color w:val="auto"/>
                <w:highlight w:val="none"/>
              </w:rPr>
              <w:t xml:space="preserve">性</w:t>
            </w:r>
            <w:r>
              <w:rPr>
                <w:rFonts w:hint="eastAsia" w:ascii="宋体" w:hAnsi="宋体" w:eastAsia="宋体" w:cs="宋体"/>
                <w:color w:val="auto"/>
                <w:highlight w:val="none"/>
                <w:lang w:val="en-US" w:eastAsia="zh-CN"/>
              </w:rPr>
              <w:t xml:space="preserve">不</w:t>
            </w:r>
            <w:r>
              <w:rPr>
                <w:rFonts w:hint="eastAsia" w:ascii="宋体" w:hAnsi="宋体" w:eastAsia="宋体" w:cs="宋体"/>
                <w:color w:val="auto"/>
                <w:highlight w:val="none"/>
              </w:rPr>
              <w:t xml:space="preserve">强的得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（4）非本项目负责人参加</w:t>
            </w:r>
            <w:r>
              <w:rPr>
                <w:rFonts w:hint="eastAsia" w:ascii="宋体" w:hAnsi="宋体" w:eastAsia="宋体" w:cs="宋体"/>
                <w:color w:val="auto"/>
                <w:highlight w:val="none"/>
                <w:lang w:val="en-US" w:eastAsia="zh-CN"/>
              </w:rPr>
              <w:t xml:space="preserve">答辩</w:t>
            </w:r>
            <w:r>
              <w:rPr>
                <w:rFonts w:hint="eastAsia" w:ascii="宋体" w:hAnsi="宋体" w:eastAsia="宋体" w:cs="宋体"/>
                <w:color w:val="auto"/>
                <w:highlight w:val="none"/>
                <w:lang w:val="en-US" w:eastAsia="zh-CN"/>
              </w:rPr>
              <w:t xml:space="preserve">不得分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未参加答辩不得分</w:t>
            </w:r>
            <w:r>
              <w:rPr>
                <w:rFonts w:hint="eastAsia" w:ascii="宋体" w:hAnsi="宋体" w:eastAsia="宋体" w:cs="宋体"/>
                <w:color w:val="auto"/>
                <w:highlight w:val="none"/>
                <w:lang w:eastAsia="zh-CN"/>
              </w:rPr>
              <w:t xml:space="preserve">。</w:t>
            </w:r>
            <w:r/>
          </w:p>
        </w:tc>
        <w:tc>
          <w:tcPr>
            <w:tcMar>
              <w:left w:w="12" w:type="dxa"/>
              <w:top w:w="12" w:type="dxa"/>
              <w:right w:w="12" w:type="dxa"/>
            </w:tcMar>
            <w:tcW w:w="669" w:type="dxa"/>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r>
      <w:tr>
        <w:trPr>
          <w:jc w:val="center"/>
          <w:trHeight w:val="1165"/>
        </w:trPr>
        <w:tc>
          <w:tcPr>
            <w:tcMar>
              <w:left w:w="12" w:type="dxa"/>
              <w:top w:w="12" w:type="dxa"/>
              <w:right w:w="12" w:type="dxa"/>
            </w:tcMar>
            <w:tcW w:w="582" w:type="dxa"/>
            <w:vAlign w:val="center"/>
            <w:vMerge w:val="restart"/>
            <w:textDirection w:val="lrTb"/>
            <w:noWrap w:val="false"/>
          </w:tcPr>
          <w:p>
            <w:pPr>
              <w:ind w:firstLine="0"/>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ind w:firstLine="0"/>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w:t>
            </w:r>
            <w:r/>
          </w:p>
          <w:p>
            <w:pPr>
              <w:ind w:firstLine="420"/>
              <w:jc w:val="center"/>
              <w:spacing w:line="24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Mar>
              <w:left w:w="12" w:type="dxa"/>
              <w:top w:w="12" w:type="dxa"/>
              <w:right w:w="12" w:type="dxa"/>
            </w:tcMar>
            <w:tcW w:w="1105" w:type="dxa"/>
            <w:vAlign w:val="center"/>
            <w:vMerge w:val="restart"/>
            <w:textDirection w:val="lrTb"/>
            <w:noWrap w:val="false"/>
          </w:tcPr>
          <w:p>
            <w:pPr>
              <w:ind w:firstLine="0"/>
              <w:jc w:val="center"/>
              <w:spacing w:line="240" w:lineRule="auto"/>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施工组织设计</w:t>
            </w:r>
            <w:r/>
          </w:p>
        </w:tc>
        <w:tc>
          <w:tcPr>
            <w:tcMar>
              <w:left w:w="12" w:type="dxa"/>
              <w:top w:w="12" w:type="dxa"/>
              <w:right w:w="12" w:type="dxa"/>
            </w:tcMar>
            <w:tcW w:w="6521" w:type="dxa"/>
            <w:vAlign w:val="center"/>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根据投标人提供的项目实施总体方案表述的清晰性、全面性、前瞻性、合理性、科学性、可行性及针对性等酌情评分：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(1）实施总体方案表述的清晰、全面、前瞻、合理、科学、可行、针对性强的得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(2）实施总体方案表述较为清晰、全面、前瞻、合理、科学、可行、针对性较强的得3分；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(3）实施总体方案表述不太清晰、全面、前瞻、合理、科学、可行、针对性不强的得1分；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(4）未提供不得分。</w:t>
            </w:r>
            <w:r/>
          </w:p>
        </w:tc>
        <w:tc>
          <w:tcPr>
            <w:tcMar>
              <w:left w:w="12" w:type="dxa"/>
              <w:top w:w="12" w:type="dxa"/>
              <w:right w:w="12" w:type="dxa"/>
            </w:tcMar>
            <w:tcW w:w="669" w:type="dxa"/>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2918"/>
        </w:trPr>
        <w:tc>
          <w:tcPr>
            <w:tcMar>
              <w:left w:w="12" w:type="dxa"/>
              <w:top w:w="12" w:type="dxa"/>
              <w:right w:w="12" w:type="dxa"/>
            </w:tcMar>
            <w:tcW w:w="582" w:type="dxa"/>
            <w:vAlign w:val="center"/>
            <w:vMerge w:val="continue"/>
            <w:textDirection w:val="lrTb"/>
            <w:noWrap w:val="false"/>
          </w:tcPr>
          <w:p>
            <w:pPr>
              <w:ind w:firstLine="42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2" w:type="dxa"/>
              <w:top w:w="12" w:type="dxa"/>
              <w:right w:w="12" w:type="dxa"/>
            </w:tcMar>
            <w:tcW w:w="1105" w:type="dxa"/>
            <w:vAlign w:val="center"/>
            <w:vMerge w:val="continue"/>
            <w:textDirection w:val="lrTb"/>
            <w:noWrap w:val="false"/>
          </w:tcPr>
          <w:p>
            <w:pPr>
              <w:ind w:firstLine="42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2" w:type="dxa"/>
              <w:top w:w="12" w:type="dxa"/>
              <w:right w:w="12" w:type="dxa"/>
            </w:tcMar>
            <w:tcW w:w="6521"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根据投标人提供的施工质量控制措施、质量保证体系及分部分项工程施工过程质量控制的科学性、合理性、全面性、可行性、有效性及采用新技术、新工艺的可靠性等酌情评分：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(1）质量保证措施科学、合理、全面、可行且采用的新技术、新工艺可靠性强的得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(2）质量保证措施较为科学、合理、全面、可行且采用的新技术、新工艺可靠性较强的得3分；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(3）质量保证措施不太科学、合理、全面、可行且采用的新技术、新工艺可靠性不强的得1分；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(4）未提供不得分。</w:t>
            </w:r>
            <w:r/>
          </w:p>
        </w:tc>
        <w:tc>
          <w:tcPr>
            <w:tcMar>
              <w:left w:w="12" w:type="dxa"/>
              <w:top w:w="12" w:type="dxa"/>
              <w:right w:w="12" w:type="dxa"/>
            </w:tcMar>
            <w:tcW w:w="669" w:type="dxa"/>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3106"/>
        </w:trPr>
        <w:tc>
          <w:tcPr>
            <w:tcMar>
              <w:left w:w="12" w:type="dxa"/>
              <w:top w:w="12" w:type="dxa"/>
              <w:right w:w="12" w:type="dxa"/>
            </w:tcMar>
            <w:tcW w:w="582" w:type="dxa"/>
            <w:vAlign w:val="center"/>
            <w:vMerge w:val="continue"/>
            <w:textDirection w:val="lrTb"/>
            <w:noWrap w:val="false"/>
          </w:tcPr>
          <w:p>
            <w:pPr>
              <w:ind w:firstLine="42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2" w:type="dxa"/>
              <w:top w:w="12" w:type="dxa"/>
              <w:right w:w="12" w:type="dxa"/>
            </w:tcMar>
            <w:tcW w:w="1105" w:type="dxa"/>
            <w:vAlign w:val="center"/>
            <w:vMerge w:val="continue"/>
            <w:textDirection w:val="lrTb"/>
            <w:noWrap w:val="false"/>
          </w:tcPr>
          <w:p>
            <w:pPr>
              <w:ind w:firstLine="42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2" w:type="dxa"/>
              <w:top w:w="12" w:type="dxa"/>
              <w:right w:w="12" w:type="dxa"/>
            </w:tcMar>
            <w:tcW w:w="6521"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根据投标人提供的针对本项目安全文明施工采取措施的规范性、全面性、合理性、针对性、具体性、可靠性、及操作规程科学性等酌情评分：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(1）安全文明施工措施方案规范、全面、合理、可靠、科学且针对性强的得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(2）安全文明施工措施方案较为规范、全面、合理、可靠、科学且针对性较强的得3分；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(3）安全文明施工措施方案不太规范、全面、合理、可靠、科学且针对性不强的得1分；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(4）未提供不得分。</w:t>
            </w:r>
            <w:r/>
          </w:p>
        </w:tc>
        <w:tc>
          <w:tcPr>
            <w:tcMar>
              <w:left w:w="12" w:type="dxa"/>
              <w:top w:w="12" w:type="dxa"/>
              <w:right w:w="12" w:type="dxa"/>
            </w:tcMar>
            <w:tcW w:w="669" w:type="dxa"/>
            <w:vAlign w:val="center"/>
            <w:textDirection w:val="lrTb"/>
            <w:noWrap w:val="false"/>
          </w:tcPr>
          <w:p>
            <w:pPr>
              <w:ind w:firstLine="420"/>
              <w:jc w:val="both"/>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2732"/>
        </w:trPr>
        <w:tc>
          <w:tcPr>
            <w:tcBorders>
              <w:bottom w:val="none" w:color="000000" w:sz="4" w:space="0"/>
            </w:tcBorders>
            <w:tcMar>
              <w:left w:w="12" w:type="dxa"/>
              <w:top w:w="12" w:type="dxa"/>
              <w:right w:w="12" w:type="dxa"/>
            </w:tcMar>
            <w:tcW w:w="582" w:type="dxa"/>
            <w:vAlign w:val="center"/>
            <w:vMerge w:val="continue"/>
            <w:textDirection w:val="lrTb"/>
            <w:noWrap w:val="false"/>
          </w:tcPr>
          <w:p>
            <w:pPr>
              <w:ind w:firstLine="420"/>
              <w:jc w:val="center"/>
              <w:spacing w:line="24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bottom w:val="none" w:color="000000" w:sz="4" w:space="0"/>
            </w:tcBorders>
            <w:tcMar>
              <w:left w:w="12" w:type="dxa"/>
              <w:top w:w="12" w:type="dxa"/>
              <w:right w:w="12" w:type="dxa"/>
            </w:tcMar>
            <w:tcW w:w="1105" w:type="dxa"/>
            <w:vAlign w:val="center"/>
            <w:vMerge w:val="continue"/>
            <w:textDirection w:val="lrTb"/>
            <w:noWrap w:val="false"/>
          </w:tcPr>
          <w:p>
            <w:pPr>
              <w:ind w:firstLine="42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2" w:type="dxa"/>
              <w:top w:w="12" w:type="dxa"/>
              <w:right w:w="12" w:type="dxa"/>
            </w:tcMar>
            <w:tcW w:w="6521"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根据投标人提供的针对本项目施工进度计划及各阶段进度的科学性、可行性、全面性、针对性及有效性等酌情评分；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(1）针对本项目施工进度计划及各阶段进度科学、可行、全面、针对性强的得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(2）针对本项目施工进度计划及各阶段进度科学、可行、全面、针对性较强的得3分；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(3）针对本项目施工进度计划及各阶段进度不太科学、可行、全面、针对性不强的得1分；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(4）未提供不得分。</w:t>
            </w:r>
            <w:r/>
          </w:p>
        </w:tc>
        <w:tc>
          <w:tcPr>
            <w:tcMar>
              <w:left w:w="12" w:type="dxa"/>
              <w:top w:w="12" w:type="dxa"/>
              <w:right w:w="12" w:type="dxa"/>
            </w:tcMar>
            <w:tcW w:w="669" w:type="dxa"/>
            <w:vAlign w:val="center"/>
            <w:textDirection w:val="lrTb"/>
            <w:noWrap w:val="false"/>
          </w:tcPr>
          <w:p>
            <w:pPr>
              <w:ind w:firstLine="420"/>
              <w:jc w:val="both"/>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3306"/>
        </w:trPr>
        <w:tc>
          <w:tcPr>
            <w:tcBorders>
              <w:top w:val="none" w:color="000000" w:sz="4" w:space="0"/>
              <w:bottom w:val="single" w:color="auto" w:sz="4" w:space="0"/>
            </w:tcBorders>
            <w:tcMar>
              <w:left w:w="12" w:type="dxa"/>
              <w:top w:w="12" w:type="dxa"/>
              <w:right w:w="12" w:type="dxa"/>
            </w:tcMar>
            <w:tcW w:w="582" w:type="dxa"/>
            <w:vAlign w:val="center"/>
            <w:textDirection w:val="lrTb"/>
            <w:noWrap w:val="false"/>
          </w:tcPr>
          <w:p>
            <w:pPr>
              <w:ind w:firstLine="42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Borders>
              <w:top w:val="none" w:color="000000" w:sz="4" w:space="0"/>
              <w:bottom w:val="single" w:color="auto" w:sz="4" w:space="0"/>
            </w:tcBorders>
            <w:tcMar>
              <w:left w:w="12" w:type="dxa"/>
              <w:top w:w="12" w:type="dxa"/>
              <w:right w:w="12" w:type="dxa"/>
            </w:tcMar>
            <w:tcW w:w="1105" w:type="dxa"/>
            <w:vAlign w:val="center"/>
            <w:textDirection w:val="lrTb"/>
            <w:noWrap w:val="false"/>
          </w:tcPr>
          <w:p>
            <w:pPr>
              <w:ind w:firstLine="42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2" w:type="dxa"/>
              <w:top w:w="12" w:type="dxa"/>
              <w:right w:w="12" w:type="dxa"/>
            </w:tcMar>
            <w:tcW w:w="6521" w:type="dxa"/>
            <w:vAlign w:val="center"/>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根据投标人提供的针对本项目劳动力、机械设备和材料投入计划的规范性、全面性、合理性、针对性、具体性、可靠性、及操作规程科学性等酌情评分：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(1）劳动力、机械设备和材料投入计划规范、全面、合理、可靠、科学且针对性强的得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(2）劳动力、机械设备和材料投入计划较为规范、全面、合理、可靠、科学且针对性较强的得3分；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(3）劳动力、机械设备和材料投入计划不太规范、全面、合理、可靠、科学且针对性不强的得1分；(4）未提供不得分。</w:t>
            </w:r>
            <w:r/>
          </w:p>
        </w:tc>
        <w:tc>
          <w:tcPr>
            <w:tcMar>
              <w:left w:w="12" w:type="dxa"/>
              <w:top w:w="12" w:type="dxa"/>
              <w:right w:w="12" w:type="dxa"/>
            </w:tcMar>
            <w:tcW w:w="669" w:type="dxa"/>
            <w:vAlign w:val="center"/>
            <w:textDirection w:val="lrTb"/>
            <w:noWrap w:val="false"/>
          </w:tcPr>
          <w:p>
            <w:pPr>
              <w:ind w:firstLine="420"/>
              <w:jc w:val="both"/>
              <w:spacing w:line="24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2098"/>
        </w:trPr>
        <w:tc>
          <w:tcPr>
            <w:tcBorders>
              <w:top w:val="single" w:color="auto" w:sz="4" w:space="0"/>
              <w:bottom w:val="single" w:color="auto" w:sz="4" w:space="0"/>
            </w:tcBorders>
            <w:tcMar>
              <w:left w:w="12" w:type="dxa"/>
              <w:top w:w="12" w:type="dxa"/>
              <w:right w:w="12" w:type="dxa"/>
            </w:tcMar>
            <w:tcW w:w="582" w:type="dxa"/>
            <w:vAlign w:val="center"/>
            <w:textDirection w:val="lrTb"/>
            <w:noWrap w:val="false"/>
          </w:tcPr>
          <w:p>
            <w:pPr>
              <w:ind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single" w:color="auto" w:sz="4" w:space="0"/>
              <w:bottom w:val="single" w:color="auto" w:sz="4" w:space="0"/>
            </w:tcBorders>
            <w:tcMar>
              <w:left w:w="12" w:type="dxa"/>
              <w:top w:w="12" w:type="dxa"/>
              <w:right w:w="12" w:type="dxa"/>
            </w:tcMar>
            <w:tcW w:w="1105" w:type="dxa"/>
            <w:vAlign w:val="center"/>
            <w:textDirection w:val="lrTb"/>
            <w:noWrap w:val="false"/>
          </w:tcPr>
          <w:p>
            <w:pPr>
              <w:ind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综合实力</w:t>
            </w:r>
            <w:r/>
          </w:p>
        </w:tc>
        <w:tc>
          <w:tcPr>
            <w:tcBorders>
              <w:bottom w:val="single" w:color="auto" w:sz="4" w:space="0"/>
            </w:tcBorders>
            <w:tcMar>
              <w:left w:w="12" w:type="dxa"/>
              <w:top w:w="12" w:type="dxa"/>
              <w:right w:w="12" w:type="dxa"/>
            </w:tcMar>
            <w:tcW w:w="6521" w:type="dxa"/>
            <w:vAlign w:val="top"/>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 w:val="21"/>
                <w:szCs w:val="21"/>
                <w:highlight w:val="none"/>
              </w:rPr>
              <w:t xml:space="preserve">有以下证书且均在有效期内，每提供一项得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ISO9001质量管理认证体系证书</w:t>
            </w:r>
            <w:r>
              <w:rPr>
                <w:rFonts w:hint="eastAsia" w:ascii="宋体" w:hAnsi="宋体" w:eastAsia="宋体" w:cs="宋体"/>
                <w:color w:val="auto"/>
                <w:sz w:val="21"/>
                <w:szCs w:val="21"/>
                <w:highlight w:val="none"/>
                <w:lang w:eastAsia="zh-CN"/>
              </w:rPr>
              <w:t xml:space="preserve">；</w:t>
            </w:r>
            <w:r/>
          </w:p>
          <w:p>
            <w:pPr>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ISO14001环境管理体系认证证书</w:t>
            </w:r>
            <w:r>
              <w:rPr>
                <w:rFonts w:hint="eastAsia" w:ascii="宋体" w:hAnsi="宋体" w:eastAsia="宋体" w:cs="宋体"/>
                <w:color w:val="auto"/>
                <w:sz w:val="21"/>
                <w:szCs w:val="21"/>
                <w:highlight w:val="non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ISO45001</w:t>
            </w:r>
            <w:r>
              <w:rPr>
                <w:rFonts w:hint="eastAsia" w:ascii="宋体" w:hAnsi="宋体" w:eastAsia="宋体" w:cs="宋体"/>
                <w:color w:val="auto"/>
                <w:sz w:val="21"/>
                <w:szCs w:val="21"/>
                <w:highlight w:val="none"/>
              </w:rPr>
              <w:t xml:space="preserve">职业安全管理体系认证证书；</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所提供证书复印件及在国家认证认可监督管理委员会网站</w:t>
            </w:r>
            <w:r>
              <w:rPr>
                <w:rFonts w:hint="eastAsia" w:ascii="宋体" w:hAnsi="宋体" w:eastAsia="宋体" w:cs="宋体"/>
                <w:color w:val="auto"/>
                <w:sz w:val="21"/>
                <w:szCs w:val="21"/>
                <w:highlight w:val="none"/>
                <w:u w:val="single"/>
                <w:lang w:val="en-US" w:eastAsia="zh-CN"/>
              </w:rPr>
              <w:fldChar w:fldCharType="begin"/>
            </w:r>
            <w:r>
              <w:rPr>
                <w:rFonts w:hint="eastAsia" w:ascii="宋体" w:hAnsi="宋体" w:eastAsia="宋体" w:cs="宋体"/>
                <w:color w:val="auto"/>
                <w:sz w:val="21"/>
                <w:szCs w:val="21"/>
                <w:highlight w:val="none"/>
                <w:u w:val="single"/>
                <w:lang w:val="en-US" w:eastAsia="zh-CN"/>
              </w:rPr>
              <w:instrText xml:space="preserve"> HYPERLINK "http://cx.cnca.cn/CertECloud" </w:instrText>
            </w:r>
            <w:r>
              <w:rPr>
                <w:rFonts w:hint="eastAsia" w:ascii="宋体" w:hAnsi="宋体" w:eastAsia="宋体" w:cs="宋体"/>
                <w:color w:val="auto"/>
                <w:sz w:val="21"/>
                <w:szCs w:val="21"/>
                <w:highlight w:val="none"/>
                <w:u w:val="single"/>
                <w:lang w:val="en-US" w:eastAsia="zh-CN"/>
              </w:rPr>
              <w:fldChar w:fldCharType="separate"/>
            </w:r>
            <w:r>
              <w:rPr>
                <w:rStyle w:val="1165"/>
                <w:rFonts w:hint="eastAsia" w:ascii="宋体" w:hAnsi="宋体" w:eastAsia="宋体" w:cs="宋体"/>
                <w:color w:val="auto"/>
                <w:sz w:val="21"/>
                <w:szCs w:val="21"/>
                <w:highlight w:val="none"/>
                <w:lang w:val="en-US" w:eastAsia="zh-CN"/>
              </w:rPr>
              <w:t xml:space="preserve">http://cx.cnca.cn/CertECloud</w:t>
            </w:r>
            <w:r>
              <w:rPr>
                <w:rFonts w:hint="eastAsia" w:ascii="宋体" w:hAnsi="宋体" w:eastAsia="宋体" w:cs="宋体"/>
                <w:color w:val="auto"/>
                <w:sz w:val="21"/>
                <w:szCs w:val="21"/>
                <w:highlight w:val="none"/>
                <w:u w:val="single"/>
                <w:lang w:val="en-US" w:eastAsia="zh-CN"/>
              </w:rPr>
              <w:fldChar w:fldCharType="end"/>
            </w:r>
            <w:r>
              <w:rPr>
                <w:rFonts w:hint="eastAsia" w:ascii="宋体" w:hAnsi="宋体" w:eastAsia="宋体" w:cs="宋体"/>
                <w:color w:val="auto"/>
                <w:sz w:val="21"/>
                <w:szCs w:val="21"/>
                <w:highlight w:val="none"/>
                <w:u w:val="single"/>
                <w:lang w:val="en-US" w:eastAsia="zh-CN"/>
              </w:rPr>
              <w:t xml:space="preserve">/index/index/page?currentPosition=</w:t>
            </w:r>
            <w:r>
              <w:rPr>
                <w:rFonts w:hint="eastAsia" w:ascii="宋体" w:hAnsi="宋体" w:eastAsia="宋体" w:cs="宋体"/>
                <w:color w:val="auto"/>
                <w:sz w:val="21"/>
                <w:szCs w:val="21"/>
                <w:highlight w:val="none"/>
                <w:lang w:val="en-US" w:eastAsia="zh-CN"/>
              </w:rPr>
              <w:t xml:space="preserve">的完整查询截图，均加盖投标人公章，未提供或提供不全不得分。</w:t>
            </w:r>
            <w:r/>
          </w:p>
        </w:tc>
        <w:tc>
          <w:tcPr>
            <w:tcMar>
              <w:left w:w="12" w:type="dxa"/>
              <w:top w:w="12" w:type="dxa"/>
              <w:right w:w="12" w:type="dxa"/>
            </w:tcMar>
            <w:tcW w:w="669" w:type="dxa"/>
            <w:vAlign w:val="center"/>
            <w:textDirection w:val="lrTb"/>
            <w:noWrap w:val="false"/>
          </w:tcPr>
          <w:p>
            <w:pPr>
              <w:ind w:firstLine="420"/>
              <w:jc w:val="both"/>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3</w:t>
            </w:r>
            <w:r/>
          </w:p>
        </w:tc>
      </w:tr>
      <w:tr>
        <w:trPr>
          <w:jc w:val="center"/>
          <w:trHeight w:val="90"/>
        </w:trPr>
        <w:tc>
          <w:tcPr>
            <w:tcBorders>
              <w:top w:val="single" w:color="auto" w:sz="4" w:space="0"/>
            </w:tcBorders>
            <w:tcMar>
              <w:left w:w="12" w:type="dxa"/>
              <w:top w:w="12" w:type="dxa"/>
              <w:right w:w="12" w:type="dxa"/>
            </w:tcMar>
            <w:tcW w:w="582"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Borders>
              <w:top w:val="single" w:color="auto" w:sz="4" w:space="0"/>
            </w:tcBorders>
            <w:tcMar>
              <w:left w:w="12" w:type="dxa"/>
              <w:top w:w="12" w:type="dxa"/>
              <w:right w:w="12" w:type="dxa"/>
            </w:tcMar>
            <w:tcW w:w="1105" w:type="dxa"/>
            <w:vAlign w:val="center"/>
            <w:textDirection w:val="lrTb"/>
            <w:noWrap w:val="false"/>
          </w:tcPr>
          <w:p>
            <w:pPr>
              <w:jc w:val="center"/>
              <w:spacing w:line="24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业  绩</w:t>
            </w:r>
            <w:r/>
          </w:p>
        </w:tc>
        <w:tc>
          <w:tcPr>
            <w:tcBorders>
              <w:top w:val="single" w:color="auto" w:sz="4" w:space="0"/>
            </w:tcBorders>
            <w:tcMar>
              <w:left w:w="12" w:type="dxa"/>
              <w:top w:w="12" w:type="dxa"/>
              <w:right w:w="12" w:type="dxa"/>
            </w:tcMar>
            <w:tcW w:w="6521" w:type="dxa"/>
            <w:vAlign w:val="top"/>
            <w:textDirection w:val="lrTb"/>
            <w:noWrap w:val="false"/>
          </w:tcPr>
          <w:p>
            <w:pPr>
              <w:numPr>
                <w:ilvl w:val="0"/>
                <w:numId w:val="0"/>
              </w:numPr>
              <w:ind w:firstLine="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1、投标人</w:t>
            </w: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1月01日以来</w:t>
            </w:r>
            <w:r>
              <w:rPr>
                <w:rFonts w:hint="eastAsia" w:ascii="宋体" w:hAnsi="宋体" w:eastAsia="宋体" w:cs="宋体"/>
                <w:color w:val="auto"/>
                <w:szCs w:val="21"/>
                <w:highlight w:val="none"/>
                <w:lang w:val="en-US" w:eastAsia="zh-CN"/>
              </w:rPr>
              <w:t xml:space="preserve">（时间以合同签订时间为准）</w:t>
            </w:r>
            <w:r>
              <w:rPr>
                <w:rFonts w:hint="eastAsia" w:ascii="宋体" w:hAnsi="宋体" w:eastAsia="宋体" w:cs="宋体"/>
                <w:color w:val="auto"/>
                <w:szCs w:val="21"/>
                <w:highlight w:val="none"/>
              </w:rPr>
              <w:t xml:space="preserve">承担过</w:t>
            </w:r>
            <w:r>
              <w:rPr>
                <w:rFonts w:hint="eastAsia" w:ascii="宋体" w:hAnsi="宋体" w:eastAsia="宋体" w:cs="宋体"/>
                <w:color w:val="auto"/>
                <w:szCs w:val="21"/>
                <w:highlight w:val="none"/>
                <w:lang w:val="en-US" w:eastAsia="zh-CN"/>
              </w:rPr>
              <w:t xml:space="preserve">建筑改造或装修</w:t>
            </w:r>
            <w:r>
              <w:rPr>
                <w:rFonts w:hint="eastAsia" w:ascii="宋体" w:hAnsi="宋体" w:eastAsia="宋体" w:cs="宋体"/>
                <w:color w:val="auto"/>
                <w:szCs w:val="21"/>
                <w:highlight w:val="none"/>
              </w:rPr>
              <w:t xml:space="preserve">业绩的，每提供一项得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numPr>
                <w:ilvl w:val="0"/>
                <w:numId w:val="0"/>
              </w:numPr>
              <w:ind w:firstLine="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2、项目负责人</w:t>
            </w:r>
            <w:r>
              <w:rPr>
                <w:rFonts w:hint="eastAsia" w:ascii="宋体" w:hAnsi="宋体" w:eastAsia="宋体" w:cs="宋体"/>
                <w:color w:val="auto"/>
                <w:szCs w:val="21"/>
                <w:highlight w:val="none"/>
              </w:rPr>
              <w:t xml:space="preserve">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1月01日以来</w:t>
            </w:r>
            <w:r>
              <w:rPr>
                <w:rFonts w:hint="eastAsia" w:ascii="宋体" w:hAnsi="宋体" w:eastAsia="宋体" w:cs="宋体"/>
                <w:color w:val="auto"/>
                <w:szCs w:val="21"/>
                <w:highlight w:val="none"/>
                <w:lang w:val="en-US" w:eastAsia="zh-CN"/>
              </w:rPr>
              <w:t xml:space="preserve">（时间以合同签订时间为准）</w:t>
            </w:r>
            <w:r>
              <w:rPr>
                <w:rFonts w:hint="eastAsia" w:ascii="宋体" w:hAnsi="宋体" w:eastAsia="宋体" w:cs="宋体"/>
                <w:color w:val="auto"/>
                <w:szCs w:val="21"/>
                <w:highlight w:val="none"/>
              </w:rPr>
              <w:t xml:space="preserve">来</w:t>
            </w:r>
            <w:r>
              <w:rPr>
                <w:rFonts w:hint="eastAsia" w:ascii="宋体" w:hAnsi="宋体" w:eastAsia="宋体" w:cs="宋体"/>
                <w:color w:val="auto"/>
                <w:szCs w:val="21"/>
                <w:highlight w:val="none"/>
                <w:lang w:val="en-US" w:eastAsia="zh-CN"/>
              </w:rPr>
              <w:t xml:space="preserve">以项目负责人身份</w:t>
            </w:r>
            <w:r>
              <w:rPr>
                <w:rFonts w:hint="eastAsia" w:ascii="宋体" w:hAnsi="宋体" w:eastAsia="宋体" w:cs="宋体"/>
                <w:color w:val="auto"/>
                <w:szCs w:val="21"/>
                <w:highlight w:val="none"/>
              </w:rPr>
              <w:t xml:space="preserve">承担过</w:t>
            </w:r>
            <w:r>
              <w:rPr>
                <w:rFonts w:hint="eastAsia" w:ascii="宋体" w:hAnsi="宋体" w:eastAsia="宋体" w:cs="宋体"/>
                <w:color w:val="auto"/>
                <w:szCs w:val="21"/>
                <w:highlight w:val="none"/>
                <w:lang w:val="en-US" w:eastAsia="zh-CN"/>
              </w:rPr>
              <w:t xml:space="preserve">建筑改造或装修</w:t>
            </w:r>
            <w:r>
              <w:rPr>
                <w:rFonts w:hint="eastAsia" w:ascii="宋体" w:hAnsi="宋体" w:eastAsia="宋体" w:cs="宋体"/>
                <w:color w:val="auto"/>
                <w:szCs w:val="21"/>
                <w:highlight w:val="none"/>
              </w:rPr>
              <w:t xml:space="preserve">业绩的，每提供一项得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numPr>
                <w:ilvl w:val="0"/>
                <w:numId w:val="0"/>
              </w:numPr>
              <w:ind w:firstLine="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投标人业绩与项目负责人业绩不重复得分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提供的业绩必须是已完工的业绩。（提供中标通知书、合同、竣工验收证明，三者缺一不可；</w:t>
            </w:r>
            <w:r>
              <w:rPr>
                <w:rFonts w:hint="eastAsia" w:ascii="宋体" w:hAnsi="宋体" w:eastAsia="宋体" w:cs="宋体"/>
                <w:color w:val="auto"/>
                <w:szCs w:val="21"/>
                <w:highlight w:val="none"/>
                <w:lang w:val="en-US" w:eastAsia="zh-CN"/>
              </w:rPr>
              <w:t xml:space="preserve">提供相关中标网站截图及网址；</w:t>
            </w:r>
            <w:r>
              <w:rPr>
                <w:rFonts w:hint="eastAsia" w:ascii="宋体" w:hAnsi="宋体" w:eastAsia="宋体" w:cs="宋体"/>
                <w:color w:val="auto"/>
                <w:szCs w:val="21"/>
                <w:highlight w:val="none"/>
              </w:rPr>
              <w:t xml:space="preserve">提供复印件并加盖公章）</w:t>
            </w:r>
            <w:r/>
          </w:p>
        </w:tc>
        <w:tc>
          <w:tcPr>
            <w:tcMar>
              <w:left w:w="12" w:type="dxa"/>
              <w:top w:w="12" w:type="dxa"/>
              <w:right w:w="12" w:type="dxa"/>
            </w:tcMar>
            <w:tcW w:w="669" w:type="dxa"/>
            <w:vAlign w:val="center"/>
            <w:textDirection w:val="lrTb"/>
            <w:noWrap w:val="false"/>
          </w:tcPr>
          <w:p>
            <w:pPr>
              <w:jc w:val="center"/>
              <w:spacing w:line="240" w:lineRule="auto"/>
              <w:widowControl/>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10</w:t>
            </w:r>
            <w:r/>
          </w:p>
        </w:tc>
      </w:tr>
      <w:tr>
        <w:trPr>
          <w:jc w:val="center"/>
          <w:trHeight w:val="90"/>
        </w:trPr>
        <w:tc>
          <w:tcPr>
            <w:tcMar>
              <w:left w:w="12" w:type="dxa"/>
              <w:top w:w="12" w:type="dxa"/>
              <w:right w:w="12" w:type="dxa"/>
            </w:tcMar>
            <w:tcW w:w="582" w:type="dxa"/>
            <w:vAlign w:val="center"/>
            <w:textDirection w:val="lrTb"/>
            <w:noWrap w:val="false"/>
          </w:tcPr>
          <w:p>
            <w:pPr>
              <w:ind w:firstLine="0"/>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Mar>
              <w:left w:w="12" w:type="dxa"/>
              <w:top w:w="12" w:type="dxa"/>
              <w:right w:w="12" w:type="dxa"/>
            </w:tcMar>
            <w:tcW w:w="1105" w:type="dxa"/>
            <w:vAlign w:val="center"/>
            <w:textDirection w:val="lrTb"/>
            <w:noWrap w:val="false"/>
          </w:tcPr>
          <w:p>
            <w:pPr>
              <w:ind w:firstLine="0"/>
              <w:jc w:val="center"/>
              <w:spacing w:line="24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品质及质保承诺</w:t>
            </w:r>
            <w:r/>
          </w:p>
        </w:tc>
        <w:tc>
          <w:tcPr>
            <w:tcMar>
              <w:left w:w="12" w:type="dxa"/>
              <w:top w:w="12" w:type="dxa"/>
              <w:right w:w="12" w:type="dxa"/>
            </w:tcMar>
            <w:tcW w:w="6521" w:type="dxa"/>
            <w:vAlign w:val="top"/>
            <w:textDirection w:val="lrTb"/>
            <w:noWrap w:val="false"/>
          </w:tcPr>
          <w:p>
            <w:pPr>
              <w:ind w:firstLine="420"/>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（1）承诺使用</w:t>
            </w:r>
            <w:r>
              <w:rPr>
                <w:rFonts w:hint="eastAsia" w:ascii="宋体" w:hAnsi="宋体" w:eastAsia="宋体" w:cs="宋体"/>
                <w:b/>
                <w:bCs/>
                <w:color w:val="auto"/>
                <w:szCs w:val="21"/>
                <w:highlight w:val="none"/>
                <w:lang w:val="en-US" w:eastAsia="zh-CN"/>
              </w:rPr>
              <w:t xml:space="preserve">不低于</w:t>
            </w:r>
            <w:r>
              <w:rPr>
                <w:rFonts w:hint="eastAsia" w:ascii="宋体" w:hAnsi="宋体" w:eastAsia="宋体" w:cs="宋体"/>
                <w:color w:val="auto"/>
                <w:szCs w:val="21"/>
                <w:highlight w:val="none"/>
                <w:lang w:val="en-US" w:eastAsia="zh-CN"/>
              </w:rPr>
              <w:t xml:space="preserve">采购方所推荐的材料品牌档次的，保证材料品质的，得2分；</w:t>
            </w:r>
            <w:r/>
          </w:p>
          <w:p>
            <w:pPr>
              <w:ind w:firstLine="420"/>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（2）承诺在招标文件要求的质量保修期的基础上，每增加1年质保期加1分，本项最多得3分。</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所提供的承诺书须公司法人签字加盖公章。</w:t>
            </w:r>
            <w:r/>
          </w:p>
        </w:tc>
        <w:tc>
          <w:tcPr>
            <w:tcMar>
              <w:left w:w="12" w:type="dxa"/>
              <w:top w:w="12" w:type="dxa"/>
              <w:right w:w="12" w:type="dxa"/>
            </w:tcMar>
            <w:tcW w:w="669" w:type="dxa"/>
            <w:vAlign w:val="center"/>
            <w:textDirection w:val="lrTb"/>
            <w:noWrap w:val="false"/>
          </w:tcPr>
          <w:p>
            <w:pPr>
              <w:jc w:val="center"/>
              <w:spacing w:line="240" w:lineRule="auto"/>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5</w:t>
            </w:r>
            <w:r/>
          </w:p>
        </w:tc>
      </w:tr>
    </w:tbl>
    <w:p>
      <w:pPr>
        <w:ind w:firstLine="420"/>
        <w:spacing w:line="360" w:lineRule="auto"/>
        <w:rPr>
          <w:rFonts w:ascii="宋体" w:hAnsi="宋体" w:cs="宋体"/>
        </w:rPr>
      </w:pPr>
      <w:r>
        <w:rPr>
          <w:rFonts w:ascii="宋体" w:hAnsi="宋体" w:cs="宋体"/>
        </w:rPr>
      </w:r>
      <w:r/>
    </w:p>
    <w:p>
      <w:pPr>
        <w:pStyle w:val="1235"/>
        <w:rPr>
          <w:rFonts w:ascii="宋体" w:hAnsi="宋体" w:cs="宋体"/>
          <w:bCs/>
        </w:rPr>
      </w:pPr>
      <w:r>
        <w:rPr>
          <w:rFonts w:hint="eastAsia" w:ascii="宋体" w:hAnsi="宋体" w:cs="宋体"/>
          <w:bCs/>
        </w:rPr>
        <w:t xml:space="preserve">说明：</w:t>
      </w:r>
      <w:r/>
    </w:p>
    <w:p>
      <w:pPr>
        <w:pStyle w:val="1235"/>
        <w:rPr>
          <w:rFonts w:ascii="宋体" w:hAnsi="宋体" w:cs="宋体"/>
          <w:bCs/>
        </w:rPr>
      </w:pPr>
      <w:r>
        <w:rPr>
          <w:rFonts w:hint="eastAsia" w:ascii="宋体" w:hAnsi="宋体" w:cs="宋体"/>
          <w:bCs/>
        </w:rPr>
        <w:t xml:space="preserve">1、所有认证、证明和业绩均以有效清晰的证明文件的复印件为依据，原件备查。</w:t>
      </w:r>
      <w:r/>
    </w:p>
    <w:p>
      <w:pPr>
        <w:pStyle w:val="1235"/>
        <w:rPr>
          <w:rFonts w:ascii="宋体" w:hAnsi="宋体" w:cs="宋体"/>
          <w:bCs/>
        </w:rPr>
      </w:pPr>
      <w:r>
        <w:rPr>
          <w:rFonts w:hint="eastAsia" w:ascii="宋体" w:hAnsi="宋体" w:cs="宋体"/>
          <w:bCs/>
        </w:rPr>
        <w:t xml:space="preserve">2、小微企业价格扣除</w:t>
      </w:r>
      <w:r/>
    </w:p>
    <w:p>
      <w:pPr>
        <w:pStyle w:val="1235"/>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pStyle w:val="1235"/>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pStyle w:val="1235"/>
        <w:rPr>
          <w:rFonts w:ascii="宋体" w:hAnsi="宋体" w:cs="宋体"/>
          <w:bCs/>
        </w:rPr>
      </w:pPr>
      <w:r>
        <w:rPr>
          <w:rFonts w:hint="eastAsia" w:ascii="宋体" w:hAnsi="宋体" w:cs="宋体"/>
          <w:bCs/>
        </w:rPr>
        <w:t xml:space="preserve">3、监狱和戒毒企业的价格扣除</w:t>
      </w:r>
      <w:r/>
    </w:p>
    <w:p>
      <w:pPr>
        <w:pStyle w:val="1235"/>
        <w:rPr>
          <w:rFonts w:ascii="宋体" w:hAnsi="宋体" w:cs="宋体"/>
          <w:bCs/>
        </w:rPr>
      </w:pPr>
      <w:r>
        <w:rPr>
          <w:rFonts w:hint="eastAsia" w:ascii="宋体" w:hAnsi="宋体" w:cs="宋体"/>
          <w:bCs/>
        </w:rPr>
        <w:t xml:space="preserve">3.1本项目对监狱和戒毒企业，给予5%的价格扣除，用扣除后的价格参与评审。</w:t>
      </w:r>
      <w:r/>
    </w:p>
    <w:p>
      <w:pPr>
        <w:pStyle w:val="1235"/>
        <w:rPr>
          <w:rFonts w:ascii="宋体" w:hAnsi="宋体" w:cs="宋体"/>
          <w:bCs/>
        </w:rPr>
      </w:pPr>
      <w:r>
        <w:rPr>
          <w:rFonts w:hint="eastAsia" w:ascii="宋体" w:hAnsi="宋体" w:cs="宋体"/>
          <w:bCs/>
        </w:rPr>
        <w:t xml:space="preserve">3.2监狱企业需提供由省级以上监狱管理局、戒毒管理局（含新疆生产建设兵团）出具的属于监狱企业的证明文件。</w:t>
      </w:r>
      <w:r/>
    </w:p>
    <w:p>
      <w:pPr>
        <w:pStyle w:val="1235"/>
        <w:rPr>
          <w:rFonts w:ascii="宋体" w:hAnsi="宋体" w:cs="宋体"/>
          <w:bCs/>
        </w:rPr>
      </w:pPr>
      <w:r>
        <w:rPr>
          <w:rFonts w:hint="eastAsia" w:ascii="宋体" w:hAnsi="宋体" w:cs="宋体"/>
          <w:bCs/>
        </w:rPr>
        <w:t xml:space="preserve">3.3监狱企业标准请参照《关于政府采购支持监狱企业发展有关问题的通知》（财库〔2014〕68号）。</w:t>
      </w:r>
      <w:r/>
    </w:p>
    <w:p>
      <w:pPr>
        <w:pStyle w:val="1235"/>
        <w:rPr>
          <w:rFonts w:ascii="宋体" w:hAnsi="宋体" w:cs="宋体"/>
          <w:bCs/>
        </w:rPr>
      </w:pPr>
      <w:r>
        <w:rPr>
          <w:rFonts w:hint="eastAsia" w:ascii="宋体" w:hAnsi="宋体" w:cs="宋体"/>
          <w:bCs/>
        </w:rPr>
        <w:t xml:space="preserve">4、残疾人福利性单位的价格扣除</w:t>
      </w:r>
      <w:r/>
    </w:p>
    <w:p>
      <w:pPr>
        <w:pStyle w:val="1235"/>
        <w:rPr>
          <w:rFonts w:ascii="宋体" w:hAnsi="宋体" w:cs="宋体"/>
          <w:bCs/>
        </w:rPr>
      </w:pPr>
      <w:r>
        <w:rPr>
          <w:rFonts w:hint="eastAsia" w:ascii="宋体" w:hAnsi="宋体" w:cs="宋体"/>
          <w:bCs/>
        </w:rPr>
        <w:t xml:space="preserve">4.1本项目对残疾人福利性单位，给予5%的价格扣除，用扣除后的价格参与评审。</w:t>
      </w:r>
      <w:r/>
    </w:p>
    <w:p>
      <w:pPr>
        <w:pStyle w:val="1235"/>
        <w:rPr>
          <w:rFonts w:ascii="宋体" w:hAnsi="宋体" w:cs="宋体"/>
          <w:bCs/>
        </w:rPr>
      </w:pPr>
      <w:r>
        <w:rPr>
          <w:rFonts w:hint="eastAsia" w:ascii="宋体" w:hAnsi="宋体" w:cs="宋体"/>
          <w:bCs/>
        </w:rPr>
        <w:t xml:space="preserve">4.2残疾人福利性单位需提供《残疾人福利性单位声明函》。</w:t>
      </w:r>
      <w:r/>
    </w:p>
    <w:p>
      <w:pPr>
        <w:pStyle w:val="1235"/>
        <w:rPr>
          <w:rFonts w:ascii="宋体" w:hAnsi="宋体" w:cs="宋体"/>
          <w:bCs/>
        </w:rPr>
      </w:pPr>
      <w:r>
        <w:rPr>
          <w:rFonts w:hint="eastAsia" w:ascii="宋体" w:hAnsi="宋体" w:cs="宋体"/>
          <w:bCs/>
        </w:rPr>
        <w:t xml:space="preserve">4.3残疾人福利性单位标准请参照《关于促进残疾人就业政府采购政策的通知》（财库〔2017〕141号）。</w:t>
      </w:r>
      <w:r/>
    </w:p>
    <w:p>
      <w:pPr>
        <w:pStyle w:val="1235"/>
        <w:rPr>
          <w:rFonts w:ascii="宋体" w:hAnsi="宋体" w:cs="宋体"/>
        </w:rPr>
        <w:sectPr>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bCs/>
        </w:rPr>
        <w:t xml:space="preserve">5、监狱企业、残疾人福利性单位属于小型、微型企业的，不重复享受政策。</w:t>
      </w:r>
      <w:r/>
    </w:p>
    <w:p>
      <w:pPr>
        <w:rPr>
          <w:rFonts w:hint="eastAsia" w:ascii="宋体" w:hAnsi="宋体" w:cs="宋体"/>
        </w:rPr>
      </w:pPr>
      <w:r/>
      <w:bookmarkStart w:id="24" w:name="_Toc7631"/>
      <w:r>
        <w:rPr>
          <w:rFonts w:hint="eastAsia" w:ascii="宋体" w:hAnsi="宋体" w:cs="宋体"/>
        </w:rPr>
        <w:br w:type="page" w:clear="all"/>
      </w:r>
      <w:r/>
    </w:p>
    <w:p>
      <w:pPr>
        <w:pStyle w:val="1154"/>
        <w:rPr>
          <w:rFonts w:ascii="宋体" w:hAnsi="宋体" w:cs="宋体"/>
          <w:lang w:val="zh-CN"/>
        </w:rPr>
      </w:pPr>
      <w:r>
        <w:rPr>
          <w:rFonts w:hint="eastAsia" w:ascii="宋体" w:hAnsi="宋体" w:cs="宋体"/>
        </w:rPr>
        <w:t xml:space="preserve">第四章 </w:t>
      </w:r>
      <w:r>
        <w:rPr>
          <w:rFonts w:hint="eastAsia" w:ascii="宋体" w:hAnsi="宋体" w:cs="宋体"/>
          <w:lang w:val="zh-CN"/>
        </w:rPr>
        <w:t xml:space="preserve">采购需求</w:t>
      </w:r>
      <w:bookmarkEnd w:id="24"/>
      <w:r/>
      <w:r/>
    </w:p>
    <w:p>
      <w:pPr>
        <w:pStyle w:val="1096"/>
        <w:numPr>
          <w:ilvl w:val="0"/>
          <w:numId w:val="0"/>
        </w:numPr>
        <w:jc w:val="both"/>
        <w:keepLines/>
        <w:keepNext/>
        <w:pageBreakBefore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一、项目概述</w:t>
      </w:r>
      <w:r/>
    </w:p>
    <w:p>
      <w:pPr>
        <w:ind w:firstLine="42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项目名称：</w:t>
      </w:r>
      <w:r>
        <w:rPr>
          <w:rFonts w:hint="eastAsia" w:ascii="宋体" w:hAnsi="宋体" w:eastAsia="宋体" w:cs="宋体"/>
          <w:color w:val="auto"/>
          <w:spacing w:val="8"/>
          <w:lang w:eastAsia="zh-CN"/>
        </w:rPr>
        <w:t xml:space="preserve">中共江苏省委党校励学大厦学员宿舍设施更新改造项目</w:t>
      </w:r>
      <w:r/>
    </w:p>
    <w:p>
      <w:pPr>
        <w:ind w:firstLine="42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2、建设地址：南京市鼓楼区水佐岗49号</w:t>
      </w:r>
      <w:r>
        <w:rPr>
          <w:rFonts w:hint="eastAsia" w:ascii="宋体" w:hAnsi="宋体" w:eastAsia="宋体" w:cs="宋体"/>
          <w:color w:val="auto"/>
          <w:sz w:val="21"/>
          <w:szCs w:val="21"/>
        </w:rPr>
        <w:t xml:space="preserve">。</w:t>
      </w:r>
      <w:r/>
    </w:p>
    <w:p>
      <w:pPr>
        <w:ind w:firstLine="42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Cs w:val="21"/>
          <w:lang w:val="en-US" w:eastAsia="zh-CN"/>
        </w:rPr>
        <w:t xml:space="preserve">3、工程范围:江苏省委党校励学大厦学员宿舍</w:t>
      </w:r>
      <w:r>
        <w:rPr>
          <w:rFonts w:hint="eastAsia" w:ascii="宋体" w:hAnsi="宋体" w:eastAsia="宋体" w:cs="宋体"/>
          <w:b/>
          <w:bCs/>
          <w:color w:val="auto"/>
          <w:szCs w:val="21"/>
          <w:lang w:val="en-US" w:eastAsia="zh-CN"/>
        </w:rPr>
        <w:t xml:space="preserve">标准间客房及卫生间更新改造</w:t>
      </w:r>
      <w:r>
        <w:rPr>
          <w:rFonts w:hint="eastAsia" w:ascii="宋体" w:hAnsi="宋体" w:eastAsia="宋体" w:cs="宋体"/>
          <w:color w:val="auto"/>
          <w:szCs w:val="21"/>
          <w:lang w:val="en-US" w:eastAsia="zh-CN"/>
        </w:rPr>
        <w:t xml:space="preserve">，共计</w:t>
      </w:r>
      <w:r>
        <w:rPr>
          <w:rFonts w:hint="eastAsia" w:ascii="宋体" w:hAnsi="宋体" w:eastAsia="宋体" w:cs="宋体"/>
          <w:b/>
          <w:bCs/>
          <w:color w:val="auto"/>
          <w:szCs w:val="21"/>
          <w:lang w:val="en-US" w:eastAsia="zh-CN"/>
        </w:rPr>
        <w:t xml:space="preserve">111</w:t>
      </w:r>
      <w:r>
        <w:rPr>
          <w:rFonts w:hint="eastAsia" w:ascii="宋体" w:hAnsi="宋体" w:eastAsia="宋体" w:cs="宋体"/>
          <w:b/>
          <w:bCs/>
          <w:color w:val="auto"/>
          <w:sz w:val="21"/>
          <w:szCs w:val="21"/>
          <w:lang w:val="en-US" w:eastAsia="zh-CN"/>
        </w:rPr>
        <w:t xml:space="preserve">间</w:t>
      </w:r>
      <w:r>
        <w:rPr>
          <w:rFonts w:hint="eastAsia" w:ascii="宋体" w:hAnsi="宋体" w:eastAsia="宋体" w:cs="宋体"/>
          <w:color w:val="auto"/>
          <w:sz w:val="21"/>
          <w:szCs w:val="21"/>
          <w:lang w:val="en-US" w:eastAsia="zh-CN"/>
        </w:rPr>
        <w:t xml:space="preserve">，</w:t>
      </w:r>
      <w:r>
        <w:rPr>
          <w:rFonts w:hint="eastAsia" w:ascii="宋体" w:hAnsi="宋体" w:eastAsia="宋体" w:cs="宋体"/>
          <w:b/>
          <w:bCs/>
          <w:color w:val="auto"/>
          <w:sz w:val="21"/>
          <w:szCs w:val="21"/>
          <w:highlight w:val="none"/>
          <w:u w:val="single"/>
          <w:lang w:val="en-US" w:eastAsia="zh-CN"/>
        </w:rPr>
        <w:t xml:space="preserve">具体项目内容详见工程量清单和施工图</w:t>
      </w:r>
      <w:r>
        <w:rPr>
          <w:rFonts w:hint="eastAsia" w:ascii="宋体" w:hAnsi="宋体" w:eastAsia="宋体" w:cs="宋体"/>
          <w:color w:val="auto"/>
          <w:sz w:val="21"/>
          <w:szCs w:val="21"/>
          <w:lang w:val="en-US" w:eastAsia="zh-CN"/>
        </w:rPr>
        <w:t xml:space="preserve">。</w:t>
      </w:r>
      <w:r/>
    </w:p>
    <w:p>
      <w:pPr>
        <w:ind w:firstLine="42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4、房间位置分布</w:t>
      </w:r>
      <w:r>
        <w:rPr>
          <w:rFonts w:hint="eastAsia" w:ascii="宋体" w:hAnsi="宋体" w:eastAsia="宋体" w:cs="宋体"/>
          <w:color w:val="auto"/>
          <w:szCs w:val="21"/>
          <w:u w:val="none"/>
          <w:lang w:val="en-US" w:eastAsia="zh-CN"/>
        </w:rPr>
        <w:t xml:space="preserve">:</w:t>
      </w:r>
      <w:r>
        <w:rPr>
          <w:rFonts w:hint="eastAsia" w:ascii="宋体" w:hAnsi="宋体" w:eastAsia="宋体" w:cs="宋体"/>
          <w:b/>
          <w:bCs/>
          <w:color w:val="auto"/>
          <w:szCs w:val="21"/>
          <w:u w:val="none"/>
          <w:lang w:val="en-US" w:eastAsia="zh-CN"/>
        </w:rPr>
        <w:t xml:space="preserve">4</w:t>
      </w:r>
      <w:r>
        <w:rPr>
          <w:rFonts w:hint="eastAsia" w:ascii="宋体" w:hAnsi="宋体" w:eastAsia="宋体" w:cs="宋体"/>
          <w:b/>
          <w:bCs/>
          <w:color w:val="auto"/>
          <w:szCs w:val="21"/>
          <w:u w:val="single"/>
          <w:lang w:val="en-US" w:eastAsia="zh-CN"/>
        </w:rPr>
        <w:t xml:space="preserve">--13</w:t>
      </w:r>
      <w:r>
        <w:rPr>
          <w:rFonts w:hint="eastAsia" w:ascii="宋体" w:hAnsi="宋体" w:eastAsia="宋体" w:cs="宋体"/>
          <w:b/>
          <w:bCs/>
          <w:color w:val="auto"/>
          <w:szCs w:val="21"/>
          <w:lang w:val="en-US" w:eastAsia="zh-CN"/>
        </w:rPr>
        <w:t xml:space="preserve">楼</w:t>
      </w:r>
      <w:r>
        <w:rPr>
          <w:rFonts w:hint="eastAsia" w:ascii="宋体" w:hAnsi="宋体" w:eastAsia="宋体" w:cs="宋体"/>
          <w:color w:val="auto"/>
          <w:szCs w:val="21"/>
          <w:lang w:val="en-US" w:eastAsia="zh-CN"/>
        </w:rPr>
        <w:t xml:space="preserve">。</w:t>
      </w:r>
      <w:r/>
    </w:p>
    <w:p>
      <w:pPr>
        <w:ind w:firstLine="42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5、工期要求:</w:t>
      </w:r>
      <w:r>
        <w:rPr>
          <w:rFonts w:hint="eastAsia" w:ascii="宋体" w:hAnsi="宋体" w:eastAsia="宋体" w:cs="宋体"/>
          <w:b/>
          <w:bCs/>
          <w:color w:val="auto"/>
          <w:szCs w:val="21"/>
          <w:lang w:val="en-US" w:eastAsia="zh-CN"/>
        </w:rPr>
        <w:t xml:space="preserve">50</w:t>
      </w:r>
      <w:r>
        <w:rPr>
          <w:rFonts w:hint="eastAsia" w:ascii="宋体" w:hAnsi="宋体" w:eastAsia="宋体" w:cs="宋体"/>
          <w:b/>
          <w:bCs/>
          <w:color w:val="auto"/>
          <w:szCs w:val="21"/>
          <w:u w:val="single"/>
          <w:lang w:val="en-US" w:eastAsia="zh-CN"/>
        </w:rPr>
        <w:t xml:space="preserve">日历天</w:t>
      </w:r>
      <w:r>
        <w:rPr>
          <w:rFonts w:hint="eastAsia" w:ascii="宋体" w:hAnsi="宋体" w:eastAsia="宋体" w:cs="宋体"/>
          <w:color w:val="auto"/>
          <w:szCs w:val="21"/>
          <w:lang w:val="en-US" w:eastAsia="zh-CN"/>
        </w:rPr>
        <w:t xml:space="preserve">。</w:t>
      </w:r>
      <w:r/>
    </w:p>
    <w:p>
      <w:pPr>
        <w:pStyle w:val="1096"/>
        <w:numPr>
          <w:ilvl w:val="0"/>
          <w:numId w:val="0"/>
        </w:numPr>
        <w:jc w:val="both"/>
        <w:keepLines/>
        <w:keepNext/>
        <w:pageBreakBefore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二、工程承包范围、控制价及报价要求</w:t>
      </w:r>
      <w:r/>
    </w:p>
    <w:p>
      <w:pPr>
        <w:ind w:firstLine="420"/>
        <w:jc w:val="left"/>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、报价要求</w:t>
      </w:r>
      <w:r/>
    </w:p>
    <w:p>
      <w:pPr>
        <w:ind w:firstLine="420"/>
        <w:jc w:val="left"/>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工程采用固定单价报价方式，投标人应根据采购人提供相关材料，实地查看，综合考虑施工难度、工艺方法等一切施工因素，并自行考虑风险系数，编制报价文件。投标人的以上单价中包含完成全部工作所需的一切费用，包括材料费、人工费、机械费、垂直运输费、脚手费、运输装卸费、成品保护费用、垃圾外运、现场水电费及临时设施费、保险费、管理费、检测费、利润、税金、政策性文件规定及施工期间各类建材的市场风险、人工单价、机械台班价格浮动的风险和政策性调整。</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）招标文件中所有技术要求如果与现行国家及行业规范有所违背，应以现行国家及行业规范为准。投标时应及时通知招标单位，否则一切责任归于中标单位。</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）投标报价必须按照附表工程量清单报价表进行报价。</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）采购文件未列明，而供应商认为必需的费用也需</w:t>
      </w:r>
      <w:r>
        <w:rPr>
          <w:rFonts w:hint="eastAsia" w:ascii="宋体" w:hAnsi="宋体" w:eastAsia="宋体" w:cs="宋体"/>
          <w:color w:val="auto"/>
          <w:szCs w:val="21"/>
          <w:highlight w:val="none"/>
          <w:lang w:val="en-US" w:eastAsia="zh-CN"/>
        </w:rPr>
        <w:t xml:space="preserve">综合考虑</w:t>
      </w:r>
      <w:r>
        <w:rPr>
          <w:rFonts w:hint="eastAsia" w:ascii="宋体" w:hAnsi="宋体" w:eastAsia="宋体" w:cs="宋体"/>
          <w:color w:val="auto"/>
          <w:szCs w:val="21"/>
          <w:highlight w:val="none"/>
        </w:rPr>
        <w:t xml:space="preserve">列入报价。</w:t>
      </w:r>
      <w:r/>
    </w:p>
    <w:p>
      <w:pPr>
        <w:ind w:firstLine="42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招标工程量清单及图纸</w:t>
      </w:r>
      <w:r/>
    </w:p>
    <w:p>
      <w:pPr>
        <w:pStyle w:val="1107"/>
        <w:ind w:firstLine="420"/>
        <w:pageBreakBefore w:val="0"/>
        <w:spacing w:line="360" w:lineRule="auto"/>
        <w:widowControl w:val="off"/>
        <w:rPr>
          <w:rFonts w:hint="eastAsia" w:ascii="宋体" w:hAnsi="宋体" w:eastAsia="宋体" w:cs="宋体"/>
          <w:b w:val="0"/>
          <w:bCs w:val="0"/>
          <w:szCs w:val="16"/>
          <w:highlight w:val="none"/>
          <w:lang w:eastAsia="zh-CN"/>
        </w:rPr>
      </w:pPr>
      <w:r>
        <w:rPr>
          <w:rFonts w:hint="eastAsia" w:ascii="宋体" w:hAnsi="宋体" w:cs="宋体"/>
          <w:b w:val="0"/>
          <w:bCs w:val="0"/>
          <w:szCs w:val="16"/>
          <w:highlight w:val="none"/>
        </w:rPr>
        <w:t xml:space="preserve">登录</w:t>
      </w:r>
      <w:r>
        <w:rPr>
          <w:rFonts w:hint="eastAsia" w:ascii="宋体" w:hAnsi="宋体" w:cs="宋体"/>
          <w:b w:val="0"/>
          <w:bCs w:val="0"/>
          <w:szCs w:val="16"/>
          <w:highlight w:val="none"/>
          <w:lang w:val="en-US" w:eastAsia="zh-CN"/>
        </w:rPr>
        <w:t xml:space="preserve">百度</w:t>
      </w:r>
      <w:r>
        <w:rPr>
          <w:rFonts w:hint="eastAsia" w:ascii="宋体" w:hAnsi="宋体" w:cs="宋体"/>
          <w:b w:val="0"/>
          <w:bCs w:val="0"/>
          <w:szCs w:val="16"/>
          <w:highlight w:val="none"/>
        </w:rPr>
        <w:t xml:space="preserve">网盘</w:t>
      </w:r>
      <w:r>
        <w:rPr>
          <w:rFonts w:hint="eastAsia" w:ascii="宋体" w:hAnsi="宋体" w:cs="宋体"/>
          <w:b w:val="0"/>
          <w:bCs w:val="0"/>
          <w:szCs w:val="16"/>
          <w:highlight w:val="none"/>
          <w:lang w:val="en-US" w:eastAsia="zh-CN"/>
        </w:rPr>
        <w:t xml:space="preserve">下载</w:t>
      </w:r>
      <w:r/>
    </w:p>
    <w:p>
      <w:pPr>
        <w:pStyle w:val="1107"/>
        <w:ind w:firstLine="420"/>
        <w:pageBreakBefore w:val="0"/>
        <w:spacing w:line="360" w:lineRule="auto"/>
        <w:widowControl w:val="off"/>
        <w:rPr>
          <w:rFonts w:hint="default" w:ascii="宋体" w:hAnsi="宋体" w:eastAsia="宋体" w:cs="宋体"/>
          <w:b w:val="0"/>
          <w:bCs w:val="0"/>
          <w:szCs w:val="16"/>
          <w:highlight w:val="none"/>
          <w:lang w:val="en-US" w:eastAsia="zh-CN"/>
        </w:rPr>
      </w:pPr>
      <w:r>
        <w:rPr>
          <w:rFonts w:hint="eastAsia" w:ascii="宋体" w:hAnsi="宋体" w:cs="宋体"/>
          <w:b w:val="0"/>
          <w:bCs w:val="0"/>
          <w:szCs w:val="16"/>
          <w:highlight w:val="none"/>
        </w:rPr>
        <w:t xml:space="preserve">链接:</w:t>
      </w:r>
      <w:bookmarkStart w:id="647" w:name="_GoBack"/>
      <w:r/>
      <w:bookmarkEnd w:id="647"/>
      <w:r>
        <w:rPr>
          <w:rFonts w:hint="eastAsia" w:ascii="宋体" w:hAnsi="宋体" w:cs="宋体"/>
          <w:b w:val="0"/>
          <w:bCs w:val="0"/>
          <w:szCs w:val="16"/>
          <w:highlight w:val="none"/>
        </w:rPr>
        <w:t xml:space="preserve">https://pan.baidu.com/s/1rWqFKujY7h_CK5EoLKEx3w?pwd=a259 提取码: a259</w:t>
      </w:r>
      <w:r/>
    </w:p>
    <w:p>
      <w:pPr>
        <w:pStyle w:val="1096"/>
        <w:numPr>
          <w:ilvl w:val="0"/>
          <w:numId w:val="0"/>
        </w:numPr>
        <w:jc w:val="both"/>
        <w:keepLines/>
        <w:keepNext/>
        <w:pageBreakBefore w:val="0"/>
        <w:spacing w:before="0"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三、质量标准</w:t>
      </w:r>
      <w:r/>
    </w:p>
    <w:p>
      <w:pPr>
        <w:ind w:firstLine="420"/>
        <w:jc w:val="left"/>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Cs w:val="21"/>
        </w:rPr>
        <w:t xml:space="preserve">工程质量标准：满足甲方要求且符合国家质量验收标准。</w:t>
      </w:r>
      <w:r/>
    </w:p>
    <w:p>
      <w:pPr>
        <w:pStyle w:val="1154"/>
        <w:ind w:firstLine="482"/>
        <w:spacing w:before="0" w:after="0" w:line="360" w:lineRule="auto"/>
        <w:rPr>
          <w:rFonts w:ascii="宋体" w:hAnsi="宋体" w:cs="宋体"/>
          <w:lang w:val="zh-CN"/>
        </w:rPr>
      </w:pPr>
      <w:r>
        <w:rPr>
          <w:rFonts w:hint="eastAsia" w:ascii="宋体" w:hAnsi="宋体" w:cs="宋体"/>
          <w:sz w:val="24"/>
          <w:szCs w:val="24"/>
        </w:rPr>
        <w:br w:type="page" w:clear="all"/>
      </w:r>
      <w:bookmarkStart w:id="25" w:name="_Toc13426"/>
      <w:r>
        <w:rPr>
          <w:rFonts w:hint="eastAsia" w:ascii="宋体" w:hAnsi="宋体" w:cs="宋体"/>
          <w:lang w:val="zh-CN"/>
        </w:rPr>
        <w:t xml:space="preserve">第五章 合同主要条款</w:t>
      </w:r>
      <w:bookmarkEnd w:id="25"/>
      <w:r/>
      <w:bookmarkStart w:id="26" w:name="_Toc20823315"/>
      <w:r/>
      <w:bookmarkStart w:id="27" w:name="_Toc16938559"/>
      <w:r/>
      <w:bookmarkStart w:id="28" w:name="_Toc513029243"/>
      <w:r/>
      <w:bookmarkEnd w:id="26"/>
      <w:r/>
      <w:bookmarkEnd w:id="27"/>
      <w:r/>
      <w:bookmarkEnd w:id="28"/>
      <w:r/>
      <w:r/>
    </w:p>
    <w:p>
      <w:pPr>
        <w:ind w:firstLine="562"/>
        <w:jc w:val="left"/>
        <w:spacing w:line="360" w:lineRule="auto"/>
        <w:widowControl/>
        <w:rPr>
          <w:rFonts w:hint="eastAsia" w:ascii="宋体" w:hAnsi="宋体" w:eastAsia="宋体" w:cs="宋体"/>
          <w:b/>
          <w:bCs/>
          <w:color w:val="auto"/>
          <w:sz w:val="28"/>
          <w:szCs w:val="28"/>
        </w:rPr>
      </w:pPr>
      <w:r/>
      <w:bookmarkStart w:id="29" w:name="_Toc14104719"/>
      <w:r/>
      <w:bookmarkStart w:id="30" w:name="_Toc26736"/>
      <w:r/>
      <w:bookmarkStart w:id="31" w:name="_Toc504573082"/>
      <w:r/>
      <w:bookmarkStart w:id="32" w:name="_Toc534273798"/>
      <w:r/>
      <w:bookmarkStart w:id="33" w:name="_Toc534273675"/>
      <w:r/>
      <w:r/>
    </w:p>
    <w:p>
      <w:pPr>
        <w:ind w:firstLine="643"/>
        <w:jc w:val="center"/>
        <w:spacing w:line="36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建设工程施工合同</w:t>
      </w:r>
      <w:r/>
    </w:p>
    <w:p>
      <w:pPr>
        <w:ind w:firstLine="482"/>
        <w:jc w:val="both"/>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firstLine="640"/>
        <w:jc w:val="both"/>
        <w:widowControl w:val="off"/>
        <w:rPr>
          <w:rFonts w:hint="eastAsia" w:ascii="宋体" w:hAnsi="宋体" w:eastAsia="宋体" w:cs="宋体"/>
          <w:color w:val="auto"/>
          <w:sz w:val="32"/>
          <w:szCs w:val="24"/>
          <w:lang w:val="en-US" w:eastAsia="zh-CN" w:bidi="ar-SA"/>
        </w:rPr>
      </w:pPr>
      <w:r>
        <w:rPr>
          <w:rFonts w:hint="eastAsia" w:ascii="宋体" w:hAnsi="宋体" w:eastAsia="宋体" w:cs="宋体"/>
          <w:color w:val="auto"/>
          <w:sz w:val="32"/>
          <w:szCs w:val="24"/>
          <w:lang w:val="en-US" w:eastAsia="zh-CN" w:bidi="ar-SA"/>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0"/>
        <w:jc w:val="center"/>
        <w:rPr>
          <w:rFonts w:hint="eastAsia" w:ascii="宋体" w:hAnsi="宋体" w:eastAsia="宋体" w:cs="宋体"/>
          <w:color w:val="auto"/>
          <w:sz w:val="32"/>
          <w:szCs w:val="24"/>
        </w:rPr>
      </w:pPr>
      <w:r>
        <w:rPr>
          <w:rFonts w:hint="eastAsia" w:ascii="宋体" w:hAnsi="宋体" w:eastAsia="宋体" w:cs="宋体"/>
          <w:color w:val="auto"/>
          <w:sz w:val="32"/>
          <w:szCs w:val="24"/>
        </w:rPr>
      </w:r>
      <w:r/>
    </w:p>
    <w:p>
      <w:pPr>
        <w:ind w:firstLine="643"/>
        <w:jc w:val="center"/>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ind w:firstLine="643"/>
        <w:jc w:val="center"/>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住房和城乡建设部制定</w:t>
      </w:r>
      <w:r/>
    </w:p>
    <w:p>
      <w:pPr>
        <w:ind w:firstLine="643"/>
        <w:jc w:val="center"/>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国家工商行政管理总局</w:t>
      </w:r>
      <w:r/>
    </w:p>
    <w:p>
      <w:pPr>
        <w:ind w:firstLine="482"/>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jc w:val="center"/>
        <w:spacing w:before="340" w:after="320" w:line="576" w:lineRule="auto"/>
        <w:rPr>
          <w:rFonts w:hint="eastAsia" w:ascii="宋体" w:hAnsi="宋体" w:eastAsia="宋体" w:cs="宋体"/>
          <w:b/>
          <w:color w:val="auto"/>
          <w:sz w:val="32"/>
          <w:szCs w:val="32"/>
        </w:rPr>
      </w:pPr>
      <w:r>
        <w:rPr>
          <w:rFonts w:hint="eastAsia" w:ascii="宋体" w:hAnsi="宋体" w:eastAsia="宋体" w:cs="宋体"/>
          <w:b/>
          <w:bCs/>
          <w:color w:val="auto"/>
          <w:sz w:val="24"/>
          <w:szCs w:val="24"/>
        </w:rPr>
        <w:br w:type="page" w:clear="all"/>
      </w:r>
      <w:bookmarkStart w:id="34" w:name="_Toc351203480"/>
      <w:r/>
      <w:bookmarkStart w:id="35" w:name="_Toc296890982"/>
      <w:r/>
      <w:bookmarkStart w:id="36" w:name="_Toc296503025"/>
      <w:r>
        <w:rPr>
          <w:rFonts w:hint="eastAsia" w:ascii="宋体" w:hAnsi="宋体" w:eastAsia="宋体" w:cs="宋体"/>
          <w:b/>
          <w:color w:val="auto"/>
          <w:sz w:val="32"/>
          <w:szCs w:val="32"/>
        </w:rPr>
        <w:t xml:space="preserve">第一部分 合同协议书</w:t>
      </w:r>
      <w:bookmarkEnd w:id="34"/>
      <w:r/>
      <w:bookmarkEnd w:id="35"/>
      <w:r/>
      <w:bookmarkEnd w:id="36"/>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发包人（全称）：</w:t>
      </w:r>
      <w:r>
        <w:rPr>
          <w:rFonts w:hint="eastAsia" w:ascii="宋体" w:hAnsi="宋体" w:eastAsia="宋体" w:cs="宋体"/>
          <w:color w:val="auto"/>
          <w:sz w:val="24"/>
          <w:szCs w:val="24"/>
          <w:u w:val="single"/>
          <w:lang w:eastAsia="zh-CN"/>
        </w:rPr>
        <w:t xml:space="preserve">中共江苏省委党校</w:t>
      </w:r>
      <w:r>
        <w:rPr>
          <w:rFonts w:hint="eastAsia" w:ascii="宋体" w:hAnsi="宋体" w:eastAsia="宋体" w:cs="宋体"/>
          <w:color w:val="auto"/>
          <w:sz w:val="24"/>
          <w:szCs w:val="24"/>
          <w:u w:val="single"/>
        </w:rPr>
        <w:t xml:space="preserve"></w:t>
      </w:r>
      <w:r/>
    </w:p>
    <w:p>
      <w:pPr>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承包人（全称）：</w:t>
      </w:r>
      <w:r>
        <w:rPr>
          <w:rFonts w:hint="eastAsia" w:ascii="宋体" w:hAnsi="宋体" w:eastAsia="宋体" w:cs="宋体"/>
          <w:color w:val="auto"/>
          <w:sz w:val="24"/>
          <w:szCs w:val="24"/>
          <w:u w:val="single"/>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     根据《中华人民共和国民法典》、《中华人民共和国建筑法》及有关法律规定，遵循平等、自愿、公平和诚实信用的原则，双方就</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rPr>
        <w:t xml:space="preserve">有关事项协商一致，共同达成如下协议：</w:t>
      </w:r>
      <w:bookmarkStart w:id="37" w:name="_Toc351203481"/>
      <w:r/>
      <w:r/>
    </w:p>
    <w:p>
      <w:pPr>
        <w:ind w:firstLine="422"/>
        <w:spacing w:line="440" w:lineRule="exact"/>
        <w:tabs>
          <w:tab w:val="left" w:pos="7644" w:leader="none"/>
        </w:tabs>
        <w:rPr>
          <w:rFonts w:hint="eastAsia" w:ascii="宋体" w:hAnsi="宋体" w:eastAsia="宋体" w:cs="宋体"/>
          <w:color w:val="auto"/>
          <w:szCs w:val="21"/>
        </w:rPr>
      </w:pPr>
      <w:r>
        <w:rPr>
          <w:rFonts w:hint="eastAsia" w:ascii="宋体" w:hAnsi="宋体" w:eastAsia="宋体" w:cs="宋体"/>
          <w:b/>
          <w:color w:val="auto"/>
          <w:szCs w:val="21"/>
        </w:rPr>
        <w:t xml:space="preserve">一、工程概况</w:t>
      </w:r>
      <w:bookmarkEnd w:id="37"/>
      <w:r>
        <w:rPr>
          <w:rFonts w:hint="eastAsia" w:ascii="宋体" w:hAnsi="宋体" w:eastAsia="宋体" w:cs="宋体"/>
          <w:b/>
          <w:color w:val="auto"/>
          <w:szCs w:val="21"/>
        </w:rPr>
        <w:tab/>
      </w:r>
      <w:r/>
    </w:p>
    <w:p>
      <w:pPr>
        <w:ind w:firstLine="420"/>
        <w:rPr>
          <w:rFonts w:hint="eastAsia" w:ascii="宋体" w:hAnsi="宋体" w:eastAsia="宋体" w:cs="宋体"/>
          <w:color w:val="auto"/>
          <w:szCs w:val="21"/>
          <w:u w:val="single"/>
          <w:lang w:eastAsia="zh-CN"/>
        </w:rPr>
      </w:pPr>
      <w:r>
        <w:rPr>
          <w:rFonts w:hint="eastAsia" w:ascii="宋体" w:hAnsi="宋体" w:eastAsia="宋体" w:cs="宋体"/>
          <w:bCs/>
          <w:color w:val="auto"/>
          <w:szCs w:val="21"/>
        </w:rPr>
        <w:t xml:space="preserve">1.工程名称</w:t>
      </w:r>
      <w:r>
        <w:rPr>
          <w:rFonts w:hint="eastAsia" w:ascii="宋体" w:hAnsi="宋体" w:eastAsia="宋体" w:cs="宋体"/>
          <w:color w:val="auto"/>
          <w:szCs w:val="21"/>
        </w:rPr>
        <w:t xml:space="preserve">：</w:t>
      </w:r>
      <w:r>
        <w:rPr>
          <w:rFonts w:hint="eastAsia" w:ascii="宋体" w:hAnsi="宋体" w:eastAsia="宋体" w:cs="宋体"/>
          <w:color w:val="auto"/>
          <w:szCs w:val="21"/>
          <w:u w:val="single"/>
          <w:lang w:eastAsia="zh-CN"/>
        </w:rPr>
        <w:t xml:space="preserve">中共江苏省委党校励学大厦学员宿舍设施更新改造项目</w:t>
      </w:r>
      <w:r/>
    </w:p>
    <w:p>
      <w:pPr>
        <w:ind w:firstLine="420"/>
        <w:spacing w:line="460" w:lineRule="exact"/>
        <w:tabs>
          <w:tab w:val="left" w:pos="1620" w:leader="none"/>
          <w:tab w:val="center" w:pos="4819" w:leader="none"/>
        </w:tabs>
        <w:rPr>
          <w:rFonts w:hint="default" w:ascii="宋体" w:hAnsi="宋体" w:eastAsia="宋体" w:cs="宋体"/>
          <w:bCs/>
          <w:color w:val="auto"/>
          <w:szCs w:val="21"/>
          <w:lang w:val="en-US" w:eastAsia="zh-CN"/>
        </w:rPr>
      </w:pPr>
      <w:r>
        <w:rPr>
          <w:rFonts w:hint="eastAsia" w:ascii="宋体" w:hAnsi="宋体" w:eastAsia="宋体" w:cs="宋体"/>
          <w:bCs/>
          <w:color w:val="auto"/>
          <w:szCs w:val="21"/>
        </w:rPr>
        <w:t xml:space="preserve">2.工程地点：</w:t>
      </w:r>
      <w:r>
        <w:rPr>
          <w:rFonts w:hint="eastAsia" w:ascii="宋体" w:hAnsi="宋体" w:eastAsia="宋体" w:cs="宋体"/>
          <w:color w:val="auto"/>
          <w:szCs w:val="21"/>
          <w:u w:val="single"/>
          <w:lang w:val="en-US" w:eastAsia="zh-CN"/>
        </w:rPr>
        <w:t xml:space="preserve">               </w:t>
      </w:r>
      <w:r/>
    </w:p>
    <w:p>
      <w:pPr>
        <w:ind w:firstLine="420"/>
        <w:spacing w:line="46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3.工程立项批准文号：</w:t>
      </w:r>
      <w:r>
        <w:rPr>
          <w:rFonts w:hint="eastAsia" w:ascii="宋体" w:hAnsi="宋体" w:eastAsia="宋体" w:cs="宋体"/>
          <w:bCs/>
          <w:color w:val="auto"/>
          <w:szCs w:val="21"/>
          <w:u w:val="single"/>
        </w:rPr>
        <w:t xml:space="preserve">已批准</w:t>
      </w:r>
      <w:r>
        <w:rPr>
          <w:rFonts w:hint="eastAsia" w:ascii="宋体" w:hAnsi="宋体" w:eastAsia="宋体" w:cs="宋体"/>
          <w:bCs/>
          <w:color w:val="auto"/>
          <w:szCs w:val="21"/>
        </w:rPr>
        <w:t xml:space="preserve">。</w:t>
      </w:r>
      <w:r/>
    </w:p>
    <w:p>
      <w:pPr>
        <w:ind w:firstLine="420"/>
        <w:spacing w:line="46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4.资金来源：</w:t>
      </w:r>
      <w:r>
        <w:rPr>
          <w:rFonts w:hint="eastAsia" w:ascii="宋体" w:hAnsi="宋体" w:eastAsia="宋体" w:cs="宋体"/>
          <w:color w:val="auto"/>
          <w:szCs w:val="21"/>
          <w:u w:val="single"/>
        </w:rPr>
        <w:t xml:space="preserve">已落实</w:t>
      </w:r>
      <w:r>
        <w:rPr>
          <w:rFonts w:hint="eastAsia" w:ascii="宋体" w:hAnsi="宋体" w:eastAsia="宋体" w:cs="宋体"/>
          <w:bCs/>
          <w:color w:val="auto"/>
          <w:szCs w:val="21"/>
        </w:rPr>
        <w:t xml:space="preserve">。</w:t>
      </w:r>
      <w:r/>
    </w:p>
    <w:p>
      <w:pPr>
        <w:ind w:firstLine="420"/>
        <w:spacing w:line="460" w:lineRule="exact"/>
        <w:rPr>
          <w:rFonts w:hint="eastAsia" w:ascii="宋体" w:hAnsi="宋体" w:eastAsia="宋体" w:cs="宋体"/>
          <w:color w:val="auto"/>
          <w:szCs w:val="21"/>
          <w:u w:val="single"/>
          <w:lang w:val="en-US" w:eastAsia="zh-CN"/>
        </w:rPr>
      </w:pPr>
      <w:r>
        <w:rPr>
          <w:rFonts w:hint="eastAsia" w:ascii="宋体" w:hAnsi="宋体" w:eastAsia="宋体" w:cs="宋体"/>
          <w:bCs/>
          <w:color w:val="auto"/>
          <w:szCs w:val="21"/>
        </w:rPr>
        <w:t xml:space="preserve">5.招标内容：</w:t>
      </w:r>
      <w:r>
        <w:rPr>
          <w:rFonts w:hint="eastAsia" w:ascii="宋体" w:hAnsi="宋体" w:eastAsia="宋体" w:cs="宋体"/>
          <w:bCs/>
          <w:color w:val="auto"/>
          <w:szCs w:val="21"/>
          <w:u w:val="single"/>
          <w:lang w:val="en-US" w:eastAsia="zh-CN"/>
        </w:rPr>
        <w:t xml:space="preserve">详见采购文件</w:t>
      </w:r>
      <w:r>
        <w:rPr>
          <w:rFonts w:hint="eastAsia" w:ascii="宋体" w:hAnsi="宋体" w:eastAsia="宋体" w:cs="宋体"/>
          <w:color w:val="auto"/>
          <w:szCs w:val="21"/>
          <w:u w:val="single"/>
          <w:lang w:val="en-US" w:eastAsia="zh-CN"/>
        </w:rPr>
        <w:t xml:space="preserve">       </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bCs/>
          <w:color w:val="auto"/>
          <w:szCs w:val="21"/>
        </w:rPr>
        <w:t xml:space="preserve">6.工程承包范围：</w:t>
      </w:r>
      <w:r>
        <w:rPr>
          <w:rFonts w:hint="eastAsia" w:ascii="宋体" w:hAnsi="宋体" w:eastAsia="宋体" w:cs="宋体"/>
          <w:color w:val="auto"/>
          <w:szCs w:val="21"/>
          <w:u w:val="single"/>
        </w:rPr>
        <w:t xml:space="preserve">本标段范围内改造工程</w:t>
      </w:r>
      <w:r>
        <w:rPr>
          <w:rFonts w:hint="eastAsia" w:ascii="宋体" w:hAnsi="宋体" w:eastAsia="宋体" w:cs="宋体"/>
          <w:color w:val="auto"/>
          <w:szCs w:val="21"/>
        </w:rPr>
        <w:t xml:space="preserve">。</w:t>
      </w:r>
      <w:bookmarkStart w:id="38" w:name="_Toc351203482"/>
      <w:r/>
      <w:r/>
    </w:p>
    <w:p>
      <w:pPr>
        <w:ind w:firstLine="422"/>
        <w:spacing w:line="440" w:lineRule="exact"/>
        <w:rPr>
          <w:rFonts w:hint="eastAsia" w:ascii="宋体" w:hAnsi="宋体" w:eastAsia="宋体" w:cs="宋体"/>
          <w:color w:val="auto"/>
          <w:szCs w:val="21"/>
        </w:rPr>
      </w:pPr>
      <w:r>
        <w:rPr>
          <w:rFonts w:hint="eastAsia" w:ascii="宋体" w:hAnsi="宋体" w:eastAsia="宋体" w:cs="宋体"/>
          <w:b/>
          <w:color w:val="auto"/>
          <w:szCs w:val="21"/>
        </w:rPr>
        <w:t xml:space="preserve">二、合同工期</w:t>
      </w:r>
      <w:bookmarkEnd w:id="38"/>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计划开工日期：</w:t>
      </w:r>
      <w:r>
        <w:rPr>
          <w:rFonts w:hint="eastAsia" w:ascii="宋体" w:hAnsi="宋体" w:eastAsia="宋体" w:cs="宋体"/>
          <w:color w:val="auto"/>
          <w:szCs w:val="21"/>
          <w:u w:val="single"/>
        </w:rPr>
        <w:t xml:space="preserve">根据发包人通知。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计划竣工日期：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工期总日历天数：</w:t>
      </w:r>
      <w:r>
        <w:rPr>
          <w:rFonts w:hint="eastAsia" w:ascii="宋体" w:hAnsi="宋体" w:eastAsia="宋体" w:cs="宋体"/>
          <w:color w:val="auto"/>
          <w:szCs w:val="21"/>
          <w:lang w:val="en-US" w:eastAsia="zh-CN"/>
        </w:rPr>
        <w:t xml:space="preserve">50</w:t>
      </w:r>
      <w:r>
        <w:rPr>
          <w:rFonts w:hint="eastAsia" w:ascii="宋体" w:hAnsi="宋体" w:eastAsia="宋体" w:cs="宋体"/>
          <w:b/>
          <w:bCs/>
          <w:color w:val="auto"/>
          <w:szCs w:val="21"/>
          <w:u w:val="single"/>
          <w:lang w:val="en-US" w:eastAsia="zh-CN"/>
        </w:rPr>
        <w:t xml:space="preserve">日历天</w:t>
      </w:r>
      <w:r>
        <w:rPr>
          <w:rFonts w:hint="eastAsia" w:ascii="宋体" w:hAnsi="宋体" w:eastAsia="宋体" w:cs="宋体"/>
          <w:color w:val="auto"/>
          <w:szCs w:val="21"/>
        </w:rPr>
        <w:t xml:space="preserve">。工期总日历天数与根据前述计划开竣工日期计算的工期天数不一致的，以工期总日历天数为准。</w:t>
      </w:r>
      <w:bookmarkStart w:id="39" w:name="_Toc351203483"/>
      <w:r/>
      <w:r/>
    </w:p>
    <w:p>
      <w:pPr>
        <w:ind w:firstLine="422"/>
        <w:spacing w:line="440" w:lineRule="exact"/>
        <w:rPr>
          <w:rFonts w:hint="eastAsia" w:ascii="宋体" w:hAnsi="宋体" w:eastAsia="宋体" w:cs="宋体"/>
          <w:color w:val="auto"/>
          <w:szCs w:val="21"/>
        </w:rPr>
      </w:pPr>
      <w:r>
        <w:rPr>
          <w:rFonts w:hint="eastAsia" w:ascii="宋体" w:hAnsi="宋体" w:eastAsia="宋体" w:cs="宋体"/>
          <w:b/>
          <w:color w:val="auto"/>
          <w:szCs w:val="21"/>
        </w:rPr>
        <w:t xml:space="preserve">三、质量标准</w:t>
      </w:r>
      <w:bookmarkEnd w:id="39"/>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工程质量符合</w:t>
      </w:r>
      <w:r>
        <w:rPr>
          <w:rFonts w:hint="eastAsia" w:ascii="宋体" w:hAnsi="宋体" w:eastAsia="宋体" w:cs="宋体"/>
          <w:color w:val="auto"/>
          <w:szCs w:val="21"/>
          <w:u w:val="single"/>
        </w:rPr>
        <w:t xml:space="preserve">国家现行质量验收</w:t>
      </w:r>
      <w:r>
        <w:rPr>
          <w:rFonts w:hint="eastAsia" w:ascii="宋体" w:hAnsi="宋体" w:eastAsia="宋体" w:cs="宋体"/>
          <w:color w:val="auto"/>
          <w:szCs w:val="21"/>
        </w:rPr>
        <w:t xml:space="preserve">标准。</w:t>
      </w:r>
      <w:bookmarkStart w:id="40" w:name="_Toc351203484"/>
      <w:r/>
      <w:r/>
    </w:p>
    <w:p>
      <w:pPr>
        <w:ind w:firstLine="422"/>
        <w:spacing w:line="440" w:lineRule="exact"/>
        <w:rPr>
          <w:rFonts w:hint="eastAsia" w:ascii="宋体" w:hAnsi="宋体" w:eastAsia="宋体" w:cs="宋体"/>
          <w:color w:val="auto"/>
          <w:szCs w:val="21"/>
        </w:rPr>
      </w:pPr>
      <w:r>
        <w:rPr>
          <w:rFonts w:hint="eastAsia" w:ascii="宋体" w:hAnsi="宋体" w:eastAsia="宋体" w:cs="宋体"/>
          <w:b/>
          <w:color w:val="auto"/>
          <w:szCs w:val="21"/>
        </w:rPr>
        <w:t xml:space="preserve">四、签约合同价与合同价格形式</w:t>
      </w:r>
      <w:bookmarkEnd w:id="40"/>
      <w:r>
        <w:rPr>
          <w:rFonts w:hint="eastAsia" w:ascii="宋体" w:hAnsi="宋体" w:eastAsia="宋体" w:cs="宋体"/>
          <w:b/>
          <w:color w:val="auto"/>
          <w:szCs w:val="21"/>
        </w:rPr>
        <w:tab/>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1.签约合同价为：</w:t>
      </w: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其中：</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（1）安全文明施工费：</w:t>
      </w: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（2）材料和工程设备暂估价金额：</w:t>
      </w: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（3）专业工程暂估价金额：</w:t>
      </w: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（4）暂列金额：</w:t>
      </w: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rPr>
        <w:t xml:space="preserve">固定单价形式</w:t>
      </w:r>
      <w:r>
        <w:rPr>
          <w:rFonts w:hint="eastAsia" w:ascii="宋体" w:hAnsi="宋体" w:eastAsia="宋体" w:cs="宋体"/>
          <w:color w:val="auto"/>
          <w:szCs w:val="21"/>
          <w:highlight w:val="none"/>
        </w:rPr>
        <w:t xml:space="preserve">。</w:t>
      </w:r>
      <w:bookmarkStart w:id="41" w:name="_Toc351203485"/>
      <w:r/>
      <w:bookmarkEnd w:id="41"/>
      <w:r/>
      <w:r/>
    </w:p>
    <w:p>
      <w:pPr>
        <w:ind w:firstLine="422"/>
        <w:spacing w:line="44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五、项目负责人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bookmarkStart w:id="42" w:name="_Toc351203486"/>
      <w:r/>
      <w:r/>
    </w:p>
    <w:p>
      <w:pPr>
        <w:ind w:firstLine="422"/>
        <w:spacing w:line="44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六、合同文件构成</w:t>
      </w:r>
      <w:bookmarkEnd w:id="42"/>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本协议书与下列文件一起构成合同文件：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（1）中标通知书（如果有）；</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（2）投标函及其附录（如果有）；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（3）专用合同条款及其附件；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（4）通用合同条款；</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（5）技术标准和要求；</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（6）图纸；</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（7）已标价工程量清单或预算书；</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（8）其他合同文件。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在合同订立及履行过程中形成的与合同有关的文件均构成合同文件组成部分。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bookmarkStart w:id="43" w:name="_Toc351203487"/>
      <w:r/>
      <w:r/>
    </w:p>
    <w:p>
      <w:pPr>
        <w:ind w:firstLine="422"/>
        <w:spacing w:line="440" w:lineRule="exact"/>
        <w:rPr>
          <w:rFonts w:hint="eastAsia" w:ascii="宋体" w:hAnsi="宋体" w:eastAsia="宋体" w:cs="宋体"/>
          <w:color w:val="auto"/>
          <w:szCs w:val="21"/>
        </w:rPr>
      </w:pPr>
      <w:r>
        <w:rPr>
          <w:rFonts w:hint="eastAsia" w:ascii="宋体" w:hAnsi="宋体" w:eastAsia="宋体" w:cs="宋体"/>
          <w:b/>
          <w:color w:val="auto"/>
          <w:szCs w:val="21"/>
        </w:rPr>
        <w:t xml:space="preserve">七、承诺</w:t>
      </w:r>
      <w:bookmarkEnd w:id="43"/>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3.发包人和承包人通过招投标形式签订合同的，双方理解并承诺不再就同一工程另行签订与合同实质性内容相背离的协议。</w:t>
      </w:r>
      <w:r/>
    </w:p>
    <w:p>
      <w:pPr>
        <w:ind w:firstLine="422"/>
        <w:spacing w:line="440" w:lineRule="exact"/>
        <w:rPr>
          <w:rFonts w:hint="eastAsia" w:ascii="宋体" w:hAnsi="宋体" w:eastAsia="宋体" w:cs="宋体"/>
          <w:b/>
          <w:color w:val="auto"/>
          <w:szCs w:val="21"/>
        </w:rPr>
      </w:pPr>
      <w:r/>
      <w:bookmarkStart w:id="44" w:name="_Toc351203488"/>
      <w:r>
        <w:rPr>
          <w:rFonts w:hint="eastAsia" w:ascii="宋体" w:hAnsi="宋体" w:eastAsia="宋体" w:cs="宋体"/>
          <w:b/>
          <w:color w:val="auto"/>
          <w:szCs w:val="21"/>
        </w:rPr>
        <w:t xml:space="preserve">八、词语含义</w:t>
      </w:r>
      <w:bookmarkEnd w:id="44"/>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本协议书中词语含义与第二部分通用合同条款中赋予的含义相同。</w:t>
      </w:r>
      <w:bookmarkStart w:id="45" w:name="_Toc351203489"/>
      <w:r/>
      <w:r/>
    </w:p>
    <w:p>
      <w:pPr>
        <w:ind w:firstLine="422"/>
        <w:spacing w:line="440" w:lineRule="exact"/>
        <w:rPr>
          <w:rFonts w:hint="eastAsia" w:ascii="宋体" w:hAnsi="宋体" w:eastAsia="宋体" w:cs="宋体"/>
          <w:bCs/>
          <w:color w:val="auto"/>
          <w:szCs w:val="21"/>
        </w:rPr>
      </w:pPr>
      <w:r>
        <w:rPr>
          <w:rFonts w:hint="eastAsia" w:ascii="宋体" w:hAnsi="宋体" w:eastAsia="宋体" w:cs="宋体"/>
          <w:b/>
          <w:color w:val="auto"/>
          <w:szCs w:val="21"/>
        </w:rPr>
        <w:t xml:space="preserve">九、签订时间</w:t>
      </w:r>
      <w:bookmarkEnd w:id="45"/>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本合同于</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rPr>
        <w:t xml:space="preserve">年</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月</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日签订。</w:t>
      </w:r>
      <w:bookmarkStart w:id="46" w:name="_Toc351203490"/>
      <w:r/>
      <w:r/>
    </w:p>
    <w:p>
      <w:pPr>
        <w:numPr>
          <w:ilvl w:val="0"/>
          <w:numId w:val="8"/>
        </w:numPr>
        <w:ind w:left="0" w:firstLine="422"/>
        <w:jc w:val="left"/>
        <w:spacing w:line="440" w:lineRule="exact"/>
        <w:widowControl/>
        <w:rPr>
          <w:rFonts w:hint="eastAsia" w:ascii="宋体" w:hAnsi="宋体" w:eastAsia="宋体" w:cs="宋体"/>
          <w:bCs/>
          <w:color w:val="auto"/>
          <w:szCs w:val="21"/>
        </w:rPr>
      </w:pPr>
      <w:r>
        <w:rPr>
          <w:rFonts w:hint="eastAsia" w:ascii="宋体" w:hAnsi="宋体" w:eastAsia="宋体" w:cs="宋体"/>
          <w:b/>
          <w:color w:val="auto"/>
          <w:szCs w:val="21"/>
        </w:rPr>
        <w:t xml:space="preserve">签订地点</w:t>
      </w:r>
      <w:bookmarkEnd w:id="46"/>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本合同在</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签订。</w:t>
      </w:r>
      <w:bookmarkStart w:id="47" w:name="_Toc351203491"/>
      <w:r/>
      <w:r/>
    </w:p>
    <w:p>
      <w:pPr>
        <w:ind w:firstLine="422"/>
        <w:spacing w:line="440" w:lineRule="exact"/>
        <w:rPr>
          <w:rFonts w:hint="eastAsia" w:ascii="宋体" w:hAnsi="宋体" w:eastAsia="宋体" w:cs="宋体"/>
          <w:bCs/>
          <w:color w:val="auto"/>
          <w:szCs w:val="21"/>
        </w:rPr>
      </w:pPr>
      <w:r>
        <w:rPr>
          <w:rFonts w:hint="eastAsia" w:ascii="宋体" w:hAnsi="宋体" w:eastAsia="宋体" w:cs="宋体"/>
          <w:b/>
          <w:color w:val="auto"/>
          <w:szCs w:val="21"/>
        </w:rPr>
        <w:t xml:space="preserve">十一、补充协议</w:t>
      </w:r>
      <w:bookmarkEnd w:id="47"/>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合同未尽事宜，合同当事人另行签订补充协议，补充协议是合同的组成部分。</w:t>
      </w:r>
      <w:bookmarkStart w:id="48" w:name="_Toc351203492"/>
      <w:r/>
      <w:r/>
    </w:p>
    <w:p>
      <w:pPr>
        <w:ind w:firstLine="422"/>
        <w:spacing w:line="440" w:lineRule="exact"/>
        <w:rPr>
          <w:rFonts w:hint="eastAsia" w:ascii="宋体" w:hAnsi="宋体" w:eastAsia="宋体" w:cs="宋体"/>
          <w:b/>
          <w:bCs/>
          <w:color w:val="auto"/>
          <w:szCs w:val="21"/>
        </w:rPr>
      </w:pPr>
      <w:r>
        <w:rPr>
          <w:rFonts w:hint="eastAsia" w:ascii="宋体" w:hAnsi="宋体" w:eastAsia="宋体" w:cs="宋体"/>
          <w:b/>
          <w:color w:val="auto"/>
          <w:szCs w:val="21"/>
        </w:rPr>
        <w:t xml:space="preserve">十二、合同生效</w:t>
      </w:r>
      <w:bookmarkEnd w:id="48"/>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本合同自</w:t>
      </w:r>
      <w:r>
        <w:rPr>
          <w:rFonts w:hint="eastAsia" w:ascii="宋体" w:hAnsi="宋体" w:eastAsia="宋体" w:cs="宋体"/>
          <w:bCs/>
          <w:color w:val="auto"/>
          <w:szCs w:val="21"/>
          <w:u w:val="single"/>
        </w:rPr>
        <w:t xml:space="preserve"> 双方签字盖章后</w:t>
      </w:r>
      <w:r>
        <w:rPr>
          <w:rFonts w:hint="eastAsia" w:ascii="宋体" w:hAnsi="宋体" w:eastAsia="宋体" w:cs="宋体"/>
          <w:bCs/>
          <w:color w:val="auto"/>
          <w:szCs w:val="21"/>
        </w:rPr>
        <w:t xml:space="preserve">生效。</w:t>
      </w:r>
      <w:bookmarkStart w:id="49" w:name="_Toc351203493"/>
      <w:r/>
      <w:r/>
    </w:p>
    <w:p>
      <w:pPr>
        <w:ind w:firstLine="422"/>
        <w:spacing w:line="440" w:lineRule="exact"/>
        <w:rPr>
          <w:rFonts w:hint="eastAsia" w:ascii="宋体" w:hAnsi="宋体" w:eastAsia="宋体" w:cs="宋体"/>
          <w:bCs/>
          <w:color w:val="auto"/>
          <w:szCs w:val="21"/>
        </w:rPr>
      </w:pPr>
      <w:r>
        <w:rPr>
          <w:rFonts w:hint="eastAsia" w:ascii="宋体" w:hAnsi="宋体" w:eastAsia="宋体" w:cs="宋体"/>
          <w:b/>
          <w:color w:val="auto"/>
          <w:szCs w:val="21"/>
        </w:rPr>
        <w:t xml:space="preserve">十三、合同份数</w:t>
      </w:r>
      <w:bookmarkEnd w:id="49"/>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本合同一式</w:t>
      </w:r>
      <w:r>
        <w:rPr>
          <w:rFonts w:hint="eastAsia" w:ascii="宋体" w:hAnsi="宋体" w:eastAsia="宋体" w:cs="宋体"/>
          <w:bCs/>
          <w:color w:val="auto"/>
          <w:szCs w:val="21"/>
          <w:u w:val="single"/>
        </w:rPr>
        <w:t xml:space="preserve"> 陆 </w:t>
      </w:r>
      <w:r>
        <w:rPr>
          <w:rFonts w:hint="eastAsia" w:ascii="宋体" w:hAnsi="宋体" w:eastAsia="宋体" w:cs="宋体"/>
          <w:bCs/>
          <w:color w:val="auto"/>
          <w:szCs w:val="21"/>
        </w:rPr>
        <w:t xml:space="preserve">份，均具有同等法律效力，发包人执</w:t>
      </w:r>
      <w:r>
        <w:rPr>
          <w:rFonts w:hint="eastAsia" w:ascii="宋体" w:hAnsi="宋体" w:eastAsia="宋体" w:cs="宋体"/>
          <w:bCs/>
          <w:color w:val="auto"/>
          <w:szCs w:val="21"/>
          <w:u w:val="single"/>
        </w:rPr>
        <w:t xml:space="preserve"> 肆 </w:t>
      </w:r>
      <w:r>
        <w:rPr>
          <w:rFonts w:hint="eastAsia" w:ascii="宋体" w:hAnsi="宋体" w:eastAsia="宋体" w:cs="宋体"/>
          <w:bCs/>
          <w:color w:val="auto"/>
          <w:szCs w:val="21"/>
        </w:rPr>
        <w:t xml:space="preserve">份，承包人执 </w:t>
      </w:r>
      <w:r>
        <w:rPr>
          <w:rFonts w:hint="eastAsia" w:ascii="宋体" w:hAnsi="宋体" w:eastAsia="宋体" w:cs="宋体"/>
          <w:bCs/>
          <w:color w:val="auto"/>
          <w:szCs w:val="21"/>
          <w:u w:val="single"/>
        </w:rPr>
        <w:t xml:space="preserve">贰</w:t>
      </w:r>
      <w:r>
        <w:rPr>
          <w:rFonts w:hint="eastAsia" w:ascii="宋体" w:hAnsi="宋体" w:eastAsia="宋体" w:cs="宋体"/>
          <w:bCs/>
          <w:color w:val="auto"/>
          <w:szCs w:val="21"/>
        </w:rPr>
        <w:t xml:space="preserve"> 份。</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发包人：  (公章)                        承包人：  (公章)</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法定代表人或其委托代理人：              法定代表人或其委托代理人：</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（签字）                               （签字）</w:t>
      </w:r>
      <w:r/>
    </w:p>
    <w:p>
      <w:pPr>
        <w:ind w:firstLine="420"/>
        <w:spacing w:line="44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地  址：                            地  址：</w:t>
      </w: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jc w:val="center"/>
        <w:rPr>
          <w:rFonts w:hint="eastAsia" w:ascii="宋体" w:hAnsi="宋体" w:eastAsia="宋体" w:cs="宋体"/>
          <w:color w:val="auto"/>
          <w:sz w:val="24"/>
          <w:szCs w:val="21"/>
        </w:rPr>
      </w:pPr>
      <w:r>
        <w:rPr>
          <w:rFonts w:hint="eastAsia" w:ascii="宋体" w:hAnsi="宋体" w:eastAsia="宋体" w:cs="宋体"/>
          <w:color w:val="auto"/>
          <w:sz w:val="24"/>
          <w:szCs w:val="21"/>
        </w:rPr>
        <w:br w:type="page" w:clear="all"/>
      </w:r>
      <w:r>
        <w:rPr>
          <w:rFonts w:hint="eastAsia" w:ascii="宋体" w:hAnsi="宋体" w:eastAsia="宋体" w:cs="宋体"/>
          <w:color w:val="auto"/>
          <w:sz w:val="24"/>
          <w:szCs w:val="21"/>
        </w:rPr>
        <w:t xml:space="preserve">第二部分  通用条款</w:t>
      </w:r>
      <w:r/>
    </w:p>
    <w:p>
      <w:pPr>
        <w:ind w:firstLine="420"/>
        <w:rPr>
          <w:rFonts w:hint="eastAsia" w:ascii="宋体" w:hAnsi="宋体" w:eastAsia="宋体" w:cs="宋体"/>
          <w:color w:val="auto"/>
          <w:szCs w:val="21"/>
        </w:rPr>
      </w:pPr>
      <w:r>
        <w:rPr>
          <w:rFonts w:hint="eastAsia" w:ascii="宋体" w:hAnsi="宋体" w:eastAsia="宋体" w:cs="宋体"/>
          <w:color w:val="auto"/>
          <w:szCs w:val="21"/>
        </w:rPr>
      </w:r>
      <w:r/>
    </w:p>
    <w:p>
      <w:pPr>
        <w:ind w:firstLine="420"/>
        <w:rPr>
          <w:rFonts w:hint="eastAsia" w:ascii="宋体" w:hAnsi="宋体" w:eastAsia="宋体" w:cs="宋体"/>
          <w:color w:val="auto"/>
          <w:szCs w:val="21"/>
        </w:rPr>
      </w:pPr>
      <w:r>
        <w:rPr>
          <w:rFonts w:hint="eastAsia" w:ascii="宋体" w:hAnsi="宋体" w:eastAsia="宋体" w:cs="宋体"/>
          <w:color w:val="auto"/>
          <w:szCs w:val="21"/>
        </w:rPr>
        <w:t xml:space="preserve">此部分采用《建设工程施工合同》范本（GF-2017-0201）中《第二部分  通用合同条款》</w:t>
      </w:r>
      <w:r/>
    </w:p>
    <w:p>
      <w:pPr>
        <w:ind w:firstLine="420"/>
        <w:rPr>
          <w:rFonts w:hint="eastAsia" w:ascii="宋体" w:hAnsi="宋体" w:eastAsia="宋体" w:cs="宋体"/>
          <w:color w:val="auto"/>
          <w:szCs w:val="21"/>
        </w:rPr>
      </w:pPr>
      <w:r>
        <w:rPr>
          <w:rFonts w:hint="eastAsia" w:ascii="宋体" w:hAnsi="宋体" w:eastAsia="宋体" w:cs="宋体"/>
          <w:color w:val="auto"/>
          <w:szCs w:val="21"/>
        </w:rPr>
      </w:r>
      <w:r/>
    </w:p>
    <w:p>
      <w:pPr>
        <w:ind w:firstLine="480"/>
        <w:jc w:val="center"/>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第三部分  专用条款</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0" w:name="_Toc351203633"/>
      <w:r>
        <w:rPr>
          <w:rFonts w:hint="eastAsia" w:ascii="宋体" w:hAnsi="宋体" w:eastAsia="宋体" w:cs="宋体"/>
          <w:b w:val="0"/>
          <w:bCs/>
          <w:color w:val="auto"/>
          <w:sz w:val="21"/>
          <w:szCs w:val="21"/>
          <w:lang w:val="en-US" w:eastAsia="zh-CN" w:bidi="ar-SA"/>
        </w:rPr>
        <w:t xml:space="preserve">1</w:t>
      </w:r>
      <w:bookmarkStart w:id="51" w:name="_Toc296891196"/>
      <w:r/>
      <w:bookmarkStart w:id="52" w:name="_Toc292559866"/>
      <w:r/>
      <w:bookmarkStart w:id="53" w:name="_Toc296890984"/>
      <w:r/>
      <w:bookmarkStart w:id="54" w:name="_Toc297048342"/>
      <w:r/>
      <w:bookmarkStart w:id="55" w:name="_Toc292559361"/>
      <w:r/>
      <w:bookmarkStart w:id="56" w:name="_Toc297120456"/>
      <w:r/>
      <w:bookmarkStart w:id="57" w:name="_Toc296347155"/>
      <w:r/>
      <w:bookmarkStart w:id="58" w:name="_Toc296503156"/>
      <w:r/>
      <w:bookmarkStart w:id="59" w:name="_Toc296944495"/>
      <w:r/>
      <w:bookmarkStart w:id="60" w:name="_Toc296346657"/>
      <w:r>
        <w:rPr>
          <w:rFonts w:hint="eastAsia" w:ascii="宋体" w:hAnsi="宋体" w:eastAsia="宋体" w:cs="宋体"/>
          <w:b w:val="0"/>
          <w:bCs/>
          <w:color w:val="auto"/>
          <w:sz w:val="21"/>
          <w:szCs w:val="21"/>
          <w:lang w:val="en-US" w:eastAsia="zh-CN" w:bidi="ar-SA"/>
        </w:rPr>
        <w:t xml:space="preserve">. 一般约定</w:t>
      </w:r>
      <w:bookmarkEnd w:id="50"/>
      <w:r/>
      <w:bookmarkEnd w:id="51"/>
      <w:r/>
      <w:bookmarkEnd w:id="52"/>
      <w:r/>
      <w:bookmarkEnd w:id="53"/>
      <w:r/>
      <w:bookmarkEnd w:id="54"/>
      <w:r/>
      <w:bookmarkEnd w:id="55"/>
      <w:r/>
      <w:bookmarkEnd w:id="56"/>
      <w:r/>
      <w:bookmarkEnd w:id="57"/>
      <w:r/>
      <w:bookmarkEnd w:id="58"/>
      <w:r/>
      <w:bookmarkEnd w:id="59"/>
      <w:r/>
      <w:bookmarkEnd w:id="60"/>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 词语定义</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1.1.1合同</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1.1.1.1其他合同文件包括：</w:t>
      </w:r>
      <w:r>
        <w:rPr>
          <w:rFonts w:hint="eastAsia" w:ascii="宋体" w:hAnsi="宋体" w:eastAsia="宋体" w:cs="宋体"/>
          <w:color w:val="auto"/>
          <w:szCs w:val="21"/>
          <w:u w:val="single"/>
        </w:rPr>
        <w:t xml:space="preserve">本合同协议书；中标通知书；本合同专用条款；工程量清单及编制说明；本合同通用条款；国家标准、规范及相关技术资料； 施工图纸；询比价文件及附件；工程报价文件或预算书和其他合同文件。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上述合同组成文件中如有不一致之处，按技术标准高、要求严的条款执行，无法区分的，以</w:t>
      </w:r>
      <w:r>
        <w:rPr>
          <w:rFonts w:hint="eastAsia" w:ascii="宋体" w:hAnsi="宋体" w:eastAsia="宋体" w:cs="宋体"/>
          <w:color w:val="auto"/>
          <w:szCs w:val="21"/>
        </w:rPr>
        <w:t xml:space="preserve">最新签署的为准。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1.1.2 合同当事人及其他相关方</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1.1.2.4监理人：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名    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；资质类别和等级：</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；联系电话：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；电子信箱：</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；通信地址：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1.1.2.5 设计人：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名    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资质类别和等级：</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；联系电话：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；电子信箱：</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；通信地址：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 工程和设备</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1.1.3.7 作为施工现场组成部分的其他场所包括：</w:t>
      </w:r>
      <w:r>
        <w:rPr>
          <w:rFonts w:hint="eastAsia" w:ascii="宋体" w:hAnsi="宋体" w:eastAsia="宋体" w:cs="宋体"/>
          <w:color w:val="auto"/>
          <w:szCs w:val="21"/>
          <w:u w:val="single"/>
        </w:rPr>
        <w:t xml:space="preserve">承包人自行踏勘考虑住宿场地及材料堆放场地，其他符合通用条款规定的发包方提供的施工场地。</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1.1.3.9 永久占地包括：</w:t>
      </w:r>
      <w:r>
        <w:rPr>
          <w:rFonts w:hint="eastAsia" w:ascii="宋体" w:hAnsi="宋体" w:eastAsia="宋体" w:cs="宋体"/>
          <w:color w:val="auto"/>
          <w:szCs w:val="21"/>
          <w:u w:val="single"/>
        </w:rPr>
        <w:t xml:space="preserve"> 无</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1.1.3.10 临时占地包括：</w:t>
      </w:r>
      <w:r>
        <w:rPr>
          <w:rFonts w:hint="eastAsia" w:ascii="宋体" w:hAnsi="宋体" w:eastAsia="宋体" w:cs="宋体"/>
          <w:color w:val="auto"/>
          <w:szCs w:val="21"/>
          <w:u w:val="single"/>
        </w:rPr>
        <w:t xml:space="preserve">双方在合同履行过程中确定</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1.3法律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适用于合同的其他规范性文件：</w:t>
      </w:r>
      <w:r>
        <w:rPr>
          <w:rFonts w:hint="eastAsia" w:ascii="宋体" w:hAnsi="宋体" w:eastAsia="宋体" w:cs="宋体"/>
          <w:color w:val="auto"/>
          <w:szCs w:val="21"/>
          <w:u w:val="single"/>
        </w:rPr>
        <w:t xml:space="preserve">《中华人民共和国民法典》、《中华人民共和国建筑法》、《中华人民共和国招标投标法》、《建设工程质量管理条例》、《中华人民共和国增值税条例及实施细则》、《中华人民共和国消费税暂行条例及实施细则》、《中华人民共和国营业税暂行条例及实施细则》《江苏省建筑市场管理条例》及建设部、工程所在地颁布的有关法律、法规、条例、规范性文件等</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 标准和规范</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1.4.1</w:t>
      </w:r>
      <w:r>
        <w:rPr>
          <w:rFonts w:hint="eastAsia" w:ascii="宋体" w:hAnsi="宋体" w:eastAsia="宋体" w:cs="宋体"/>
          <w:color w:val="auto"/>
          <w:szCs w:val="21"/>
          <w:u w:val="single"/>
        </w:rPr>
        <w:t xml:space="preserve">双方在专用条款内约定适用国家标准、规范的名称，没有国家标准、规范但有行业标准、规范的，约定适用行业标准、规范的名称，没有国家和行业标准、规范的，约定适用工程所在地地方标准、规范的名称。包括但不限于磋商文件中的技术规范，如在本合同生效后相关的标准规范已更新，则以更新的版本为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1.4.2 发包人提供国外标准、规范的名称：</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发包人提供国外标准、规范的份数：</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发包人提供国外标准、规范的名称：</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1.4.3发包人对工程的技术标准和功能要求的特殊要求：</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现行国家、行业地方标准和技术规范</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 合同文件的优先顺序</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u w:val="single"/>
        </w:rPr>
        <w:t xml:space="preserve">(</w:t>
      </w:r>
      <w:r>
        <w:rPr>
          <w:rFonts w:hint="eastAsia" w:ascii="宋体" w:hAnsi="宋体" w:eastAsia="宋体" w:cs="宋体"/>
          <w:color w:val="auto"/>
          <w:szCs w:val="21"/>
          <w:highlight w:val="none"/>
          <w:u w:val="single"/>
        </w:rPr>
        <w:t xml:space="preserve">1)、本协议书；(2)、中标通知书；(3)、专用合同条款；(4)、投标书及其附件； (5)、通用合同条款；(6)、技术标准和要求；(7)、图纸；(8)、已标价工程量清单；(9)、招标文件；(10)、其他合同文件。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 图纸和承包人文件</w:t>
      </w:r>
      <w:r>
        <w:rPr>
          <w:rFonts w:hint="eastAsia" w:ascii="宋体" w:hAnsi="宋体" w:eastAsia="宋体" w:cs="宋体"/>
          <w:color w:val="auto"/>
          <w:szCs w:val="21"/>
          <w:highlight w:val="none"/>
        </w:rPr>
        <w:tab/>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图纸的提供</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签定合同后5个工作日内，发包人提供</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lang w:val="en-US" w:eastAsia="zh-CN"/>
        </w:rPr>
        <w:t xml:space="preserve">电子版</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本工程</w:t>
      </w:r>
      <w:r>
        <w:rPr>
          <w:rFonts w:hint="eastAsia" w:ascii="宋体" w:hAnsi="宋体" w:eastAsia="宋体" w:cs="宋体"/>
          <w:color w:val="auto"/>
          <w:szCs w:val="21"/>
          <w:highlight w:val="none"/>
          <w:u w:val="single"/>
          <w:lang w:val="en-US" w:eastAsia="zh-CN"/>
        </w:rPr>
        <w:t xml:space="preserve">设计方案</w:t>
      </w:r>
      <w:r>
        <w:rPr>
          <w:rFonts w:hint="eastAsia" w:ascii="宋体" w:hAnsi="宋体" w:eastAsia="宋体" w:cs="宋体"/>
          <w:color w:val="auto"/>
          <w:szCs w:val="21"/>
          <w:highlight w:val="none"/>
          <w:u w:val="single"/>
        </w:rPr>
        <w:t xml:space="preserve">图纸</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 承包人文件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color w:val="auto"/>
          <w:szCs w:val="21"/>
          <w:highlight w:val="none"/>
          <w:u w:val="single"/>
          <w:lang w:val="en-US" w:eastAsia="zh-CN"/>
        </w:rPr>
        <w:t xml:space="preserve">深化设计的施工图纸、</w:t>
      </w:r>
      <w:r>
        <w:rPr>
          <w:rFonts w:hint="eastAsia" w:ascii="宋体" w:hAnsi="宋体" w:eastAsia="宋体" w:cs="宋体"/>
          <w:color w:val="auto"/>
          <w:szCs w:val="21"/>
          <w:highlight w:val="none"/>
          <w:u w:val="single"/>
        </w:rPr>
        <w:t xml:space="preserve">施工组织设计、材料使用计划、施工进度计划和项目部组成人员名单等及其他发包人所需材料。</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承包人提供的文件的期限为：</w:t>
      </w:r>
      <w:r>
        <w:rPr>
          <w:rFonts w:hint="eastAsia" w:ascii="宋体" w:hAnsi="宋体" w:eastAsia="宋体" w:cs="宋体"/>
          <w:color w:val="auto"/>
          <w:szCs w:val="21"/>
          <w:highlight w:val="none"/>
          <w:u w:val="single"/>
        </w:rPr>
        <w:t xml:space="preserve">按发包人要求</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承包人提供的文件的数量为：</w:t>
      </w:r>
      <w:r>
        <w:rPr>
          <w:rFonts w:hint="eastAsia" w:ascii="宋体" w:hAnsi="宋体" w:eastAsia="宋体" w:cs="宋体"/>
          <w:color w:val="auto"/>
          <w:szCs w:val="21"/>
          <w:highlight w:val="none"/>
          <w:u w:val="single"/>
        </w:rPr>
        <w:t xml:space="preserve">按发包人要求</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书面形式</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发包人审批承包人文件的期限：</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 现场图纸准备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lang w:val="en-US" w:eastAsia="zh-CN"/>
        </w:rPr>
        <w:t xml:space="preserve">承包人应根据发包人提供的修缮改造方案，深化设计施工图纸，合理控制工程造价，施工图需满足施工及备案需要</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 联络</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highlight w:val="none"/>
        </w:rPr>
        <w:t xml:space="preserve">1.7.1发包人和承包人应当在</w:t>
      </w:r>
      <w:r>
        <w:rPr>
          <w:rFonts w:hint="eastAsia" w:ascii="宋体" w:hAnsi="宋体" w:eastAsia="宋体" w:cs="宋体"/>
          <w:color w:val="auto"/>
          <w:szCs w:val="21"/>
          <w:highlight w:val="none"/>
          <w:u w:val="single"/>
        </w:rPr>
        <w:t xml:space="preserve">7</w:t>
      </w:r>
      <w:r>
        <w:rPr>
          <w:rFonts w:hint="eastAsia" w:ascii="宋体" w:hAnsi="宋体" w:eastAsia="宋体" w:cs="宋体"/>
          <w:color w:val="auto"/>
          <w:szCs w:val="21"/>
          <w:highlight w:val="none"/>
        </w:rPr>
        <w:t xml:space="preserve">天内将与合同有关的通知、批准、证</w:t>
      </w:r>
      <w:r>
        <w:rPr>
          <w:rFonts w:hint="eastAsia" w:ascii="宋体" w:hAnsi="宋体" w:eastAsia="宋体" w:cs="宋体"/>
          <w:color w:val="auto"/>
          <w:szCs w:val="21"/>
        </w:rPr>
        <w:t xml:space="preserve">明、证书、指示、指令、要求、请求、同意、意见、确定和决定等书面函件送达对方当事人。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1.7.2 发包人接收文件的地点：</w:t>
      </w:r>
      <w:r>
        <w:rPr>
          <w:rFonts w:hint="eastAsia" w:ascii="宋体" w:hAnsi="宋体" w:eastAsia="宋体" w:cs="宋体"/>
          <w:color w:val="auto"/>
          <w:szCs w:val="21"/>
          <w:u w:val="single"/>
        </w:rPr>
        <w:t xml:space="preserve">项目所在地发包人项目部</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发包人指定的接收人为：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承包人接收文件的地点：</w:t>
      </w:r>
      <w:r>
        <w:rPr>
          <w:rFonts w:hint="eastAsia" w:ascii="宋体" w:hAnsi="宋体" w:eastAsia="宋体" w:cs="宋体"/>
          <w:color w:val="auto"/>
          <w:szCs w:val="21"/>
          <w:u w:val="single"/>
        </w:rPr>
        <w:t xml:space="preserve">项目所在地发包人项目部</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承包人指定的接收人为：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监理人接收文件的地点：</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监理人指定的接收人为：</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 交通运输</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w:t>
      </w:r>
      <w:bookmarkStart w:id="61" w:name="_Toc300934943"/>
      <w:r/>
      <w:bookmarkStart w:id="62" w:name="_Toc303539100"/>
      <w:r/>
      <w:bookmarkStart w:id="63" w:name="_Toc312677986"/>
      <w:r/>
      <w:bookmarkStart w:id="64" w:name="_Toc304295521"/>
      <w:r/>
      <w:bookmarkStart w:id="65" w:name="_Toc318581155"/>
      <w:r>
        <w:rPr>
          <w:rFonts w:hint="eastAsia" w:ascii="宋体" w:hAnsi="宋体" w:eastAsia="宋体" w:cs="宋体"/>
          <w:color w:val="auto"/>
          <w:szCs w:val="21"/>
        </w:rPr>
        <w:t xml:space="preserve">.10.1 出入现场的权利</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关于出入现场的权利的约定：</w:t>
      </w:r>
      <w:r>
        <w:rPr>
          <w:rFonts w:hint="eastAsia" w:ascii="宋体" w:hAnsi="宋体" w:eastAsia="宋体" w:cs="宋体"/>
          <w:color w:val="auto"/>
          <w:szCs w:val="21"/>
          <w:u w:val="single"/>
        </w:rPr>
        <w:t xml:space="preserve">由承包人按发包人要求负责取得出入施工现场所需的批准手续</w:t>
      </w:r>
      <w:r>
        <w:rPr>
          <w:rFonts w:hint="eastAsia" w:ascii="宋体" w:hAnsi="宋体" w:eastAsia="宋体" w:cs="宋体"/>
          <w:color w:val="auto"/>
          <w:szCs w:val="21"/>
        </w:rPr>
        <w:t xml:space="preserve"> 。</w:t>
      </w:r>
      <w:bookmarkEnd w:id="61"/>
      <w:r/>
      <w:bookmarkEnd w:id="62"/>
      <w:r/>
      <w:bookmarkEnd w:id="63"/>
      <w:r/>
      <w:bookmarkEnd w:id="64"/>
      <w:r/>
      <w:bookmarkEnd w:id="6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w:t>
      </w:r>
      <w:bookmarkStart w:id="66" w:name="_Toc300934944"/>
      <w:r/>
      <w:bookmarkStart w:id="67" w:name="_Toc304295522"/>
      <w:r/>
      <w:bookmarkStart w:id="68" w:name="_Toc312677987"/>
      <w:r/>
      <w:bookmarkStart w:id="69" w:name="_Toc318581156"/>
      <w:r/>
      <w:bookmarkStart w:id="70" w:name="_Toc303539101"/>
      <w:r>
        <w:rPr>
          <w:rFonts w:hint="eastAsia" w:ascii="宋体" w:hAnsi="宋体" w:eastAsia="宋体" w:cs="宋体"/>
          <w:color w:val="auto"/>
          <w:szCs w:val="21"/>
        </w:rPr>
        <w:t xml:space="preserve">.10.3 场内交通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关于场外交通和场内交通的边界的约定：</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关于发包人向承包人免费提供满足工程施工需要的场内道路和交通设施的约定：</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bookmarkEnd w:id="66"/>
      <w:r/>
      <w:bookmarkEnd w:id="67"/>
      <w:r/>
      <w:bookmarkEnd w:id="68"/>
      <w:r/>
      <w:bookmarkEnd w:id="69"/>
      <w:r/>
      <w:bookmarkEnd w:id="70"/>
      <w:r/>
      <w:bookmarkStart w:id="71" w:name="_Toc318581157"/>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1.10.4超大件和超重件的运输</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运输超大件或超重件所需的道路和桥梁临时加固改造费用和其他有关费用由</w:t>
      </w:r>
      <w:r>
        <w:rPr>
          <w:rFonts w:hint="eastAsia" w:ascii="宋体" w:hAnsi="宋体" w:eastAsia="宋体" w:cs="宋体"/>
          <w:color w:val="auto"/>
          <w:szCs w:val="21"/>
          <w:u w:val="single"/>
        </w:rPr>
        <w:t xml:space="preserve">承包人</w:t>
      </w:r>
      <w:r>
        <w:rPr>
          <w:rFonts w:hint="eastAsia" w:ascii="宋体" w:hAnsi="宋体" w:eastAsia="宋体" w:cs="宋体"/>
          <w:color w:val="auto"/>
          <w:szCs w:val="21"/>
        </w:rPr>
        <w:t xml:space="preserve">承担。</w:t>
      </w:r>
      <w:bookmarkEnd w:id="7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1.11 知识产权</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关于发包人提供的上述文件的使用限制的要求：</w:t>
      </w:r>
      <w:r>
        <w:rPr>
          <w:rFonts w:hint="eastAsia" w:ascii="宋体" w:hAnsi="宋体" w:eastAsia="宋体" w:cs="宋体"/>
          <w:color w:val="auto"/>
          <w:szCs w:val="21"/>
          <w:u w:val="single"/>
        </w:rPr>
        <w:t xml:space="preserve">未经发包人同意，承包人不得将施工图纸等材料提供给第三方或移作它用。</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1.11.2 关于承包人为实施工程所编制文件的著作权的归属：</w:t>
      </w:r>
      <w:r>
        <w:rPr>
          <w:rFonts w:hint="eastAsia" w:ascii="宋体" w:hAnsi="宋体" w:eastAsia="宋体" w:cs="宋体"/>
          <w:color w:val="auto"/>
          <w:szCs w:val="21"/>
          <w:u w:val="single"/>
        </w:rPr>
        <w:t xml:space="preserve">仅限于此工程项目，此外，除署名权外的著作权，其他知识产权均归发包人享有</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关于承包人提供的上述文件的使用限制的要求：</w:t>
      </w:r>
      <w:r>
        <w:rPr>
          <w:rFonts w:hint="eastAsia" w:ascii="宋体" w:hAnsi="宋体" w:eastAsia="宋体" w:cs="宋体"/>
          <w:color w:val="auto"/>
          <w:szCs w:val="21"/>
          <w:u w:val="single"/>
        </w:rPr>
        <w:t xml:space="preserve">承包人在合同签订前和签订时已确定采用的专利、专有技术、技术秘密的使用费已包含在签约合同价中</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1.11.4 承包人在施工过程中所采用的专利、专有技术、技术秘密的使用费的承担方式：</w:t>
      </w:r>
      <w:r>
        <w:rPr>
          <w:rFonts w:hint="eastAsia" w:ascii="宋体" w:hAnsi="宋体" w:eastAsia="宋体" w:cs="宋体"/>
          <w:color w:val="auto"/>
          <w:szCs w:val="21"/>
          <w:u w:val="single"/>
        </w:rPr>
        <w:t xml:space="preserve">承包人自行承担</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bookmarkStart w:id="72" w:name="_Toc351203634"/>
      <w:r>
        <w:rPr>
          <w:rFonts w:hint="eastAsia" w:ascii="宋体" w:hAnsi="宋体" w:eastAsia="宋体" w:cs="宋体"/>
          <w:color w:val="auto"/>
          <w:szCs w:val="21"/>
        </w:rPr>
        <w:t xml:space="preserve">2</w:t>
      </w:r>
      <w:bookmarkStart w:id="73" w:name="_Toc296944496"/>
      <w:r/>
      <w:bookmarkStart w:id="74" w:name="_Toc296347156"/>
      <w:r/>
      <w:bookmarkStart w:id="75" w:name="_Toc292559867"/>
      <w:r/>
      <w:bookmarkStart w:id="76" w:name="_Toc292559362"/>
      <w:r/>
      <w:bookmarkStart w:id="77" w:name="_Toc297048343"/>
      <w:r/>
      <w:bookmarkStart w:id="78" w:name="_Toc297120457"/>
      <w:r/>
      <w:bookmarkStart w:id="79" w:name="_Toc296346658"/>
      <w:r/>
      <w:bookmarkStart w:id="80" w:name="_Toc296890985"/>
      <w:r/>
      <w:bookmarkStart w:id="81" w:name="_Toc296891197"/>
      <w:r/>
      <w:bookmarkStart w:id="82" w:name="_Toc296503157"/>
      <w:r>
        <w:rPr>
          <w:rFonts w:hint="eastAsia" w:ascii="宋体" w:hAnsi="宋体" w:eastAsia="宋体" w:cs="宋体"/>
          <w:color w:val="auto"/>
          <w:szCs w:val="21"/>
        </w:rPr>
        <w:t xml:space="preserve">. 发包人</w:t>
      </w:r>
      <w:bookmarkEnd w:id="72"/>
      <w:r/>
      <w:bookmarkEnd w:id="73"/>
      <w:r/>
      <w:bookmarkEnd w:id="74"/>
      <w:r/>
      <w:bookmarkEnd w:id="75"/>
      <w:r/>
      <w:bookmarkEnd w:id="76"/>
      <w:r/>
      <w:bookmarkEnd w:id="77"/>
      <w:r/>
      <w:bookmarkEnd w:id="78"/>
      <w:r/>
      <w:bookmarkEnd w:id="79"/>
      <w:r/>
      <w:bookmarkEnd w:id="80"/>
      <w:r/>
      <w:bookmarkEnd w:id="81"/>
      <w:r/>
      <w:bookmarkEnd w:id="82"/>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2.2 发包人代表</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发包人代表：姓    名：</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；身份证号：</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职    务：</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；联系电话：</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电子信箱：</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；通信地址：</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b/>
          <w:color w:val="auto"/>
          <w:szCs w:val="21"/>
        </w:rPr>
      </w:pPr>
      <w:r>
        <w:rPr>
          <w:rFonts w:hint="eastAsia" w:ascii="宋体" w:hAnsi="宋体" w:eastAsia="宋体" w:cs="宋体"/>
          <w:color w:val="auto"/>
          <w:szCs w:val="21"/>
        </w:rPr>
        <w:t xml:space="preserve">发包人对发包人代表的授权范围如下：</w:t>
      </w:r>
      <w:r>
        <w:rPr>
          <w:rFonts w:hint="eastAsia" w:ascii="宋体" w:hAnsi="宋体" w:eastAsia="宋体" w:cs="宋体"/>
          <w:color w:val="auto"/>
          <w:szCs w:val="21"/>
          <w:u w:val="single"/>
        </w:rPr>
        <w:t xml:space="preserve">代表发包人行使权利和履行义务。职权如下：主持施工现场发包人的工作；对施工过程中的合同执行情况进行检查监督。以上职权实施时必须以书面文件发出指令，涉及造价变化、分包单位确定、竣工验收等重要指令，必须加盖发包人公章。任何口述通知不立即生效，承包人应在接获口述通知后3日内向发包人书面（加盖公章）请求确认</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2.4 施工现场、施工条件和基础资料的提供</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2.4.1 提供施工现场</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关于发包人移交施工现场的期限要求：</w:t>
      </w:r>
      <w:r>
        <w:rPr>
          <w:rFonts w:hint="eastAsia" w:ascii="宋体" w:hAnsi="宋体" w:eastAsia="宋体" w:cs="宋体"/>
          <w:color w:val="auto"/>
          <w:szCs w:val="21"/>
          <w:u w:val="single"/>
        </w:rPr>
        <w:t xml:space="preserve">开工前提供，施工现场具备开工条件</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2.4.2 提供施工条件</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关于发包人应负责提供施工所需要的条件，包括：</w:t>
      </w:r>
      <w:r>
        <w:rPr>
          <w:rFonts w:hint="eastAsia" w:ascii="宋体" w:hAnsi="宋体" w:eastAsia="宋体" w:cs="宋体"/>
          <w:color w:val="auto"/>
          <w:szCs w:val="21"/>
          <w:u w:val="singl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2.5 资金来源证明及支付担保</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发包人提供资金来源证明的期限要求：</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发包人是否提供支付担保：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发包人提供支付担保的形式：</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jc w:val="left"/>
        <w:keepLines/>
        <w:keepNext/>
        <w:spacing w:before="280" w:after="290" w:line="460" w:lineRule="exact"/>
        <w:widowControl w:val="off"/>
        <w:rPr>
          <w:rFonts w:hint="eastAsia" w:ascii="宋体" w:hAnsi="宋体" w:eastAsia="宋体" w:cs="宋体"/>
          <w:b w:val="0"/>
          <w:bCs/>
          <w:color w:val="auto"/>
          <w:sz w:val="21"/>
          <w:szCs w:val="21"/>
          <w:lang w:val="en-US" w:eastAsia="zh-CN" w:bidi="ar-SA"/>
        </w:rPr>
        <w:outlineLvl w:val="3"/>
      </w:pPr>
      <w:r/>
      <w:bookmarkStart w:id="83" w:name="_Toc351203635"/>
      <w:r>
        <w:rPr>
          <w:rFonts w:hint="eastAsia" w:ascii="宋体" w:hAnsi="宋体" w:eastAsia="宋体" w:cs="宋体"/>
          <w:b w:val="0"/>
          <w:bCs/>
          <w:color w:val="auto"/>
          <w:sz w:val="21"/>
          <w:szCs w:val="21"/>
          <w:lang w:val="en-US" w:eastAsia="zh-CN" w:bidi="ar-SA"/>
        </w:rPr>
        <w:t xml:space="preserve">3</w:t>
      </w:r>
      <w:bookmarkStart w:id="84" w:name="_Toc292559868"/>
      <w:r/>
      <w:bookmarkStart w:id="85" w:name="_Toc296346659"/>
      <w:r/>
      <w:bookmarkStart w:id="86" w:name="_Toc297120458"/>
      <w:r/>
      <w:bookmarkStart w:id="87" w:name="_Toc297048344"/>
      <w:r/>
      <w:bookmarkStart w:id="88" w:name="_Toc296891198"/>
      <w:r/>
      <w:bookmarkStart w:id="89" w:name="_Toc296890986"/>
      <w:r/>
      <w:bookmarkStart w:id="90" w:name="_Toc296503158"/>
      <w:r/>
      <w:bookmarkStart w:id="91" w:name="_Toc296944497"/>
      <w:r/>
      <w:bookmarkStart w:id="92" w:name="_Toc292559363"/>
      <w:r/>
      <w:bookmarkStart w:id="93" w:name="_Toc296347157"/>
      <w:r>
        <w:rPr>
          <w:rFonts w:hint="eastAsia" w:ascii="宋体" w:hAnsi="宋体" w:eastAsia="宋体" w:cs="宋体"/>
          <w:b w:val="0"/>
          <w:bCs/>
          <w:color w:val="auto"/>
          <w:sz w:val="21"/>
          <w:szCs w:val="21"/>
          <w:lang w:val="en-US" w:eastAsia="zh-CN" w:bidi="ar-SA"/>
        </w:rPr>
        <w:t xml:space="preserve">. 承包人</w:t>
      </w:r>
      <w:bookmarkEnd w:id="83"/>
      <w:r/>
      <w:bookmarkEnd w:id="84"/>
      <w:r/>
      <w:bookmarkEnd w:id="85"/>
      <w:r/>
      <w:bookmarkEnd w:id="86"/>
      <w:r/>
      <w:bookmarkEnd w:id="87"/>
      <w:r/>
      <w:bookmarkEnd w:id="88"/>
      <w:r/>
      <w:bookmarkEnd w:id="89"/>
      <w:r/>
      <w:bookmarkEnd w:id="90"/>
      <w:r/>
      <w:bookmarkEnd w:id="91"/>
      <w:r/>
      <w:bookmarkEnd w:id="92"/>
      <w:r/>
      <w:bookmarkEnd w:id="93"/>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3.1 承包人的一般义务</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（5）承包人提交的竣工资料的内容：</w:t>
      </w:r>
      <w:r>
        <w:rPr>
          <w:rFonts w:hint="eastAsia" w:ascii="宋体" w:hAnsi="宋体" w:eastAsia="宋体" w:cs="宋体"/>
          <w:color w:val="auto"/>
          <w:szCs w:val="21"/>
          <w:u w:val="single"/>
        </w:rPr>
        <w:t xml:space="preserve">按照国家法律规定和当地建设工程档案管理要求编制竣工资料</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承包人需要提交的竣工资料套数：</w:t>
      </w:r>
      <w:r>
        <w:rPr>
          <w:rFonts w:hint="eastAsia" w:ascii="宋体" w:hAnsi="宋体" w:eastAsia="宋体" w:cs="宋体"/>
          <w:color w:val="auto"/>
          <w:szCs w:val="21"/>
          <w:u w:val="single"/>
        </w:rPr>
        <w:t xml:space="preserve">按发包人的要求</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承包人提交的竣工资料的费用承担：</w:t>
      </w:r>
      <w:r>
        <w:rPr>
          <w:rFonts w:hint="eastAsia" w:ascii="宋体" w:hAnsi="宋体" w:eastAsia="宋体" w:cs="宋体"/>
          <w:color w:val="auto"/>
          <w:szCs w:val="21"/>
          <w:u w:val="single"/>
        </w:rPr>
        <w:t xml:space="preserve">由承包人自行承担</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承包人提交的竣工资料移交时间：</w:t>
      </w:r>
      <w:r>
        <w:rPr>
          <w:rFonts w:hint="eastAsia" w:ascii="宋体" w:hAnsi="宋体" w:eastAsia="宋体" w:cs="宋体"/>
          <w:color w:val="auto"/>
          <w:szCs w:val="21"/>
          <w:u w:val="single"/>
        </w:rPr>
        <w:t xml:space="preserve">按发包人的要求</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承包人提交的竣工资料形式要求：</w:t>
      </w:r>
      <w:r>
        <w:rPr>
          <w:rFonts w:hint="eastAsia" w:ascii="宋体" w:hAnsi="宋体" w:eastAsia="宋体" w:cs="宋体"/>
          <w:color w:val="auto"/>
          <w:szCs w:val="21"/>
          <w:u w:val="single"/>
        </w:rPr>
        <w:t xml:space="preserve">书面形式另附电子光盘（含全部竣工资料内容扫描件）。内容必须真实、准确，与工程实际符合</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（6）承包人应履行的其他义务：</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 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2、承包人具体管理范围，包</w:t>
      </w:r>
      <w:r>
        <w:rPr>
          <w:rFonts w:hint="eastAsia" w:ascii="宋体" w:hAnsi="宋体" w:eastAsia="宋体" w:cs="宋体"/>
          <w:color w:val="auto"/>
          <w:szCs w:val="21"/>
          <w:u w:val="singl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发包人在施工过程中各项合理要求；施工技术、质量以及其他各类资料文件的收集汇编；竣工图的编制及审核；质量验收协调配合工作；编制施工总结及工程使用说明；交付使用后的工程质量回访以及返修保养等。</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3、其他义务届时双方另行约定。</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3.2 项目负责人</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3.2.1 项目负责人：姓    名：</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；身份证号：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；建造师执业资格等级：</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；建造师注册证书号：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；建造师执业印章号：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；安全生产考核合格证书号：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联系电话：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；电子信箱：</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通信地址：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承包人对项目负责人的授权范围如下：</w:t>
      </w:r>
      <w:r>
        <w:rPr>
          <w:rFonts w:hint="eastAsia" w:ascii="宋体" w:hAnsi="宋体" w:eastAsia="宋体" w:cs="宋体"/>
          <w:color w:val="auto"/>
          <w:szCs w:val="21"/>
          <w:u w:val="single"/>
        </w:rPr>
        <w:t xml:space="preserve">本工程项目负责人，代表承包人处理执行合同中的一切重大事宜，包括合同的实施、变更调整、核定造价、违约处罚等，对执行合同负主要责任</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关于项目负责人每月在施工现场的时间要求：</w:t>
      </w:r>
      <w:r>
        <w:rPr>
          <w:rFonts w:hint="eastAsia" w:ascii="宋体" w:hAnsi="宋体" w:eastAsia="宋体" w:cs="宋体"/>
          <w:color w:val="auto"/>
          <w:szCs w:val="21"/>
          <w:u w:val="single"/>
        </w:rPr>
        <w:t xml:space="preserve">开工之日起到竣工结束，项目经理每周至少5日，每天必须不少于8小时在现场组织施工，离开现场需征得发包人的项目负责人同意。</w:t>
      </w:r>
      <w:r/>
    </w:p>
    <w:p>
      <w:pPr>
        <w:ind w:firstLine="420"/>
        <w:spacing w:line="46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承包人未提交劳动合同，以及没有为项目负责人缴纳社会保险证明的违约责任：</w:t>
      </w:r>
      <w:r>
        <w:rPr>
          <w:rFonts w:hint="eastAsia" w:ascii="宋体" w:hAnsi="宋体" w:eastAsia="宋体" w:cs="宋体"/>
          <w:color w:val="auto"/>
          <w:szCs w:val="21"/>
          <w:u w:val="single"/>
        </w:rPr>
        <w:t xml:space="preserve">逾期未提交的，发包人将认为此项目经理为不称职的项目经理，有权要求承包人按发包人提供的标准予以更换并要求承包人承担由此造成的一切损失</w:t>
      </w:r>
      <w:r>
        <w:rPr>
          <w:rFonts w:hint="eastAsia" w:ascii="宋体" w:hAnsi="宋体" w:eastAsia="宋体" w:cs="宋体"/>
          <w:color w:val="auto"/>
          <w:szCs w:val="21"/>
        </w:rPr>
        <w:t xml:space="preserve">。</w:t>
      </w:r>
      <w:r/>
    </w:p>
    <w:p>
      <w:pPr>
        <w:ind w:firstLine="420"/>
        <w:spacing w:line="46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项目负责人未经批准，擅自离开施工现场的违约责任：</w:t>
      </w:r>
      <w:r>
        <w:rPr>
          <w:rFonts w:hint="eastAsia" w:ascii="宋体" w:hAnsi="宋体" w:eastAsia="宋体" w:cs="宋体"/>
          <w:color w:val="auto"/>
          <w:szCs w:val="21"/>
          <w:u w:val="single"/>
        </w:rPr>
        <w:t xml:space="preserve">承包人投标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500元/天的违约金。</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3.2.3 承包人擅自更换项目负责人的违约责任：</w:t>
      </w:r>
      <w:r>
        <w:rPr>
          <w:rFonts w:hint="eastAsia" w:ascii="宋体" w:hAnsi="宋体" w:eastAsia="宋体" w:cs="宋体"/>
          <w:color w:val="auto"/>
          <w:szCs w:val="21"/>
          <w:u w:val="single"/>
        </w:rPr>
        <w:t xml:space="preserve">投标文件中明确的项目经理不得擅自变更，开工时和施工过程中未经发包人许可不得擅自变更。承包人未取得变更备案手续，而允许他人擅代项目经理的，视为项目经理不在场。若有擅自变更，发包人有权解除合同，追回已经支付的款项，承包人向发包人支付违约金为合同价的10%.</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3.2.4 承包人无正当理由拒绝更换项目负责人的违约责任：</w:t>
      </w:r>
      <w:r>
        <w:rPr>
          <w:rFonts w:hint="eastAsia" w:ascii="宋体" w:hAnsi="宋体" w:eastAsia="宋体" w:cs="宋体"/>
          <w:color w:val="auto"/>
          <w:szCs w:val="21"/>
          <w:u w:val="single"/>
        </w:rPr>
        <w:t xml:space="preserve">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3.3 承包人人员</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3.3.1 承包人提交项目管理机构及施工现场管理人员安排报告的期限：</w:t>
      </w:r>
      <w:r>
        <w:rPr>
          <w:rFonts w:hint="eastAsia" w:ascii="宋体" w:hAnsi="宋体" w:eastAsia="宋体" w:cs="宋体"/>
          <w:color w:val="auto"/>
          <w:szCs w:val="21"/>
          <w:u w:val="single"/>
        </w:rPr>
        <w:t xml:space="preserve">承包人应在接到开工通知后</w:t>
      </w:r>
      <w:r>
        <w:rPr>
          <w:rFonts w:hint="eastAsia" w:ascii="宋体" w:hAnsi="宋体" w:eastAsia="宋体" w:cs="宋体"/>
          <w:b/>
          <w:bCs/>
          <w:color w:val="auto"/>
          <w:szCs w:val="21"/>
          <w:u w:val="single"/>
          <w:lang w:val="en-US" w:eastAsia="zh-CN"/>
        </w:rPr>
        <w:t xml:space="preserve">3天</w:t>
      </w:r>
      <w:r>
        <w:rPr>
          <w:rFonts w:hint="eastAsia" w:ascii="宋体" w:hAnsi="宋体" w:eastAsia="宋体" w:cs="宋体"/>
          <w:b/>
          <w:bCs/>
          <w:color w:val="auto"/>
          <w:szCs w:val="21"/>
          <w:u w:val="single"/>
        </w:rPr>
        <w:t xml:space="preserve">内</w:t>
      </w:r>
      <w:r>
        <w:rPr>
          <w:rFonts w:hint="eastAsia" w:ascii="宋体" w:hAnsi="宋体" w:eastAsia="宋体" w:cs="宋体"/>
          <w:color w:val="auto"/>
          <w:szCs w:val="21"/>
          <w:u w:val="single"/>
        </w:rPr>
        <w:t xml:space="preserve">，向发包人提交承包人在施工场地的管理机构以及人员安排的报告</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3.3.3 承包人无正当理由拒绝撤换主要施工管理人员的违约责任：</w:t>
      </w:r>
      <w:r>
        <w:rPr>
          <w:rFonts w:hint="eastAsia" w:ascii="宋体" w:hAnsi="宋体" w:eastAsia="宋体" w:cs="宋体"/>
          <w:color w:val="auto"/>
          <w:szCs w:val="21"/>
          <w:u w:val="single"/>
        </w:rPr>
        <w:t xml:space="preserve">承包人应对其主要施工管理人员进行有效的管理。发包人要求撤换不能胜任本职工作、行为不端或玩忽职守的承包人主要施工管理人员的，承包人应予以撤换，否则1次向发包人支付违约金</w:t>
      </w:r>
      <w:r>
        <w:rPr>
          <w:rFonts w:hint="eastAsia" w:ascii="宋体" w:hAnsi="宋体" w:eastAsia="宋体" w:cs="宋体"/>
          <w:color w:val="auto"/>
          <w:szCs w:val="21"/>
          <w:u w:val="single"/>
          <w:lang w:val="en-US" w:eastAsia="zh-CN"/>
        </w:rPr>
        <w:t xml:space="preserve">10</w:t>
      </w:r>
      <w:r>
        <w:rPr>
          <w:rFonts w:hint="eastAsia" w:ascii="宋体" w:hAnsi="宋体" w:eastAsia="宋体" w:cs="宋体"/>
          <w:color w:val="auto"/>
          <w:szCs w:val="21"/>
          <w:u w:val="single"/>
        </w:rPr>
        <w:t xml:space="preserve">00元，发包人可以直接从未付款项中扣除</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3.3.4 承包人主要施工管理人员离开施工现场的批准要求： </w:t>
      </w:r>
      <w:r>
        <w:rPr>
          <w:rFonts w:hint="eastAsia" w:ascii="宋体" w:hAnsi="宋体" w:eastAsia="宋体" w:cs="宋体"/>
          <w:color w:val="auto"/>
          <w:szCs w:val="21"/>
          <w:u w:val="singl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3.3.5承包人擅自更换主要施工管理人员的违约责任：</w:t>
      </w:r>
      <w:r>
        <w:rPr>
          <w:rFonts w:hint="eastAsia" w:ascii="宋体" w:hAnsi="宋体" w:eastAsia="宋体" w:cs="宋体"/>
          <w:color w:val="auto"/>
          <w:szCs w:val="21"/>
          <w:u w:val="single"/>
        </w:rPr>
        <w:t xml:space="preserve">承包人投标文件所载明技术负责人、专职质检员、施工员、专职安全员等主要施工管理人员不得擅自更换，如擅自更换，发包人每发现1次，罚款承包人向发包人支付违约金1000元，可以直接从未付款项中扣除。超过5次，视为违约，发包人有权终止合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承包人主要施工管理人员擅自离开施工现场的违约责任：</w:t>
      </w:r>
      <w:r>
        <w:rPr>
          <w:rFonts w:hint="eastAsia" w:ascii="宋体" w:hAnsi="宋体" w:eastAsia="宋体" w:cs="宋体"/>
          <w:color w:val="auto"/>
          <w:szCs w:val="21"/>
          <w:u w:val="single"/>
        </w:rPr>
        <w:t xml:space="preserve">承包人投标文件所载明的主要施工管理人员必须常驻现场，不得擅自离开施工现场，否则发包人每发现1次，罚款承包人向发包人支付违约金500元，可以直接从未付款项中扣除；超过5次，视为违约，发包人有权终止合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w:t>
      </w:r>
      <w:bookmarkStart w:id="94" w:name="_Toc300934945"/>
      <w:r/>
      <w:bookmarkStart w:id="95" w:name="_Toc304295523"/>
      <w:r/>
      <w:bookmarkStart w:id="96" w:name="_Toc292559364"/>
      <w:r/>
      <w:bookmarkStart w:id="97" w:name="_Toc297120459"/>
      <w:r/>
      <w:bookmarkStart w:id="98" w:name="_Toc296891199"/>
      <w:r/>
      <w:bookmarkStart w:id="99" w:name="_Toc312677988"/>
      <w:r/>
      <w:bookmarkStart w:id="100" w:name="_Toc297048345"/>
      <w:r/>
      <w:bookmarkStart w:id="101" w:name="_Toc296944498"/>
      <w:r/>
      <w:bookmarkStart w:id="102" w:name="_Toc296347158"/>
      <w:r/>
      <w:bookmarkStart w:id="103" w:name="_Toc296346660"/>
      <w:r/>
      <w:bookmarkStart w:id="104" w:name="_Toc303539102"/>
      <w:r/>
      <w:bookmarkStart w:id="105" w:name="_Toc296503159"/>
      <w:r/>
      <w:bookmarkStart w:id="106" w:name="_Toc296890987"/>
      <w:r/>
      <w:bookmarkStart w:id="107" w:name="_Toc292559869"/>
      <w:r/>
      <w:bookmarkStart w:id="108" w:name="_Toc297123492"/>
      <w:r/>
      <w:bookmarkStart w:id="109" w:name="_Toc297216151"/>
      <w:r>
        <w:rPr>
          <w:rFonts w:hint="eastAsia" w:ascii="宋体" w:hAnsi="宋体" w:eastAsia="宋体" w:cs="宋体"/>
          <w:color w:val="auto"/>
          <w:szCs w:val="21"/>
        </w:rPr>
        <w:t xml:space="preserve">.5 分包</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w:t>
      </w:r>
      <w:bookmarkStart w:id="110" w:name="_Toc297216152"/>
      <w:r/>
      <w:bookmarkStart w:id="111" w:name="_Toc296346661"/>
      <w:r/>
      <w:bookmarkStart w:id="112" w:name="_Toc303539103"/>
      <w:r/>
      <w:bookmarkStart w:id="113" w:name="_Toc304295524"/>
      <w:r/>
      <w:bookmarkStart w:id="114" w:name="_Toc296890988"/>
      <w:r/>
      <w:bookmarkStart w:id="115" w:name="_Toc296944499"/>
      <w:r/>
      <w:bookmarkStart w:id="116" w:name="_Toc297048346"/>
      <w:r/>
      <w:bookmarkStart w:id="117" w:name="_Toc296891200"/>
      <w:r/>
      <w:bookmarkStart w:id="118" w:name="_Toc300934946"/>
      <w:r/>
      <w:bookmarkStart w:id="119" w:name="_Toc297123493"/>
      <w:r/>
      <w:bookmarkStart w:id="120" w:name="_Toc292559365"/>
      <w:r/>
      <w:bookmarkStart w:id="121" w:name="_Toc297120460"/>
      <w:r/>
      <w:bookmarkStart w:id="122" w:name="_Toc296503160"/>
      <w:r/>
      <w:bookmarkStart w:id="123" w:name="_Toc296347159"/>
      <w:r/>
      <w:bookmarkStart w:id="124" w:name="_Toc292559870"/>
      <w:r/>
      <w:bookmarkStart w:id="125" w:name="_Toc318581158"/>
      <w:r/>
      <w:bookmarkStart w:id="126" w:name="_Toc312677989"/>
      <w:r>
        <w:rPr>
          <w:rFonts w:hint="eastAsia" w:ascii="宋体" w:hAnsi="宋体" w:eastAsia="宋体" w:cs="宋体"/>
          <w:color w:val="auto"/>
          <w:szCs w:val="21"/>
        </w:rPr>
        <w:t xml:space="preserve">.5.1 分包的一般约定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禁止分包的工程包括：</w:t>
      </w:r>
      <w:r>
        <w:rPr>
          <w:rFonts w:hint="eastAsia" w:ascii="宋体" w:hAnsi="宋体" w:eastAsia="宋体" w:cs="宋体"/>
          <w:color w:val="auto"/>
          <w:szCs w:val="21"/>
          <w:u w:val="single"/>
        </w:rPr>
        <w:t xml:space="preserve">本工程不允许承包人有任何形式的转包和未经允许的分包，否则发包人有权终止合同，</w:t>
      </w:r>
      <w:r>
        <w:rPr>
          <w:rFonts w:hint="eastAsia" w:ascii="宋体" w:hAnsi="宋体" w:eastAsia="宋体" w:cs="宋体"/>
          <w:b/>
          <w:bCs/>
          <w:color w:val="auto"/>
          <w:szCs w:val="21"/>
          <w:u w:val="single"/>
          <w:lang w:val="en-US" w:eastAsia="zh-CN"/>
        </w:rPr>
        <w:t xml:space="preserve">承包人应当按照合同总金额的30%支付发包人违约金</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主体结构、关键性工作的范围：</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Start w:id="127" w:name="_Toc304295525"/>
      <w:r/>
      <w:bookmarkStart w:id="128" w:name="_Toc297048347"/>
      <w:r/>
      <w:bookmarkStart w:id="129" w:name="_Toc296347160"/>
      <w:r/>
      <w:bookmarkStart w:id="130" w:name="_Toc300934947"/>
      <w:r/>
      <w:bookmarkStart w:id="131" w:name="_Toc297120461"/>
      <w:r/>
      <w:bookmarkStart w:id="132" w:name="_Toc296346662"/>
      <w:r/>
      <w:bookmarkStart w:id="133" w:name="_Toc296891201"/>
      <w:r/>
      <w:bookmarkStart w:id="134" w:name="_Toc296890989"/>
      <w:r/>
      <w:bookmarkStart w:id="135" w:name="_Toc296944500"/>
      <w:r/>
      <w:bookmarkStart w:id="136" w:name="_Toc296503161"/>
      <w:r/>
      <w:bookmarkStart w:id="137" w:name="_Toc297216153"/>
      <w:r/>
      <w:bookmarkStart w:id="138" w:name="_Toc303539104"/>
      <w:r/>
      <w:bookmarkStart w:id="139" w:name="_Toc29712349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w:t>
      </w:r>
      <w:bookmarkStart w:id="140" w:name="_Toc318581159"/>
      <w:r/>
      <w:bookmarkStart w:id="141" w:name="_Toc312677990"/>
      <w:r>
        <w:rPr>
          <w:rFonts w:hint="eastAsia" w:ascii="宋体" w:hAnsi="宋体" w:eastAsia="宋体" w:cs="宋体"/>
          <w:color w:val="auto"/>
          <w:szCs w:val="21"/>
        </w:rPr>
        <w:t xml:space="preserve">.5.2分包的确定</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允许分包的专业工程包括：</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其他关于分包的约定：</w:t>
      </w:r>
      <w:r>
        <w:rPr>
          <w:rFonts w:hint="eastAsia" w:ascii="宋体" w:hAnsi="宋体" w:eastAsia="宋体" w:cs="宋体"/>
          <w:color w:val="auto"/>
          <w:szCs w:val="21"/>
          <w:u w:val="single"/>
        </w:rPr>
        <w:t xml:space="preserve">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3.5.4 分包合同价款</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关于分包合同价款支付的约定：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bookmarkEnd w:id="140"/>
      <w:r/>
      <w:bookmarkEnd w:id="14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3.6 工程照管与成品、半成品保护</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承包人负责照管工程及工程相关的材料、工程设备的起始时间：</w:t>
      </w:r>
      <w:r>
        <w:rPr>
          <w:rFonts w:hint="eastAsia" w:ascii="宋体" w:hAnsi="宋体" w:eastAsia="宋体" w:cs="宋体"/>
          <w:color w:val="auto"/>
          <w:szCs w:val="21"/>
          <w:u w:val="single"/>
        </w:rPr>
        <w:t xml:space="preserve">承包人对其承包的所有工程内容负责成品保护，并不得损坏其它承包人所承担的施工内容</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3.7 履约担保</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承包人是否提供履约担保：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承包人提供履约担保的形式、金额及期限的：</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142" w:name="_Toc351203636"/>
      <w:r>
        <w:rPr>
          <w:rFonts w:hint="eastAsia" w:ascii="宋体" w:hAnsi="宋体" w:eastAsia="宋体" w:cs="宋体"/>
          <w:b w:val="0"/>
          <w:bCs/>
          <w:color w:val="auto"/>
          <w:sz w:val="21"/>
          <w:szCs w:val="21"/>
          <w:lang w:val="en-US" w:eastAsia="zh-CN" w:bidi="ar-SA"/>
        </w:rPr>
        <w:t xml:space="preserve">4</w:t>
      </w:r>
      <w:bookmarkStart w:id="143" w:name="_Toc297048348"/>
      <w:r/>
      <w:bookmarkStart w:id="144" w:name="_Toc267251413"/>
      <w:r/>
      <w:bookmarkStart w:id="145" w:name="_Toc296891202"/>
      <w:r/>
      <w:bookmarkStart w:id="146" w:name="_Toc292559366"/>
      <w:r/>
      <w:bookmarkStart w:id="147" w:name="_Toc292559871"/>
      <w:r/>
      <w:bookmarkStart w:id="148" w:name="_Toc296944501"/>
      <w:r/>
      <w:bookmarkStart w:id="149" w:name="_Toc296890990"/>
      <w:r/>
      <w:bookmarkStart w:id="150" w:name="_Toc296503162"/>
      <w:r/>
      <w:bookmarkStart w:id="151" w:name="_Toc297120462"/>
      <w:r/>
      <w:bookmarkStart w:id="152" w:name="_Toc296347161"/>
      <w:r/>
      <w:bookmarkStart w:id="153" w:name="_Toc296346663"/>
      <w:r>
        <w:rPr>
          <w:rFonts w:hint="eastAsia" w:ascii="宋体" w:hAnsi="宋体" w:eastAsia="宋体" w:cs="宋体"/>
          <w:b w:val="0"/>
          <w:bCs/>
          <w:color w:val="auto"/>
          <w:sz w:val="21"/>
          <w:szCs w:val="21"/>
          <w:lang w:val="en-US" w:eastAsia="zh-CN" w:bidi="ar-SA"/>
        </w:rPr>
        <w:t xml:space="preserve">. 监</w:t>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b w:val="0"/>
          <w:bCs/>
          <w:color w:val="auto"/>
          <w:sz w:val="21"/>
          <w:szCs w:val="21"/>
          <w:lang w:val="en-US" w:eastAsia="zh-CN" w:bidi="ar-SA"/>
        </w:rPr>
        <w:t xml:space="preserve">理人</w:t>
      </w:r>
      <w:bookmarkEnd w:id="142"/>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4.1监理人的一般规定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关于监理人的监理内容：</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关于监理人的监理权限：</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关于监理人在施工现场的办公场所、生活场所的提供和费用承担的约定：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4.2 监理人员</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总监理工程师：姓    名：</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；职    务：</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监理工程师执业资格证书号：</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联系电话：</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；电子信箱：</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通信地址：</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；关于监理人的其他约定：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4.4 商定或确定</w:t>
      </w:r>
      <w:r/>
    </w:p>
    <w:p>
      <w:pPr>
        <w:ind w:firstLine="420"/>
        <w:spacing w:line="440" w:lineRule="exact"/>
        <w:rPr>
          <w:rFonts w:hint="eastAsia" w:ascii="宋体" w:hAnsi="宋体" w:eastAsia="宋体" w:cs="宋体"/>
          <w:color w:val="auto"/>
          <w:szCs w:val="21"/>
        </w:rPr>
      </w:pPr>
      <w:r/>
      <w:bookmarkStart w:id="154" w:name="_Toc267251418"/>
      <w:r>
        <w:rPr>
          <w:rFonts w:hint="eastAsia" w:ascii="宋体" w:hAnsi="宋体" w:eastAsia="宋体" w:cs="宋体"/>
          <w:color w:val="auto"/>
          <w:szCs w:val="21"/>
        </w:rPr>
        <w:t xml:space="preserve">在发包人和承包人不能通过协商达成一致意见时，发包人授权监理人对以下事项进行确定：/</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155" w:name="_Toc351203637"/>
      <w:r>
        <w:rPr>
          <w:rFonts w:hint="eastAsia" w:ascii="宋体" w:hAnsi="宋体" w:eastAsia="宋体" w:cs="宋体"/>
          <w:b w:val="0"/>
          <w:bCs/>
          <w:color w:val="auto"/>
          <w:sz w:val="21"/>
          <w:szCs w:val="21"/>
          <w:lang w:val="en-US" w:eastAsia="zh-CN" w:bidi="ar-SA"/>
        </w:rPr>
        <w:t xml:space="preserve">5</w:t>
      </w:r>
      <w:bookmarkEnd w:id="154"/>
      <w:r/>
      <w:bookmarkStart w:id="156" w:name="_Toc292559872"/>
      <w:r/>
      <w:bookmarkStart w:id="157" w:name="_Toc296890991"/>
      <w:r/>
      <w:bookmarkStart w:id="158" w:name="_Toc292559367"/>
      <w:r/>
      <w:bookmarkStart w:id="159" w:name="_Toc296346664"/>
      <w:r/>
      <w:bookmarkStart w:id="160" w:name="_Toc296503163"/>
      <w:r/>
      <w:bookmarkStart w:id="161" w:name="_Toc296347162"/>
      <w:r/>
      <w:bookmarkStart w:id="162" w:name="_Toc296944502"/>
      <w:r/>
      <w:bookmarkStart w:id="163" w:name="_Toc296891203"/>
      <w:r/>
      <w:bookmarkStart w:id="164" w:name="_Toc297120463"/>
      <w:r/>
      <w:bookmarkStart w:id="165" w:name="_Toc297048349"/>
      <w:r>
        <w:rPr>
          <w:rFonts w:hint="eastAsia" w:ascii="宋体" w:hAnsi="宋体" w:eastAsia="宋体" w:cs="宋体"/>
          <w:b w:val="0"/>
          <w:bCs/>
          <w:color w:val="auto"/>
          <w:sz w:val="21"/>
          <w:szCs w:val="21"/>
          <w:lang w:val="en-US" w:eastAsia="zh-CN" w:bidi="ar-SA"/>
        </w:rPr>
        <w:t xml:space="preserve">. 工程质量</w:t>
      </w:r>
      <w:bookmarkEnd w:id="15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5.1 质量要求</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5</w:t>
      </w:r>
      <w:bookmarkStart w:id="166" w:name="_Toc303539106"/>
      <w:r/>
      <w:bookmarkStart w:id="167" w:name="_Toc304295527"/>
      <w:r/>
      <w:bookmarkStart w:id="168" w:name="_Toc297216155"/>
      <w:r/>
      <w:bookmarkStart w:id="169" w:name="_Toc318581164"/>
      <w:r/>
      <w:bookmarkStart w:id="170" w:name="_Toc297123496"/>
      <w:r/>
      <w:bookmarkStart w:id="171" w:name="_Toc300934949"/>
      <w:r/>
      <w:bookmarkStart w:id="172" w:name="_Toc312677997"/>
      <w:r>
        <w:rPr>
          <w:rFonts w:hint="eastAsia" w:ascii="宋体" w:hAnsi="宋体" w:eastAsia="宋体" w:cs="宋体"/>
          <w:color w:val="auto"/>
          <w:szCs w:val="21"/>
        </w:rPr>
        <w:t xml:space="preserve">.1.1 特殊质量标准和要求：</w:t>
      </w:r>
      <w:r>
        <w:rPr>
          <w:rFonts w:hint="eastAsia" w:ascii="宋体" w:hAnsi="宋体" w:eastAsia="宋体" w:cs="宋体"/>
          <w:color w:val="auto"/>
          <w:szCs w:val="21"/>
          <w:u w:val="single"/>
        </w:rPr>
        <w:t xml:space="preserve">必须符合现行国家有关验收标准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关于工程奖项的约定：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5.3 隐蔽工程检查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5.3.2承包人提前通知发包人隐蔽工程检查的期限的约定：</w:t>
      </w:r>
      <w:r>
        <w:rPr>
          <w:rFonts w:hint="eastAsia" w:ascii="宋体" w:hAnsi="宋体" w:eastAsia="宋体" w:cs="宋体"/>
          <w:color w:val="auto"/>
          <w:szCs w:val="21"/>
          <w:u w:val="single"/>
        </w:rPr>
        <w:t xml:space="preserve">隐蔽工程检查前24小时书面通知</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发包人不能按时进行检查时，应提前</w:t>
      </w:r>
      <w:r>
        <w:rPr>
          <w:rFonts w:hint="eastAsia" w:ascii="宋体" w:hAnsi="宋体" w:eastAsia="宋体" w:cs="宋体"/>
          <w:color w:val="auto"/>
          <w:szCs w:val="21"/>
          <w:u w:val="single"/>
        </w:rPr>
        <w:t xml:space="preserve">24</w:t>
      </w:r>
      <w:r>
        <w:rPr>
          <w:rFonts w:hint="eastAsia" w:ascii="宋体" w:hAnsi="宋体" w:eastAsia="宋体" w:cs="宋体"/>
          <w:color w:val="auto"/>
          <w:szCs w:val="21"/>
        </w:rPr>
        <w:t xml:space="preserve">小时提交书面延期要求。</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关于延期最长不得超过：</w:t>
      </w:r>
      <w:r>
        <w:rPr>
          <w:rFonts w:hint="eastAsia" w:ascii="宋体" w:hAnsi="宋体" w:eastAsia="宋体" w:cs="宋体"/>
          <w:color w:val="auto"/>
          <w:szCs w:val="21"/>
          <w:u w:val="single"/>
        </w:rPr>
        <w:t xml:space="preserve">24</w:t>
      </w:r>
      <w:r>
        <w:rPr>
          <w:rFonts w:hint="eastAsia" w:ascii="宋体" w:hAnsi="宋体" w:eastAsia="宋体" w:cs="宋体"/>
          <w:color w:val="auto"/>
          <w:szCs w:val="21"/>
        </w:rPr>
        <w:t xml:space="preserve">小时。</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173" w:name="_Toc351203638"/>
      <w:r>
        <w:rPr>
          <w:rFonts w:hint="eastAsia" w:ascii="宋体" w:hAnsi="宋体" w:eastAsia="宋体" w:cs="宋体"/>
          <w:b w:val="0"/>
          <w:bCs/>
          <w:color w:val="auto"/>
          <w:sz w:val="21"/>
          <w:szCs w:val="21"/>
          <w:lang w:val="en-US" w:eastAsia="zh-CN" w:bidi="ar-SA"/>
        </w:rPr>
        <w:t xml:space="preserve">6. 安全文明施工与环境保护</w:t>
      </w:r>
      <w:bookmarkEnd w:id="173"/>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6.1安全文明施工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6.1.1 项目安全生产的达标目标及相应事项的约定：</w:t>
      </w:r>
      <w:r>
        <w:rPr>
          <w:rFonts w:hint="eastAsia" w:ascii="宋体" w:hAnsi="宋体" w:eastAsia="宋体" w:cs="宋体"/>
          <w:color w:val="auto"/>
          <w:szCs w:val="21"/>
          <w:u w:val="single"/>
        </w:rPr>
        <w:t xml:space="preserve">本工程安全生产、文明施工必须符合相关文件规定，对文明工地标准不作要求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6.1.4 关于治安保卫的特别约定：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关于编制施工场地治安管理计划的约定：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6.1.5 文明施工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合同当事人对文明施工的要求：</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numPr>
          <w:ilvl w:val="2"/>
          <w:numId w:val="9"/>
        </w:numPr>
        <w:ind w:left="0" w:firstLine="420"/>
        <w:jc w:val="left"/>
        <w:spacing w:line="44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关于安全文明施工费支付比例和支付期限的约定：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bookmarkEnd w:id="166"/>
      <w:r/>
      <w:bookmarkEnd w:id="167"/>
      <w:r/>
      <w:bookmarkEnd w:id="168"/>
      <w:r/>
      <w:bookmarkEnd w:id="169"/>
      <w:r/>
      <w:bookmarkEnd w:id="170"/>
      <w:r/>
      <w:bookmarkEnd w:id="171"/>
      <w:r/>
      <w:bookmarkEnd w:id="172"/>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174" w:name="_Toc351203639"/>
      <w:r>
        <w:rPr>
          <w:rFonts w:hint="eastAsia" w:ascii="宋体" w:hAnsi="宋体" w:eastAsia="宋体" w:cs="宋体"/>
          <w:b w:val="0"/>
          <w:bCs/>
          <w:color w:val="auto"/>
          <w:sz w:val="21"/>
          <w:szCs w:val="21"/>
          <w:lang w:val="en-US" w:eastAsia="zh-CN" w:bidi="ar-SA"/>
        </w:rPr>
        <w:t xml:space="preserve">7. 工期和进度</w:t>
      </w:r>
      <w:bookmarkEnd w:id="174"/>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7.1 施工组织设计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7.1.1 合同当事人约定的施工组织设计应包括的其他内容：</w:t>
      </w:r>
      <w:r>
        <w:rPr>
          <w:rFonts w:hint="eastAsia" w:ascii="宋体" w:hAnsi="宋体" w:eastAsia="宋体" w:cs="宋体"/>
          <w:color w:val="auto"/>
          <w:szCs w:val="21"/>
          <w:u w:val="single"/>
        </w:rPr>
        <w:t xml:space="preserve">主要技术经济指标、工程概况、各项资源需求量计划</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7.1.2 施工组织设计的提交和修改</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承包人提交详细施工组织设计的期限的约定：。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发包人在收到详细的施工组织设计后确认或提出修改意见的期限：</w:t>
      </w:r>
      <w:r>
        <w:rPr>
          <w:rFonts w:hint="eastAsia" w:ascii="宋体" w:hAnsi="宋体" w:eastAsia="宋体" w:cs="宋体"/>
          <w:color w:val="auto"/>
          <w:szCs w:val="21"/>
          <w:u w:val="single"/>
        </w:rPr>
        <w:t xml:space="preserve">一周内</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w:t>
      </w:r>
      <w:bookmarkStart w:id="175" w:name="_Toc297123514"/>
      <w:r/>
      <w:bookmarkStart w:id="176" w:name="_Toc312678005"/>
      <w:r/>
      <w:bookmarkStart w:id="177" w:name="_Toc304295541"/>
      <w:r/>
      <w:bookmarkStart w:id="178" w:name="_Toc297216173"/>
      <w:r/>
      <w:bookmarkStart w:id="179" w:name="_Toc303539123"/>
      <w:r/>
      <w:bookmarkStart w:id="180" w:name="_Toc300934966"/>
      <w:r/>
      <w:bookmarkStart w:id="181" w:name="_Toc312677479"/>
      <w:r>
        <w:rPr>
          <w:rFonts w:hint="eastAsia" w:ascii="宋体" w:hAnsi="宋体" w:eastAsia="宋体" w:cs="宋体"/>
          <w:color w:val="auto"/>
          <w:szCs w:val="21"/>
        </w:rPr>
        <w:t xml:space="preserve">.2 施工进度计划</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7.2.2 施工进度计划的修订</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发包人在收到修订的施工进度计划后确认或提出修改意见的期限：</w:t>
      </w:r>
      <w:r>
        <w:rPr>
          <w:rFonts w:hint="eastAsia" w:ascii="宋体" w:hAnsi="宋体" w:eastAsia="宋体" w:cs="宋体"/>
          <w:color w:val="auto"/>
          <w:szCs w:val="21"/>
          <w:u w:val="single"/>
        </w:rPr>
        <w:t xml:space="preserve">一周内</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7.3 开工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7.3.1 开工准备</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关于承包人提交工程开工报审表的期限：</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关于发包人应完成的其他开工准备工作及期限：</w:t>
      </w:r>
      <w:r>
        <w:rPr>
          <w:rFonts w:hint="eastAsia" w:ascii="宋体" w:hAnsi="宋体" w:eastAsia="宋体" w:cs="宋体"/>
          <w:color w:val="auto"/>
          <w:szCs w:val="21"/>
          <w:u w:val="single"/>
        </w:rPr>
        <w:t xml:space="preserve">一周内</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关于承包人应完成的其他开工准备工作及期限：</w:t>
      </w:r>
      <w:r>
        <w:rPr>
          <w:rFonts w:hint="eastAsia" w:ascii="宋体" w:hAnsi="宋体" w:eastAsia="宋体" w:cs="宋体"/>
          <w:color w:val="auto"/>
          <w:szCs w:val="21"/>
          <w:u w:val="single"/>
        </w:rPr>
        <w:t xml:space="preserve">一周内</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7.3.2开工通知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因发包人原因造成未能在计划开工日期之日起</w:t>
      </w:r>
      <w:r>
        <w:rPr>
          <w:rFonts w:hint="eastAsia" w:ascii="宋体" w:hAnsi="宋体" w:eastAsia="宋体" w:cs="宋体"/>
          <w:color w:val="auto"/>
          <w:szCs w:val="21"/>
          <w:u w:val="single"/>
        </w:rPr>
        <w:t xml:space="preserve">90</w:t>
      </w:r>
      <w:r>
        <w:rPr>
          <w:rFonts w:hint="eastAsia" w:ascii="宋体" w:hAnsi="宋体" w:eastAsia="宋体" w:cs="宋体"/>
          <w:color w:val="auto"/>
          <w:szCs w:val="21"/>
        </w:rPr>
        <w:t xml:space="preserve">天内发出开工通知的，承包人有权提出价格调整要求，或者解除合同。</w:t>
      </w:r>
      <w:bookmarkEnd w:id="175"/>
      <w:r/>
      <w:bookmarkEnd w:id="176"/>
      <w:r/>
      <w:bookmarkEnd w:id="177"/>
      <w:r/>
      <w:bookmarkEnd w:id="178"/>
      <w:r/>
      <w:bookmarkEnd w:id="179"/>
      <w:r/>
      <w:bookmarkEnd w:id="180"/>
      <w:r/>
      <w:bookmarkEnd w:id="18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7.4 测量放线</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7.4.1发包人向承包人提供测量基准点、基准线和水准点及其书面资料的期限：</w:t>
      </w:r>
      <w:r>
        <w:rPr>
          <w:rFonts w:hint="eastAsia" w:ascii="宋体" w:hAnsi="宋体" w:eastAsia="宋体" w:cs="宋体"/>
          <w:color w:val="auto"/>
          <w:szCs w:val="21"/>
          <w:u w:val="singl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点费用及由此造成的其他损失均由承包人承担</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w:t>
      </w:r>
      <w:bookmarkStart w:id="182" w:name="_Toc297123516"/>
      <w:r/>
      <w:bookmarkStart w:id="183" w:name="_Toc304295546"/>
      <w:r/>
      <w:bookmarkStart w:id="184" w:name="_Toc300934968"/>
      <w:r/>
      <w:bookmarkStart w:id="185" w:name="_Toc303539125"/>
      <w:r/>
      <w:bookmarkStart w:id="186" w:name="_Toc297216175"/>
      <w:r/>
      <w:bookmarkStart w:id="187" w:name="_Toc312678010"/>
      <w:r/>
      <w:bookmarkStart w:id="188" w:name="_Toc312677484"/>
      <w:r>
        <w:rPr>
          <w:rFonts w:hint="eastAsia" w:ascii="宋体" w:hAnsi="宋体" w:eastAsia="宋体" w:cs="宋体"/>
          <w:color w:val="auto"/>
          <w:szCs w:val="21"/>
        </w:rPr>
        <w:t xml:space="preserve">.5 工期延误</w:t>
      </w:r>
      <w:bookmarkEnd w:id="182"/>
      <w:r/>
      <w:bookmarkEnd w:id="183"/>
      <w:r/>
      <w:bookmarkEnd w:id="184"/>
      <w:r/>
      <w:bookmarkEnd w:id="185"/>
      <w:r/>
      <w:bookmarkEnd w:id="186"/>
      <w:r/>
      <w:bookmarkEnd w:id="187"/>
      <w:r/>
      <w:bookmarkEnd w:id="188"/>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7.5.1 因发包人原因导致工期延误</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（7）因发包人原因导致工期延误的其他情形：</w:t>
      </w:r>
      <w:r>
        <w:rPr>
          <w:rFonts w:hint="eastAsia" w:ascii="宋体" w:hAnsi="宋体" w:eastAsia="宋体" w:cs="宋体"/>
          <w:color w:val="auto"/>
          <w:szCs w:val="21"/>
          <w:u w:val="singl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任何责任。</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w:t>
      </w:r>
      <w:bookmarkStart w:id="189" w:name="_Toc312678012"/>
      <w:r/>
      <w:bookmarkStart w:id="190" w:name="_Toc312677486"/>
      <w:r/>
      <w:bookmarkStart w:id="191" w:name="_Toc318581169"/>
      <w:r/>
      <w:bookmarkStart w:id="192" w:name="_Toc304295548"/>
      <w:r/>
      <w:bookmarkStart w:id="193" w:name="_Toc297216177"/>
      <w:r/>
      <w:bookmarkStart w:id="194" w:name="_Toc300934970"/>
      <w:r/>
      <w:bookmarkStart w:id="195" w:name="_Toc303539127"/>
      <w:r/>
      <w:bookmarkStart w:id="196" w:name="_Toc297123518"/>
      <w:r>
        <w:rPr>
          <w:rFonts w:hint="eastAsia" w:ascii="宋体" w:hAnsi="宋体" w:eastAsia="宋体" w:cs="宋体"/>
          <w:color w:val="auto"/>
          <w:szCs w:val="21"/>
        </w:rPr>
        <w:t xml:space="preserve">.5.2 因承包人原因导致工期延误</w:t>
      </w:r>
      <w:bookmarkEnd w:id="189"/>
      <w:r/>
      <w:bookmarkEnd w:id="190"/>
      <w:r/>
      <w:bookmarkEnd w:id="19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因</w:t>
      </w:r>
      <w:bookmarkStart w:id="197" w:name="_Toc312678013"/>
      <w:r/>
      <w:bookmarkStart w:id="198" w:name="_Toc312677487"/>
      <w:r/>
      <w:bookmarkStart w:id="199" w:name="_Toc318581170"/>
      <w:r>
        <w:rPr>
          <w:rFonts w:hint="eastAsia" w:ascii="宋体" w:hAnsi="宋体" w:eastAsia="宋体" w:cs="宋体"/>
          <w:color w:val="auto"/>
          <w:szCs w:val="21"/>
        </w:rPr>
        <w:t xml:space="preserve">承包人原因造成工期延误，逾期竣工违约金的计算方法为：</w:t>
      </w:r>
      <w:r>
        <w:rPr>
          <w:rFonts w:hint="eastAsia" w:ascii="宋体" w:hAnsi="宋体" w:eastAsia="宋体" w:cs="宋体"/>
          <w:color w:val="auto"/>
          <w:szCs w:val="21"/>
          <w:u w:val="single"/>
        </w:rPr>
        <w:t xml:space="preserve">如因承包人原因，导致竣工工期滞后于合同工期，按每滞后一天赔偿10000元违约金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凡由于承包人造成的工期延误（不可抗力除外），工期不能顺延，不得增加任何费用</w:t>
      </w:r>
      <w:r>
        <w:rPr>
          <w:rFonts w:hint="eastAsia" w:ascii="宋体" w:hAnsi="宋体" w:eastAsia="宋体" w:cs="宋体"/>
          <w:color w:val="auto"/>
          <w:szCs w:val="21"/>
        </w:rPr>
        <w:t xml:space="preserve">。</w:t>
      </w:r>
      <w:bookmarkEnd w:id="192"/>
      <w:r/>
      <w:bookmarkEnd w:id="193"/>
      <w:r/>
      <w:bookmarkEnd w:id="194"/>
      <w:r/>
      <w:bookmarkEnd w:id="195"/>
      <w:r/>
      <w:bookmarkEnd w:id="196"/>
      <w:r/>
      <w:bookmarkEnd w:id="197"/>
      <w:r/>
      <w:bookmarkEnd w:id="198"/>
      <w:r/>
      <w:bookmarkEnd w:id="199"/>
      <w:r/>
      <w:r/>
    </w:p>
    <w:p>
      <w:pPr>
        <w:ind w:firstLine="420"/>
        <w:spacing w:line="440" w:lineRule="exact"/>
        <w:rPr>
          <w:rFonts w:hint="eastAsia" w:ascii="宋体" w:hAnsi="宋体" w:eastAsia="宋体" w:cs="宋体"/>
          <w:color w:val="auto"/>
          <w:sz w:val="24"/>
          <w:szCs w:val="24"/>
          <w:u w:val="single"/>
        </w:rPr>
      </w:pPr>
      <w:r>
        <w:rPr>
          <w:rFonts w:hint="eastAsia" w:ascii="宋体" w:hAnsi="宋体" w:eastAsia="宋体" w:cs="宋体"/>
          <w:color w:val="auto"/>
          <w:szCs w:val="21"/>
        </w:rPr>
        <w:t xml:space="preserve">因承包人原因造成工期延误，逾</w:t>
      </w:r>
      <w:bookmarkStart w:id="200" w:name="_Toc312678014"/>
      <w:r/>
      <w:bookmarkStart w:id="201" w:name="_Toc318581171"/>
      <w:r>
        <w:rPr>
          <w:rFonts w:hint="eastAsia" w:ascii="宋体" w:hAnsi="宋体" w:eastAsia="宋体" w:cs="宋体"/>
          <w:color w:val="auto"/>
          <w:szCs w:val="21"/>
        </w:rPr>
        <w:t xml:space="preserve">期竣工违约金的上限：</w:t>
      </w:r>
      <w:r>
        <w:rPr>
          <w:rFonts w:hint="eastAsia" w:ascii="宋体" w:hAnsi="宋体" w:eastAsia="宋体" w:cs="宋体"/>
          <w:color w:val="auto"/>
          <w:szCs w:val="21"/>
          <w:u w:val="single"/>
        </w:rPr>
        <w:t xml:space="preserve">合同价款的百分之十。</w:t>
      </w:r>
      <w:bookmarkEnd w:id="200"/>
      <w:r/>
      <w:bookmarkEnd w:id="20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w:t>
      </w:r>
      <w:bookmarkStart w:id="202" w:name="_Toc304295549"/>
      <w:r/>
      <w:bookmarkStart w:id="203" w:name="_Toc297123519"/>
      <w:r/>
      <w:bookmarkStart w:id="204" w:name="_Toc300934971"/>
      <w:r/>
      <w:bookmarkStart w:id="205" w:name="_Toc303539128"/>
      <w:r/>
      <w:bookmarkStart w:id="206" w:name="_Toc312678015"/>
      <w:r/>
      <w:bookmarkStart w:id="207" w:name="_Toc297216178"/>
      <w:r>
        <w:rPr>
          <w:rFonts w:hint="eastAsia" w:ascii="宋体" w:hAnsi="宋体" w:eastAsia="宋体" w:cs="宋体"/>
          <w:color w:val="auto"/>
          <w:szCs w:val="21"/>
        </w:rPr>
        <w:t xml:space="preserve">.6 不</w:t>
      </w:r>
      <w:bookmarkEnd w:id="202"/>
      <w:r/>
      <w:bookmarkEnd w:id="203"/>
      <w:r/>
      <w:bookmarkEnd w:id="204"/>
      <w:r/>
      <w:bookmarkEnd w:id="205"/>
      <w:r/>
      <w:bookmarkEnd w:id="206"/>
      <w:r/>
      <w:bookmarkEnd w:id="207"/>
      <w:r>
        <w:rPr>
          <w:rFonts w:hint="eastAsia" w:ascii="宋体" w:hAnsi="宋体" w:eastAsia="宋体" w:cs="宋体"/>
          <w:color w:val="auto"/>
          <w:szCs w:val="21"/>
        </w:rPr>
        <w:t xml:space="preserve">利物质条件</w:t>
      </w:r>
      <w:r/>
    </w:p>
    <w:p>
      <w:pPr>
        <w:ind w:firstLine="420"/>
        <w:spacing w:line="440" w:lineRule="exact"/>
        <w:rPr>
          <w:rFonts w:hint="eastAsia" w:ascii="宋体" w:hAnsi="宋体" w:eastAsia="宋体" w:cs="宋体"/>
          <w:color w:val="auto"/>
          <w:szCs w:val="21"/>
        </w:rPr>
      </w:pPr>
      <w:r/>
      <w:bookmarkStart w:id="208" w:name="_Toc312678016"/>
      <w:r/>
      <w:bookmarkStart w:id="209" w:name="_Toc318581172"/>
      <w:r/>
      <w:bookmarkStart w:id="210" w:name="_Toc297123520"/>
      <w:r/>
      <w:bookmarkStart w:id="211" w:name="_Toc297216179"/>
      <w:r/>
      <w:bookmarkStart w:id="212" w:name="_Toc304295550"/>
      <w:r/>
      <w:bookmarkStart w:id="213" w:name="_Toc300934972"/>
      <w:r/>
      <w:bookmarkStart w:id="214" w:name="_Toc303539129"/>
      <w:r>
        <w:rPr>
          <w:rFonts w:hint="eastAsia" w:ascii="宋体" w:hAnsi="宋体" w:eastAsia="宋体" w:cs="宋体"/>
          <w:color w:val="auto"/>
          <w:szCs w:val="21"/>
        </w:rPr>
        <w:t xml:space="preserve">不利物质条件的其他情形和有关约定：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bookmarkEnd w:id="208"/>
      <w:r/>
      <w:bookmarkEnd w:id="209"/>
      <w:r/>
      <w:bookmarkEnd w:id="210"/>
      <w:r/>
      <w:bookmarkEnd w:id="211"/>
      <w:r/>
      <w:bookmarkEnd w:id="212"/>
      <w:r/>
      <w:bookmarkEnd w:id="213"/>
      <w:r/>
      <w:bookmarkEnd w:id="214"/>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w:t>
      </w:r>
      <w:bookmarkStart w:id="215" w:name="_Toc303539130"/>
      <w:r/>
      <w:bookmarkStart w:id="216" w:name="_Toc312678017"/>
      <w:r/>
      <w:bookmarkStart w:id="217" w:name="_Toc297123521"/>
      <w:r/>
      <w:bookmarkStart w:id="218" w:name="_Toc304295551"/>
      <w:r/>
      <w:bookmarkStart w:id="219" w:name="_Toc300934973"/>
      <w:r/>
      <w:bookmarkStart w:id="220" w:name="_Toc297216180"/>
      <w:r>
        <w:rPr>
          <w:rFonts w:hint="eastAsia" w:ascii="宋体" w:hAnsi="宋体" w:eastAsia="宋体" w:cs="宋体"/>
          <w:color w:val="auto"/>
          <w:szCs w:val="21"/>
        </w:rPr>
        <w:t xml:space="preserve">.7异常恶劣的气候条件</w:t>
      </w:r>
      <w:bookmarkEnd w:id="215"/>
      <w:r/>
      <w:bookmarkEnd w:id="216"/>
      <w:r/>
      <w:bookmarkEnd w:id="217"/>
      <w:r/>
      <w:bookmarkEnd w:id="218"/>
      <w:r/>
      <w:bookmarkEnd w:id="219"/>
      <w:r/>
      <w:bookmarkEnd w:id="220"/>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发包人和承包人同意以下情形视为异常恶劣的气候条件：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7.9 提前竣工的奖励</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7.9.2提前竣工的奖励：</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221" w:name="_Toc351203640"/>
      <w:r>
        <w:rPr>
          <w:rFonts w:hint="eastAsia" w:ascii="宋体" w:hAnsi="宋体" w:eastAsia="宋体" w:cs="宋体"/>
          <w:b w:val="0"/>
          <w:bCs/>
          <w:color w:val="auto"/>
          <w:sz w:val="21"/>
          <w:szCs w:val="21"/>
          <w:lang w:val="en-US" w:eastAsia="zh-CN" w:bidi="ar-SA"/>
        </w:rPr>
        <w:t xml:space="preserve">8. 材料与设备</w:t>
      </w:r>
      <w:bookmarkEnd w:id="221"/>
      <w:r/>
      <w:bookmarkEnd w:id="156"/>
      <w:r/>
      <w:bookmarkEnd w:id="157"/>
      <w:r/>
      <w:bookmarkEnd w:id="158"/>
      <w:r/>
      <w:bookmarkEnd w:id="159"/>
      <w:r/>
      <w:bookmarkEnd w:id="160"/>
      <w:r/>
      <w:bookmarkEnd w:id="161"/>
      <w:r/>
      <w:bookmarkEnd w:id="162"/>
      <w:r/>
      <w:bookmarkEnd w:id="163"/>
      <w:r/>
      <w:bookmarkEnd w:id="164"/>
      <w:r/>
      <w:bookmarkEnd w:id="16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w:t>
      </w:r>
      <w:bookmarkStart w:id="222" w:name="_Toc292559877"/>
      <w:r/>
      <w:bookmarkStart w:id="223" w:name="_Toc296944506"/>
      <w:r/>
      <w:bookmarkStart w:id="224" w:name="_Toc303539136"/>
      <w:r/>
      <w:bookmarkStart w:id="225" w:name="_Toc296346668"/>
      <w:r/>
      <w:bookmarkStart w:id="226" w:name="_Toc312677493"/>
      <w:r/>
      <w:bookmarkStart w:id="227" w:name="_Toc297216186"/>
      <w:r/>
      <w:bookmarkStart w:id="228" w:name="_Toc297123527"/>
      <w:r/>
      <w:bookmarkStart w:id="229" w:name="_Toc312678019"/>
      <w:r/>
      <w:bookmarkStart w:id="230" w:name="_Toc280868654"/>
      <w:r/>
      <w:bookmarkStart w:id="231" w:name="_Toc296891207"/>
      <w:r/>
      <w:bookmarkStart w:id="232" w:name="_Toc296347166"/>
      <w:r/>
      <w:bookmarkStart w:id="233" w:name="_Toc296890995"/>
      <w:r/>
      <w:bookmarkStart w:id="234" w:name="_Toc304295556"/>
      <w:r/>
      <w:bookmarkStart w:id="235" w:name="_Toc297120467"/>
      <w:r/>
      <w:bookmarkStart w:id="236" w:name="_Toc296503167"/>
      <w:r/>
      <w:bookmarkStart w:id="237" w:name="_Toc300934979"/>
      <w:r/>
      <w:bookmarkStart w:id="238" w:name="_Toc292559372"/>
      <w:r/>
      <w:bookmarkStart w:id="239" w:name="_Toc297048353"/>
      <w:r/>
      <w:bookmarkStart w:id="240" w:name="_Toc280868655"/>
      <w:r/>
      <w:bookmarkStart w:id="241" w:name="_Toc280868656"/>
      <w:r/>
      <w:bookmarkStart w:id="242" w:name="_Toc267251424"/>
      <w:r>
        <w:rPr>
          <w:rFonts w:hint="eastAsia" w:ascii="宋体" w:hAnsi="宋体" w:eastAsia="宋体" w:cs="宋体"/>
          <w:color w:val="auto"/>
          <w:szCs w:val="21"/>
        </w:rPr>
        <w:t xml:space="preserve">.4材料与工程设备的保管与使用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w:t>
      </w:r>
      <w:bookmarkStart w:id="243" w:name="_Toc292559373"/>
      <w:r/>
      <w:bookmarkStart w:id="244" w:name="_Toc292559878"/>
      <w:r/>
      <w:bookmarkStart w:id="245" w:name="_Toc297120468"/>
      <w:r/>
      <w:bookmarkStart w:id="246" w:name="_Toc318581173"/>
      <w:r/>
      <w:bookmarkStart w:id="247" w:name="_Toc296944507"/>
      <w:r/>
      <w:bookmarkStart w:id="248" w:name="_Toc296347167"/>
      <w:r/>
      <w:bookmarkStart w:id="249" w:name="_Toc312678020"/>
      <w:r/>
      <w:bookmarkStart w:id="250" w:name="_Toc297216187"/>
      <w:r/>
      <w:bookmarkStart w:id="251" w:name="_Toc312677494"/>
      <w:r/>
      <w:bookmarkStart w:id="252" w:name="_Toc297123528"/>
      <w:r/>
      <w:bookmarkStart w:id="253" w:name="_Toc300934980"/>
      <w:r/>
      <w:bookmarkStart w:id="254" w:name="_Toc296890996"/>
      <w:r/>
      <w:bookmarkStart w:id="255" w:name="_Toc303539137"/>
      <w:r/>
      <w:bookmarkStart w:id="256" w:name="_Toc304295557"/>
      <w:r/>
      <w:bookmarkStart w:id="257" w:name="_Toc296346669"/>
      <w:r/>
      <w:bookmarkStart w:id="258" w:name="_Toc297048354"/>
      <w:r/>
      <w:bookmarkStart w:id="259" w:name="_Toc296503168"/>
      <w:r/>
      <w:bookmarkStart w:id="260" w:name="_Toc296891208"/>
      <w:r>
        <w:rPr>
          <w:rFonts w:hint="eastAsia" w:ascii="宋体" w:hAnsi="宋体" w:eastAsia="宋体" w:cs="宋体"/>
          <w:color w:val="auto"/>
          <w:szCs w:val="21"/>
        </w:rPr>
        <w:t xml:space="preserve">.4.1发包人供应的材料设备的保管费用的承担：</w:t>
      </w:r>
      <w:r>
        <w:rPr>
          <w:rFonts w:hint="eastAsia" w:ascii="宋体" w:hAnsi="宋体" w:eastAsia="宋体" w:cs="宋体"/>
          <w:color w:val="auto"/>
          <w:szCs w:val="21"/>
          <w:u w:val="single"/>
        </w:rPr>
        <w:t xml:space="preserve">发包人供应的材料设备，承包人派人参加清点后由承包人妥善保管，保管费用包含在本次投标报价中，投标人自行考虑。因承包人原因发生丢失损坏，由承包人负责赔偿</w:t>
      </w:r>
      <w:r>
        <w:rPr>
          <w:rFonts w:hint="eastAsia" w:ascii="宋体" w:hAnsi="宋体" w:eastAsia="宋体" w:cs="宋体"/>
          <w:color w:val="auto"/>
          <w:szCs w:val="21"/>
        </w:rPr>
        <w:t xml:space="preserve">。</w:t>
      </w:r>
      <w:bookmarkEnd w:id="243"/>
      <w:r/>
      <w:bookmarkEnd w:id="244"/>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8.4.2 承包人采购材料与工程设备:</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由承包人采购的材料设备的质量、功能、参数、指标、性能等要素均须符合图纸设计要求和国家现行的产品质量标准的规定，须为原厂正牌优质产品，承包人须在材料设备进场前向发包人提供质量保证书原件和出厂合格证原件，若为进口产品还需要提供海关或商检部门出具的原产地证明。严禁使用不合格和过期材料，否则由此产生的一切责任由承包人自负。承包人应该对各种材料设备按规范、规定进行检查、检验，不得将不符合要求的材料设备用于工程。无论发包人是否进行并通过了各项检验，均不解除承包人应负的所有工程质量责任；</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2、承包人采购的材料设备应在市场主流品牌或厂家中选择、询价、经发包人同意后，方可使用</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 发包人有权要求承包人更换不合格的产品，并由承包人承担由此引起的诸如质量、安全、工期、价格上涨和索赔等一切后果。发包人如对承包人采购的材料设备质量有疑问时，有权对进场材料设备进行质量复检。复检不合格承包人承担相应的检测费用，同时将复检不合格的材料设备立即清退出现场；</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4、本工程所用材料必须满足设计图纸和规范的要求且是同类材料中优质环保的产品。</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5、其他未尽事宜届时由双方协商。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8.6 样品</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8.6.1</w:t>
      </w:r>
      <w:r>
        <w:rPr>
          <w:rFonts w:hint="eastAsia" w:ascii="宋体" w:hAnsi="宋体" w:eastAsia="宋体" w:cs="宋体"/>
          <w:color w:val="auto"/>
          <w:szCs w:val="21"/>
        </w:rPr>
        <w:tab/>
      </w:r>
      <w:r>
        <w:rPr>
          <w:rFonts w:hint="eastAsia" w:ascii="宋体" w:hAnsi="宋体" w:eastAsia="宋体" w:cs="宋体"/>
          <w:color w:val="auto"/>
          <w:szCs w:val="21"/>
        </w:rPr>
        <w:t xml:space="preserve">样品的报送与封存</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需要承包人报送样品的材料或工程设备，样品的种类、名称、规格、数量要求：</w:t>
      </w:r>
      <w:r>
        <w:rPr>
          <w:rFonts w:hint="eastAsia" w:ascii="宋体" w:hAnsi="宋体" w:eastAsia="宋体" w:cs="宋体"/>
          <w:color w:val="auto"/>
          <w:szCs w:val="21"/>
          <w:u w:val="single"/>
        </w:rPr>
        <w:t xml:space="preserve">用于本工程之任何材料的品质，在使用前十天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如承包人提供的材料样品未达到清单、图纸、磋商文件及发包人要求的，承包人不得强行施工，否则该项已施工的工程量发包人有权不予以确认，费用在结算时扣除，延误的工期不予顺延</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8.8 施工设备和临时设施</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8.8.1 承包人提供的施工设备和临时设施</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关于修建临时设施费用承担的约定：</w:t>
      </w:r>
      <w:r>
        <w:rPr>
          <w:rFonts w:hint="eastAsia" w:ascii="宋体" w:hAnsi="宋体" w:eastAsia="宋体" w:cs="宋体"/>
          <w:color w:val="auto"/>
          <w:szCs w:val="21"/>
          <w:u w:val="single"/>
        </w:rPr>
        <w:t xml:space="preserve">临时设施由承包人负责，费用含在合同总价中，结算时不作任何调整</w:t>
      </w:r>
      <w:r>
        <w:rPr>
          <w:rFonts w:hint="eastAsia" w:ascii="宋体" w:hAnsi="宋体" w:eastAsia="宋体" w:cs="宋体"/>
          <w:color w:val="auto"/>
          <w:szCs w:val="21"/>
        </w:rPr>
        <w:t xml:space="preserve">。</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261" w:name="_Toc351203641"/>
      <w:r>
        <w:rPr>
          <w:rFonts w:hint="eastAsia" w:ascii="宋体" w:hAnsi="宋体" w:eastAsia="宋体" w:cs="宋体"/>
          <w:b w:val="0"/>
          <w:bCs/>
          <w:color w:val="auto"/>
          <w:sz w:val="21"/>
          <w:szCs w:val="21"/>
          <w:lang w:val="en-US" w:eastAsia="zh-CN" w:bidi="ar-SA"/>
        </w:rPr>
        <w:t xml:space="preserve">9</w:t>
      </w:r>
      <w:bookmarkEnd w:id="240"/>
      <w:r/>
      <w:bookmarkEnd w:id="241"/>
      <w:r/>
      <w:bookmarkEnd w:id="242"/>
      <w:r/>
      <w:bookmarkStart w:id="262" w:name="_Toc312678021"/>
      <w:r/>
      <w:bookmarkStart w:id="263" w:name="_Toc312677495"/>
      <w:r/>
      <w:bookmarkStart w:id="264" w:name="_Toc297123533"/>
      <w:r/>
      <w:bookmarkStart w:id="265" w:name="_Toc304295559"/>
      <w:r/>
      <w:bookmarkStart w:id="266" w:name="_Toc300934982"/>
      <w:r/>
      <w:bookmarkStart w:id="267" w:name="_Toc297216192"/>
      <w:r/>
      <w:bookmarkStart w:id="268" w:name="_Toc303539139"/>
      <w:r/>
      <w:bookmarkStart w:id="269" w:name="_Toc296347172"/>
      <w:r/>
      <w:bookmarkStart w:id="270" w:name="_Toc292559883"/>
      <w:r/>
      <w:bookmarkStart w:id="271" w:name="_Toc297120473"/>
      <w:r/>
      <w:bookmarkStart w:id="272" w:name="_Toc296503173"/>
      <w:r/>
      <w:bookmarkStart w:id="273" w:name="_Toc296944512"/>
      <w:r/>
      <w:bookmarkStart w:id="274" w:name="_Toc296891213"/>
      <w:r/>
      <w:bookmarkStart w:id="275" w:name="_Toc292559378"/>
      <w:r/>
      <w:bookmarkStart w:id="276" w:name="_Toc267251427"/>
      <w:r/>
      <w:bookmarkStart w:id="277" w:name="_Toc297048359"/>
      <w:r/>
      <w:bookmarkStart w:id="278" w:name="_Toc267251428"/>
      <w:r/>
      <w:bookmarkStart w:id="279" w:name="_Toc296891001"/>
      <w:r/>
      <w:bookmarkStart w:id="280" w:name="_Toc296346674"/>
      <w:r>
        <w:rPr>
          <w:rFonts w:hint="eastAsia" w:ascii="宋体" w:hAnsi="宋体" w:eastAsia="宋体" w:cs="宋体"/>
          <w:b w:val="0"/>
          <w:bCs/>
          <w:color w:val="auto"/>
          <w:sz w:val="21"/>
          <w:szCs w:val="21"/>
          <w:lang w:val="en-US" w:eastAsia="zh-CN" w:bidi="ar-SA"/>
        </w:rPr>
        <w:t xml:space="preserve">. 试验与检验</w:t>
      </w:r>
      <w:bookmarkEnd w:id="261"/>
      <w:r/>
      <w:bookmarkEnd w:id="262"/>
      <w:r/>
      <w:bookmarkEnd w:id="263"/>
      <w:r/>
      <w:bookmarkEnd w:id="264"/>
      <w:r/>
      <w:bookmarkEnd w:id="265"/>
      <w:r/>
      <w:bookmarkEnd w:id="266"/>
      <w:r/>
      <w:bookmarkEnd w:id="267"/>
      <w:r/>
      <w:bookmarkEnd w:id="268"/>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9</w:t>
      </w:r>
      <w:bookmarkStart w:id="281" w:name="_Toc304295560"/>
      <w:r/>
      <w:bookmarkStart w:id="282" w:name="_Toc297216193"/>
      <w:r/>
      <w:bookmarkStart w:id="283" w:name="_Toc312678022"/>
      <w:r/>
      <w:bookmarkStart w:id="284" w:name="_Toc303539140"/>
      <w:r/>
      <w:bookmarkStart w:id="285" w:name="_Toc300934983"/>
      <w:r/>
      <w:bookmarkStart w:id="286" w:name="_Toc297123534"/>
      <w:r/>
      <w:bookmarkStart w:id="287" w:name="_Toc312677496"/>
      <w:r>
        <w:rPr>
          <w:rFonts w:hint="eastAsia" w:ascii="宋体" w:hAnsi="宋体" w:eastAsia="宋体" w:cs="宋体"/>
          <w:color w:val="auto"/>
          <w:szCs w:val="21"/>
        </w:rPr>
        <w:t xml:space="preserve">.1试验设备与试验人员</w:t>
      </w:r>
      <w:bookmarkEnd w:id="281"/>
      <w:r/>
      <w:bookmarkEnd w:id="282"/>
      <w:r/>
      <w:bookmarkEnd w:id="283"/>
      <w:r/>
      <w:bookmarkEnd w:id="284"/>
      <w:r/>
      <w:bookmarkEnd w:id="285"/>
      <w:r/>
      <w:bookmarkEnd w:id="286"/>
      <w:r/>
      <w:bookmarkEnd w:id="287"/>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9</w:t>
      </w:r>
      <w:bookmarkStart w:id="288" w:name="_Toc312678023"/>
      <w:r/>
      <w:bookmarkStart w:id="289" w:name="_Toc312677497"/>
      <w:r/>
      <w:bookmarkStart w:id="290" w:name="_Toc304295561"/>
      <w:r/>
      <w:bookmarkStart w:id="291" w:name="_Toc300934984"/>
      <w:r/>
      <w:bookmarkStart w:id="292" w:name="_Toc297123535"/>
      <w:r/>
      <w:bookmarkStart w:id="293" w:name="_Toc303539141"/>
      <w:r/>
      <w:bookmarkStart w:id="294" w:name="_Toc297216194"/>
      <w:r/>
      <w:bookmarkStart w:id="295" w:name="_Toc318581174"/>
      <w:r>
        <w:rPr>
          <w:rFonts w:hint="eastAsia" w:ascii="宋体" w:hAnsi="宋体" w:eastAsia="宋体" w:cs="宋体"/>
          <w:color w:val="auto"/>
          <w:szCs w:val="21"/>
        </w:rPr>
        <w:t xml:space="preserve">.1.2 试验设备</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施工现场需要配置的试验场所：</w:t>
      </w:r>
      <w:bookmarkEnd w:id="288"/>
      <w:r/>
      <w:bookmarkEnd w:id="289"/>
      <w:r/>
      <w:bookmarkEnd w:id="290"/>
      <w:r/>
      <w:bookmarkEnd w:id="291"/>
      <w:r/>
      <w:bookmarkEnd w:id="292"/>
      <w:r/>
      <w:bookmarkEnd w:id="293"/>
      <w:r/>
      <w:bookmarkEnd w:id="294"/>
      <w:r/>
      <w:bookmarkStart w:id="296" w:name="_Toc297123536"/>
      <w:r/>
      <w:bookmarkStart w:id="297" w:name="_Toc300934985"/>
      <w:r/>
      <w:bookmarkStart w:id="298" w:name="_Toc304295562"/>
      <w:r/>
      <w:bookmarkStart w:id="299" w:name="_Toc297216195"/>
      <w:r/>
      <w:bookmarkStart w:id="300" w:name="_Toc312678024"/>
      <w:r/>
      <w:bookmarkStart w:id="301" w:name="_Toc303539142"/>
      <w:r/>
      <w:bookmarkStart w:id="302" w:name="_Toc312677498"/>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施工现场需要配备的试验设备：</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施工现场需要具备的其他试验条件：</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9.4 现场工艺试验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现场工艺试验的有关约定：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bookmarkEnd w:id="295"/>
      <w:r/>
      <w:bookmarkEnd w:id="296"/>
      <w:r/>
      <w:bookmarkEnd w:id="297"/>
      <w:r/>
      <w:bookmarkEnd w:id="298"/>
      <w:r/>
      <w:bookmarkEnd w:id="299"/>
      <w:r/>
      <w:bookmarkEnd w:id="300"/>
      <w:r/>
      <w:bookmarkEnd w:id="301"/>
      <w:r/>
      <w:bookmarkEnd w:id="302"/>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303" w:name="_Toc351203642"/>
      <w:r>
        <w:rPr>
          <w:rFonts w:hint="eastAsia" w:ascii="宋体" w:hAnsi="宋体" w:eastAsia="宋体" w:cs="宋体"/>
          <w:b w:val="0"/>
          <w:bCs/>
          <w:color w:val="auto"/>
          <w:sz w:val="21"/>
          <w:szCs w:val="21"/>
          <w:lang w:val="en-US" w:eastAsia="zh-CN" w:bidi="ar-SA"/>
        </w:rPr>
        <w:t xml:space="preserve">1</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Start w:id="304" w:name="_Toc296346694"/>
      <w:r/>
      <w:bookmarkStart w:id="305" w:name="_Toc296891021"/>
      <w:r/>
      <w:bookmarkStart w:id="306" w:name="_Toc300934989"/>
      <w:r/>
      <w:bookmarkStart w:id="307" w:name="_Toc292559398"/>
      <w:r/>
      <w:bookmarkStart w:id="308" w:name="_Toc297216199"/>
      <w:r/>
      <w:bookmarkStart w:id="309" w:name="_Toc297123540"/>
      <w:r/>
      <w:bookmarkStart w:id="310" w:name="_Toc296891233"/>
      <w:r/>
      <w:bookmarkStart w:id="311" w:name="_Toc292559903"/>
      <w:r/>
      <w:bookmarkStart w:id="312" w:name="_Toc296347192"/>
      <w:r/>
      <w:bookmarkStart w:id="313" w:name="_Toc297120493"/>
      <w:r/>
      <w:bookmarkStart w:id="314" w:name="_Toc296503193"/>
      <w:r/>
      <w:bookmarkStart w:id="315" w:name="_Toc303539146"/>
      <w:r/>
      <w:bookmarkStart w:id="316" w:name="_Toc304295566"/>
      <w:r/>
      <w:bookmarkStart w:id="317" w:name="_Toc296944532"/>
      <w:r/>
      <w:bookmarkStart w:id="318" w:name="_Toc297048379"/>
      <w:r/>
      <w:bookmarkStart w:id="319" w:name="_Toc312678025"/>
      <w:r/>
      <w:bookmarkStart w:id="320" w:name="_Toc312677499"/>
      <w:r/>
      <w:bookmarkStart w:id="321" w:name="_Toc267251435"/>
      <w:r/>
      <w:bookmarkStart w:id="322" w:name="_Toc267251441"/>
      <w:r/>
      <w:bookmarkStart w:id="323" w:name="_Toc267251437"/>
      <w:r/>
      <w:bookmarkStart w:id="324" w:name="_Toc267251439"/>
      <w:r/>
      <w:bookmarkStart w:id="325" w:name="_Toc267251433"/>
      <w:r/>
      <w:bookmarkStart w:id="326" w:name="_Toc267251440"/>
      <w:r/>
      <w:bookmarkStart w:id="327" w:name="_Toc267251442"/>
      <w:r>
        <w:rPr>
          <w:rFonts w:hint="eastAsia" w:ascii="宋体" w:hAnsi="宋体" w:eastAsia="宋体" w:cs="宋体"/>
          <w:b w:val="0"/>
          <w:bCs/>
          <w:color w:val="auto"/>
          <w:sz w:val="21"/>
          <w:szCs w:val="21"/>
          <w:lang w:val="en-US" w:eastAsia="zh-CN" w:bidi="ar-SA"/>
        </w:rPr>
        <w:t xml:space="preserve">0. 变更</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w:t>
      </w:r>
      <w:bookmarkStart w:id="328" w:name="_Toc303539147"/>
      <w:r/>
      <w:bookmarkStart w:id="329" w:name="_Toc292559399"/>
      <w:r/>
      <w:bookmarkStart w:id="330" w:name="_Toc296346695"/>
      <w:r/>
      <w:bookmarkStart w:id="331" w:name="_Toc296347193"/>
      <w:r/>
      <w:bookmarkStart w:id="332" w:name="_Toc297120494"/>
      <w:r/>
      <w:bookmarkStart w:id="333" w:name="_Toc296503194"/>
      <w:r/>
      <w:bookmarkStart w:id="334" w:name="_Toc300934990"/>
      <w:r/>
      <w:bookmarkStart w:id="335" w:name="_Toc304295567"/>
      <w:r/>
      <w:bookmarkStart w:id="336" w:name="_Toc296944533"/>
      <w:r/>
      <w:bookmarkStart w:id="337" w:name="_Toc297048380"/>
      <w:r/>
      <w:bookmarkStart w:id="338" w:name="_Toc312678026"/>
      <w:r/>
      <w:bookmarkStart w:id="339" w:name="_Toc297123541"/>
      <w:r/>
      <w:bookmarkStart w:id="340" w:name="_Toc312677500"/>
      <w:r/>
      <w:bookmarkStart w:id="341" w:name="_Toc292559904"/>
      <w:r/>
      <w:bookmarkStart w:id="342" w:name="_Toc297216200"/>
      <w:r/>
      <w:bookmarkStart w:id="343" w:name="_Toc296891022"/>
      <w:r/>
      <w:bookmarkStart w:id="344" w:name="_Toc296891234"/>
      <w:r>
        <w:rPr>
          <w:rFonts w:hint="eastAsia" w:ascii="宋体" w:hAnsi="宋体" w:eastAsia="宋体" w:cs="宋体"/>
          <w:color w:val="auto"/>
          <w:szCs w:val="21"/>
        </w:rPr>
        <w:t xml:space="preserve">0.1变更的范围</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关于变更的范围的约定：</w:t>
      </w:r>
      <w:r>
        <w:rPr>
          <w:rFonts w:hint="eastAsia" w:ascii="宋体" w:hAnsi="宋体" w:eastAsia="宋体" w:cs="宋体"/>
          <w:color w:val="auto"/>
          <w:szCs w:val="21"/>
          <w:u w:val="single"/>
        </w:rPr>
        <w:t xml:space="preserve">1通用条款中规定的变更范围、工程设计变更、现场签证及发包人另行委托的零星工程施工；</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2施工中承包人不得擅自对原工程设计进行变更。因承包人擅自变更图纸设计发生的费用和由此导致发包人的损失，由承包人承担，延误的工期不予顺延；</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承包人在施工中提出的合理化建议涉及到对设计图纸或施工组织设计的更改及对材料、设备的调换，须经发包人批准方可实施。未经批准擅自更改或调换时，承包人承担由此发生的费用，并赔偿业主的有关损失，延误的工期不予顺延；</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4工程变更及现场签证统一使用规定格式的现场签证单，并按照相应规定执行。</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5因工程设计变更引起的工程量增减，且符合价款调整条件的，必须在5日内将工程量和价款变更的申请报告提交发包人代表核准，如出现逾期不报将不接收，视同优惠，任何后补签证的请求将被发包人拒绝；</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7承包人按照发包人的要求办理签证单，手续齐全的签证单原件作为结算依据，复印件无效；</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8所有变更及签证产生的费用均在竣工结算中办理。</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10.4 变更估价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10.4.1 变更估价原则</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关于变更估价的约定: </w:t>
      </w:r>
      <w:r>
        <w:rPr>
          <w:rFonts w:hint="eastAsia" w:ascii="宋体" w:hAnsi="宋体" w:eastAsia="宋体" w:cs="宋体"/>
          <w:color w:val="auto"/>
          <w:szCs w:val="21"/>
          <w:u w:val="single"/>
        </w:rPr>
        <w:t xml:space="preserve">1.承包人在工程变更确定后7天内，提出变更工程价款的报告，经发包人确认后调整合同价款。变更合同价款按下列方法进行：</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(1)合同中已有适用于变更工程的价格，按合同已有的价格变更合同价款；</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(2)合同中只有类似于变更工程的价格，可以参照类似价格变更合同价款；</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(3)合同中没有适用或类似于变更工程的价格，由承包人提出适当的变更价格，经发包人确认后执行。</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 承包人在双方确定变更后7天内不向发包人提出变更程价款报告时，视为该项变更不涉及合同价款的变更。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3.因承包人自身原因导致的工程变更，承包人无权要求追加合同价款。</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5" w:name="_Toc296891025"/>
      <w:r/>
      <w:bookmarkStart w:id="346" w:name="_Toc296891237"/>
      <w:r/>
      <w:bookmarkStart w:id="347" w:name="_Toc303539150"/>
      <w:r/>
      <w:bookmarkStart w:id="348" w:name="_Toc297123544"/>
      <w:r/>
      <w:bookmarkStart w:id="349" w:name="_Toc296944536"/>
      <w:r/>
      <w:bookmarkStart w:id="350" w:name="_Toc292559402"/>
      <w:r/>
      <w:bookmarkStart w:id="351" w:name="_Toc297216203"/>
      <w:r/>
      <w:bookmarkStart w:id="352" w:name="_Toc300934993"/>
      <w:r/>
      <w:bookmarkStart w:id="353" w:name="_Toc296347196"/>
      <w:r/>
      <w:bookmarkStart w:id="354" w:name="_Toc296503197"/>
      <w:r/>
      <w:bookmarkStart w:id="355" w:name="_Toc297120497"/>
      <w:r/>
      <w:bookmarkStart w:id="356" w:name="_Toc297048383"/>
      <w:r/>
      <w:bookmarkStart w:id="357" w:name="_Toc296346698"/>
      <w:r/>
      <w:bookmarkStart w:id="358" w:name="_Toc292559907"/>
      <w:r/>
      <w:bookmarkStart w:id="359" w:name="_Toc312677503"/>
      <w:r/>
      <w:bookmarkStart w:id="360" w:name="_Toc312678029"/>
      <w:r/>
      <w:bookmarkStart w:id="361" w:name="_Toc304295570"/>
      <w:r>
        <w:rPr>
          <w:rFonts w:hint="eastAsia" w:ascii="宋体" w:hAnsi="宋体" w:eastAsia="宋体" w:cs="宋体"/>
          <w:color w:val="auto"/>
          <w:szCs w:val="21"/>
        </w:rPr>
        <w:t xml:space="preserve">0.5承</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62" w:name="_Toc303539151"/>
      <w:r/>
      <w:bookmarkStart w:id="363" w:name="_Toc300934994"/>
      <w:r/>
      <w:bookmarkStart w:id="364" w:name="_Toc292559913"/>
      <w:r/>
      <w:bookmarkStart w:id="365" w:name="_Toc297048389"/>
      <w:r/>
      <w:bookmarkStart w:id="366" w:name="_Toc297216204"/>
      <w:r/>
      <w:bookmarkStart w:id="367" w:name="_Toc296891243"/>
      <w:r/>
      <w:bookmarkStart w:id="368" w:name="_Toc296347202"/>
      <w:r/>
      <w:bookmarkStart w:id="369" w:name="_Toc296891031"/>
      <w:r/>
      <w:bookmarkStart w:id="370" w:name="_Toc296944542"/>
      <w:r/>
      <w:bookmarkStart w:id="371" w:name="_Toc296346704"/>
      <w:r/>
      <w:bookmarkStart w:id="372" w:name="_Toc292559408"/>
      <w:r/>
      <w:bookmarkStart w:id="373" w:name="_Toc297120503"/>
      <w:r/>
      <w:bookmarkStart w:id="374" w:name="_Toc297123545"/>
      <w:r/>
      <w:bookmarkStart w:id="375" w:name="_Toc296503203"/>
      <w:r>
        <w:rPr>
          <w:rFonts w:hint="eastAsia" w:ascii="宋体" w:hAnsi="宋体" w:eastAsia="宋体" w:cs="宋体"/>
          <w:color w:val="auto"/>
          <w:szCs w:val="21"/>
        </w:rPr>
        <w:t xml:space="preserve">包人的合理化建议</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监理人审查承包人合理化建议的期限：</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发包人审批承包人合理化建议的期限：</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承</w:t>
      </w:r>
      <w:bookmarkStart w:id="376" w:name="_Toc297120504"/>
      <w:r/>
      <w:bookmarkStart w:id="377" w:name="_Toc292559409"/>
      <w:r/>
      <w:bookmarkStart w:id="378" w:name="_Toc297216205"/>
      <w:r/>
      <w:bookmarkStart w:id="379" w:name="_Toc296944543"/>
      <w:r/>
      <w:bookmarkStart w:id="380" w:name="_Toc292559914"/>
      <w:r/>
      <w:bookmarkStart w:id="381" w:name="_Toc300934995"/>
      <w:r/>
      <w:bookmarkStart w:id="382" w:name="_Toc296346705"/>
      <w:r/>
      <w:bookmarkStart w:id="383" w:name="_Toc296347203"/>
      <w:r/>
      <w:bookmarkStart w:id="384" w:name="_Toc296891032"/>
      <w:r/>
      <w:bookmarkStart w:id="385" w:name="_Toc297048390"/>
      <w:r/>
      <w:bookmarkStart w:id="386" w:name="_Toc304295571"/>
      <w:r/>
      <w:bookmarkStart w:id="387" w:name="_Toc312677504"/>
      <w:r/>
      <w:bookmarkStart w:id="388" w:name="_Toc312678030"/>
      <w:r/>
      <w:bookmarkStart w:id="389" w:name="_Toc303539152"/>
      <w:r/>
      <w:bookmarkStart w:id="390" w:name="_Toc296891244"/>
      <w:r/>
      <w:bookmarkStart w:id="391" w:name="_Toc296503204"/>
      <w:r/>
      <w:bookmarkStart w:id="392" w:name="_Toc318581175"/>
      <w:r/>
      <w:bookmarkStart w:id="393" w:name="_Toc297123546"/>
      <w:r>
        <w:rPr>
          <w:rFonts w:hint="eastAsia" w:ascii="宋体" w:hAnsi="宋体" w:eastAsia="宋体" w:cs="宋体"/>
          <w:color w:val="auto"/>
          <w:szCs w:val="21"/>
        </w:rPr>
        <w:t xml:space="preserve">包人提出的合理化建议降低了合同价格或者提高了工程经济效益的奖励的方法和金额为：</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w:t>
      </w:r>
      <w:bookmarkStart w:id="394" w:name="_Toc296944538"/>
      <w:r/>
      <w:bookmarkStart w:id="395" w:name="_Toc296503199"/>
      <w:r/>
      <w:bookmarkStart w:id="396" w:name="_Toc292559909"/>
      <w:r/>
      <w:bookmarkStart w:id="397" w:name="_Toc312678033"/>
      <w:r/>
      <w:bookmarkStart w:id="398" w:name="_Toc297120499"/>
      <w:r/>
      <w:bookmarkStart w:id="399" w:name="_Toc296347198"/>
      <w:r/>
      <w:bookmarkStart w:id="400" w:name="_Toc312677507"/>
      <w:r/>
      <w:bookmarkStart w:id="401" w:name="_Toc296891239"/>
      <w:r/>
      <w:bookmarkStart w:id="402" w:name="_Toc296891027"/>
      <w:r/>
      <w:bookmarkStart w:id="403" w:name="_Toc300934997"/>
      <w:r/>
      <w:bookmarkStart w:id="404" w:name="_Toc297216207"/>
      <w:r/>
      <w:bookmarkStart w:id="405" w:name="_Toc292559404"/>
      <w:r/>
      <w:bookmarkStart w:id="406" w:name="_Toc297123548"/>
      <w:r/>
      <w:bookmarkStart w:id="407" w:name="_Toc304295574"/>
      <w:r/>
      <w:bookmarkStart w:id="408" w:name="_Toc297048385"/>
      <w:r/>
      <w:bookmarkStart w:id="409" w:name="_Toc303539154"/>
      <w:r/>
      <w:bookmarkStart w:id="410" w:name="_Toc296346700"/>
      <w:r>
        <w:rPr>
          <w:rFonts w:hint="eastAsia" w:ascii="宋体" w:hAnsi="宋体" w:eastAsia="宋体" w:cs="宋体"/>
          <w:color w:val="auto"/>
          <w:szCs w:val="21"/>
        </w:rPr>
        <w:t xml:space="preserve">0.7 暂估价</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暂估价材料和工程设备的明细详见附件11：《暂估价一览表》。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411" w:name="_Toc312678035"/>
      <w:r/>
      <w:bookmarkStart w:id="412" w:name="_Toc318581177"/>
      <w:r/>
      <w:bookmarkStart w:id="413" w:name="_Toc312677509"/>
      <w:r>
        <w:rPr>
          <w:rFonts w:hint="eastAsia" w:ascii="宋体" w:hAnsi="宋体" w:eastAsia="宋体" w:cs="宋体"/>
          <w:color w:val="auto"/>
          <w:szCs w:val="21"/>
          <w:highlight w:val="none"/>
        </w:rPr>
        <w:t xml:space="preserve">0.7.1 依法必须招标的暂估价项目</w:t>
      </w:r>
      <w:bookmarkEnd w:id="411"/>
      <w:r/>
      <w:bookmarkEnd w:id="412"/>
      <w:r/>
      <w:bookmarkEnd w:id="413"/>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对于依法必须招标的暂估价项目的确认和批准采取第</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种方式确定。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10.7.2 不属于依法必须招标的暂估价项目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对于不属于依法必须招标的暂估价项目的确认和批准采取第</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种方式确定。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10.8 暂列金额</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合同当事人关于暂列金额使用的约定：</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414" w:name="_Toc351203643"/>
      <w:r>
        <w:rPr>
          <w:rFonts w:hint="eastAsia" w:ascii="宋体" w:hAnsi="宋体" w:eastAsia="宋体" w:cs="宋体"/>
          <w:b w:val="0"/>
          <w:bCs/>
          <w:color w:val="auto"/>
          <w:sz w:val="21"/>
          <w:szCs w:val="21"/>
          <w:lang w:val="en-US" w:eastAsia="zh-CN" w:bidi="ar-SA"/>
        </w:rPr>
        <w:t xml:space="preserve">11. 价格调整</w:t>
      </w:r>
      <w:bookmarkEnd w:id="414"/>
      <w:r/>
      <w:r/>
    </w:p>
    <w:p>
      <w:pPr>
        <w:ind w:firstLine="420"/>
        <w:spacing w:line="440" w:lineRule="exact"/>
        <w:rPr>
          <w:rFonts w:hint="eastAsia" w:ascii="宋体" w:hAnsi="宋体" w:eastAsia="宋体" w:cs="宋体"/>
          <w:color w:val="auto"/>
          <w:szCs w:val="21"/>
        </w:rPr>
      </w:pPr>
      <w:r/>
      <w:bookmarkStart w:id="415" w:name="_Toc292559911"/>
      <w:r/>
      <w:bookmarkStart w:id="416" w:name="_Toc297048387"/>
      <w:r/>
      <w:bookmarkStart w:id="417" w:name="_Toc296347200"/>
      <w:r/>
      <w:bookmarkStart w:id="418" w:name="_Toc296891241"/>
      <w:r/>
      <w:bookmarkStart w:id="419" w:name="_Toc297120501"/>
      <w:r/>
      <w:bookmarkStart w:id="420" w:name="_Toc292559406"/>
      <w:r/>
      <w:bookmarkStart w:id="421" w:name="_Toc300935000"/>
      <w:r/>
      <w:bookmarkStart w:id="422" w:name="_Toc312678039"/>
      <w:r/>
      <w:bookmarkStart w:id="423" w:name="_Toc296944540"/>
      <w:r/>
      <w:bookmarkStart w:id="424" w:name="_Toc296346702"/>
      <w:r/>
      <w:bookmarkStart w:id="425" w:name="_Toc304295577"/>
      <w:r/>
      <w:bookmarkStart w:id="426" w:name="_Toc297123550"/>
      <w:r/>
      <w:bookmarkStart w:id="427" w:name="_Toc296503201"/>
      <w:r/>
      <w:bookmarkStart w:id="428" w:name="_Toc297216209"/>
      <w:r/>
      <w:bookmarkStart w:id="429" w:name="_Toc303539157"/>
      <w:r/>
      <w:bookmarkStart w:id="430" w:name="_Toc296891029"/>
      <w:r>
        <w:rPr>
          <w:rFonts w:hint="eastAsia" w:ascii="宋体" w:hAnsi="宋体" w:eastAsia="宋体" w:cs="宋体"/>
          <w:color w:val="auto"/>
          <w:szCs w:val="21"/>
        </w:rPr>
        <w:t xml:space="preserve">11.1 市场价格波动引起的调整</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市场价格波动是否调整合同价格的约定：</w:t>
      </w:r>
      <w:r>
        <w:rPr>
          <w:rFonts w:hint="eastAsia" w:ascii="宋体" w:hAnsi="宋体" w:eastAsia="宋体" w:cs="宋体"/>
          <w:color w:val="auto"/>
          <w:szCs w:val="21"/>
          <w:u w:val="single"/>
        </w:rPr>
        <w:t xml:space="preserve">不作调整</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因市场价格波动调整合同价格，采用以下第</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种方式对合同价格进行调整：</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第1种方式：采用价格指数进行价格调整。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关于各可调因子、定值和变值权重，以及基本价格指数及其来源的约定：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第2种方式：采用造价信息进行价格调整。</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（2）关于基准价格的约定：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%时，或材料单价跌幅以已标价工程量清单或预算书中载明材料单价为基础超过</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%时，其超过部分据实调整。</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%时，材料单价涨幅以已标价工程量清单或预算书中载明材料单价为基础超过</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%时，其超过部分据实调整。</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%时，其超过部分据实调整。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第3种方式：其他价格调整方式：</w:t>
      </w:r>
      <w:bookmarkEnd w:id="321"/>
      <w:r/>
      <w:bookmarkEnd w:id="322"/>
      <w:r/>
      <w:bookmarkEnd w:id="323"/>
      <w:r/>
      <w:bookmarkEnd w:id="324"/>
      <w:r/>
      <w:bookmarkEnd w:id="325"/>
      <w:r/>
      <w:bookmarkEnd w:id="326"/>
      <w:r/>
      <w:bookmarkStart w:id="431" w:name="_Toc296891033"/>
      <w:r/>
      <w:bookmarkStart w:id="432" w:name="_Toc296944544"/>
      <w:r/>
      <w:bookmarkStart w:id="433" w:name="_Toc296891245"/>
      <w:r/>
      <w:bookmarkStart w:id="434" w:name="_Toc292559410"/>
      <w:r/>
      <w:bookmarkStart w:id="435" w:name="_Toc296347204"/>
      <w:r/>
      <w:bookmarkStart w:id="436" w:name="_Toc297120505"/>
      <w:r/>
      <w:bookmarkStart w:id="437" w:name="_Toc292559915"/>
      <w:r/>
      <w:bookmarkStart w:id="438" w:name="_Toc296346706"/>
      <w:r/>
      <w:bookmarkStart w:id="439" w:name="_Toc297048391"/>
      <w:r/>
      <w:bookmarkStart w:id="440" w:name="_Toc296503205"/>
      <w:r/>
      <w:bookmarkStart w:id="441" w:name="_Toc351203644"/>
      <w:r/>
      <w:bookmarkStart w:id="442" w:name="_Toc300935002"/>
      <w:r/>
      <w:bookmarkStart w:id="443" w:name="_Toc297216211"/>
      <w:r/>
      <w:bookmarkStart w:id="444" w:name="_Toc297123552"/>
      <w:r/>
      <w:bookmarkStart w:id="445" w:name="_Toc304295579"/>
      <w:r/>
      <w:bookmarkStart w:id="446" w:name="_Toc312678040"/>
      <w:r/>
      <w:bookmarkStart w:id="447" w:name="_Toc303539159"/>
      <w:r/>
      <w:r/>
    </w:p>
    <w:p>
      <w:pPr>
        <w:ind w:firstLine="422"/>
        <w:spacing w:line="440" w:lineRule="exact"/>
        <w:rPr>
          <w:rFonts w:hint="eastAsia" w:ascii="宋体" w:hAnsi="宋体" w:eastAsia="宋体" w:cs="宋体"/>
          <w:b/>
          <w:color w:val="auto"/>
          <w:szCs w:val="21"/>
        </w:rPr>
      </w:pPr>
      <w:r>
        <w:rPr>
          <w:rFonts w:hint="eastAsia" w:ascii="宋体" w:hAnsi="宋体" w:eastAsia="宋体" w:cs="宋体"/>
          <w:b/>
          <w:color w:val="auto"/>
          <w:szCs w:val="21"/>
        </w:rPr>
        <w:t xml:space="preserve">12. </w:t>
      </w:r>
      <w:bookmarkEnd w:id="431"/>
      <w:r/>
      <w:bookmarkEnd w:id="432"/>
      <w:r/>
      <w:bookmarkEnd w:id="433"/>
      <w:r/>
      <w:bookmarkEnd w:id="434"/>
      <w:r/>
      <w:bookmarkEnd w:id="435"/>
      <w:r/>
      <w:bookmarkEnd w:id="436"/>
      <w:r/>
      <w:bookmarkEnd w:id="437"/>
      <w:r/>
      <w:bookmarkEnd w:id="438"/>
      <w:r/>
      <w:bookmarkEnd w:id="439"/>
      <w:r/>
      <w:bookmarkEnd w:id="440"/>
      <w:r>
        <w:rPr>
          <w:rFonts w:hint="eastAsia" w:ascii="宋体" w:hAnsi="宋体" w:eastAsia="宋体" w:cs="宋体"/>
          <w:b/>
          <w:color w:val="auto"/>
          <w:szCs w:val="21"/>
        </w:rPr>
        <w:t xml:space="preserve">合同价格、计量与支付</w:t>
      </w:r>
      <w:bookmarkEnd w:id="441"/>
      <w:r/>
      <w:bookmarkEnd w:id="442"/>
      <w:r/>
      <w:bookmarkEnd w:id="443"/>
      <w:r/>
      <w:bookmarkEnd w:id="444"/>
      <w:r/>
      <w:bookmarkEnd w:id="445"/>
      <w:r/>
      <w:bookmarkEnd w:id="446"/>
      <w:r/>
      <w:bookmarkEnd w:id="447"/>
      <w:r/>
      <w:r/>
    </w:p>
    <w:p>
      <w:pPr>
        <w:ind w:firstLine="420"/>
        <w:spacing w:line="440" w:lineRule="exact"/>
        <w:rPr>
          <w:rFonts w:hint="eastAsia" w:ascii="宋体" w:hAnsi="宋体" w:eastAsia="宋体" w:cs="宋体"/>
          <w:color w:val="auto"/>
          <w:szCs w:val="21"/>
        </w:rPr>
      </w:pPr>
      <w:r/>
      <w:bookmarkStart w:id="448" w:name="_Toc292559916"/>
      <w:r/>
      <w:bookmarkStart w:id="449" w:name="_Toc292559411"/>
      <w:r/>
      <w:bookmarkStart w:id="450" w:name="_Toc267251461"/>
      <w:r/>
      <w:bookmarkStart w:id="451" w:name="_Toc296891246"/>
      <w:r/>
      <w:bookmarkStart w:id="452" w:name="_Toc296944545"/>
      <w:r/>
      <w:bookmarkStart w:id="453" w:name="_Toc297048392"/>
      <w:r/>
      <w:bookmarkStart w:id="454" w:name="_Toc296891034"/>
      <w:r/>
      <w:bookmarkStart w:id="455" w:name="_Toc296503206"/>
      <w:r/>
      <w:bookmarkStart w:id="456" w:name="_Toc297120506"/>
      <w:r/>
      <w:bookmarkStart w:id="457" w:name="_Toc296346707"/>
      <w:r/>
      <w:bookmarkStart w:id="458" w:name="_Toc296347205"/>
      <w:r/>
      <w:bookmarkStart w:id="459" w:name="_Toc297216212"/>
      <w:r/>
      <w:bookmarkStart w:id="460" w:name="_Toc300935003"/>
      <w:r/>
      <w:bookmarkStart w:id="461" w:name="_Toc312678041"/>
      <w:r/>
      <w:bookmarkStart w:id="462" w:name="_Toc297123553"/>
      <w:r/>
      <w:bookmarkStart w:id="463" w:name="_Toc303539160"/>
      <w:r/>
      <w:bookmarkStart w:id="464" w:name="_Toc304295580"/>
      <w:r>
        <w:rPr>
          <w:rFonts w:hint="eastAsia" w:ascii="宋体" w:hAnsi="宋体" w:eastAsia="宋体" w:cs="宋体"/>
          <w:color w:val="auto"/>
          <w:szCs w:val="21"/>
        </w:rPr>
        <w:t xml:space="preserve">12.1 合</w:t>
      </w:r>
      <w:bookmarkEnd w:id="448"/>
      <w:r/>
      <w:bookmarkEnd w:id="449"/>
      <w:r/>
      <w:bookmarkEnd w:id="450"/>
      <w:r>
        <w:rPr>
          <w:rFonts w:hint="eastAsia" w:ascii="宋体" w:hAnsi="宋体" w:eastAsia="宋体" w:cs="宋体"/>
          <w:color w:val="auto"/>
          <w:szCs w:val="21"/>
        </w:rPr>
        <w:t xml:space="preserve">同价</w:t>
      </w:r>
      <w:bookmarkEnd w:id="451"/>
      <w:r/>
      <w:bookmarkEnd w:id="452"/>
      <w:r/>
      <w:bookmarkEnd w:id="453"/>
      <w:r/>
      <w:bookmarkEnd w:id="454"/>
      <w:r/>
      <w:bookmarkEnd w:id="455"/>
      <w:r/>
      <w:bookmarkEnd w:id="456"/>
      <w:r/>
      <w:bookmarkEnd w:id="457"/>
      <w:r/>
      <w:bookmarkEnd w:id="458"/>
      <w:r>
        <w:rPr>
          <w:rFonts w:hint="eastAsia" w:ascii="宋体" w:hAnsi="宋体" w:eastAsia="宋体" w:cs="宋体"/>
          <w:color w:val="auto"/>
          <w:szCs w:val="21"/>
        </w:rPr>
        <w:t xml:space="preserve">格形式</w:t>
      </w:r>
      <w:bookmarkEnd w:id="459"/>
      <w:r/>
      <w:bookmarkEnd w:id="460"/>
      <w:r/>
      <w:bookmarkEnd w:id="461"/>
      <w:r/>
      <w:bookmarkEnd w:id="462"/>
      <w:r/>
      <w:bookmarkEnd w:id="463"/>
      <w:r/>
      <w:bookmarkEnd w:id="464"/>
      <w:r/>
      <w:r/>
    </w:p>
    <w:p>
      <w:pPr>
        <w:ind w:firstLine="420"/>
        <w:jc w:val="both"/>
        <w:spacing w:line="480" w:lineRule="exact"/>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1"/>
          <w:szCs w:val="21"/>
          <w:lang w:val="en-US" w:eastAsia="zh-CN" w:bidi="ar-SA"/>
        </w:rPr>
        <w:t xml:space="preserve">合同价格包含的风险范围：本合同价款采用固定单价的方式。该价格是工程量清单范围内所确定的招标范围内的全部工</w:t>
      </w:r>
      <w:r>
        <w:rPr>
          <w:rFonts w:hint="eastAsia" w:ascii="宋体" w:hAnsi="宋体" w:eastAsia="宋体" w:cs="宋体"/>
          <w:color w:val="auto"/>
          <w:sz w:val="21"/>
          <w:szCs w:val="21"/>
          <w:lang w:val="en-US" w:eastAsia="zh-CN" w:bidi="ar-SA"/>
        </w:rPr>
        <w:t xml:space="preserve">作内容的价格体现，并包括投标人技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专家评审费、税金和合同中包含的投标人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p>
    <w:p>
      <w:pPr>
        <w:ind w:firstLine="420"/>
        <w:spacing w:line="480" w:lineRule="exact"/>
        <w:tabs>
          <w:tab w:val="left" w:pos="0" w:leader="none"/>
          <w:tab w:val="left" w:pos="1134" w:leader="none"/>
        </w:tabs>
        <w:rPr>
          <w:rFonts w:hint="eastAsia" w:ascii="宋体" w:hAnsi="宋体" w:eastAsia="宋体" w:cs="宋体"/>
          <w:b/>
          <w:bCs/>
          <w:color w:val="auto"/>
          <w:szCs w:val="21"/>
        </w:rPr>
      </w:pPr>
      <w:r>
        <w:rPr>
          <w:rFonts w:hint="eastAsia" w:ascii="宋体" w:hAnsi="宋体" w:eastAsia="宋体" w:cs="宋体"/>
          <w:color w:val="auto"/>
          <w:szCs w:val="21"/>
        </w:rPr>
        <w:t xml:space="preserve">风险费用的计算方法：一律不予调整。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风险范围以外合同价格的调整方法：</w:t>
      </w:r>
      <w:r>
        <w:rPr>
          <w:rFonts w:hint="eastAsia" w:ascii="宋体" w:hAnsi="宋体" w:eastAsia="宋体" w:cs="宋体"/>
          <w:color w:val="auto"/>
          <w:szCs w:val="21"/>
          <w:u w:val="single"/>
        </w:rPr>
        <w:t xml:space="preserve">▲调整因素：</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⑴发包人批准的设计变更；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⑵施工合同条款约定或工程量清单范围之外其他可以调整的因素。</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▲调整方法：</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1、设计变更、变动后的子目或漏项的综合单价，按以下办法调整：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⑴工程量清单中已有工作内容和价格组成相同于变更子目或单项的综合单价时，按合同已有综合单价执行；</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⑵工程量清单中只有工作内容和价格组成类似于变更子目或单项的综合单价时，可以参照类似综合单价，由双方协商调整后确定变更的综合单价；</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⑶工程量清单中没有工作内容和价格组成相同或类似于变更子目或单项的综合单价时，由承包人按投标时的计价标准及投标费率编制变更综合单价报送发包人确定。</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（4）合同价格调整</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在下述情况发生后30日内，合同双方均有权将调整合同价格的原因及调整金额，以书面形式通知对方或监理人。经发包人确认的合理金额，作为合同价格的调整金额，并在支付当期工程进度款时支付或扣减调整的金额。一方收到另一方通知后15日内不予确认，也未能提出修改意见的，视为已经同意该项价格的调整。合同价格调整包括以下情况：</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（1）合同签订后，因法律、国家政策和需遵守的行业规定发生变化，影响到合同价格增减的；</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（2）合同执行过程中，工程造价管理部门公布的价格调整，涉及承包人投入成本增减的；</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（3）一周内非承包人原因的停水、停电、停气、道路中断等，造成工程现场停工累计超过8小时的（承包人须提交报告并提供可证实的证明和估算）；</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（4）合同约定的其它增减的款项调整。</w:t>
      </w:r>
      <w:r/>
    </w:p>
    <w:p>
      <w:pPr>
        <w:ind w:firstLine="420"/>
        <w:jc w:val="both"/>
        <w:spacing w:line="480" w:lineRule="exact"/>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color w:val="auto"/>
          <w:sz w:val="21"/>
          <w:szCs w:val="21"/>
          <w:u w:val="single"/>
          <w:lang w:val="en-US" w:eastAsia="zh-CN" w:bidi="ar-SA"/>
        </w:rPr>
        <w:t xml:space="preserve">对于合同中未约定的增减款项，发包人不承担调整合同价格的责任。除非法律另有规定时除外。合同价格的调整不包括合同变更。</w:t>
      </w:r>
      <w:r/>
    </w:p>
    <w:p>
      <w:pPr>
        <w:ind w:firstLine="420"/>
        <w:spacing w:line="440" w:lineRule="exact"/>
        <w:rPr>
          <w:rFonts w:hint="eastAsia" w:ascii="宋体" w:hAnsi="宋体" w:eastAsia="宋体" w:cs="宋体"/>
          <w:color w:val="auto"/>
          <w:szCs w:val="21"/>
        </w:rPr>
      </w:pPr>
      <w:r/>
      <w:bookmarkStart w:id="465" w:name="_Toc297216213"/>
      <w:r/>
      <w:bookmarkStart w:id="466" w:name="_Toc300935004"/>
      <w:r/>
      <w:bookmarkStart w:id="467" w:name="_Toc312678042"/>
      <w:r/>
      <w:bookmarkStart w:id="468" w:name="_Toc303539161"/>
      <w:r/>
      <w:bookmarkStart w:id="469" w:name="_Toc297123554"/>
      <w:r/>
      <w:bookmarkStart w:id="470" w:name="_Toc304295581"/>
      <w:r/>
      <w:bookmarkStart w:id="471" w:name="_Toc292559412"/>
      <w:r/>
      <w:bookmarkStart w:id="472" w:name="_Toc296891247"/>
      <w:r/>
      <w:bookmarkStart w:id="473" w:name="_Toc296944546"/>
      <w:r/>
      <w:bookmarkStart w:id="474" w:name="_Toc296891035"/>
      <w:r/>
      <w:bookmarkStart w:id="475" w:name="_Toc292559917"/>
      <w:r/>
      <w:bookmarkStart w:id="476" w:name="_Toc296503207"/>
      <w:r/>
      <w:bookmarkStart w:id="477" w:name="_Toc296347206"/>
      <w:r/>
      <w:bookmarkStart w:id="478" w:name="_Toc297048393"/>
      <w:r/>
      <w:bookmarkStart w:id="479" w:name="_Toc296346708"/>
      <w:r/>
      <w:bookmarkStart w:id="480" w:name="_Toc297120507"/>
      <w:r>
        <w:rPr>
          <w:rFonts w:hint="eastAsia" w:ascii="宋体" w:hAnsi="宋体" w:eastAsia="宋体" w:cs="宋体"/>
          <w:color w:val="auto"/>
          <w:szCs w:val="21"/>
        </w:rPr>
        <w:t xml:space="preserve">12.2 预付款</w:t>
      </w:r>
      <w:bookmarkEnd w:id="465"/>
      <w:r/>
      <w:bookmarkEnd w:id="466"/>
      <w:r/>
      <w:bookmarkEnd w:id="467"/>
      <w:r/>
      <w:bookmarkEnd w:id="468"/>
      <w:r/>
      <w:bookmarkEnd w:id="469"/>
      <w:r/>
      <w:bookmarkEnd w:id="47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rPr>
        <w:t xml:space="preserve">12</w:t>
      </w:r>
      <w:r>
        <w:rPr>
          <w:rFonts w:hint="eastAsia" w:ascii="宋体" w:hAnsi="宋体" w:eastAsia="宋体" w:cs="宋体"/>
          <w:color w:val="auto"/>
          <w:szCs w:val="21"/>
          <w:highlight w:val="none"/>
        </w:rPr>
        <w:t xml:space="preserve">.2.1 预付款的支付</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 按合同价</w:t>
      </w:r>
      <w:r>
        <w:rPr>
          <w:rFonts w:hint="eastAsia" w:ascii="宋体" w:hAnsi="宋体" w:eastAsia="宋体" w:cs="宋体"/>
          <w:color w:val="auto"/>
          <w:sz w:val="21"/>
          <w:szCs w:val="21"/>
          <w:highlight w:val="none"/>
          <w:u w:val="single"/>
        </w:rPr>
        <w:t xml:space="preserve">（扣除暂列金）</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rPr>
        <w:t xml:space="preserve">0%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施工单位进场后一周内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 预付款担保</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bookmarkEnd w:id="471"/>
      <w:r/>
      <w:bookmarkEnd w:id="472"/>
      <w:r/>
      <w:bookmarkEnd w:id="473"/>
      <w:r/>
      <w:bookmarkEnd w:id="474"/>
      <w:r/>
      <w:bookmarkEnd w:id="475"/>
      <w:r/>
      <w:bookmarkEnd w:id="476"/>
      <w:r/>
      <w:bookmarkEnd w:id="477"/>
      <w:r/>
      <w:bookmarkEnd w:id="478"/>
      <w:r/>
      <w:bookmarkEnd w:id="479"/>
      <w:r/>
      <w:bookmarkEnd w:id="48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 计量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 计量原则</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 计量周期</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关于计量周期的约定：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12.3.3 单价合同的计量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关于单价合同计量的约定：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12.3.4 总价合同的计量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关于总价合同计量的约定：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12.3.5总价合同采用支付分解表计量支付的，是否适用第12.3.4 项〔总价合同的计量〕约定进行计量：</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12.3.6 其他价格形式合同的计量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其他价格形式的计量方式和程序：</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12.4 工程进度款支付</w:t>
      </w:r>
      <w:r/>
    </w:p>
    <w:p>
      <w:pPr>
        <w:ind w:firstLine="420"/>
        <w:spacing w:line="440" w:lineRule="exact"/>
        <w:rPr>
          <w:rFonts w:hint="eastAsia" w:ascii="宋体" w:hAnsi="宋体" w:eastAsia="宋体" w:cs="宋体"/>
          <w:b/>
          <w:bCs/>
          <w:color w:val="auto"/>
          <w:szCs w:val="21"/>
          <w:highlight w:val="none"/>
        </w:rPr>
      </w:pPr>
      <w:r/>
      <w:bookmarkStart w:id="481" w:name="_Toc300935006"/>
      <w:r/>
      <w:bookmarkStart w:id="482" w:name="_Toc297048397"/>
      <w:r/>
      <w:bookmarkStart w:id="483" w:name="_Toc296503211"/>
      <w:r/>
      <w:bookmarkStart w:id="484" w:name="_Toc296346712"/>
      <w:r/>
      <w:bookmarkStart w:id="485" w:name="_Toc303539163"/>
      <w:r/>
      <w:bookmarkStart w:id="486" w:name="_Toc296347210"/>
      <w:r/>
      <w:bookmarkStart w:id="487" w:name="_Toc296891251"/>
      <w:r/>
      <w:bookmarkStart w:id="488" w:name="_Toc292559416"/>
      <w:r/>
      <w:bookmarkStart w:id="489" w:name="_Toc297123556"/>
      <w:r/>
      <w:bookmarkStart w:id="490" w:name="_Toc292559921"/>
      <w:r/>
      <w:bookmarkStart w:id="491" w:name="_Toc297120511"/>
      <w:r/>
      <w:bookmarkStart w:id="492" w:name="_Toc296891039"/>
      <w:r/>
      <w:bookmarkStart w:id="493" w:name="_Toc297216215"/>
      <w:r/>
      <w:bookmarkStart w:id="494" w:name="_Toc296944550"/>
      <w:r>
        <w:rPr>
          <w:rFonts w:hint="eastAsia" w:ascii="宋体" w:hAnsi="宋体" w:eastAsia="宋体" w:cs="宋体"/>
          <w:color w:val="auto"/>
          <w:szCs w:val="21"/>
          <w:highlight w:val="none"/>
        </w:rPr>
        <w:t xml:space="preserve">12.4.1 </w:t>
      </w:r>
      <w:r>
        <w:rPr>
          <w:rFonts w:hint="eastAsia" w:ascii="宋体" w:hAnsi="宋体" w:eastAsia="宋体" w:cs="宋体"/>
          <w:b/>
          <w:bCs/>
          <w:color w:val="auto"/>
          <w:szCs w:val="21"/>
          <w:highlight w:val="none"/>
        </w:rPr>
        <w:t xml:space="preserve">付款周期</w:t>
      </w:r>
      <w:r/>
    </w:p>
    <w:p>
      <w:pPr>
        <w:ind w:firstLine="422"/>
        <w:spacing w:line="440" w:lineRule="exact"/>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 xml:space="preserve">关于付款周期的约定：</w:t>
      </w:r>
      <w:r/>
    </w:p>
    <w:p>
      <w:pPr>
        <w:ind w:firstLine="420"/>
        <w:spacing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eastAsia="zh-CN"/>
        </w:rPr>
        <w:t xml:space="preserve">（1）工程合同签订、承包人人员机械进场后，由承包人提出申请并按要求办理相关手续后，发包人支付合同价（不含甲供材款、暂估价、暂列金额及其相关费用）的</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lang w:eastAsia="zh-CN"/>
        </w:rPr>
        <w:t xml:space="preserve">%作为工程预付款；</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工程完工经监理人确认工程量报告，并通过发包人验收合格后，付至合同价</w:t>
      </w:r>
      <w:r>
        <w:rPr>
          <w:rFonts w:hint="eastAsia" w:ascii="宋体" w:hAnsi="宋体" w:eastAsia="宋体" w:cs="宋体"/>
          <w:color w:val="auto"/>
          <w:sz w:val="21"/>
          <w:szCs w:val="21"/>
          <w:highlight w:val="none"/>
          <w:u w:val="single"/>
        </w:rPr>
        <w:t xml:space="preserve">（扣除暂列金）</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rPr>
        <w:t xml:space="preserve">0%；</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rPr>
        <w:t xml:space="preserve">）工程决算审计后，</w:t>
      </w:r>
      <w:r>
        <w:rPr>
          <w:rFonts w:hint="eastAsia" w:ascii="宋体" w:hAnsi="宋体" w:eastAsia="宋体" w:cs="宋体"/>
          <w:color w:val="auto"/>
          <w:szCs w:val="21"/>
          <w:highlight w:val="none"/>
          <w:u w:val="single"/>
          <w:lang w:val="en-US" w:eastAsia="zh-CN"/>
        </w:rPr>
        <w:t xml:space="preserve">承包人出具审定价3%的质保函</w:t>
      </w:r>
      <w:r>
        <w:rPr>
          <w:rFonts w:hint="eastAsia" w:ascii="宋体" w:hAnsi="宋体" w:eastAsia="宋体" w:cs="宋体"/>
          <w:color w:val="auto"/>
          <w:szCs w:val="21"/>
          <w:highlight w:val="none"/>
          <w:u w:val="single"/>
        </w:rPr>
        <w:t xml:space="preserve">，发包人支付至审定价的</w:t>
      </w:r>
      <w:r>
        <w:rPr>
          <w:rFonts w:hint="eastAsia" w:ascii="宋体" w:hAnsi="宋体" w:eastAsia="宋体" w:cs="宋体"/>
          <w:color w:val="auto"/>
          <w:szCs w:val="21"/>
          <w:highlight w:val="none"/>
          <w:u w:val="single"/>
          <w:lang w:val="en-US" w:eastAsia="zh-CN"/>
        </w:rPr>
        <w:t xml:space="preserve">100</w:t>
      </w:r>
      <w:r>
        <w:rPr>
          <w:rFonts w:hint="eastAsia" w:ascii="宋体" w:hAnsi="宋体" w:eastAsia="宋体" w:cs="宋体"/>
          <w:color w:val="auto"/>
          <w:szCs w:val="21"/>
          <w:highlight w:val="none"/>
          <w:u w:val="single"/>
        </w:rPr>
        <w:t xml:space="preserve">%；</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承包人出具的审定价3%的质保函</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保证期限应与缺陷责任期一致。</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发包人支付给承包人的工程预付款及进度款，承包人只能用本工程有关的劳力、材料、机械等费用。发包人有权对承包人工程款的使用进行监督，如工程预付款及进度款用于支付与本工程无关的费用，发包人有权立即停止付款。</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发包人</w:t>
      </w:r>
      <w:r>
        <w:rPr>
          <w:rFonts w:hint="eastAsia" w:ascii="宋体" w:hAnsi="宋体" w:eastAsia="宋体" w:cs="宋体"/>
          <w:color w:val="auto"/>
          <w:szCs w:val="21"/>
          <w:highlight w:val="none"/>
          <w:u w:val="single"/>
        </w:rPr>
        <w:t xml:space="preserve">有权根据工程进度调整进度款付款的比例。</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12.4.2 进度付款申请单的编制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关于进度付款申请单编制的约定：</w:t>
      </w:r>
      <w:r>
        <w:rPr>
          <w:rFonts w:hint="eastAsia" w:ascii="宋体" w:hAnsi="宋体" w:eastAsia="宋体" w:cs="宋体"/>
          <w:color w:val="auto"/>
          <w:szCs w:val="21"/>
          <w:highlight w:val="none"/>
          <w:u w:val="single"/>
        </w:rPr>
        <w:t xml:space="preserve">由承包人提交，经</w:t>
      </w:r>
      <w:r>
        <w:rPr>
          <w:rFonts w:hint="eastAsia" w:ascii="宋体" w:hAnsi="宋体" w:eastAsia="宋体" w:cs="宋体"/>
          <w:color w:val="auto"/>
          <w:szCs w:val="21"/>
          <w:highlight w:val="none"/>
          <w:u w:val="single"/>
          <w:lang w:val="en-US" w:eastAsia="zh-CN"/>
        </w:rPr>
        <w:t xml:space="preserve">监理</w:t>
      </w:r>
      <w:r>
        <w:rPr>
          <w:rFonts w:hint="eastAsia" w:ascii="宋体" w:hAnsi="宋体" w:eastAsia="宋体" w:cs="宋体"/>
          <w:color w:val="auto"/>
          <w:szCs w:val="21"/>
          <w:highlight w:val="none"/>
          <w:u w:val="single"/>
        </w:rPr>
        <w:t xml:space="preserve">确认</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宋体"/>
          <w:color w:val="auto"/>
          <w:szCs w:val="21"/>
          <w:highlight w:val="none"/>
        </w:rPr>
        <w:t xml:space="preserve">2.4.3 进度付款申请单的提交</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（1）单价合同进度付款申请单提交的约定：</w:t>
      </w:r>
      <w:r>
        <w:rPr>
          <w:rFonts w:hint="eastAsia" w:ascii="宋体" w:hAnsi="宋体" w:eastAsia="宋体" w:cs="宋体"/>
          <w:color w:val="auto"/>
          <w:szCs w:val="21"/>
          <w:u w:val="single"/>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（2）总价合同进度付款申请单提交的约定：</w:t>
      </w:r>
      <w:r>
        <w:rPr>
          <w:rFonts w:hint="eastAsia" w:ascii="宋体" w:hAnsi="宋体" w:eastAsia="宋体" w:cs="宋体"/>
          <w:color w:val="auto"/>
          <w:szCs w:val="21"/>
          <w:u w:val="single"/>
        </w:rPr>
        <w:t xml:space="preserve">按照发包人要求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（3）其他价格形式合同进度付款申请单提交的约定：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12.4.4 进度款审核和支付</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（1）监理人审查并报送发包人的期限：</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发包人完成审批并签发进度款支付证书的期限：</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（2）发包人支付进度款的期限：</w:t>
      </w:r>
      <w:r>
        <w:rPr>
          <w:rFonts w:hint="eastAsia" w:ascii="宋体" w:hAnsi="宋体" w:eastAsia="宋体" w:cs="宋体"/>
          <w:color w:val="auto"/>
          <w:szCs w:val="21"/>
          <w:u w:val="single"/>
        </w:rPr>
        <w:t xml:space="preserve">收到完整资料后14天内</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发包人逾期支付进度款的违约金的计算方式：</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12.4.6 支付分解表的编制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总价合同支付分解表的编制与审批：</w:t>
      </w:r>
      <w:r>
        <w:rPr>
          <w:rFonts w:hint="eastAsia" w:ascii="宋体" w:hAnsi="宋体" w:eastAsia="宋体" w:cs="宋体"/>
          <w:color w:val="auto"/>
          <w:szCs w:val="21"/>
          <w:u w:val="single"/>
        </w:rPr>
        <w:t xml:space="preserve">按照通用条款执行</w:t>
      </w:r>
      <w:r>
        <w:rPr>
          <w:rFonts w:hint="eastAsia" w:ascii="宋体" w:hAnsi="宋体" w:eastAsia="宋体" w:cs="宋体"/>
          <w:color w:val="auto"/>
          <w:szCs w:val="21"/>
        </w:rPr>
        <w:t xml:space="preserve">。</w:t>
      </w:r>
      <w:r/>
    </w:p>
    <w:p>
      <w:pPr>
        <w:ind w:firstLine="420"/>
        <w:jc w:val="left"/>
        <w:spacing w:line="44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单价合同的总价项目支付分解表的编制与审批：</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bookmarkEnd w:id="327"/>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495" w:name="_Toc351203645"/>
      <w:r/>
      <w:bookmarkStart w:id="496" w:name="_Toc292559929"/>
      <w:r/>
      <w:bookmarkStart w:id="497" w:name="_Toc296891047"/>
      <w:r/>
      <w:bookmarkStart w:id="498" w:name="_Toc304295593"/>
      <w:r/>
      <w:bookmarkStart w:id="499" w:name="_Toc297048405"/>
      <w:r/>
      <w:bookmarkStart w:id="500" w:name="_Toc296347218"/>
      <w:r/>
      <w:bookmarkStart w:id="501" w:name="_Toc300935015"/>
      <w:r/>
      <w:bookmarkStart w:id="502" w:name="_Toc296346720"/>
      <w:r/>
      <w:bookmarkStart w:id="503" w:name="_Toc292559424"/>
      <w:r/>
      <w:bookmarkStart w:id="504" w:name="_Toc296891259"/>
      <w:r/>
      <w:bookmarkStart w:id="505" w:name="_Toc303539172"/>
      <w:r/>
      <w:bookmarkStart w:id="506" w:name="_Toc297216223"/>
      <w:r/>
      <w:bookmarkStart w:id="507" w:name="_Toc297120519"/>
      <w:r/>
      <w:bookmarkStart w:id="508" w:name="_Toc296944558"/>
      <w:r/>
      <w:bookmarkStart w:id="509" w:name="_Toc312678053"/>
      <w:r/>
      <w:bookmarkStart w:id="510" w:name="_Toc297123564"/>
      <w:r/>
      <w:bookmarkStart w:id="511" w:name="_Toc296503219"/>
      <w:r>
        <w:rPr>
          <w:rFonts w:hint="eastAsia" w:ascii="宋体" w:hAnsi="宋体" w:eastAsia="宋体" w:cs="宋体"/>
          <w:b w:val="0"/>
          <w:bCs/>
          <w:color w:val="auto"/>
          <w:sz w:val="21"/>
          <w:szCs w:val="21"/>
          <w:lang w:val="en-US" w:eastAsia="zh-CN" w:bidi="ar-SA"/>
        </w:rPr>
        <w:t xml:space="preserve">13. 验收和工程试车</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13.1 分部分项工程验收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13.1.2发包人不能按时进行验收时，应提前</w:t>
      </w:r>
      <w:r>
        <w:rPr>
          <w:rFonts w:hint="eastAsia" w:ascii="宋体" w:hAnsi="宋体" w:eastAsia="宋体" w:cs="宋体"/>
          <w:color w:val="auto"/>
          <w:szCs w:val="21"/>
          <w:u w:val="single"/>
        </w:rPr>
        <w:t xml:space="preserve">24</w:t>
      </w:r>
      <w:r>
        <w:rPr>
          <w:rFonts w:hint="eastAsia" w:ascii="宋体" w:hAnsi="宋体" w:eastAsia="宋体" w:cs="宋体"/>
          <w:color w:val="auto"/>
          <w:szCs w:val="21"/>
        </w:rPr>
        <w:t xml:space="preserve">小时通知。</w:t>
      </w:r>
      <w:r/>
    </w:p>
    <w:p>
      <w:pPr>
        <w:ind w:firstLine="420"/>
        <w:spacing w:line="440" w:lineRule="exact"/>
        <w:rPr>
          <w:rFonts w:hint="eastAsia" w:ascii="宋体" w:hAnsi="宋体" w:eastAsia="宋体" w:cs="宋体"/>
          <w:b/>
          <w:color w:val="auto"/>
          <w:szCs w:val="21"/>
        </w:rPr>
      </w:pPr>
      <w:r>
        <w:rPr>
          <w:rFonts w:hint="eastAsia" w:ascii="宋体" w:hAnsi="宋体" w:eastAsia="宋体" w:cs="宋体"/>
          <w:color w:val="auto"/>
          <w:szCs w:val="21"/>
        </w:rPr>
        <w:t xml:space="preserve">关于延期最长不得超过：</w:t>
      </w:r>
      <w:r>
        <w:rPr>
          <w:rFonts w:hint="eastAsia" w:ascii="宋体" w:hAnsi="宋体" w:eastAsia="宋体" w:cs="宋体"/>
          <w:color w:val="auto"/>
          <w:szCs w:val="21"/>
          <w:u w:val="single"/>
        </w:rPr>
        <w:t xml:space="preserve">48</w:t>
      </w:r>
      <w:r>
        <w:rPr>
          <w:rFonts w:hint="eastAsia" w:ascii="宋体" w:hAnsi="宋体" w:eastAsia="宋体" w:cs="宋体"/>
          <w:color w:val="auto"/>
          <w:szCs w:val="21"/>
        </w:rPr>
        <w:t xml:space="preserve">小时。</w:t>
      </w:r>
      <w:r/>
    </w:p>
    <w:p>
      <w:pPr>
        <w:ind w:firstLine="420"/>
        <w:spacing w:line="440" w:lineRule="exact"/>
        <w:rPr>
          <w:rFonts w:hint="eastAsia" w:ascii="宋体" w:hAnsi="宋体" w:eastAsia="宋体" w:cs="宋体"/>
          <w:color w:val="auto"/>
          <w:szCs w:val="21"/>
        </w:rPr>
      </w:pPr>
      <w:r/>
      <w:bookmarkStart w:id="512" w:name="_Toc292559933"/>
      <w:r/>
      <w:bookmarkStart w:id="513" w:name="_Toc297123565"/>
      <w:r/>
      <w:bookmarkStart w:id="514" w:name="_Toc300935016"/>
      <w:r/>
      <w:bookmarkStart w:id="515" w:name="_Toc297120523"/>
      <w:r/>
      <w:bookmarkStart w:id="516" w:name="_Toc296944562"/>
      <w:r/>
      <w:bookmarkStart w:id="517" w:name="_Toc292559428"/>
      <w:r/>
      <w:bookmarkStart w:id="518" w:name="_Toc297048409"/>
      <w:r/>
      <w:bookmarkStart w:id="519" w:name="_Toc303539173"/>
      <w:r/>
      <w:bookmarkStart w:id="520" w:name="_Toc312678056"/>
      <w:r/>
      <w:bookmarkStart w:id="521" w:name="_Toc297216224"/>
      <w:r/>
      <w:bookmarkStart w:id="522" w:name="_Toc296891263"/>
      <w:r/>
      <w:bookmarkStart w:id="523" w:name="_Toc296503223"/>
      <w:r/>
      <w:bookmarkStart w:id="524" w:name="_Toc296346724"/>
      <w:r/>
      <w:bookmarkStart w:id="525" w:name="_Toc304295596"/>
      <w:r/>
      <w:bookmarkStart w:id="526" w:name="_Toc296347222"/>
      <w:r/>
      <w:bookmarkStart w:id="527" w:name="_Toc296891051"/>
      <w:r/>
      <w:bookmarkStart w:id="528" w:name="_Toc267251471"/>
      <w:r/>
      <w:bookmarkStart w:id="529" w:name="_Toc267251474"/>
      <w:r/>
      <w:bookmarkStart w:id="530" w:name="_Toc267251475"/>
      <w:r/>
      <w:bookmarkStart w:id="531" w:name="_Toc267251476"/>
      <w:r/>
      <w:bookmarkStart w:id="532" w:name="_Toc267251470"/>
      <w:r/>
      <w:bookmarkStart w:id="533" w:name="_Toc267251473"/>
      <w:r/>
      <w:bookmarkStart w:id="534" w:name="_Toc267251472"/>
      <w:r>
        <w:rPr>
          <w:rFonts w:hint="eastAsia" w:ascii="宋体" w:hAnsi="宋体" w:eastAsia="宋体" w:cs="宋体"/>
          <w:color w:val="auto"/>
          <w:szCs w:val="21"/>
        </w:rPr>
        <w:t xml:space="preserve">13.2 竣工验收</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0"/>
        <w:spacing w:line="440" w:lineRule="exact"/>
        <w:rPr>
          <w:rFonts w:hint="eastAsia" w:ascii="宋体" w:hAnsi="宋体" w:eastAsia="宋体" w:cs="宋体"/>
          <w:color w:val="auto"/>
          <w:szCs w:val="21"/>
        </w:rPr>
      </w:pPr>
      <w:r/>
      <w:bookmarkStart w:id="535" w:name="_Toc280868704"/>
      <w:r/>
      <w:bookmarkStart w:id="536" w:name="_Toc280868705"/>
      <w:r/>
      <w:bookmarkStart w:id="537" w:name="_Toc280868706"/>
      <w:r/>
      <w:bookmarkStart w:id="538" w:name="_Toc280868707"/>
      <w:r/>
      <w:bookmarkStart w:id="539" w:name="_Toc280868708"/>
      <w:r/>
      <w:bookmarkStart w:id="540" w:name="_Toc280868709"/>
      <w:r>
        <w:rPr>
          <w:rFonts w:hint="eastAsia" w:ascii="宋体" w:hAnsi="宋体" w:eastAsia="宋体" w:cs="宋体"/>
          <w:color w:val="auto"/>
          <w:szCs w:val="21"/>
        </w:rPr>
        <w:t xml:space="preserve">13.2.2竣工验收程序</w:t>
      </w:r>
      <w:bookmarkEnd w:id="53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关于竣工验收程序的约定：</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发包人不按照本项约定组织竣工验收、颁发工程接收证书的违约金的计算方法：</w:t>
      </w:r>
      <w:r>
        <w:rPr>
          <w:rFonts w:hint="eastAsia" w:ascii="宋体" w:hAnsi="宋体" w:eastAsia="宋体" w:cs="宋体"/>
          <w:color w:val="auto"/>
          <w:szCs w:val="21"/>
          <w:u w:val="single"/>
        </w:rPr>
        <w:t xml:space="preserve">双方另行协商</w:t>
      </w:r>
      <w:r>
        <w:rPr>
          <w:rFonts w:hint="eastAsia" w:ascii="宋体" w:hAnsi="宋体" w:eastAsia="宋体" w:cs="宋体"/>
          <w:color w:val="auto"/>
          <w:szCs w:val="21"/>
        </w:rPr>
        <w:t xml:space="preserve">。</w:t>
      </w:r>
      <w:bookmarkEnd w:id="536"/>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13.2.5移交、接收全部与部分工程</w:t>
      </w:r>
      <w:bookmarkEnd w:id="537"/>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承包人向发包人移交工程的期限：</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发包人未按本合同约定接收全部或部分工程的，违约金的计算方法为：</w:t>
      </w:r>
      <w:r>
        <w:rPr>
          <w:rFonts w:hint="eastAsia" w:ascii="宋体" w:hAnsi="宋体" w:eastAsia="宋体" w:cs="宋体"/>
          <w:color w:val="auto"/>
          <w:szCs w:val="21"/>
          <w:u w:val="single"/>
        </w:rPr>
        <w:t xml:space="preserve">双方另行协商</w:t>
      </w:r>
      <w:r>
        <w:rPr>
          <w:rFonts w:hint="eastAsia" w:ascii="宋体" w:hAnsi="宋体" w:eastAsia="宋体" w:cs="宋体"/>
          <w:color w:val="auto"/>
          <w:szCs w:val="21"/>
        </w:rPr>
        <w:t xml:space="preserve">。</w:t>
      </w:r>
      <w:bookmarkEnd w:id="538"/>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承包人未按时移交工程的，违约金的计算方法为：</w:t>
      </w:r>
      <w:r>
        <w:rPr>
          <w:rFonts w:hint="eastAsia" w:ascii="宋体" w:hAnsi="宋体" w:eastAsia="宋体" w:cs="宋体"/>
          <w:color w:val="auto"/>
          <w:szCs w:val="21"/>
          <w:u w:val="single"/>
        </w:rPr>
        <w:t xml:space="preserve">承包人不能及时拆除或清理，对于占用的范围发包人将收取1000元/天的租金，发包人有权派人强行拆除并清理，造成的费用和损失由承包人承担，直接从应付的工程款中扣除</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13.3 工程试车</w:t>
      </w:r>
      <w:bookmarkEnd w:id="539"/>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13.3.1 试车程序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工程试车内容：</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（1）单机无负荷试车费用由</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承担；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（2）无负荷联动试车费用由</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承担。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13.3.3 投料试车</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关于投料试车相关事项的约定：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13.6 竣工退场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13.6.1 竣工退场</w:t>
      </w:r>
      <w:r/>
    </w:p>
    <w:p>
      <w:pPr>
        <w:ind w:firstLine="420"/>
        <w:rPr>
          <w:rFonts w:hint="eastAsia" w:ascii="宋体" w:hAnsi="宋体" w:eastAsia="宋体" w:cs="宋体"/>
          <w:color w:val="auto"/>
          <w:szCs w:val="21"/>
        </w:rPr>
      </w:pPr>
      <w:r>
        <w:rPr>
          <w:rFonts w:hint="eastAsia" w:ascii="宋体" w:hAnsi="宋体" w:eastAsia="宋体" w:cs="宋体"/>
          <w:color w:val="auto"/>
          <w:szCs w:val="21"/>
        </w:rPr>
        <w:t xml:space="preserve">承包人完成竣工退场的期限：</w:t>
      </w:r>
      <w:r>
        <w:rPr>
          <w:rFonts w:hint="eastAsia" w:ascii="宋体" w:hAnsi="宋体" w:eastAsia="宋体" w:cs="宋体"/>
          <w:color w:val="auto"/>
          <w:szCs w:val="21"/>
          <w:u w:val="single"/>
        </w:rPr>
        <w:t xml:space="preserve">工程结束后14日内，全部设备、材料退场，清除场地垃圾及附属设施退场。如还有余留垃圾，发包人将组织自行清理，费用在尾款中扣除 </w:t>
      </w:r>
      <w:r>
        <w:rPr>
          <w:rFonts w:hint="eastAsia" w:ascii="宋体" w:hAnsi="宋体" w:eastAsia="宋体" w:cs="宋体"/>
          <w:color w:val="auto"/>
          <w:szCs w:val="21"/>
        </w:rPr>
        <w:t xml:space="preserve">。</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41" w:name="_Toc351203646"/>
      <w:r>
        <w:rPr>
          <w:rFonts w:hint="eastAsia" w:ascii="宋体" w:hAnsi="宋体" w:eastAsia="宋体" w:cs="宋体"/>
          <w:b w:val="0"/>
          <w:bCs/>
          <w:color w:val="auto"/>
          <w:sz w:val="21"/>
          <w:szCs w:val="21"/>
          <w:lang w:val="en-US" w:eastAsia="zh-CN" w:bidi="ar-SA"/>
        </w:rPr>
        <w:t xml:space="preserve">14. 竣工结算</w:t>
      </w:r>
      <w:bookmarkEnd w:id="541"/>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14.1 竣工付款申请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承包人提交竣工付款申请单的期限：</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竣工付款申请单应包括的内容：</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14.2 竣工结算审核</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发包人审批竣工付款申请单的期限：</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发包人完成竣工付款的期限：</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关于竣工付款证书异议部分复核的方式和程序：</w:t>
      </w:r>
      <w:r>
        <w:rPr>
          <w:rFonts w:hint="eastAsia" w:ascii="宋体" w:hAnsi="宋体" w:eastAsia="宋体" w:cs="宋体"/>
          <w:color w:val="auto"/>
          <w:szCs w:val="21"/>
          <w:u w:val="single"/>
        </w:rPr>
        <w:t xml:space="preserve">1、承包人对发包人颁发的最终结清证书有异议的，按通用条款第20条〔争议解决〕的约定办理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14.4 最终结清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14.4.1 最终结清申请单</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承包人提交最终结清申请单的份数：</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承包人提交最终结算申请单的期限：</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14.4.2 最终结清证书和支付</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（1）发包人完成最终结清申请单的审批并颁发最终结清证书的期限：</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（2）发包人完成支付的期限：</w:t>
      </w:r>
      <w:r>
        <w:rPr>
          <w:rFonts w:hint="eastAsia" w:ascii="宋体" w:hAnsi="宋体" w:eastAsia="宋体" w:cs="宋体"/>
          <w:color w:val="auto"/>
          <w:szCs w:val="21"/>
          <w:u w:val="single"/>
        </w:rPr>
        <w:t xml:space="preserve">按照发包人的要求</w:t>
      </w:r>
      <w:r>
        <w:rPr>
          <w:rFonts w:hint="eastAsia" w:ascii="宋体" w:hAnsi="宋体" w:eastAsia="宋体" w:cs="宋体"/>
          <w:color w:val="auto"/>
          <w:szCs w:val="21"/>
        </w:rPr>
        <w:t xml:space="preserve">。</w:t>
      </w:r>
      <w:bookmarkEnd w:id="528"/>
      <w:r/>
      <w:bookmarkEnd w:id="529"/>
      <w:r/>
      <w:bookmarkEnd w:id="530"/>
      <w:r/>
      <w:bookmarkEnd w:id="531"/>
      <w:r/>
      <w:bookmarkEnd w:id="532"/>
      <w:r/>
      <w:bookmarkEnd w:id="533"/>
      <w:r/>
      <w:bookmarkEnd w:id="534"/>
      <w:r/>
      <w:bookmarkEnd w:id="540"/>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42" w:name="_Toc351203647"/>
      <w:r/>
      <w:bookmarkStart w:id="543" w:name="_Toc267251483"/>
      <w:r/>
      <w:bookmarkStart w:id="544" w:name="_Toc267251484"/>
      <w:r/>
      <w:bookmarkStart w:id="545" w:name="_Toc267251482"/>
      <w:r/>
      <w:bookmarkStart w:id="546" w:name="_Toc267251485"/>
      <w:r/>
      <w:bookmarkStart w:id="547" w:name="_Toc267251489"/>
      <w:r/>
      <w:bookmarkStart w:id="548" w:name="_Toc267251486"/>
      <w:r/>
      <w:bookmarkStart w:id="549" w:name="_Toc267251490"/>
      <w:r/>
      <w:bookmarkStart w:id="550" w:name="_Toc267251488"/>
      <w:r/>
      <w:bookmarkStart w:id="551" w:name="_Toc267251497"/>
      <w:r/>
      <w:bookmarkStart w:id="552" w:name="_Toc267251491"/>
      <w:r/>
      <w:bookmarkStart w:id="553" w:name="_Toc267251499"/>
      <w:r/>
      <w:bookmarkStart w:id="554" w:name="_Toc267251503"/>
      <w:r/>
      <w:bookmarkStart w:id="555" w:name="_Toc267251492"/>
      <w:r/>
      <w:bookmarkStart w:id="556" w:name="_Toc267251496"/>
      <w:r/>
      <w:bookmarkStart w:id="557" w:name="_Toc267251493"/>
      <w:r/>
      <w:bookmarkStart w:id="558" w:name="_Toc267251502"/>
      <w:r/>
      <w:bookmarkStart w:id="559" w:name="_Toc267251494"/>
      <w:r/>
      <w:bookmarkStart w:id="560" w:name="_Toc267251495"/>
      <w:r/>
      <w:bookmarkStart w:id="561" w:name="_Toc267251501"/>
      <w:r/>
      <w:bookmarkStart w:id="562" w:name="_Toc267251498"/>
      <w:r/>
      <w:bookmarkStart w:id="563" w:name="_Toc267251506"/>
      <w:r/>
      <w:bookmarkStart w:id="564" w:name="_Toc267251504"/>
      <w:r/>
      <w:bookmarkStart w:id="565" w:name="_Toc267251507"/>
      <w:r/>
      <w:bookmarkStart w:id="566" w:name="_Toc267251508"/>
      <w:r/>
      <w:bookmarkStart w:id="567" w:name="_Toc267251509"/>
      <w:r/>
      <w:bookmarkStart w:id="568" w:name="_Toc267251510"/>
      <w:r/>
      <w:bookmarkStart w:id="569" w:name="_Toc267251515"/>
      <w:r/>
      <w:bookmarkStart w:id="570" w:name="_Toc267251513"/>
      <w:r/>
      <w:bookmarkStart w:id="571" w:name="_Toc267251514"/>
      <w:r/>
      <w:bookmarkStart w:id="572" w:name="_Toc267251511"/>
      <w:r>
        <w:rPr>
          <w:rFonts w:hint="eastAsia" w:ascii="宋体" w:hAnsi="宋体" w:eastAsia="宋体" w:cs="宋体"/>
          <w:b w:val="0"/>
          <w:bCs/>
          <w:color w:val="auto"/>
          <w:sz w:val="21"/>
          <w:szCs w:val="21"/>
          <w:lang w:val="en-US" w:eastAsia="zh-CN" w:bidi="ar-SA"/>
        </w:rPr>
        <w:t xml:space="preserve">15. 缺陷责任期与保修</w:t>
      </w:r>
      <w:bookmarkEnd w:id="542"/>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15.2缺陷责任期</w:t>
      </w:r>
      <w:bookmarkEnd w:id="543"/>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缺陷责任期的具体期限：</w:t>
      </w:r>
      <w:r>
        <w:rPr>
          <w:rFonts w:hint="eastAsia" w:ascii="宋体" w:hAnsi="宋体" w:eastAsia="宋体" w:cs="宋体"/>
          <w:color w:val="auto"/>
          <w:szCs w:val="21"/>
          <w:u w:val="single"/>
        </w:rPr>
        <w:t xml:space="preserve">自竣工验收合格之日起满两年</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15.3 质量保证金</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关于是否扣留质量保证金的约定：</w:t>
      </w:r>
      <w:r>
        <w:rPr>
          <w:rFonts w:hint="eastAsia" w:ascii="宋体" w:hAnsi="宋体" w:eastAsia="宋体" w:cs="宋体"/>
          <w:color w:val="auto"/>
          <w:szCs w:val="21"/>
          <w:u w:val="single"/>
        </w:rPr>
        <w:t xml:space="preserve">工程结算价的</w:t>
      </w:r>
      <w:r>
        <w:rPr>
          <w:rFonts w:hint="eastAsia" w:ascii="宋体" w:hAnsi="宋体" w:eastAsia="宋体" w:cs="宋体"/>
          <w:color w:val="auto"/>
          <w:szCs w:val="21"/>
          <w:u w:val="single"/>
          <w:lang w:val="en-US" w:eastAsia="zh-CN"/>
        </w:rPr>
        <w:t xml:space="preserve">3</w:t>
      </w:r>
      <w:r>
        <w:rPr>
          <w:rFonts w:hint="eastAsia" w:ascii="宋体" w:hAnsi="宋体" w:eastAsia="宋体" w:cs="宋体"/>
          <w:color w:val="auto"/>
          <w:szCs w:val="21"/>
          <w:u w:val="single"/>
        </w:rPr>
        <w:t xml:space="preserve">%做为质量保证金</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15.3.1 承包人提供质量保证金的方式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质量保证金采用以下第</w:t>
      </w:r>
      <w:r>
        <w:rPr>
          <w:rFonts w:hint="eastAsia" w:ascii="宋体" w:hAnsi="宋体" w:eastAsia="宋体" w:cs="宋体"/>
          <w:color w:val="auto"/>
          <w:szCs w:val="21"/>
          <w:u w:val="single"/>
        </w:rPr>
        <w:t xml:space="preserve">（</w:t>
      </w:r>
      <w:r>
        <w:rPr>
          <w:rFonts w:hint="eastAsia" w:ascii="宋体" w:hAnsi="宋体" w:eastAsia="宋体" w:cs="宋体"/>
          <w:color w:val="auto"/>
          <w:szCs w:val="21"/>
          <w:u w:val="single"/>
          <w:lang w:val="en-US" w:eastAsia="zh-CN"/>
        </w:rPr>
        <w:t xml:space="preserve">1</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种方式：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（1）质量保证金保函，保证金额为：</w:t>
      </w:r>
      <w:r>
        <w:rPr>
          <w:rFonts w:hint="eastAsia" w:ascii="宋体" w:hAnsi="宋体" w:eastAsia="宋体" w:cs="宋体"/>
          <w:color w:val="auto"/>
          <w:szCs w:val="21"/>
          <w:u w:val="single"/>
        </w:rPr>
        <w:t xml:space="preserve">工程结算价的</w:t>
      </w:r>
      <w:r>
        <w:rPr>
          <w:rFonts w:hint="eastAsia" w:ascii="宋体" w:hAnsi="宋体" w:eastAsia="宋体" w:cs="宋体"/>
          <w:color w:val="auto"/>
          <w:szCs w:val="21"/>
          <w:u w:val="single"/>
          <w:lang w:val="en-US" w:eastAsia="zh-CN"/>
        </w:rPr>
        <w:t xml:space="preserve">3%</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w:t>
      </w:r>
      <w:r>
        <w:rPr>
          <w:rFonts w:hint="eastAsia" w:ascii="宋体" w:hAnsi="宋体" w:eastAsia="宋体" w:cs="宋体"/>
          <w:color w:val="auto"/>
          <w:szCs w:val="21"/>
          <w:u w:val="single"/>
        </w:rPr>
        <w:t xml:space="preserve"></w:t>
      </w:r>
      <w:r>
        <w:rPr>
          <w:rFonts w:hint="eastAsia" w:ascii="宋体" w:hAnsi="宋体" w:eastAsia="宋体" w:cs="宋体"/>
          <w:color w:val="auto"/>
          <w:szCs w:val="21"/>
          <w:u w:val="single"/>
          <w:lang w:val="en-US" w:eastAsia="zh-CN"/>
        </w:rPr>
        <w:t xml:space="preserve">/</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%的工程款；</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（3）其他方式:</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15.3.2 质量保证金的扣留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质量保证金的扣留采取以下第</w:t>
      </w:r>
      <w:r>
        <w:rPr>
          <w:rFonts w:hint="eastAsia" w:ascii="宋体" w:hAnsi="宋体" w:eastAsia="宋体" w:cs="宋体"/>
          <w:color w:val="auto"/>
          <w:szCs w:val="21"/>
          <w:u w:val="single"/>
        </w:rPr>
        <w:t xml:space="preserve"></w:t>
      </w:r>
      <w:r>
        <w:rPr>
          <w:rFonts w:hint="eastAsia" w:ascii="宋体" w:hAnsi="宋体" w:eastAsia="宋体" w:cs="宋体"/>
          <w:color w:val="auto"/>
          <w:szCs w:val="21"/>
          <w:u w:val="single"/>
          <w:lang w:eastAsia="zh-CN"/>
        </w:rPr>
        <w:t xml:space="preserve">（</w:t>
      </w:r>
      <w:r>
        <w:rPr>
          <w:rFonts w:hint="eastAsia" w:ascii="宋体" w:hAnsi="宋体" w:eastAsia="宋体" w:cs="宋体"/>
          <w:color w:val="auto"/>
          <w:szCs w:val="21"/>
          <w:u w:val="single"/>
          <w:lang w:val="en-US" w:eastAsia="zh-CN"/>
        </w:rPr>
        <w:t xml:space="preserve">2）</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种方式：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（1）在支付工程进度款时逐次扣留，在此情形下，质量保证金的计算基数不包括预付款的支付、扣回以及价格调整的金额；</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（2）工程竣工结算时一次性扣留质量保证金；</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（3）其他扣留方式:</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关于质量保证金的补充约定：</w:t>
      </w:r>
      <w:r>
        <w:rPr>
          <w:rFonts w:hint="eastAsia" w:ascii="宋体" w:hAnsi="宋体" w:eastAsia="宋体" w:cs="宋体"/>
          <w:color w:val="auto"/>
          <w:szCs w:val="21"/>
          <w:u w:val="single"/>
        </w:rPr>
        <w:t xml:space="preserve">质量保修金的返还，按照合同附件工程质量保修书中的相应条款执行</w:t>
      </w:r>
      <w:r>
        <w:rPr>
          <w:rFonts w:hint="eastAsia" w:ascii="宋体" w:hAnsi="宋体" w:eastAsia="宋体" w:cs="宋体"/>
          <w:color w:val="auto"/>
          <w:szCs w:val="21"/>
        </w:rPr>
        <w:t xml:space="preserve">。</w:t>
      </w:r>
      <w:bookmarkEnd w:id="544"/>
      <w:r/>
      <w:bookmarkEnd w:id="54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15.4保修</w:t>
      </w:r>
      <w:bookmarkEnd w:id="546"/>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15.4.1 保修责任</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工程保修期为：</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1、主体工程为设计使用年限；</w:t>
      </w:r>
      <w:r/>
    </w:p>
    <w:p>
      <w:pPr>
        <w:ind w:firstLine="42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2、屋面防水工程、有防水要求的卫生间、房间和外墙面的防渗漏为 5 年；</w:t>
      </w:r>
      <w:r/>
    </w:p>
    <w:p>
      <w:pPr>
        <w:ind w:firstLine="42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3、电气管线，上下水管，暖通，消防安装工程为 2 年</w:t>
      </w:r>
      <w:r/>
    </w:p>
    <w:p>
      <w:pPr>
        <w:ind w:firstLine="42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4、其他项目保修期限为 2年</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15.4.3 修复通知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承包人收到保修通知并到达工程现场的合理时间：</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1、承包人应当在接到保修通知后8个小时响应，24小时内到达现场，48小时内组织修复。承包人不在约定期限内派人保修的，发包人可以委托他人修理,由此产生保修费在加收5%的保管费后从质量保修金内扣除。</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2、在质保期满后，如发生损坏等质量问题时，承包人仍需做好售后服务工作，并在上述时限内赶到现场，及时处理解决。承包人可收取相应的材料及服务的费用。</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u w:val="single"/>
        </w:rPr>
        <w:t xml:space="preserve">3．在国家规定的工程合理使用期限内，承包人应确保主体结构的质量。因承包人原因致使工程在合理使用期限内造成人身和财产损害的，承包人应承担损害赔偿责任</w:t>
      </w:r>
      <w:r>
        <w:rPr>
          <w:rFonts w:hint="eastAsia" w:ascii="宋体" w:hAnsi="宋体" w:eastAsia="宋体" w:cs="宋体"/>
          <w:color w:val="auto"/>
          <w:szCs w:val="21"/>
        </w:rPr>
        <w:t xml:space="preserve">。</w:t>
      </w:r>
      <w:bookmarkEnd w:id="547"/>
      <w:r/>
      <w:bookmarkEnd w:id="548"/>
      <w:r/>
      <w:bookmarkEnd w:id="549"/>
      <w:r/>
      <w:bookmarkEnd w:id="550"/>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73" w:name="_Toc351203648"/>
      <w:r/>
      <w:bookmarkStart w:id="574" w:name="_Toc280868717"/>
      <w:r/>
      <w:bookmarkStart w:id="575" w:name="_Toc280868718"/>
      <w:r>
        <w:rPr>
          <w:rFonts w:hint="eastAsia" w:ascii="宋体" w:hAnsi="宋体" w:eastAsia="宋体" w:cs="宋体"/>
          <w:b w:val="0"/>
          <w:bCs/>
          <w:color w:val="auto"/>
          <w:sz w:val="21"/>
          <w:szCs w:val="21"/>
          <w:lang w:val="en-US" w:eastAsia="zh-CN" w:bidi="ar-SA"/>
        </w:rPr>
        <w:t xml:space="preserve">16. 违约</w:t>
      </w:r>
      <w:bookmarkEnd w:id="573"/>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 发包人违约</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16.1.1发包人违约的情形</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发包人违约的其他情形：</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16.1.2 发包人违约的责任</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发包人违约责任的承担方式和计算方法：</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（1）因发包人原因未能在计划开工日期前7天内下达开工通知的违约责任：</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（2）因发包人原因未能按合同约定支付合同价款的违约责任：</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（3）发包人违反第10.1款〔变更的范围〕第（2）项约定，自行实施被取消的工作或转由他人实施的违约责任：</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（5）因发包人违反合同约定造成暂停施工的违约责任：</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（6）发包人无正当理由没有在约定期限内发出复工指示，导致承包人无法复工的违约责任：</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（7）其他：</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16.1.3 因发包人违约解除合同</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承包人按16.1.1项〔发包人违约的情形〕约定暂停施工满</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天后发包人仍不纠正其违约行为并致使合同目的不能实现的，承包人有权解除合同。</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16.2 承包人违约</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16.2.1 承包人违约的情形</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承包人违约的其他情形：</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16.2.2承包人违约的责任</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承包人违约责任的承担方式和计算方法：</w:t>
      </w:r>
      <w:r>
        <w:rPr>
          <w:rFonts w:hint="eastAsia" w:ascii="宋体" w:hAnsi="宋体" w:eastAsia="宋体" w:cs="宋体"/>
          <w:color w:val="auto"/>
          <w:szCs w:val="21"/>
          <w:u w:val="single"/>
        </w:rPr>
        <w:t xml:space="preserve">按通用条款执行</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16.2.3 因承包人违约解除合同</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关于承包人违约解除合同的特别约定：</w:t>
      </w:r>
      <w:r>
        <w:rPr>
          <w:rFonts w:hint="eastAsia" w:ascii="宋体" w:hAnsi="宋体" w:eastAsia="宋体" w:cs="宋体"/>
          <w:color w:val="auto"/>
          <w:szCs w:val="21"/>
          <w:u w:val="single"/>
        </w:rPr>
        <w:t xml:space="preserve">按通用条款执行。</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21"/>
          <w:u w:val="single"/>
        </w:rPr>
        <w:t xml:space="preserve">双方协商</w:t>
      </w:r>
      <w:r>
        <w:rPr>
          <w:rFonts w:hint="eastAsia" w:ascii="宋体" w:hAnsi="宋体" w:eastAsia="宋体" w:cs="宋体"/>
          <w:color w:val="auto"/>
          <w:szCs w:val="21"/>
        </w:rPr>
        <w:t xml:space="preserve">。</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76" w:name="_Toc351203649"/>
      <w:r>
        <w:rPr>
          <w:rFonts w:hint="eastAsia" w:ascii="宋体" w:hAnsi="宋体" w:eastAsia="宋体" w:cs="宋体"/>
          <w:b w:val="0"/>
          <w:bCs/>
          <w:color w:val="auto"/>
          <w:sz w:val="21"/>
          <w:szCs w:val="21"/>
          <w:lang w:val="en-US" w:eastAsia="zh-CN" w:bidi="ar-SA"/>
        </w:rPr>
        <w:t xml:space="preserve">17. 不可抗力</w:t>
      </w:r>
      <w:bookmarkEnd w:id="576"/>
      <w:r>
        <w:rPr>
          <w:rFonts w:hint="eastAsia" w:ascii="宋体" w:hAnsi="宋体" w:eastAsia="宋体" w:cs="宋体"/>
          <w:b w:val="0"/>
          <w:bCs/>
          <w:color w:val="auto"/>
          <w:sz w:val="21"/>
          <w:szCs w:val="21"/>
          <w:lang w:val="en-US" w:eastAsia="zh-CN" w:bidi="ar-SA"/>
        </w:rPr>
        <w:t xml:space="preserve"> </w:t>
      </w:r>
      <w:bookmarkEnd w:id="574"/>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17.1 不可抗力的确认</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除通用合同条款约定的不可抗力事件之外，视为不可抗力的其他情形： </w:t>
      </w:r>
      <w:r>
        <w:rPr>
          <w:rFonts w:hint="eastAsia" w:ascii="宋体" w:hAnsi="宋体" w:eastAsia="宋体" w:cs="宋体"/>
          <w:color w:val="auto"/>
          <w:szCs w:val="21"/>
          <w:u w:val="single"/>
        </w:rPr>
        <w:t xml:space="preserve">无</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17.4 因不可抗力解除合同</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合同解除后，发包人应在商定或确定发包人应支付款项后</w:t>
      </w:r>
      <w:r>
        <w:rPr>
          <w:rFonts w:hint="eastAsia" w:ascii="宋体" w:hAnsi="宋体" w:eastAsia="宋体" w:cs="宋体"/>
          <w:color w:val="auto"/>
          <w:szCs w:val="21"/>
          <w:u w:val="single"/>
        </w:rPr>
        <w:t xml:space="preserve">30</w:t>
      </w:r>
      <w:r>
        <w:rPr>
          <w:rFonts w:hint="eastAsia" w:ascii="宋体" w:hAnsi="宋体" w:eastAsia="宋体" w:cs="宋体"/>
          <w:color w:val="auto"/>
          <w:szCs w:val="21"/>
        </w:rPr>
        <w:t xml:space="preserve">天内完成款项的支付。</w:t>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77" w:name="_Toc351203650"/>
      <w:r>
        <w:rPr>
          <w:rFonts w:hint="eastAsia" w:ascii="宋体" w:hAnsi="宋体" w:eastAsia="宋体" w:cs="宋体"/>
          <w:b w:val="0"/>
          <w:bCs/>
          <w:color w:val="auto"/>
          <w:sz w:val="21"/>
          <w:szCs w:val="21"/>
          <w:lang w:val="en-US" w:eastAsia="zh-CN" w:bidi="ar-SA"/>
        </w:rPr>
        <w:t xml:space="preserve">18. 保险</w:t>
      </w:r>
      <w:bookmarkEnd w:id="577"/>
      <w:r/>
      <w:bookmarkEnd w:id="575"/>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18.1 工程保险</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关于工程保险的特别约定：</w:t>
      </w:r>
      <w:r>
        <w:rPr>
          <w:rFonts w:hint="eastAsia" w:ascii="宋体" w:hAnsi="宋体" w:eastAsia="宋体" w:cs="宋体"/>
          <w:color w:val="auto"/>
          <w:szCs w:val="21"/>
          <w:u w:val="single"/>
        </w:rPr>
        <w:t xml:space="preserve">承包人应依法对其应投保的人身、财产（包括但不限于对本工程施工作业人员的生命财产和施工机械设备）办理保险，并支付保险费用。发包人对任何参加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发包人免负任何有关的索偿要求、诉讼责任及其费用的支出，费用含在合同总价中</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18.3 其他保险</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关于其他保险的约定：</w:t>
      </w:r>
      <w:r>
        <w:rPr>
          <w:rFonts w:hint="eastAsia" w:ascii="宋体" w:hAnsi="宋体" w:eastAsia="宋体" w:cs="宋体"/>
          <w:color w:val="auto"/>
          <w:szCs w:val="21"/>
          <w:u w:val="single"/>
        </w:rPr>
        <w:t xml:space="preserve">承包人须为本工程投保建筑工程一切险和职工工伤保险，费用含在合同总价中</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承包人是否应为其施工设备等办理财产保险：</w:t>
      </w:r>
      <w:r>
        <w:rPr>
          <w:rFonts w:hint="eastAsia" w:ascii="宋体" w:hAnsi="宋体" w:eastAsia="宋体" w:cs="宋体"/>
          <w:color w:val="auto"/>
          <w:szCs w:val="21"/>
          <w:u w:val="single"/>
        </w:rPr>
        <w:t xml:space="preserve">按发包人要求</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18.7 通知义务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关于变更保险合同时的通知义务的约定：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firstLine="420"/>
        <w:jc w:val="left"/>
        <w:keepLines/>
        <w:keepNext/>
        <w:spacing w:before="280" w:after="290" w:line="440" w:lineRule="exact"/>
        <w:widowControl w:val="off"/>
        <w:rPr>
          <w:rFonts w:hint="eastAsia" w:ascii="宋体" w:hAnsi="宋体" w:eastAsia="宋体" w:cs="宋体"/>
          <w:b w:val="0"/>
          <w:bCs/>
          <w:color w:val="auto"/>
          <w:sz w:val="21"/>
          <w:szCs w:val="21"/>
          <w:lang w:val="en-US" w:eastAsia="zh-CN" w:bidi="ar-SA"/>
        </w:rPr>
        <w:outlineLvl w:val="3"/>
      </w:pPr>
      <w:r/>
      <w:bookmarkStart w:id="578" w:name="_Toc351203651"/>
      <w:r>
        <w:rPr>
          <w:rFonts w:hint="eastAsia" w:ascii="宋体" w:hAnsi="宋体" w:eastAsia="宋体" w:cs="宋体"/>
          <w:b w:val="0"/>
          <w:bCs/>
          <w:color w:val="auto"/>
          <w:sz w:val="21"/>
          <w:szCs w:val="21"/>
          <w:lang w:val="en-US" w:eastAsia="zh-CN" w:bidi="ar-SA"/>
        </w:rPr>
        <w:t xml:space="preserve">20. 争议解决</w:t>
      </w:r>
      <w:bookmarkEnd w:id="578"/>
      <w:r/>
      <w:bookmarkEnd w:id="563"/>
      <w:r/>
      <w:bookmarkEnd w:id="564"/>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20.3 争</w:t>
      </w:r>
      <w:bookmarkEnd w:id="565"/>
      <w:r>
        <w:rPr>
          <w:rFonts w:hint="eastAsia" w:ascii="宋体" w:hAnsi="宋体" w:eastAsia="宋体" w:cs="宋体"/>
          <w:color w:val="auto"/>
          <w:szCs w:val="21"/>
        </w:rPr>
        <w:t xml:space="preserve">议评审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合同当事人是否同意将工程争议提交争议评审小组决定：</w:t>
      </w:r>
      <w:r>
        <w:rPr>
          <w:rFonts w:hint="eastAsia" w:ascii="宋体" w:hAnsi="宋体" w:eastAsia="宋体" w:cs="宋体"/>
          <w:color w:val="auto"/>
          <w:szCs w:val="21"/>
          <w:u w:val="single"/>
        </w:rPr>
        <w:t xml:space="preserve">不提交</w:t>
      </w:r>
      <w:r>
        <w:rPr>
          <w:rFonts w:hint="eastAsia" w:ascii="宋体" w:hAnsi="宋体" w:eastAsia="宋体" w:cs="宋体"/>
          <w:color w:val="auto"/>
          <w:szCs w:val="21"/>
        </w:rPr>
        <w:t xml:space="preserve">。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20.3.1 争议评审小组的确定</w:t>
      </w:r>
      <w:r/>
    </w:p>
    <w:p>
      <w:pPr>
        <w:ind w:firstLine="420"/>
        <w:spacing w:line="44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争议评审小组成员的确定：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选定争议评审员的期限：</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争议评审小组成员的报酬承担方式：</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其他事项的约定：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20.3.2 争议评审小组的决定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合同当事人关于本项的约定：</w:t>
      </w:r>
      <w:r>
        <w:rPr>
          <w:rFonts w:hint="eastAsia" w:ascii="宋体" w:hAnsi="宋体" w:eastAsia="宋体" w:cs="宋体"/>
          <w:color w:val="auto"/>
          <w:szCs w:val="21"/>
          <w:u w:val="single"/>
        </w:rPr>
        <w:t xml:space="preserve">/</w:t>
      </w:r>
      <w:r>
        <w:rPr>
          <w:rFonts w:hint="eastAsia" w:ascii="宋体" w:hAnsi="宋体" w:eastAsia="宋体" w:cs="宋体"/>
          <w:color w:val="auto"/>
          <w:szCs w:val="21"/>
        </w:rPr>
        <w:t xml:space="preserve">。</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20.4仲裁或诉讼</w:t>
      </w:r>
      <w:bookmarkEnd w:id="566"/>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因合同及合同有关事项发生的争议，按下列第</w:t>
      </w:r>
      <w:r>
        <w:rPr>
          <w:rFonts w:hint="eastAsia" w:ascii="宋体" w:hAnsi="宋体" w:eastAsia="宋体" w:cs="宋体"/>
          <w:color w:val="auto"/>
          <w:szCs w:val="21"/>
          <w:u w:val="single"/>
        </w:rPr>
        <w:t xml:space="preserve">(2)</w:t>
      </w:r>
      <w:r>
        <w:rPr>
          <w:rFonts w:hint="eastAsia" w:ascii="宋体" w:hAnsi="宋体" w:eastAsia="宋体" w:cs="宋体"/>
          <w:color w:val="auto"/>
          <w:szCs w:val="21"/>
        </w:rPr>
        <w:t xml:space="preserve">种方式解决：</w:t>
      </w:r>
      <w:r/>
    </w:p>
    <w:p>
      <w:pPr>
        <w:numPr>
          <w:ilvl w:val="0"/>
          <w:numId w:val="10"/>
        </w:num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rPr>
        <w:t xml:space="preserve">向</w:t>
      </w:r>
      <w:r>
        <w:rPr>
          <w:rFonts w:hint="eastAsia" w:ascii="宋体" w:hAnsi="宋体" w:eastAsia="宋体" w:cs="宋体"/>
          <w:color w:val="auto"/>
          <w:szCs w:val="21"/>
          <w:u w:val="single"/>
        </w:rPr>
        <w:t xml:space="preserve">/</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仲裁委员会申请仲裁；</w:t>
      </w:r>
      <w:r/>
    </w:p>
    <w:p>
      <w:pPr>
        <w:numPr>
          <w:ilvl w:val="0"/>
          <w:numId w:val="10"/>
        </w:num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向</w:t>
      </w:r>
      <w:r>
        <w:rPr>
          <w:rFonts w:hint="eastAsia" w:ascii="宋体" w:hAnsi="宋体" w:eastAsia="宋体" w:cs="宋体"/>
          <w:color w:val="auto"/>
          <w:szCs w:val="21"/>
          <w:highlight w:val="none"/>
          <w:u w:val="single"/>
        </w:rPr>
        <w:t xml:space="preserve">     项目所在地     </w:t>
      </w:r>
      <w:r>
        <w:rPr>
          <w:rFonts w:hint="eastAsia" w:ascii="宋体" w:hAnsi="宋体" w:eastAsia="宋体" w:cs="宋体"/>
          <w:color w:val="auto"/>
          <w:szCs w:val="21"/>
          <w:highlight w:val="none"/>
        </w:rPr>
        <w:t xml:space="preserve">人民法院起诉</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21、补充条款：</w:t>
      </w:r>
      <w:bookmarkEnd w:id="567"/>
      <w:r/>
      <w:bookmarkEnd w:id="568"/>
      <w:r/>
      <w:bookmarkEnd w:id="569"/>
      <w:r/>
      <w:bookmarkEnd w:id="570"/>
      <w:r/>
      <w:bookmarkEnd w:id="571"/>
      <w:r/>
      <w:bookmarkEnd w:id="572"/>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21.1</w:t>
      </w:r>
      <w:r>
        <w:rPr>
          <w:rFonts w:hint="eastAsia" w:ascii="宋体" w:hAnsi="宋体" w:eastAsia="宋体" w:cs="宋体"/>
          <w:color w:val="auto"/>
          <w:szCs w:val="21"/>
          <w:highlight w:val="none"/>
        </w:rPr>
        <w:t xml:space="preserve">安全方面：</w:t>
      </w:r>
      <w:r/>
    </w:p>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在施工过程中，由于承包人责任发生的一切人身伤害事故由承包人自负</w:t>
      </w:r>
      <w:r>
        <w:rPr>
          <w:rFonts w:hint="eastAsia" w:ascii="宋体" w:hAnsi="宋体" w:eastAsia="宋体" w:cs="宋体"/>
          <w:color w:val="auto"/>
          <w:szCs w:val="21"/>
          <w:highlight w:val="none"/>
          <w:lang w:eastAsia="zh-CN"/>
        </w:rPr>
        <w:t xml:space="preserve">；</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承包方原因造成的任何事故或工伤(</w:t>
      </w:r>
      <w:r>
        <w:rPr>
          <w:rFonts w:hint="eastAsia" w:ascii="宋体" w:hAnsi="宋体" w:eastAsia="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第三者人员在内〉所产生的依法应该支付的损失、赔偿费、补偿费用等责任由承包方承担，承包方应按规定立即上报有关部门并通知发包方和监理单位，由此给发包方带来的任何影响，发包方保留进一步追偿的权利。</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承包人应搭设并维护一切必要的临时脚手架、挑平台并配以脚手板、安全网、护身栏杆、门架、马道、坡道、爬梯等等。脚手架和挑平台的搭设应满足有关安全生产的法律、法规、规范、标准和规程等的要求。新搭设的脚手架投入使自前，承包人必须组织安全检查和验收，重点查验连墙件和剪刀撑的布设，并对使用脚手架的作业人员进行安全交底。遇6级以上大风、大雨或停用1个月以上重新投用前等情况，需对脚手架进行复验的，验收合格方可以重新投用。</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承包人应建立专门的施工场地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拴查记录，确保所有的安全设施都处于良好的运转状态。承包人项目经理和专职安全生产管理人员均应当具备有效的安全生产考核合格证书。</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做好进场施工人员上岗前的安全教育和培训工作。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r/>
    </w:p>
    <w:p>
      <w:pP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zh-CN"/>
        </w:rPr>
        <w:t xml:space="preserve">）承包人承诺严格按照法律、法规之规定支付农民工工资，如果发生农民工因工资未及时发放等原因造成堵门事件的发生，每发生一次，承包人按照合同总价的10％支付发包人违约金。堵门事件超过3次的，发包人有权解除合同。</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21.2</w:t>
      </w:r>
      <w:r>
        <w:rPr>
          <w:rFonts w:hint="eastAsia" w:ascii="宋体" w:hAnsi="宋体" w:eastAsia="宋体" w:cs="宋体"/>
          <w:color w:val="auto"/>
          <w:szCs w:val="21"/>
          <w:highlight w:val="none"/>
        </w:rPr>
        <w:t xml:space="preserve">合同价及结算方面</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承包人需配合发包人进一步核对投标文件中所有报价信息，如发现不合理报价承包人需按照发包人要求进行调整。</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暂估价采购过程中的资审文件、采购文件、工程量清单、最高投标限价、中标人选取的最终确定权均在发包人，未经发包人书面确认的，将得不到发包人的认可，由此产生的一切责任由承包人承担，在确定过程中发包人与承包人意见不一致的以发包人意见为准，与发包人意见产生分歧而导致工期延误，造价增加等费用由承包入承担。</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施工过程中办理的每一份变更洽商单，承包人应在其变更洽商单后附上其对此项变更洽商单的估算金额，并承诺结算金额不突破估算金额，以便发包人按其涉及金额大小执行内部审批程序并及时掌握投资变化情况，待变更洽商单签署完成后，施工单位才能进行施工，施工完成后并经验收合格后才能进行变更洽商费用的结算。</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建设期间发生的各类代扣代缴费用均由承包人负责缴纳；水电费结算方式:施工现场发生的水电费由承包人按工程所在地主管部门按规定缴费，由发包人代缴的费用在拨付工程进度款时相应扣回。</w:t>
      </w:r>
      <w:r/>
    </w:p>
    <w:p>
      <w:pPr>
        <w:ind w:firstLine="482"/>
        <w:spacing w:line="360"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shd w:val="clear" w:color="auto" w:fill="ffffff"/>
        <w:widowControl/>
        <w:rPr>
          <w:rFonts w:hint="eastAsia" w:ascii="宋体" w:hAnsi="宋体" w:eastAsia="宋体" w:cs="宋体"/>
          <w:b/>
          <w:bCs w:val="0"/>
          <w:color w:val="auto"/>
          <w:sz w:val="21"/>
          <w:szCs w:val="21"/>
        </w:rPr>
      </w:pPr>
      <w:r>
        <w:rPr>
          <w:rFonts w:hint="eastAsia" w:ascii="宋体" w:hAnsi="宋体" w:eastAsia="宋体" w:cs="宋体"/>
          <w:color w:val="auto"/>
          <w:sz w:val="24"/>
          <w:szCs w:val="24"/>
        </w:rPr>
        <w:br w:type="page" w:clear="all"/>
      </w:r>
      <w:r>
        <w:rPr>
          <w:rFonts w:hint="eastAsia" w:ascii="宋体" w:hAnsi="宋体" w:eastAsia="宋体" w:cs="宋体"/>
          <w:b/>
          <w:bCs w:val="0"/>
          <w:color w:val="auto"/>
          <w:sz w:val="21"/>
          <w:szCs w:val="21"/>
        </w:rPr>
        <w:t xml:space="preserve">附</w:t>
      </w:r>
      <w:bookmarkStart w:id="579" w:name="_Toc296891266"/>
      <w:r/>
      <w:bookmarkStart w:id="580" w:name="_Toc296944565"/>
      <w:r/>
      <w:bookmarkStart w:id="581" w:name="_Toc267261693"/>
      <w:r/>
      <w:bookmarkStart w:id="582" w:name="_Toc296347225"/>
      <w:r/>
      <w:bookmarkStart w:id="583" w:name="_Toc296891054"/>
      <w:r/>
      <w:bookmarkStart w:id="584" w:name="_Toc296503226"/>
      <w:r/>
      <w:bookmarkStart w:id="585" w:name="_Toc296346727"/>
      <w:r>
        <w:rPr>
          <w:rFonts w:hint="eastAsia" w:ascii="宋体" w:hAnsi="宋体" w:eastAsia="宋体" w:cs="宋体"/>
          <w:b/>
          <w:bCs w:val="0"/>
          <w:color w:val="auto"/>
          <w:sz w:val="21"/>
          <w:szCs w:val="21"/>
        </w:rPr>
        <w:t xml:space="preserve">件1：</w:t>
      </w:r>
      <w:bookmarkEnd w:id="579"/>
      <w:r/>
      <w:bookmarkEnd w:id="580"/>
      <w:r/>
      <w:bookmarkEnd w:id="581"/>
      <w:r/>
      <w:bookmarkEnd w:id="582"/>
      <w:r/>
      <w:bookmarkEnd w:id="583"/>
      <w:r/>
      <w:bookmarkEnd w:id="584"/>
      <w:r/>
      <w:bookmarkEnd w:id="585"/>
      <w:r/>
      <w:r/>
    </w:p>
    <w:p>
      <w:pPr>
        <w:ind w:firstLine="422"/>
        <w:jc w:val="center"/>
        <w:spacing w:line="360" w:lineRule="auto"/>
        <w:shd w:val="clear" w:color="auto" w:fill="ffffff"/>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工程质量保修书</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发包人（全称）：</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承包人（全称）：</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shd w:val="clear" w:color="auto" w:fill="ffffff"/>
        <w:widowControl/>
        <w:tabs>
          <w:tab w:val="left" w:pos="147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发包人和承包人根据《中华人民共和国建筑法》和《建设工程质量管理条例》，经协商一致就（工程全称）签订工程质量保修书。</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一、工程质量保修范围和内容</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承包人在质量保修期内，按照有关法律规定和合同约定，承担工程质量保修责任。</w:t>
      </w:r>
      <w:r/>
    </w:p>
    <w:p>
      <w:pPr>
        <w:ind w:firstLine="420"/>
        <w:spacing w:line="360" w:lineRule="auto"/>
        <w:shd w:val="clear" w:color="auto" w:fill="ffffff"/>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u w:val="single"/>
        </w:rPr>
        <w:t xml:space="preserve">执行国家及江苏省南京市的有关规定。</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二、质量保修期</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根据《建设工程质量管理条例》及有关规定，工程的质量保修期如下：</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1．地基基础工程和主体结构工程为设计文件规定的工程合理使用年限；</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 xml:space="preserve">年；</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个采暖期、供冷期；</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6．住宅小区内的给排水设施、道路等配套工程为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7．其他项目保修期限约定如下：</w:t>
      </w:r>
      <w:r>
        <w:rPr>
          <w:rFonts w:hint="eastAsia" w:ascii="宋体" w:hAnsi="宋体" w:eastAsia="宋体" w:cs="宋体"/>
          <w:color w:val="auto"/>
          <w:sz w:val="21"/>
          <w:szCs w:val="21"/>
          <w:u w:val="single"/>
        </w:rPr>
        <w:t xml:space="preserve">系统工程免费质保不低于3年</w:t>
      </w:r>
      <w:r>
        <w:rPr>
          <w:rFonts w:hint="eastAsia" w:ascii="宋体" w:hAnsi="宋体" w:eastAsia="宋体" w:cs="宋体"/>
          <w:color w:val="auto"/>
          <w:sz w:val="21"/>
          <w:szCs w:val="21"/>
        </w:rPr>
        <w:t xml:space="preserve"> 。</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质量保修期自工程竣工验收合格之日起计算。</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三、缺陷责任期</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工程缺陷责任期为</w:t>
      </w:r>
      <w:r>
        <w:rPr>
          <w:rFonts w:hint="eastAsia" w:ascii="宋体" w:hAnsi="宋体" w:eastAsia="宋体" w:cs="宋体"/>
          <w:color w:val="auto"/>
          <w:sz w:val="21"/>
          <w:szCs w:val="21"/>
          <w:u w:val="single"/>
        </w:rPr>
        <w:t xml:space="preserve">  24  </w:t>
      </w:r>
      <w:r>
        <w:rPr>
          <w:rFonts w:hint="eastAsia" w:ascii="宋体" w:hAnsi="宋体" w:eastAsia="宋体" w:cs="宋体"/>
          <w:color w:val="auto"/>
          <w:sz w:val="21"/>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缺陷责任期终止后，发包人应退还剩余的质量保证金。</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四、质量保修责任</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2．发生紧急事故需抢修的，承包人在接到事故通知后，应当立即到达事故现场抢修。</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4．质量保修完成后，由发包人组织验收。</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五、保修费用</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保修费用由造成质量缺陷的责任方承担。</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firstLine="420"/>
        <w:spacing w:line="360" w:lineRule="auto"/>
        <w:shd w:val="clear" w:color="auto" w:fill="ffffff"/>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lang w:val="en-US" w:eastAsia="zh-CN"/>
        </w:rPr>
        <w:t xml:space="preserve">六、</w:t>
      </w:r>
      <w:r>
        <w:rPr>
          <w:rFonts w:hint="eastAsia" w:ascii="宋体" w:hAnsi="宋体" w:eastAsia="宋体" w:cs="宋体"/>
          <w:color w:val="auto"/>
          <w:sz w:val="21"/>
          <w:szCs w:val="21"/>
        </w:rPr>
        <w:t xml:space="preserve">双方约定的其他工程质量保修事项：</w:t>
      </w:r>
      <w:r/>
    </w:p>
    <w:p>
      <w:pPr>
        <w:ind w:firstLine="420"/>
        <w:spacing w:line="360" w:lineRule="auto"/>
        <w:shd w:val="clear" w:color="auto" w:fill="ffffff"/>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发包人(公章)：               承包人(公章)：</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                     地  址：</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           法定代表人(签字)：</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委托代理人(签字)：           委托代理人(签字)：</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电  话：</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传  真：                     传  真：</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                    开户银行：</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账  号：                      账  号：</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                    邮政编码：</w:t>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jc w:val="both"/>
        <w:spacing w:line="480" w:lineRule="auto"/>
        <w:widowControl w:val="off"/>
        <w:tabs>
          <w:tab w:val="left" w:pos="-235" w:leader="none"/>
        </w:tabs>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ind w:firstLine="422"/>
        <w:jc w:val="both"/>
        <w:spacing w:line="480" w:lineRule="auto"/>
        <w:widowControl w:val="off"/>
        <w:tabs>
          <w:tab w:val="left" w:pos="-235" w:leader="none"/>
        </w:tabs>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ind w:firstLine="422"/>
        <w:jc w:val="both"/>
        <w:spacing w:line="480" w:lineRule="auto"/>
        <w:widowControl w:val="off"/>
        <w:tabs>
          <w:tab w:val="left" w:pos="-235" w:leader="none"/>
        </w:tabs>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r>
      <w:r/>
    </w:p>
    <w:p>
      <w:pPr>
        <w:ind w:firstLine="422"/>
        <w:jc w:val="both"/>
        <w:spacing w:line="480" w:lineRule="auto"/>
        <w:widowControl w:val="off"/>
        <w:tabs>
          <w:tab w:val="left" w:pos="-235" w:leader="none"/>
        </w:tabs>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附件2:</w:t>
      </w:r>
      <w:r/>
    </w:p>
    <w:p>
      <w:pPr>
        <w:ind w:firstLine="422"/>
        <w:jc w:val="center"/>
        <w:spacing w:line="560" w:lineRule="exact"/>
        <w:rPr>
          <w:rFonts w:hint="eastAsia" w:ascii="宋体" w:hAnsi="宋体" w:eastAsia="宋体" w:cs="宋体"/>
          <w:b/>
          <w:bCs/>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bidi="ar-SA"/>
        </w:rPr>
        <w:t xml:space="preserve">廉  洁  协  议</w:t>
      </w:r>
      <w:r/>
    </w:p>
    <w:p>
      <w:pPr>
        <w:ind w:firstLine="420"/>
        <w:jc w:val="center"/>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 </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发包人（以下简称甲方）：中共江苏省委党校</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承包人（以下简称乙方）： </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工程名称：励学大厦学员宿舍设施更新改造</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为加强工程建设中的廉政建设，规范工程建设项目承、发包双方的各项活动，防止发生各种谋取不正当利益的违法行为，保护国家、集体和当事人的合法权益，根据国家和省、市有关工程建设的法律法规和廉政建设责任规定，结合本工程建设特点，特订立本廉政协议书，以保证双方在工程建设中能密切协作、廉洁自律。</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第一条 甲乙双方的责任</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(一) 应严格遵守国家关于市场准入、项目招标投标、工程建设、施工安装和市场活动等有关法律、法规、相关政策以及廉政建设的各项规定。</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(二) 严格执行建设工程项目承发包合同文件，自觉按合同办事。</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(三) 业务活动必须坚持公开、公平、公正、诚信、透明的原则(法律法规另有规定者除外)，不得为获取不正当利益，损害国家、集体和对方利益，不得违反工程建设管理、施工安装的规章制度。</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(四) 甲乙双方有对本方人员开展廉政告知、廉政教育和职业道德教育的义务。</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(五) 甲乙双方如发现对方在业务活动中有不廉洁行为，有及时提醒对方并督促其纠正的权力和义务。</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第二条 甲方责任</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甲方的领导和经办该建设工程项目的工作人员，在工程建设的事前、事中、事后应遵守以下规定：</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(一) 不准以任何形式向乙方索要或收受回扣。</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(二) 不得接受乙方礼金、贵重物品和有价证券。</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(三) 不准要求、暗示和接受乙方为个人装修住房、婚丧嫁娶、配偶子女的工作安排以及出国(境)、旅游等提供方便。</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(四)不准参加和接受可能妨碍公正执行公务和工程监督的各种宴请，不涉足营业性娱乐、休闲场所。</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(五) 不准向乙方介绍配偶、子女、亲属参与同甲方项目工程施工合同有关的设备、材料、工程分包、劳务等经济活动。不得以任何理由向乙方推荐分包单位和要求乙方购买项目工程施工合同规定以外的材料、设备等。</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(六)在考察、采购、工程发包、签订合同、阶段验收等环节中，不借机收取钱、物。如有难以谢绝而接受的礼品、回扣等，要及时上交院纪委监察室。</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(七)不接受工程监理方、施工方赠送的礼品、礼金、有价证券和支付凭证等；不采取徇私舞弊手段进行权钱交易或索取和接受各种名义的钱物和好处。</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(八)不单独与参建单位、供应商谈判或洽谈业务，不违反制度与程序要求，以任何理由与对方签订协议及合同，在业务洽谈中不泄露应保密的内容。</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(九)不以考察企业等名义，要求或接受代建单位、承包单位安排的宴请、娱乐、休闲等活动。</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(十)不以任何名义到代建单位、施工方、工程监理方报销应由个人支付的各种费用，不在管理中收取回扣、中介费。</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(十一)不得在施工、验收、结算，以及工程款、监理费用支付等方面刁难工程监理方、施工方。</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第三条 乙方的责任</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应与甲方保证正常的业务往来，按照有关法律法规和程序开展业务工作，严格执行工程建设的有关方针、政策，尤其是有关建筑施工安装的强制性标准和规范，并遵守以下规定：</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(一) 不准以任何理由向甲方、相关单位以及工作人员索要、接受或赠送礼金、贵重物品和有价证券。</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(二) 不准以任何理由为甲方报销应由甲方或个人支付的各种费用（包括但不限于住宅装修、婚丧嫁娶、旅游、度假、食宿、购物、学费、子女出国留学等）。</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(三) 不准要求或暗示为甲方或个人装修住房、婚丧嫁娶、配偶子女的工作安排以及出国(境)、旅游等提供方便。</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(四)不准以任何理由为甲方或个人组织有可能影响公正执行公务的宴请和休闲、娱乐等活动。</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（五）乙方不得为甲方单位和个人购置或提供通讯工具、交通工具、家电和高档办公用品或者为通讯工具充值。</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（六）自觉接受甲方及工程监理、质检部门的依法管理，不得以任何理由拒绝和阻挠。乙方对甲方及有关管理人员的违法违规行为或不正当要求，可随时向甲方纪检监察部门举报。</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(七) 乙方人员不得到甲方人员家里或其它与工作无关场所询访有关工程建设事项。</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第四条 违约责任</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(一) 甲方工作人员有违反本责任书第一、二条责任行为的，按照管理权限，依据有关法律法规和规定给予党纪、政纪处分或组织处理；涉嫌犯罪的，移交司法机关追究其刑事责任；给乙方单位造成经济损失的，应予以补偿。</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(二) 乙方工作人员有违反本责任第一、三条责任行为的，除通过上级纪检监察机关按乙方单位的廉政建设规定处罚外，按违规项目合同总金额的5%支付罚金，并列入甲方黑名单，十年内不得参加甲方建设项目投标活动。</w:t>
      </w:r>
      <w:r/>
    </w:p>
    <w:p>
      <w:pPr>
        <w:ind w:firstLine="420"/>
        <w:spacing w:line="560" w:lineRule="exact"/>
        <w:shd w:val="clear" w:color="ffffff" w:fill="ffffff"/>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（三）乙方违反本合同所列责任，经甲方监督部门认定违规事实或被立案查处的，甲方有权终止工程项目施工合同，乙方要承担由此给甲方所造成的一切损失，并负责由此发生的一切费用。 </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第五条 本责任书作为工程施工合同的附件，与工程施工合同同时签署，且具有同等法律效力。</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第六条 本责任书的有效期为双方签署之日起至该工程项目竣工验收合格时止。</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第七条 本协议书一式肆份，由甲乙双方各执一份，交甲乙双方的监督部门各一份。</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 </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甲方单位：(盖章)         乙方单位：(盖章)</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法定代表人：                 法定代表人：</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或委托代理人：               或委托代理人：</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                    </w:t>
      </w:r>
      <w:r/>
    </w:p>
    <w:p>
      <w:pPr>
        <w:ind w:firstLine="420"/>
        <w:spacing w:line="560" w:lineRule="exact"/>
        <w:rPr>
          <w:rFonts w:hint="eastAsia" w:ascii="宋体" w:hAnsi="宋体" w:eastAsia="宋体" w:cs="宋体"/>
          <w:b w:val="0"/>
          <w:bCs w:val="0"/>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lang w:val="en-US" w:eastAsia="zh-CN" w:bidi="ar-SA"/>
        </w:rPr>
        <w:t xml:space="preserve"> 年 月  日　         年  月  日</w:t>
      </w:r>
      <w:r/>
    </w:p>
    <w:p>
      <w:r/>
      <w:r/>
    </w:p>
    <w:p>
      <w:pPr>
        <w:spacing w:line="360" w:lineRule="auto"/>
        <w:shd w:val="clear" w:color="auto" w:fill="ffffff"/>
        <w:widowControl/>
        <w:rPr>
          <w:rFonts w:ascii="宋体" w:hAnsi="宋体"/>
          <w:sz w:val="24"/>
          <w:szCs w:val="24"/>
        </w:rPr>
      </w:pPr>
      <w:r>
        <w:rPr>
          <w:rFonts w:ascii="宋体" w:hAnsi="宋体"/>
          <w:sz w:val="24"/>
          <w:szCs w:val="24"/>
        </w:rPr>
      </w:r>
      <w:bookmarkEnd w:id="29"/>
      <w:r/>
      <w:bookmarkEnd w:id="30"/>
      <w:r/>
      <w:r/>
    </w:p>
    <w:p>
      <w:pPr>
        <w:rPr>
          <w:rFonts w:hint="eastAsia" w:ascii="宋体" w:hAnsi="宋体" w:cs="宋体"/>
          <w:lang w:val="zh-CN"/>
        </w:rPr>
      </w:pPr>
      <w:r/>
      <w:bookmarkStart w:id="586" w:name="_Toc10404"/>
      <w:r>
        <w:rPr>
          <w:rFonts w:hint="eastAsia" w:ascii="宋体" w:hAnsi="宋体" w:cs="宋体"/>
          <w:lang w:val="zh-CN"/>
        </w:rPr>
        <w:br w:type="page" w:clear="all"/>
      </w:r>
      <w:r/>
    </w:p>
    <w:p>
      <w:pPr>
        <w:pStyle w:val="1154"/>
        <w:rPr>
          <w:rFonts w:ascii="宋体" w:hAnsi="宋体" w:cs="宋体"/>
        </w:rPr>
      </w:pPr>
      <w:r>
        <w:rPr>
          <w:rFonts w:hint="eastAsia" w:ascii="宋体" w:hAnsi="宋体" w:cs="宋体"/>
          <w:lang w:val="zh-CN"/>
        </w:rPr>
        <w:t xml:space="preserve">第六章  </w:t>
      </w:r>
      <w:bookmarkEnd w:id="31"/>
      <w:r/>
      <w:bookmarkEnd w:id="32"/>
      <w:r/>
      <w:bookmarkEnd w:id="33"/>
      <w:r>
        <w:rPr>
          <w:rFonts w:hint="eastAsia" w:ascii="宋体" w:hAnsi="宋体" w:cs="宋体"/>
          <w:szCs w:val="21"/>
        </w:rPr>
        <w:t xml:space="preserve">磋商响应文件格式及附件</w:t>
      </w:r>
      <w:bookmarkEnd w:id="586"/>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spacing w:line="440" w:lineRule="exact"/>
        <w:rPr>
          <w:rFonts w:ascii="宋体" w:hAnsi="宋体" w:cs="宋体"/>
          <w:sz w:val="20"/>
        </w:rPr>
      </w:pPr>
      <w:r>
        <w:rPr>
          <w:rFonts w:ascii="宋体" w:hAnsi="宋体" w:cs="宋体"/>
          <w:sz w:val="20"/>
        </w:rPr>
      </w:r>
      <w:r/>
    </w:p>
    <w:p>
      <w:pPr>
        <w:jc w:val="center"/>
        <w:spacing w:line="440" w:lineRule="exact"/>
        <w:rPr>
          <w:rFonts w:ascii="宋体" w:hAnsi="宋体" w:cs="宋体"/>
          <w:sz w:val="20"/>
        </w:rPr>
      </w:pPr>
      <w:r>
        <w:rPr>
          <w:rFonts w:ascii="宋体" w:hAnsi="宋体" w:cs="宋体"/>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color w:val="auto"/>
          <w:sz w:val="28"/>
          <w:szCs w:val="28"/>
          <w:highlight w:val="none"/>
          <w:lang w:val="en-US" w:eastAsia="zh-CN"/>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ind w:firstLine="472"/>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440" w:lineRule="exact"/>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szCs w:val="21"/>
        </w:rPr>
      </w:pPr>
      <w:r>
        <w:rPr>
          <w:rFonts w:hint="eastAsia" w:ascii="宋体" w:hAnsi="宋体" w:cs="宋体"/>
          <w:szCs w:val="21"/>
        </w:rPr>
        <w:t xml:space="preserve">（注：供应商根据本章提供的附件顺序编制投标文件并制作目录（须生成页码））</w:t>
      </w:r>
      <w:r/>
    </w:p>
    <w:p>
      <w:pPr>
        <w:spacing w:before="312" w:after="312"/>
        <w:rPr>
          <w:rFonts w:ascii="宋体" w:hAnsi="宋体" w:cs="宋体"/>
          <w:b/>
        </w:rPr>
      </w:pPr>
      <w:r/>
      <w:bookmarkStart w:id="587" w:name="_Toc504056868"/>
      <w:r/>
      <w:bookmarkStart w:id="588" w:name="_Toc504044380"/>
      <w:r/>
      <w:bookmarkStart w:id="589" w:name="_Toc504573083"/>
      <w:r/>
      <w:bookmarkStart w:id="590" w:name="_Toc490133028"/>
      <w:r>
        <w:rPr>
          <w:rFonts w:hint="eastAsia" w:ascii="宋体" w:hAnsi="宋体" w:cs="宋体"/>
          <w:b/>
          <w:bCs/>
        </w:rPr>
        <w:br w:type="page" w:clear="all"/>
      </w:r>
      <w:bookmarkStart w:id="591" w:name="_Toc534273677"/>
      <w:r/>
      <w:bookmarkStart w:id="592" w:name="_Toc534273800"/>
      <w:r>
        <w:rPr>
          <w:rFonts w:hint="eastAsia" w:ascii="宋体" w:hAnsi="宋体" w:cs="宋体"/>
          <w:b/>
        </w:rPr>
        <w:t xml:space="preserve">附件一、竞争性磋商申请及声明</w:t>
      </w:r>
      <w:bookmarkEnd w:id="587"/>
      <w:r/>
      <w:bookmarkEnd w:id="588"/>
      <w:r/>
      <w:bookmarkEnd w:id="589"/>
      <w:r/>
      <w:bookmarkEnd w:id="590"/>
      <w:r/>
      <w:bookmarkEnd w:id="591"/>
      <w:r/>
      <w:bookmarkEnd w:id="592"/>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keepLines w:val="0"/>
        <w:keepNext w:val="0"/>
        <w:pageBreakBefore w:val="0"/>
        <w:spacing w:line="440" w:lineRule="exact"/>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keepLines w:val="0"/>
        <w:keepNext w:val="0"/>
        <w:pageBreakBefore w:val="0"/>
        <w:spacing w:line="440" w:lineRule="exact"/>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keepLines w:val="0"/>
        <w:keepNext w:val="0"/>
        <w:pageBreakBefore w:val="0"/>
        <w:spacing w:line="440" w:lineRule="exact"/>
        <w:rPr>
          <w:rFonts w:ascii="Arial" w:hAnsi="Arial" w:cs="Arial"/>
          <w:color w:val="auto"/>
          <w:szCs w:val="21"/>
          <w:highlight w:val="none"/>
        </w:rPr>
      </w:pPr>
      <w:r>
        <w:rPr>
          <w:rFonts w:ascii="Arial" w:hAnsi="Arial" w:cs="Arial"/>
          <w:color w:val="auto"/>
          <w:sz w:val="21"/>
          <w:szCs w:val="21"/>
          <w:highlight w:val="none"/>
        </w:rPr>
        <w:t xml:space="preserve">供应商名称（</w:t>
      </w:r>
      <w:r>
        <w:rPr>
          <w:rFonts w:hint="eastAsia" w:ascii="Arial" w:hAnsi="Arial" w:cs="Arial"/>
          <w:color w:val="auto"/>
          <w:sz w:val="21"/>
          <w:szCs w:val="21"/>
          <w:highlight w:val="none"/>
          <w:lang w:val="en-US" w:eastAsia="zh-CN"/>
        </w:rPr>
        <w:t xml:space="preserve">加盖电子公章</w:t>
      </w:r>
      <w:r>
        <w:rPr>
          <w:rFonts w:ascii="Arial" w:hAnsi="Arial" w:cs="Arial"/>
          <w:color w:val="auto"/>
          <w:sz w:val="21"/>
          <w:szCs w:val="21"/>
          <w:highlight w:val="none"/>
        </w:rPr>
        <w:t xml:space="preserve">）：</w:t>
      </w:r>
      <w:r>
        <w:rPr>
          <w:rFonts w:ascii="Arial" w:hAnsi="Arial" w:cs="Arial"/>
          <w:color w:val="auto"/>
          <w:sz w:val="21"/>
          <w:szCs w:val="21"/>
          <w:highlight w:val="none"/>
          <w:u w:val="single"/>
        </w:rPr>
        <w:t xml:space="preserve">                 </w:t>
      </w:r>
      <w:r/>
    </w:p>
    <w:p>
      <w:pPr>
        <w:ind w:firstLine="420"/>
        <w:keepLines w:val="0"/>
        <w:keepNext w:val="0"/>
        <w:pageBreakBefore w:val="0"/>
        <w:spacing w:line="440" w:lineRule="exact"/>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before="312" w:after="312"/>
        <w:rPr>
          <w:rFonts w:ascii="宋体" w:hAnsi="宋体" w:cs="宋体"/>
          <w:b/>
        </w:rPr>
      </w:pPr>
      <w:r>
        <w:rPr>
          <w:rFonts w:hint="eastAsia" w:ascii="宋体" w:hAnsi="宋体" w:cs="宋体"/>
          <w:szCs w:val="21"/>
          <w:lang w:val="zh-CN"/>
        </w:rPr>
        <w:br w:type="page" w:clear="all"/>
      </w:r>
      <w:bookmarkStart w:id="593" w:name="_Toc534273801"/>
      <w:r/>
      <w:bookmarkStart w:id="594" w:name="_Toc504573084"/>
      <w:r/>
      <w:bookmarkStart w:id="595" w:name="_Toc504056869"/>
      <w:r/>
      <w:bookmarkStart w:id="596" w:name="_Toc534273678"/>
      <w:r/>
      <w:bookmarkStart w:id="597" w:name="_Toc490133029"/>
      <w:r/>
      <w:bookmarkStart w:id="598" w:name="_Toc504044381"/>
      <w:r>
        <w:rPr>
          <w:rFonts w:hint="eastAsia" w:ascii="宋体" w:hAnsi="宋体" w:cs="宋体"/>
          <w:b/>
        </w:rPr>
        <w:t xml:space="preserve">附件二、法定代表人授权书格式</w:t>
      </w:r>
      <w:bookmarkEnd w:id="593"/>
      <w:r/>
      <w:bookmarkEnd w:id="594"/>
      <w:r/>
      <w:bookmarkEnd w:id="595"/>
      <w:r/>
      <w:bookmarkEnd w:id="596"/>
      <w:r/>
      <w:bookmarkEnd w:id="597"/>
      <w:r/>
      <w:bookmarkEnd w:id="598"/>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本授权书于        年   月   日签字生效，特此声明。</w:t>
      </w:r>
      <w:r/>
    </w:p>
    <w:p>
      <w:pPr>
        <w:pStyle w:val="1225"/>
        <w:ind w:firstLine="480"/>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被授权人身份证号码：</w:t>
      </w:r>
      <w:r/>
    </w:p>
    <w:p>
      <w:pPr>
        <w:pStyle w:val="1225"/>
        <w:ind w:firstLine="480"/>
        <w:spacing w:line="480" w:lineRule="exact"/>
        <w:tabs>
          <w:tab w:val="left" w:pos="360"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CN" w:bidi="ar-SA"/>
        </w:rPr>
        <w:t xml:space="preserve">被授权人联系电话：（手机）</w:t>
      </w:r>
      <w:r/>
    </w:p>
    <w:p>
      <w:pPr>
        <w:pStyle w:val="1225"/>
        <w:ind w:firstLine="409"/>
        <w:spacing w:line="480" w:lineRule="exact"/>
        <w:tabs>
          <w:tab w:val="left" w:pos="360"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w:t>
      </w:r>
      <w:r>
        <w:rPr>
          <w:rFonts w:hint="eastAsia" w:ascii="宋体" w:hAnsi="宋体" w:eastAsia="宋体" w:cs="宋体"/>
          <w:sz w:val="21"/>
          <w:szCs w:val="21"/>
          <w:lang w:val="zh-CN" w:eastAsia="zh-CN" w:bidi="ar-SA"/>
        </w:rPr>
        <w:t xml:space="preserve">名称：（加盖电子公章）</w:t>
      </w:r>
      <w:r/>
    </w:p>
    <w:p>
      <w:pPr>
        <w:pStyle w:val="1225"/>
        <w:ind w:firstLine="480"/>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单位地址：</w:t>
      </w:r>
      <w:r/>
    </w:p>
    <w:p>
      <w:pPr>
        <w:pStyle w:val="1225"/>
        <w:ind w:firstLine="480"/>
        <w:spacing w:line="480" w:lineRule="exact"/>
        <w:tabs>
          <w:tab w:val="left" w:pos="360"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日</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zh-CN" w:eastAsia="zh-CN" w:bidi="ar-SA"/>
        </w:rPr>
        <w:t xml:space="preserve">期：</w:t>
      </w:r>
      <w:bookmarkStart w:id="599" w:name="_Hlt26955070"/>
      <w:r/>
      <w:bookmarkEnd w:id="599"/>
      <w:r/>
      <w:bookmarkStart w:id="600" w:name="_Hlt26671380"/>
      <w:r/>
      <w:bookmarkEnd w:id="600"/>
      <w:r/>
      <w:bookmarkStart w:id="601" w:name="_格式3__银行出具的资信证明"/>
      <w:r/>
      <w:bookmarkEnd w:id="601"/>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spacing w:before="312" w:after="312"/>
        <w:rPr>
          <w:rFonts w:ascii="宋体" w:hAnsi="宋体" w:cs="宋体"/>
          <w:b/>
        </w:rPr>
      </w:pPr>
      <w:r>
        <w:rPr>
          <w:rFonts w:hint="eastAsia" w:ascii="宋体" w:hAnsi="宋体" w:cs="宋体"/>
          <w:lang w:val="zh-CN"/>
        </w:rPr>
        <w:br w:type="page" w:clear="all"/>
      </w:r>
      <w:bookmarkStart w:id="602" w:name="_Toc534273679"/>
      <w:r/>
      <w:bookmarkStart w:id="603" w:name="_Toc504056870"/>
      <w:r/>
      <w:bookmarkStart w:id="604" w:name="_Toc490133030"/>
      <w:r/>
      <w:bookmarkStart w:id="605" w:name="_Toc504044382"/>
      <w:r/>
      <w:bookmarkStart w:id="606" w:name="_Toc534273802"/>
      <w:r/>
      <w:bookmarkStart w:id="607" w:name="_Toc504573085"/>
      <w:r>
        <w:rPr>
          <w:rFonts w:hint="eastAsia" w:ascii="宋体" w:hAnsi="宋体" w:cs="宋体"/>
          <w:b/>
        </w:rPr>
        <w:t xml:space="preserve">附件三、报价表</w:t>
      </w:r>
      <w:bookmarkEnd w:id="602"/>
      <w:r/>
      <w:bookmarkEnd w:id="603"/>
      <w:r/>
      <w:bookmarkEnd w:id="604"/>
      <w:r/>
      <w:bookmarkEnd w:id="605"/>
      <w:r/>
      <w:bookmarkEnd w:id="606"/>
      <w:r/>
      <w:bookmarkEnd w:id="607"/>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hint="eastAsia" w:ascii="宋体" w:hAnsi="宋体" w:cs="宋体"/>
          <w:szCs w:val="21"/>
          <w:lang w:val="zh-CN"/>
        </w:rPr>
        <w:t xml:space="preserve">               </w:t>
      </w:r>
      <w:r/>
    </w:p>
    <w:p>
      <w:pPr>
        <w:pStyle w:val="1107"/>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1106"/>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268"/>
        <w:gridCol w:w="4565"/>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1107"/>
              <w:ind w:firstLine="0"/>
              <w:jc w:val="center"/>
              <w:spacing w:line="440" w:lineRule="exact"/>
              <w:rPr>
                <w:rFonts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1107"/>
              <w:ind w:firstLine="0"/>
              <w:jc w:val="center"/>
              <w:spacing w:line="440" w:lineRule="exact"/>
              <w:rPr>
                <w:rFonts w:ascii="宋体" w:hAnsi="宋体" w:cs="宋体"/>
                <w:szCs w:val="21"/>
              </w:rPr>
            </w:pPr>
            <w:r>
              <w:rPr>
                <w:rFonts w:ascii="Arial" w:hAnsi="Arial" w:cs="Arial"/>
                <w:szCs w:val="21"/>
              </w:rPr>
              <w:t xml:space="preserve">合计</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1107"/>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r/>
          </w:p>
          <w:p>
            <w:pPr>
              <w:pStyle w:val="1107"/>
              <w:ind w:firstLine="472"/>
              <w:spacing w:line="440" w:lineRule="exact"/>
              <w:rPr>
                <w:rFonts w:ascii="Arial" w:hAnsi="Arial" w:cs="Arial"/>
                <w:szCs w:val="21"/>
              </w:rPr>
            </w:pPr>
            <w:r>
              <w:rPr>
                <w:rFonts w:ascii="Arial" w:hAnsi="Arial" w:cs="Arial"/>
                <w:szCs w:val="21"/>
              </w:rPr>
            </w:r>
            <w:r/>
          </w:p>
          <w:p>
            <w:pPr>
              <w:pStyle w:val="1107"/>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1107"/>
              <w:ind w:firstLine="0"/>
              <w:spacing w:line="440" w:lineRule="exact"/>
              <w:rPr>
                <w:rFonts w:ascii="宋体" w:hAnsi="宋体" w:cs="宋体"/>
                <w:szCs w:val="21"/>
              </w:rPr>
            </w:pPr>
            <w:r>
              <w:rPr>
                <w:rFonts w:hint="eastAsia" w:ascii="宋体" w:hAnsi="宋体" w:cs="宋体"/>
                <w:szCs w:val="21"/>
              </w:rPr>
              <w:t xml:space="preserve">服务时间/交付使用时间</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1107"/>
              <w:ind w:firstLine="0"/>
              <w:spacing w:line="440" w:lineRule="exact"/>
              <w:rPr>
                <w:rFonts w:ascii="宋体" w:hAnsi="宋体" w:cs="宋体"/>
                <w:szCs w:val="21"/>
                <w:u w:val="single"/>
              </w:rPr>
            </w:pPr>
            <w:r>
              <w:rPr>
                <w:rFonts w:hint="eastAsia" w:ascii="宋体" w:hAnsi="宋体" w:cs="宋体"/>
                <w:szCs w:val="21"/>
                <w:u w:val="single"/>
              </w:rPr>
              <w:t xml:space="preserve">满足磋商文件要求。</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1107"/>
              <w:ind w:firstLine="472"/>
              <w:spacing w:line="440" w:lineRule="exact"/>
              <w:rPr>
                <w:rFonts w:ascii="宋体" w:hAnsi="宋体" w:cs="宋体"/>
                <w:szCs w:val="21"/>
              </w:rPr>
            </w:pPr>
            <w:r>
              <w:rPr>
                <w:rFonts w:ascii="宋体" w:hAnsi="宋体" w:cs="宋体"/>
                <w:szCs w:val="21"/>
              </w:rPr>
            </w:r>
            <w:r/>
          </w:p>
          <w:p>
            <w:pPr>
              <w:pStyle w:val="1107"/>
              <w:ind w:firstLine="472"/>
              <w:spacing w:line="440" w:lineRule="exact"/>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p>
    <w:p>
      <w:pPr>
        <w:ind w:firstLine="420"/>
        <w:spacing w:line="360" w:lineRule="auto"/>
        <w:tabs>
          <w:tab w:val="left" w:pos="1440" w:leader="none"/>
        </w:tabs>
        <w:rPr>
          <w:rFonts w:ascii="宋体" w:hAnsi="宋体" w:cs="宋体"/>
          <w:b/>
        </w:rPr>
      </w:pPr>
      <w:r>
        <w:rPr>
          <w:rFonts w:ascii="宋体" w:hAnsi="宋体" w:cs="宋体"/>
          <w:b/>
        </w:rPr>
      </w:r>
      <w:r/>
    </w:p>
    <w:p>
      <w:pPr>
        <w:rPr>
          <w:rFonts w:ascii="宋体" w:hAnsi="宋体" w:cs="宋体"/>
          <w:b/>
          <w:szCs w:val="21"/>
          <w:lang w:val="zh-CN"/>
        </w:rPr>
      </w:pPr>
      <w:r>
        <w:rPr>
          <w:rFonts w:ascii="宋体" w:hAnsi="宋体" w:cs="宋体"/>
          <w:b/>
          <w:szCs w:val="21"/>
          <w:lang w:val="zh-CN"/>
        </w:rPr>
      </w:r>
      <w:r/>
    </w:p>
    <w:p>
      <w:pPr>
        <w:jc w:val="center"/>
        <w:spacing w:line="360" w:lineRule="auto"/>
        <w:shd w:val="clear" w:color="auto" w:fill="ffffff"/>
        <w:widowControl/>
        <w:rPr>
          <w:rFonts w:ascii="宋体" w:hAnsi="宋体" w:cs="宋体"/>
          <w:b/>
          <w:sz w:val="36"/>
          <w:szCs w:val="36"/>
        </w:rPr>
      </w:pPr>
      <w:r/>
      <w:bookmarkStart w:id="608" w:name="_Toc534273805"/>
      <w:r/>
      <w:bookmarkStart w:id="609" w:name="_Toc490133032"/>
      <w:r/>
      <w:bookmarkStart w:id="610" w:name="_Toc504044384"/>
      <w:r/>
      <w:bookmarkStart w:id="611" w:name="_Toc534273681"/>
      <w:r/>
      <w:bookmarkStart w:id="612" w:name="_Toc504573087"/>
      <w:r/>
      <w:bookmarkStart w:id="613" w:name="_Toc504056872"/>
      <w:r/>
      <w:bookmarkStart w:id="614" w:name="_Toc534273804"/>
      <w:r/>
      <w:bookmarkStart w:id="615" w:name="_Toc534273682"/>
      <w:r>
        <w:rPr>
          <w:rFonts w:hint="eastAsia" w:ascii="宋体" w:hAnsi="宋体" w:cs="宋体"/>
          <w:b/>
          <w:sz w:val="36"/>
          <w:szCs w:val="36"/>
        </w:rPr>
        <w:t xml:space="preserve">分项报价表</w:t>
      </w:r>
      <w:r/>
    </w:p>
    <w:p>
      <w:pPr>
        <w:jc w:val="left"/>
        <w:spacing w:line="360" w:lineRule="auto"/>
        <w:shd w:val="clear" w:color="auto" w:fill="ffffff"/>
        <w:widowControl/>
        <w:rPr>
          <w:rFonts w:ascii="宋体" w:hAnsi="宋体" w:cs="宋体"/>
          <w:b/>
          <w:sz w:val="36"/>
          <w:szCs w:val="36"/>
        </w:rPr>
      </w:pPr>
      <w:r>
        <w:rPr>
          <w:rFonts w:hint="eastAsia" w:ascii="宋体" w:hAnsi="宋体" w:cs="宋体"/>
          <w:b/>
          <w:bCs/>
          <w:szCs w:val="21"/>
          <w:lang w:val="zh-CN"/>
        </w:rPr>
        <w:t xml:space="preserve">（</w:t>
      </w:r>
      <w:r>
        <w:rPr>
          <w:rFonts w:hint="eastAsia" w:ascii="宋体" w:hAnsi="宋体" w:cs="宋体"/>
          <w:b/>
          <w:bCs/>
          <w:szCs w:val="21"/>
        </w:rPr>
        <w:t xml:space="preserve">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szCs w:val="21"/>
          <w:lang w:val="zh-CN"/>
        </w:rPr>
        <w:t xml:space="preserve">）</w:t>
      </w:r>
      <w:r/>
    </w:p>
    <w:p>
      <w:pPr>
        <w:jc w:val="left"/>
        <w:spacing w:line="360" w:lineRule="auto"/>
        <w:shd w:val="clear" w:color="auto" w:fill="ffffff"/>
        <w:widowControl/>
        <w:rPr>
          <w:rFonts w:ascii="宋体" w:hAnsi="宋体" w:cs="宋体"/>
        </w:rPr>
      </w:pPr>
      <w:r>
        <w:rPr>
          <w:rFonts w:ascii="宋体" w:hAnsi="宋体" w:cs="宋体"/>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spacing w:before="312" w:after="312"/>
        <w:rPr>
          <w:rFonts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p>
    <w:p>
      <w:pPr>
        <w:ind w:firstLine="420"/>
        <w:rPr>
          <w:rFonts w:ascii="宋体" w:hAnsi="宋体" w:cs="宋体"/>
          <w:szCs w:val="21"/>
          <w:lang w:val="zh-CN"/>
        </w:rPr>
      </w:pPr>
      <w:r>
        <w:rPr>
          <w:rFonts w:ascii="宋体" w:hAnsi="宋体" w:cs="宋体"/>
          <w:szCs w:val="21"/>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商务条款偏离表</w:t>
      </w:r>
      <w:r/>
    </w:p>
    <w:p>
      <w:pPr>
        <w:rPr>
          <w:rFonts w:ascii="宋体" w:hAnsi="宋体" w:cs="宋体"/>
          <w:szCs w:val="21"/>
          <w:lang w:val="zh-CN"/>
        </w:rPr>
      </w:pPr>
      <w:r>
        <w:rPr>
          <w:rFonts w:ascii="宋体" w:hAnsi="宋体" w:cs="宋体"/>
          <w:szCs w:val="21"/>
          <w:lang w:val="zh-CN"/>
        </w:rPr>
      </w:r>
      <w:r/>
    </w:p>
    <w:tbl>
      <w:tblPr>
        <w:tblStyle w:val="1106"/>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jc w:val="left"/>
        <w:spacing w:line="360" w:lineRule="auto"/>
        <w:shd w:val="clear" w:color="auto" w:fill="ffffff"/>
        <w:widowControl/>
        <w:rPr>
          <w:rFonts w:ascii="宋体" w:hAnsi="宋体" w:cs="宋体"/>
          <w:b/>
          <w:bCs/>
          <w:szCs w:val="21"/>
          <w:lang w:val="zh-CN"/>
        </w:rPr>
      </w:pPr>
      <w:r>
        <w:rPr>
          <w:rFonts w:ascii="宋体" w:hAnsi="宋体" w:cs="宋体"/>
          <w:b/>
          <w:bCs/>
          <w:szCs w:val="21"/>
          <w:lang w:val="zh-CN"/>
        </w:rPr>
      </w:r>
      <w:r/>
    </w:p>
    <w:p>
      <w:pPr>
        <w:spacing w:before="312" w:after="312"/>
        <w:rPr>
          <w:rFonts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608"/>
      <w:r/>
      <w:bookmarkEnd w:id="609"/>
      <w:r/>
      <w:bookmarkEnd w:id="610"/>
      <w:r/>
      <w:bookmarkEnd w:id="611"/>
      <w:r/>
      <w:bookmarkEnd w:id="612"/>
      <w:r/>
      <w:bookmarkEnd w:id="613"/>
      <w:r/>
      <w:bookmarkEnd w:id="614"/>
      <w:r/>
      <w:bookmarkEnd w:id="615"/>
      <w:r/>
      <w:r/>
    </w:p>
    <w:p>
      <w:pPr>
        <w:rPr>
          <w:rFonts w:ascii="宋体" w:hAnsi="宋体" w:cs="宋体"/>
          <w:b/>
          <w:szCs w:val="21"/>
        </w:rPr>
      </w:pPr>
      <w:r>
        <w:rPr>
          <w:rFonts w:ascii="宋体" w:hAnsi="宋体" w:cs="宋体"/>
          <w:b/>
          <w:szCs w:val="21"/>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采购需求条款偏离表</w:t>
      </w:r>
      <w:r/>
    </w:p>
    <w:p>
      <w:pPr>
        <w:rPr>
          <w:rFonts w:ascii="宋体" w:hAnsi="宋体" w:cs="宋体"/>
          <w:szCs w:val="21"/>
          <w:lang w:val="zh-CN"/>
        </w:rPr>
      </w:pPr>
      <w:r>
        <w:rPr>
          <w:rFonts w:hint="eastAsia" w:ascii="宋体" w:hAnsi="宋体" w:cs="宋体"/>
          <w:szCs w:val="21"/>
          <w:lang w:val="zh-CN"/>
        </w:rPr>
        <w:t xml:space="preserve">                        </w:t>
      </w:r>
      <w:r/>
    </w:p>
    <w:p>
      <w:pPr>
        <w:rPr>
          <w:rFonts w:ascii="宋体" w:hAnsi="宋体" w:cs="宋体"/>
          <w:szCs w:val="21"/>
        </w:rPr>
      </w:pPr>
      <w:r>
        <w:rPr>
          <w:rFonts w:hint="eastAsia" w:ascii="宋体" w:hAnsi="宋体" w:cs="宋体"/>
          <w:szCs w:val="21"/>
        </w:rPr>
        <w:t xml:space="preserve">                                         </w:t>
      </w:r>
      <w:r/>
    </w:p>
    <w:tbl>
      <w:tblPr>
        <w:tblStyle w:val="1106"/>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宋体" w:hAnsi="宋体" w:cs="宋体"/>
                <w:szCs w:val="21"/>
                <w:lang w:val="zh-CN"/>
              </w:rPr>
            </w:pPr>
            <w:r>
              <w:rPr>
                <w:rFonts w:hint="eastAsia" w:ascii="宋体" w:hAnsi="宋体" w:cs="宋体"/>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hint="eastAsia" w:ascii="宋体" w:hAnsi="宋体" w:cs="宋体"/>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p>
    <w:p>
      <w:pPr>
        <w:pStyle w:val="1235"/>
        <w:rPr>
          <w:rFonts w:ascii="宋体" w:hAnsi="宋体" w:cs="宋体"/>
          <w:lang w:val="zh-CN"/>
        </w:rPr>
      </w:pPr>
      <w:r>
        <w:rPr>
          <w:rFonts w:ascii="宋体" w:hAnsi="宋体" w:cs="宋体"/>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bookmarkStart w:id="616" w:name="_Toc504044385"/>
      <w:r/>
      <w:bookmarkStart w:id="617" w:name="_Toc504573088"/>
      <w:r/>
      <w:bookmarkStart w:id="618" w:name="_Toc504056873"/>
      <w:r/>
      <w:bookmarkStart w:id="619" w:name="_Toc490133033"/>
      <w:r>
        <w:rPr>
          <w:rFonts w:hint="eastAsia" w:ascii="宋体" w:hAnsi="宋体" w:cs="宋体"/>
          <w:szCs w:val="21"/>
        </w:rPr>
        <w:br w:type="page" w:clear="all"/>
      </w:r>
      <w:bookmarkEnd w:id="616"/>
      <w:r/>
      <w:bookmarkEnd w:id="617"/>
      <w:r/>
      <w:bookmarkEnd w:id="618"/>
      <w:r/>
      <w:bookmarkEnd w:id="619"/>
      <w:r/>
      <w:bookmarkStart w:id="620" w:name="_Toc534273806"/>
      <w:r/>
      <w:bookmarkStart w:id="621" w:name="_Toc504573089"/>
      <w:r/>
      <w:bookmarkStart w:id="622" w:name="_Toc534273683"/>
      <w:r/>
      <w:bookmarkStart w:id="623" w:name="_Toc504056874"/>
      <w:r/>
      <w:bookmarkStart w:id="624" w:name="_Toc504044386"/>
      <w:r/>
      <w:bookmarkStart w:id="625" w:name="_Toc490133034"/>
      <w:r>
        <w:rPr>
          <w:rFonts w:hint="eastAsia" w:ascii="宋体" w:hAnsi="宋体" w:cs="宋体"/>
          <w:b/>
        </w:rPr>
        <w:t xml:space="preserve">附件六、拟参与本项目人员一览表</w:t>
      </w:r>
      <w:bookmarkEnd w:id="620"/>
      <w:r/>
      <w:bookmarkEnd w:id="621"/>
      <w:r/>
      <w:bookmarkEnd w:id="622"/>
      <w:r/>
      <w:bookmarkEnd w:id="623"/>
      <w:r/>
      <w:bookmarkEnd w:id="624"/>
      <w:r/>
      <w:bookmarkEnd w:id="625"/>
      <w:r/>
      <w:r/>
    </w:p>
    <w:p>
      <w:pPr>
        <w:rPr>
          <w:rFonts w:ascii="宋体" w:hAnsi="宋体" w:cs="宋体"/>
          <w:lang w:val="zh-CN"/>
        </w:rPr>
      </w:pPr>
      <w:r>
        <w:rPr>
          <w:rFonts w:ascii="宋体" w:hAnsi="宋体" w:cs="宋体"/>
          <w:lang w:val="zh-CN"/>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拟参与本项目人员一览表</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cs="宋体"/>
          <w:szCs w:val="21"/>
          <w:lang w:val="zh-CN"/>
        </w:rPr>
      </w:pPr>
      <w:r>
        <w:rPr>
          <w:rFonts w:hint="eastAsia" w:ascii="宋体" w:hAnsi="宋体" w:cs="宋体"/>
          <w:szCs w:val="21"/>
          <w:lang w:val="zh-CN"/>
        </w:rPr>
        <w:t xml:space="preserve">项目名称：                                     项目编号：</w:t>
      </w:r>
      <w:r/>
    </w:p>
    <w:tbl>
      <w:tblPr>
        <w:tblStyle w:val="11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89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姓名</w:t>
            </w:r>
            <w:r/>
          </w:p>
        </w:tc>
        <w:tc>
          <w:tcPr>
            <w:tcW w:w="66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性别</w:t>
            </w:r>
            <w:r/>
          </w:p>
        </w:tc>
        <w:tc>
          <w:tcPr>
            <w:tcW w:w="709"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年龄</w:t>
            </w:r>
            <w:r/>
          </w:p>
        </w:tc>
        <w:tc>
          <w:tcPr>
            <w:tcW w:w="113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学历及</w:t>
            </w:r>
            <w:r/>
          </w:p>
          <w:p>
            <w:pPr>
              <w:jc w:val="center"/>
              <w:rPr>
                <w:rFonts w:ascii="宋体" w:hAnsi="宋体" w:cs="宋体"/>
                <w:b/>
                <w:szCs w:val="21"/>
                <w:lang w:val="zh-CN"/>
              </w:rPr>
            </w:pPr>
            <w:r>
              <w:rPr>
                <w:rFonts w:hint="eastAsia" w:ascii="宋体" w:hAnsi="宋体" w:cs="宋体"/>
                <w:b/>
                <w:szCs w:val="21"/>
                <w:lang w:val="zh-CN"/>
              </w:rPr>
              <w:t xml:space="preserve">专业</w:t>
            </w:r>
            <w:r/>
          </w:p>
        </w:tc>
        <w:tc>
          <w:tcPr>
            <w:tcW w:w="105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执业</w:t>
            </w:r>
            <w:r/>
          </w:p>
          <w:p>
            <w:pPr>
              <w:jc w:val="center"/>
              <w:rPr>
                <w:rFonts w:ascii="宋体" w:hAnsi="宋体" w:cs="宋体"/>
                <w:b/>
                <w:szCs w:val="21"/>
                <w:lang w:val="zh-CN"/>
              </w:rPr>
            </w:pPr>
            <w:r>
              <w:rPr>
                <w:rFonts w:hint="eastAsia" w:ascii="宋体" w:hAnsi="宋体" w:cs="宋体"/>
                <w:b/>
                <w:szCs w:val="21"/>
                <w:lang w:val="zh-CN"/>
              </w:rPr>
              <w:t xml:space="preserve">资格及证书号</w:t>
            </w:r>
            <w:r/>
          </w:p>
        </w:tc>
        <w:tc>
          <w:tcPr>
            <w:tcW w:w="102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技术</w:t>
            </w:r>
            <w:r/>
          </w:p>
          <w:p>
            <w:pPr>
              <w:jc w:val="center"/>
              <w:rPr>
                <w:rFonts w:ascii="宋体" w:hAnsi="宋体" w:cs="宋体"/>
                <w:b/>
                <w:szCs w:val="21"/>
                <w:lang w:val="zh-CN"/>
              </w:rPr>
            </w:pPr>
            <w:r>
              <w:rPr>
                <w:rFonts w:hint="eastAsia" w:ascii="宋体" w:hAnsi="宋体" w:cs="宋体"/>
                <w:b/>
                <w:szCs w:val="21"/>
                <w:lang w:val="zh-CN"/>
              </w:rPr>
              <w:t xml:space="preserve">职称</w:t>
            </w:r>
            <w:r/>
          </w:p>
        </w:tc>
        <w:tc>
          <w:tcPr>
            <w:tcW w:w="1174"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相关工作年限及工作经历</w:t>
            </w:r>
            <w:r/>
          </w:p>
        </w:tc>
        <w:tc>
          <w:tcPr>
            <w:tcW w:w="1588"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拟担任本项目何种工作</w:t>
            </w:r>
            <w:r/>
          </w:p>
        </w:tc>
        <w:tc>
          <w:tcPr>
            <w:tcW w:w="851"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Pr>
        <w:tc>
          <w:tcPr>
            <w:tcW w:w="534" w:type="dxa"/>
            <w:textDirection w:val="lrTb"/>
            <w:noWrap w:val="false"/>
          </w:tcPr>
          <w:p>
            <w:pPr>
              <w:rPr>
                <w:rFonts w:ascii="宋体" w:hAnsi="宋体" w:cs="宋体"/>
                <w:szCs w:val="21"/>
                <w:lang w:val="zh-CN"/>
              </w:rPr>
            </w:pPr>
            <w:r>
              <w:rPr>
                <w:rFonts w:ascii="宋体" w:hAnsi="宋体" w:cs="宋体"/>
                <w:szCs w:val="21"/>
                <w:lang w:val="zh-CN"/>
              </w:rPr>
            </w:r>
            <w:r/>
          </w:p>
        </w:tc>
        <w:tc>
          <w:tcPr>
            <w:tcW w:w="896" w:type="dxa"/>
            <w:textDirection w:val="lrTb"/>
            <w:noWrap w:val="false"/>
          </w:tcPr>
          <w:p>
            <w:pPr>
              <w:rPr>
                <w:rFonts w:ascii="宋体" w:hAnsi="宋体" w:cs="宋体"/>
                <w:szCs w:val="21"/>
                <w:lang w:val="zh-CN"/>
              </w:rPr>
            </w:pPr>
            <w:r>
              <w:rPr>
                <w:rFonts w:ascii="宋体" w:hAnsi="宋体" w:cs="宋体"/>
                <w:szCs w:val="21"/>
                <w:lang w:val="zh-CN"/>
              </w:rPr>
            </w:r>
            <w:r/>
          </w:p>
        </w:tc>
        <w:tc>
          <w:tcPr>
            <w:tcW w:w="663" w:type="dxa"/>
            <w:textDirection w:val="lrTb"/>
            <w:noWrap w:val="false"/>
          </w:tcPr>
          <w:p>
            <w:pPr>
              <w:rPr>
                <w:rFonts w:ascii="宋体" w:hAnsi="宋体" w:cs="宋体"/>
                <w:szCs w:val="21"/>
                <w:lang w:val="zh-CN"/>
              </w:rPr>
            </w:pPr>
            <w:r>
              <w:rPr>
                <w:rFonts w:ascii="宋体" w:hAnsi="宋体" w:cs="宋体"/>
                <w:szCs w:val="21"/>
                <w:lang w:val="zh-CN"/>
              </w:rPr>
            </w:r>
            <w:r/>
          </w:p>
        </w:tc>
        <w:tc>
          <w:tcPr>
            <w:tcW w:w="709" w:type="dxa"/>
            <w:textDirection w:val="lrTb"/>
            <w:noWrap w:val="false"/>
          </w:tcPr>
          <w:p>
            <w:pPr>
              <w:rPr>
                <w:rFonts w:ascii="宋体" w:hAnsi="宋体" w:cs="宋体"/>
                <w:szCs w:val="21"/>
                <w:lang w:val="zh-CN"/>
              </w:rPr>
            </w:pPr>
            <w:r>
              <w:rPr>
                <w:rFonts w:ascii="宋体" w:hAnsi="宋体" w:cs="宋体"/>
                <w:szCs w:val="21"/>
                <w:lang w:val="zh-CN"/>
              </w:rPr>
            </w:r>
            <w:r/>
          </w:p>
        </w:tc>
        <w:tc>
          <w:tcPr>
            <w:tcW w:w="1134" w:type="dxa"/>
            <w:textDirection w:val="lrTb"/>
            <w:noWrap w:val="false"/>
          </w:tcPr>
          <w:p>
            <w:pPr>
              <w:rPr>
                <w:rFonts w:ascii="宋体" w:hAnsi="宋体" w:cs="宋体"/>
                <w:szCs w:val="21"/>
                <w:lang w:val="zh-CN"/>
              </w:rPr>
            </w:pPr>
            <w:r>
              <w:rPr>
                <w:rFonts w:ascii="宋体" w:hAnsi="宋体" w:cs="宋体"/>
                <w:szCs w:val="21"/>
                <w:lang w:val="zh-CN"/>
              </w:rPr>
            </w:r>
            <w:r/>
          </w:p>
        </w:tc>
        <w:tc>
          <w:tcPr>
            <w:tcW w:w="1056" w:type="dxa"/>
            <w:textDirection w:val="lrTb"/>
            <w:noWrap w:val="false"/>
          </w:tcPr>
          <w:p>
            <w:pPr>
              <w:rPr>
                <w:rFonts w:ascii="宋体" w:hAnsi="宋体" w:cs="宋体"/>
                <w:szCs w:val="21"/>
                <w:lang w:val="zh-CN"/>
              </w:rPr>
            </w:pPr>
            <w:r>
              <w:rPr>
                <w:rFonts w:ascii="宋体" w:hAnsi="宋体" w:cs="宋体"/>
                <w:szCs w:val="21"/>
                <w:lang w:val="zh-CN"/>
              </w:rPr>
            </w:r>
            <w:r/>
          </w:p>
        </w:tc>
        <w:tc>
          <w:tcPr>
            <w:tcW w:w="1020" w:type="dxa"/>
            <w:textDirection w:val="lrTb"/>
            <w:noWrap w:val="false"/>
          </w:tcPr>
          <w:p>
            <w:pPr>
              <w:rPr>
                <w:rFonts w:ascii="宋体" w:hAnsi="宋体" w:cs="宋体"/>
                <w:szCs w:val="21"/>
                <w:lang w:val="zh-CN"/>
              </w:rPr>
            </w:pPr>
            <w:r>
              <w:rPr>
                <w:rFonts w:ascii="宋体" w:hAnsi="宋体" w:cs="宋体"/>
                <w:szCs w:val="21"/>
                <w:lang w:val="zh-CN"/>
              </w:rPr>
            </w:r>
            <w:r/>
          </w:p>
        </w:tc>
        <w:tc>
          <w:tcPr>
            <w:tcW w:w="1174" w:type="dxa"/>
            <w:textDirection w:val="lrTb"/>
            <w:noWrap w:val="false"/>
          </w:tcPr>
          <w:p>
            <w:pPr>
              <w:rPr>
                <w:rFonts w:ascii="宋体" w:hAnsi="宋体" w:cs="宋体"/>
                <w:szCs w:val="21"/>
                <w:lang w:val="zh-CN"/>
              </w:rPr>
            </w:pPr>
            <w:r>
              <w:rPr>
                <w:rFonts w:ascii="宋体" w:hAnsi="宋体" w:cs="宋体"/>
                <w:szCs w:val="21"/>
                <w:lang w:val="zh-CN"/>
              </w:rPr>
            </w:r>
            <w:r/>
          </w:p>
        </w:tc>
        <w:tc>
          <w:tcPr>
            <w:tcW w:w="1588" w:type="dxa"/>
            <w:textDirection w:val="lrTb"/>
            <w:noWrap w:val="false"/>
          </w:tcPr>
          <w:p>
            <w:pPr>
              <w:rPr>
                <w:rFonts w:ascii="宋体" w:hAnsi="宋体" w:cs="宋体"/>
                <w:szCs w:val="21"/>
                <w:lang w:val="zh-CN"/>
              </w:rPr>
            </w:pPr>
            <w:r>
              <w:rPr>
                <w:rFonts w:ascii="宋体" w:hAnsi="宋体" w:cs="宋体"/>
                <w:szCs w:val="21"/>
                <w:lang w:val="zh-CN"/>
              </w:rPr>
            </w:r>
            <w:r/>
          </w:p>
        </w:tc>
        <w:tc>
          <w:tcPr>
            <w:tcW w:w="851"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rPr>
          <w:rFonts w:ascii="宋体" w:hAnsi="宋体" w:cs="宋体"/>
          <w:szCs w:val="21"/>
          <w:lang w:val="zh-CN"/>
        </w:rPr>
      </w:pPr>
      <w:r>
        <w:rPr>
          <w:rFonts w:ascii="宋体" w:hAnsi="宋体" w:cs="宋体"/>
          <w:szCs w:val="21"/>
          <w:lang w:val="zh-CN"/>
        </w:rPr>
      </w:r>
      <w:r/>
    </w:p>
    <w:p>
      <w:pPr>
        <w:spacing w:before="312" w:after="312"/>
        <w:rPr>
          <w:rFonts w:ascii="宋体" w:hAnsi="宋体" w:cs="宋体"/>
          <w:b/>
        </w:rPr>
      </w:pPr>
      <w:r>
        <w:rPr>
          <w:rFonts w:hint="eastAsia" w:ascii="宋体" w:hAnsi="宋体" w:cs="宋体"/>
          <w:szCs w:val="21"/>
          <w:lang w:val="zh-CN"/>
        </w:rPr>
        <w:br w:type="page" w:clear="all"/>
      </w:r>
      <w:bookmarkStart w:id="626" w:name="_Toc534273807"/>
      <w:r/>
      <w:bookmarkStart w:id="627" w:name="_Toc534273684"/>
      <w:r/>
      <w:bookmarkStart w:id="628" w:name="_Toc504044387"/>
      <w:r/>
      <w:bookmarkStart w:id="629" w:name="_Toc504573090"/>
      <w:r/>
      <w:bookmarkStart w:id="630" w:name="_Toc490133035"/>
      <w:r/>
      <w:bookmarkStart w:id="631" w:name="_Toc504056875"/>
      <w:r>
        <w:rPr>
          <w:rFonts w:hint="eastAsia" w:ascii="宋体" w:hAnsi="宋体" w:cs="宋体"/>
          <w:b/>
        </w:rPr>
        <w:t xml:space="preserve">附件七、供应商类似业绩情况表</w:t>
      </w:r>
      <w:bookmarkEnd w:id="626"/>
      <w:r/>
      <w:bookmarkEnd w:id="627"/>
      <w:r/>
      <w:bookmarkEnd w:id="628"/>
      <w:r/>
      <w:bookmarkEnd w:id="629"/>
      <w:r/>
      <w:bookmarkEnd w:id="630"/>
      <w:r/>
      <w:bookmarkEnd w:id="631"/>
      <w:r/>
      <w:r/>
    </w:p>
    <w:p>
      <w:pPr>
        <w:rPr>
          <w:rFonts w:ascii="宋体" w:hAnsi="宋体" w:cs="宋体"/>
        </w:rPr>
      </w:pPr>
      <w:r>
        <w:rPr>
          <w:rFonts w:ascii="宋体" w:hAnsi="宋体" w:cs="宋体"/>
        </w:rPr>
      </w:r>
      <w:r/>
    </w:p>
    <w:p>
      <w:pPr>
        <w:jc w:val="center"/>
        <w:spacing w:before="312" w:line="360" w:lineRule="auto"/>
        <w:shd w:val="clear" w:color="auto" w:fill="ffffff"/>
        <w:widowControl/>
        <w:rPr>
          <w:rFonts w:ascii="宋体" w:hAnsi="宋体" w:cs="宋体"/>
          <w:b/>
          <w:sz w:val="36"/>
          <w:szCs w:val="36"/>
        </w:rPr>
      </w:pPr>
      <w:r>
        <w:rPr>
          <w:rFonts w:hint="eastAsia" w:ascii="宋体" w:hAnsi="宋体" w:cs="宋体"/>
          <w:b/>
          <w:sz w:val="36"/>
          <w:szCs w:val="36"/>
        </w:rPr>
        <w:t xml:space="preserve">供应商类似业绩情况表</w:t>
      </w:r>
      <w:r/>
    </w:p>
    <w:tbl>
      <w:tblPr>
        <w:tblStyle w:val="11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序号</w:t>
            </w:r>
            <w:r/>
          </w:p>
        </w:tc>
        <w:tc>
          <w:tcPr>
            <w:tcW w:w="171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项目名称</w:t>
            </w:r>
            <w:r/>
          </w:p>
        </w:tc>
        <w:tc>
          <w:tcPr>
            <w:tcW w:w="136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业主单位</w:t>
            </w:r>
            <w:r/>
          </w:p>
        </w:tc>
        <w:tc>
          <w:tcPr>
            <w:tcW w:w="1455"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业主联系</w:t>
            </w:r>
            <w:r/>
          </w:p>
          <w:p>
            <w:pPr>
              <w:jc w:val="center"/>
              <w:rPr>
                <w:rFonts w:ascii="宋体" w:hAnsi="宋体" w:cs="宋体"/>
                <w:b/>
                <w:szCs w:val="21"/>
                <w:lang w:val="zh-CN"/>
              </w:rPr>
            </w:pPr>
            <w:r>
              <w:rPr>
                <w:rFonts w:hint="eastAsia" w:ascii="宋体" w:hAnsi="宋体" w:cs="宋体"/>
                <w:b/>
                <w:szCs w:val="21"/>
                <w:lang w:val="zh-CN"/>
              </w:rPr>
              <w:t xml:space="preserve">方式</w:t>
            </w:r>
            <w:r/>
          </w:p>
        </w:tc>
        <w:tc>
          <w:tcPr>
            <w:tcW w:w="1300"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工作主要</w:t>
            </w:r>
            <w:r/>
          </w:p>
          <w:p>
            <w:pPr>
              <w:jc w:val="center"/>
              <w:rPr>
                <w:rFonts w:ascii="宋体" w:hAnsi="宋体" w:cs="宋体"/>
                <w:b/>
                <w:szCs w:val="21"/>
                <w:lang w:val="zh-CN"/>
              </w:rPr>
            </w:pPr>
            <w:r>
              <w:rPr>
                <w:rFonts w:hint="eastAsia" w:ascii="宋体" w:hAnsi="宋体" w:cs="宋体"/>
                <w:b/>
                <w:szCs w:val="21"/>
                <w:lang w:val="zh-CN"/>
              </w:rPr>
              <w:t xml:space="preserve">内容</w:t>
            </w:r>
            <w:r/>
          </w:p>
        </w:tc>
        <w:tc>
          <w:tcPr>
            <w:tcW w:w="102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w:t>
            </w:r>
            <w:r/>
          </w:p>
          <w:p>
            <w:pPr>
              <w:jc w:val="center"/>
              <w:rPr>
                <w:rFonts w:ascii="宋体" w:hAnsi="宋体" w:cs="宋体"/>
                <w:b/>
                <w:szCs w:val="21"/>
              </w:rPr>
            </w:pPr>
            <w:r>
              <w:rPr>
                <w:rFonts w:hint="eastAsia" w:ascii="宋体" w:hAnsi="宋体" w:cs="宋体"/>
                <w:b/>
                <w:szCs w:val="21"/>
              </w:rPr>
              <w:t xml:space="preserve">金额</w:t>
            </w:r>
            <w:r/>
          </w:p>
        </w:tc>
        <w:tc>
          <w:tcPr>
            <w:tcW w:w="1026" w:type="dxa"/>
            <w:vAlign w:val="center"/>
            <w:textDirection w:val="lrTb"/>
            <w:noWrap w:val="false"/>
          </w:tcPr>
          <w:p>
            <w:pPr>
              <w:jc w:val="center"/>
              <w:rPr>
                <w:rFonts w:ascii="宋体" w:hAnsi="宋体" w:cs="宋体"/>
                <w:b/>
                <w:szCs w:val="21"/>
                <w:lang w:val="zh-CN"/>
              </w:rPr>
            </w:pPr>
            <w:r>
              <w:rPr>
                <w:rFonts w:hint="eastAsia" w:ascii="宋体" w:hAnsi="宋体" w:cs="宋体"/>
                <w:b/>
                <w:szCs w:val="21"/>
                <w:lang w:val="zh-CN"/>
              </w:rPr>
              <w:t xml:space="preserve">备注</w:t>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5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r>
        <w:trPr>
          <w:jc w:val="center"/>
          <w:trHeight w:val="362"/>
        </w:trPr>
        <w:tc>
          <w:tcPr>
            <w:tcW w:w="773" w:type="dxa"/>
            <w:textDirection w:val="lrTb"/>
            <w:noWrap w:val="false"/>
          </w:tcPr>
          <w:p>
            <w:pPr>
              <w:rPr>
                <w:rFonts w:ascii="宋体" w:hAnsi="宋体" w:cs="宋体"/>
                <w:szCs w:val="21"/>
                <w:lang w:val="zh-CN"/>
              </w:rPr>
            </w:pPr>
            <w:r>
              <w:rPr>
                <w:rFonts w:ascii="宋体" w:hAnsi="宋体" w:cs="宋体"/>
                <w:szCs w:val="21"/>
                <w:lang w:val="zh-CN"/>
              </w:rPr>
            </w:r>
            <w:r/>
          </w:p>
        </w:tc>
        <w:tc>
          <w:tcPr>
            <w:tcW w:w="1710" w:type="dxa"/>
            <w:textDirection w:val="lrTb"/>
            <w:noWrap w:val="false"/>
          </w:tcPr>
          <w:p>
            <w:pPr>
              <w:rPr>
                <w:rFonts w:ascii="宋体" w:hAnsi="宋体" w:cs="宋体"/>
                <w:szCs w:val="21"/>
                <w:lang w:val="zh-CN"/>
              </w:rPr>
            </w:pPr>
            <w:r>
              <w:rPr>
                <w:rFonts w:ascii="宋体" w:hAnsi="宋体" w:cs="宋体"/>
                <w:szCs w:val="21"/>
                <w:lang w:val="zh-CN"/>
              </w:rPr>
            </w:r>
            <w:r/>
          </w:p>
        </w:tc>
        <w:tc>
          <w:tcPr>
            <w:tcW w:w="1365" w:type="dxa"/>
            <w:textDirection w:val="lrTb"/>
            <w:noWrap w:val="false"/>
          </w:tcPr>
          <w:p>
            <w:pPr>
              <w:rPr>
                <w:rFonts w:ascii="宋体" w:hAnsi="宋体" w:cs="宋体"/>
                <w:szCs w:val="21"/>
                <w:lang w:val="zh-CN"/>
              </w:rPr>
            </w:pPr>
            <w:r>
              <w:rPr>
                <w:rFonts w:ascii="宋体" w:hAnsi="宋体" w:cs="宋体"/>
                <w:szCs w:val="21"/>
                <w:lang w:val="zh-CN"/>
              </w:rPr>
            </w:r>
            <w:r/>
          </w:p>
        </w:tc>
        <w:tc>
          <w:tcPr>
            <w:tcW w:w="1455" w:type="dxa"/>
            <w:textDirection w:val="lrTb"/>
            <w:noWrap w:val="false"/>
          </w:tcPr>
          <w:p>
            <w:pPr>
              <w:rPr>
                <w:rFonts w:ascii="宋体" w:hAnsi="宋体" w:cs="宋体"/>
                <w:szCs w:val="21"/>
                <w:lang w:val="zh-CN"/>
              </w:rPr>
            </w:pPr>
            <w:r>
              <w:rPr>
                <w:rFonts w:ascii="宋体" w:hAnsi="宋体" w:cs="宋体"/>
                <w:szCs w:val="21"/>
                <w:lang w:val="zh-CN"/>
              </w:rPr>
            </w:r>
            <w:r/>
          </w:p>
        </w:tc>
        <w:tc>
          <w:tcPr>
            <w:tcW w:w="1300"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c>
          <w:tcPr>
            <w:tcW w:w="1026" w:type="dxa"/>
            <w:textDirection w:val="lrTb"/>
            <w:noWrap w:val="false"/>
          </w:tcPr>
          <w:p>
            <w:pPr>
              <w:rPr>
                <w:rFonts w:ascii="宋体" w:hAnsi="宋体" w:cs="宋体"/>
                <w:szCs w:val="21"/>
                <w:lang w:val="zh-CN"/>
              </w:rPr>
            </w:pPr>
            <w:r>
              <w:rPr>
                <w:rFonts w:ascii="宋体" w:hAnsi="宋体" w:cs="宋体"/>
                <w:szCs w:val="21"/>
                <w:lang w:val="zh-CN"/>
              </w:rPr>
            </w:r>
            <w:r/>
          </w:p>
        </w:tc>
      </w:tr>
    </w:tbl>
    <w:p>
      <w:pPr>
        <w:rPr>
          <w:rFonts w:ascii="宋体" w:hAnsi="宋体" w:cs="宋体"/>
          <w:szCs w:val="21"/>
          <w:lang w:val="zh-CN"/>
        </w:rPr>
      </w:pPr>
      <w:r>
        <w:rPr>
          <w:rFonts w:ascii="宋体" w:hAnsi="宋体" w:cs="宋体"/>
          <w:szCs w:val="21"/>
          <w:lang w:val="zh-CN"/>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spacing w:before="312" w:after="312"/>
        <w:rPr>
          <w:rFonts w:ascii="宋体" w:hAnsi="宋体" w:cs="宋体"/>
          <w:b/>
        </w:rPr>
      </w:pPr>
      <w:r>
        <w:rPr>
          <w:rStyle w:val="1170"/>
          <w:rFonts w:hint="eastAsia" w:ascii="宋体" w:hAnsi="宋体" w:cs="宋体"/>
          <w:sz w:val="21"/>
          <w:szCs w:val="21"/>
        </w:rPr>
        <w:br w:type="page" w:clear="all"/>
      </w:r>
      <w:bookmarkStart w:id="632" w:name="_Toc534273685"/>
      <w:r/>
      <w:bookmarkStart w:id="633" w:name="_Toc490133036"/>
      <w:r/>
      <w:bookmarkStart w:id="634" w:name="_Toc504044388"/>
      <w:r/>
      <w:bookmarkStart w:id="635" w:name="_Toc504573091"/>
      <w:r/>
      <w:bookmarkStart w:id="636" w:name="_Toc534273808"/>
      <w:r/>
      <w:bookmarkStart w:id="637" w:name="_Toc504056876"/>
      <w:r>
        <w:rPr>
          <w:rFonts w:hint="eastAsia" w:ascii="宋体" w:hAnsi="宋体" w:cs="宋体"/>
          <w:b/>
        </w:rPr>
        <w:t xml:space="preserve">附件八、企业声明函格式</w:t>
      </w:r>
      <w:bookmarkEnd w:id="632"/>
      <w:r/>
      <w:bookmarkEnd w:id="633"/>
      <w:r/>
      <w:bookmarkEnd w:id="634"/>
      <w:r/>
      <w:bookmarkEnd w:id="635"/>
      <w:r/>
      <w:bookmarkEnd w:id="636"/>
      <w:r/>
      <w:bookmarkEnd w:id="637"/>
      <w:r/>
      <w:r/>
    </w:p>
    <w:p>
      <w:pPr>
        <w:rPr>
          <w:rFonts w:ascii="宋体" w:hAnsi="宋体" w:cs="宋体"/>
        </w:rPr>
      </w:pPr>
      <w:r>
        <w:rPr>
          <w:rFonts w:ascii="宋体" w:hAnsi="宋体" w:cs="宋体"/>
        </w:rPr>
      </w:r>
      <w:r/>
    </w:p>
    <w:p>
      <w:pPr>
        <w:jc w:val="center"/>
        <w:spacing w:before="312" w:after="312" w:line="480" w:lineRule="auto"/>
        <w:rPr>
          <w:rFonts w:ascii="宋体" w:hAnsi="宋体" w:cs="宋体"/>
          <w:b/>
          <w:bCs/>
          <w:sz w:val="28"/>
          <w:szCs w:val="28"/>
        </w:rPr>
      </w:pPr>
      <w:r/>
      <w:bookmarkStart w:id="638" w:name="OLE_LINK14"/>
      <w:r/>
      <w:bookmarkStart w:id="639" w:name="OLE_LINK13"/>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lang w:val="en-US" w:eastAsia="zh-CN"/>
        </w:rPr>
        <w:t xml:space="preserve"> 建筑业</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Arial" w:hAnsi="Arial" w:cs="Arial"/>
          <w:color w:val="auto"/>
          <w:sz w:val="21"/>
          <w:szCs w:val="21"/>
          <w:highlight w:val="none"/>
          <w:lang w:val="en-US" w:eastAsia="zh-CN"/>
        </w:rPr>
        <w:t xml:space="preserve">加盖电子公章</w:t>
      </w:r>
      <w:r>
        <w:rPr>
          <w:rFonts w:hint="eastAsia" w:ascii="宋体" w:hAnsi="宋体" w:cs="宋体"/>
        </w:rPr>
        <w:t xml:space="preserve">）：</w:t>
      </w:r>
      <w:r/>
    </w:p>
    <w:p>
      <w:pPr>
        <w:jc w:val="center"/>
        <w:spacing w:line="360" w:lineRule="auto"/>
        <w:rPr>
          <w:rFonts w:ascii="宋体" w:hAnsi="宋体" w:cs="宋体"/>
          <w:b/>
          <w:bCs/>
          <w:sz w:val="28"/>
        </w:rPr>
        <w:sectPr>
          <w:headerReference w:type="default" r:id="rId11"/>
          <w:headerReference w:type="first" r:id="rId12"/>
          <w:footerReference w:type="default" r:id="rId18"/>
          <w:footerReference w:type="first" r:id="rId19"/>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ascii="宋体" w:hAnsi="宋体" w:cs="宋体"/>
          <w:b/>
          <w:sz w:val="36"/>
          <w:szCs w:val="36"/>
        </w:rPr>
      </w:pPr>
      <w:r>
        <w:rPr>
          <w:rFonts w:hint="eastAsia" w:ascii="宋体" w:hAnsi="宋体" w:cs="宋体"/>
          <w:b/>
          <w:sz w:val="36"/>
          <w:szCs w:val="36"/>
        </w:rPr>
        <w:t xml:space="preserve">残疾人福利性单位声明函</w:t>
      </w:r>
      <w:bookmarkEnd w:id="638"/>
      <w:r/>
      <w:bookmarkEnd w:id="639"/>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ind w:firstLine="399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日    期：   年    月    日</w:t>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节能产品认证证书</w:t>
      </w:r>
      <w:r/>
    </w:p>
    <w:p>
      <w:pPr>
        <w:spacing w:before="240" w:line="360" w:lineRule="auto"/>
        <w:shd w:val="clear" w:color="auto" w:fill="ffffff"/>
        <w:widowControl/>
        <w:rPr>
          <w:rFonts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bCs/>
        </w:rPr>
      </w:pPr>
      <w:r>
        <w:rPr>
          <w:rFonts w:hint="eastAsia" w:ascii="宋体" w:hAnsi="宋体" w:cs="宋体"/>
          <w:b/>
          <w:sz w:val="36"/>
          <w:szCs w:val="36"/>
        </w:rPr>
        <w:t xml:space="preserve">环境标志产品认证证书</w:t>
      </w:r>
      <w:r/>
    </w:p>
    <w:p>
      <w:pPr>
        <w:spacing w:before="240" w:line="360" w:lineRule="auto"/>
        <w:shd w:val="clear" w:color="auto" w:fill="ffffff"/>
        <w:widowControl/>
        <w:rPr>
          <w:rFonts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进口产品转让技术、消化吸收再创新方案</w:t>
      </w:r>
      <w:r/>
    </w:p>
    <w:p>
      <w:pPr>
        <w:spacing w:line="360" w:lineRule="auto"/>
        <w:rPr>
          <w:rFonts w:ascii="宋体" w:hAnsi="宋体" w:cs="宋体"/>
          <w:bCs/>
          <w:szCs w:val="21"/>
        </w:rPr>
      </w:pPr>
      <w:r>
        <w:rPr>
          <w:rFonts w:hint="eastAsia" w:ascii="宋体" w:hAnsi="宋体" w:cs="宋体"/>
          <w:bCs/>
          <w:szCs w:val="21"/>
        </w:rPr>
        <w:t xml:space="preserve">（对于允许进口产品参加的项目）</w:t>
      </w:r>
      <w:r/>
    </w:p>
    <w:p>
      <w:pPr>
        <w:spacing w:before="240" w:after="240"/>
        <w:rPr>
          <w:rFonts w:ascii="宋体" w:hAnsi="宋体" w:cs="宋体"/>
          <w:b/>
        </w:rPr>
      </w:pPr>
      <w:r>
        <w:rPr>
          <w:rFonts w:hint="eastAsia" w:ascii="宋体" w:hAnsi="宋体" w:cs="宋体"/>
          <w:szCs w:val="21"/>
          <w:lang w:val="zh-CN"/>
        </w:rPr>
        <w:br w:type="page" w:clear="all"/>
      </w:r>
      <w:bookmarkStart w:id="640" w:name="_Toc504044389"/>
      <w:r/>
      <w:bookmarkStart w:id="641" w:name="_Toc534273686"/>
      <w:r/>
      <w:bookmarkStart w:id="642" w:name="_Toc8704"/>
      <w:r/>
      <w:bookmarkStart w:id="643" w:name="_Toc504573092"/>
      <w:r/>
      <w:bookmarkStart w:id="644" w:name="_Toc534273809"/>
      <w:r/>
      <w:bookmarkStart w:id="645" w:name="_Toc490133037"/>
      <w:r/>
      <w:bookmarkStart w:id="646" w:name="_Toc504056877"/>
      <w:r>
        <w:rPr>
          <w:rFonts w:hint="eastAsia" w:ascii="宋体" w:hAnsi="宋体" w:cs="宋体"/>
          <w:b/>
        </w:rPr>
        <w:t xml:space="preserve">附件九、无重大违法记录声明格式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我单位（供应商名称）宣布声明和承诺如下：</w:t>
      </w:r>
      <w:r/>
    </w:p>
    <w:p>
      <w:pPr>
        <w:ind w:firstLine="310"/>
        <w:spacing w:line="360" w:lineRule="auto"/>
        <w:shd w:val="clear" w:color="auto" w:fill="ffffff"/>
        <w:widowControl/>
        <w:rPr>
          <w:rFonts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Arial" w:hAnsi="Arial" w:cs="Arial"/>
          <w:color w:val="auto"/>
          <w:sz w:val="21"/>
          <w:szCs w:val="21"/>
          <w:highlight w:val="none"/>
          <w:lang w:val="en-US" w:eastAsia="zh-CN"/>
        </w:rPr>
        <w:t xml:space="preserve">加盖电子公章</w:t>
      </w:r>
      <w:r>
        <w:rPr>
          <w:rFonts w:hint="eastAsia" w:ascii="宋体" w:hAnsi="宋体" w:cs="宋体"/>
        </w:rPr>
        <w:t xml:space="preserve">）</w:t>
      </w:r>
      <w:r/>
    </w:p>
    <w:p>
      <w:pPr>
        <w:ind w:firstLine="5040"/>
        <w:spacing w:line="360" w:lineRule="auto"/>
        <w:rPr>
          <w:rFonts w:ascii="宋体" w:hAnsi="宋体" w:cs="宋体"/>
          <w:b/>
        </w:rPr>
      </w:pPr>
      <w:r>
        <w:rPr>
          <w:rFonts w:hint="eastAsia" w:ascii="宋体" w:hAnsi="宋体" w:cs="宋体"/>
        </w:rPr>
        <w:t xml:space="preserve">日期：    年   月</w:t>
      </w:r>
      <w:r>
        <w:rPr>
          <w:rFonts w:hint="eastAsia" w:ascii="宋体" w:hAnsi="宋体" w:cs="宋体"/>
        </w:rPr>
        <w:br w:type="page" w:clear="all"/>
      </w:r>
      <w:bookmarkEnd w:id="640"/>
      <w:r/>
      <w:bookmarkEnd w:id="641"/>
      <w:r/>
      <w:bookmarkEnd w:id="642"/>
      <w:r/>
      <w:bookmarkEnd w:id="643"/>
      <w:r/>
      <w:bookmarkEnd w:id="644"/>
      <w:r/>
      <w:bookmarkEnd w:id="645"/>
      <w:r/>
      <w:bookmarkEnd w:id="646"/>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ascii="宋体" w:hAnsi="宋体" w:cs="宋体"/>
          <w:szCs w:val="21"/>
        </w:rPr>
      </w:pPr>
      <w:r>
        <w:rPr>
          <w:rFonts w:hint="eastAsia" w:ascii="宋体" w:hAnsi="宋体" w:cs="宋体"/>
          <w:szCs w:val="21"/>
        </w:rPr>
        <w:t xml:space="preserve">主要设备有：</w:t>
      </w:r>
      <w:r/>
    </w:p>
    <w:p>
      <w:pPr>
        <w:jc w:val="left"/>
        <w:spacing w:line="360" w:lineRule="auto"/>
        <w:widowControl/>
        <w:rPr>
          <w:rFonts w:ascii="宋体" w:hAnsi="宋体" w:cs="宋体"/>
          <w:szCs w:val="21"/>
        </w:rPr>
      </w:pPr>
      <w:r>
        <w:rPr>
          <w:rFonts w:hint="eastAsia" w:ascii="宋体" w:hAnsi="宋体" w:cs="宋体"/>
          <w:szCs w:val="21"/>
        </w:rPr>
        <w:t xml:space="preserve">主要专业技术能力有：</w:t>
      </w:r>
      <w:r/>
    </w:p>
    <w:p>
      <w:pPr>
        <w:ind w:firstLine="4200"/>
        <w:spacing w:line="360" w:lineRule="auto"/>
        <w:widowControl/>
        <w:rPr>
          <w:rFonts w:ascii="宋体" w:hAnsi="宋体" w:cs="宋体"/>
          <w:szCs w:val="21"/>
        </w:rPr>
      </w:pPr>
      <w:r>
        <w:rPr>
          <w:rFonts w:ascii="宋体" w:hAnsi="宋体" w:cs="宋体"/>
          <w:szCs w:val="21"/>
        </w:rPr>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color w:val="auto"/>
          <w:sz w:val="21"/>
          <w:szCs w:val="21"/>
          <w:highlight w:val="none"/>
          <w:lang w:val="en-US" w:eastAsia="zh-CN"/>
        </w:rPr>
        <w:t xml:space="preserve">加盖电子公章</w:t>
      </w:r>
      <w:r>
        <w:rPr>
          <w:rFonts w:hint="eastAsia" w:ascii="宋体" w:hAnsi="宋体" w:cs="宋体"/>
          <w:szCs w:val="21"/>
        </w:rPr>
        <w:t xml:space="preserve">） </w:t>
      </w:r>
      <w:r/>
    </w:p>
    <w:p>
      <w:pPr>
        <w:jc w:val="right"/>
        <w:spacing w:line="360" w:lineRule="auto"/>
        <w:rPr>
          <w:rFonts w:ascii="宋体" w:hAnsi="宋体" w:cs="宋体"/>
          <w:b/>
          <w:sz w:val="24"/>
          <w:szCs w:val="24"/>
        </w:rPr>
      </w:pPr>
      <w:r>
        <w:rPr>
          <w:rFonts w:hint="eastAsia" w:ascii="宋体" w:hAnsi="宋体" w:cs="宋体"/>
          <w:position w:val="18"/>
          <w:szCs w:val="21"/>
        </w:rPr>
        <w:t xml:space="preserve">日期：年 月 日</w:t>
      </w:r>
      <w:r>
        <w:rPr>
          <w:rFonts w:hint="eastAsia" w:ascii="宋体" w:hAnsi="宋体" w:cs="宋体"/>
          <w:position w:val="18"/>
          <w:sz w:val="24"/>
          <w:szCs w:val="24"/>
        </w:rPr>
        <w:t xml:space="preserve">  </w:t>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ind w:firstLine="5060"/>
        <w:spacing w:line="360" w:lineRule="auto"/>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附件十一、 资格资信证明文件</w:t>
      </w:r>
      <w:r/>
    </w:p>
    <w:p>
      <w:pPr>
        <w:spacing w:line="360" w:lineRule="auto"/>
        <w:rPr>
          <w:rFonts w:ascii="宋体" w:hAnsi="宋体" w:cs="宋体"/>
          <w:b/>
        </w:rPr>
      </w:pPr>
      <w:r>
        <w:rPr>
          <w:rFonts w:hint="eastAsia" w:ascii="宋体" w:hAnsi="宋体" w:cs="宋体"/>
          <w:b/>
          <w:szCs w:val="21"/>
        </w:rPr>
        <w:t xml:space="preserve">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（2）具有良好的商业信誉和健全的财务会计制度（提供2025年度财务报表（公司成立不满一年，至少提供投标截止时间前近一个月的财务报表），或磋商截止时间前六个月内银行出具的资信证明）；</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p>
    <w:p>
      <w:pPr>
        <w:ind w:firstLine="424"/>
        <w:spacing w:line="360" w:lineRule="auto"/>
        <w:rPr>
          <w:rFonts w:hint="eastAsia" w:ascii="宋体" w:hAnsi="宋体" w:cs="宋体"/>
          <w:bCs/>
          <w:szCs w:val="21"/>
        </w:rPr>
      </w:pPr>
      <w:r>
        <w:rPr>
          <w:rFonts w:hint="eastAsia" w:ascii="宋体" w:hAnsi="宋体" w:cs="宋体"/>
          <w:bCs/>
          <w:szCs w:val="21"/>
        </w:rPr>
        <w:t xml:space="preserve">①提供缴纳税收的凭证；</w:t>
      </w:r>
      <w:r/>
    </w:p>
    <w:p>
      <w:pPr>
        <w:ind w:firstLine="424"/>
        <w:spacing w:line="360" w:lineRule="auto"/>
        <w:rPr>
          <w:rFonts w:hint="eastAsia" w:ascii="宋体" w:hAnsi="宋体" w:cs="宋体"/>
          <w:bCs/>
          <w:szCs w:val="21"/>
        </w:rPr>
      </w:pPr>
      <w:r>
        <w:rPr>
          <w:rFonts w:hint="eastAsia" w:ascii="宋体" w:hAnsi="宋体" w:cs="宋体"/>
          <w:bCs/>
          <w:szCs w:val="21"/>
        </w:rPr>
      </w:r>
      <w:r/>
    </w:p>
    <w:p>
      <w:pPr>
        <w:ind w:firstLine="424"/>
        <w:spacing w:line="360" w:lineRule="auto"/>
        <w:rPr>
          <w:rFonts w:hint="eastAsia" w:ascii="宋体" w:hAnsi="宋体" w:cs="宋体"/>
          <w:bCs/>
          <w:szCs w:val="21"/>
        </w:rPr>
      </w:pPr>
      <w:r>
        <w:rPr>
          <w:rFonts w:hint="eastAsia" w:ascii="宋体" w:hAnsi="宋体" w:cs="宋体"/>
          <w:bCs/>
          <w:szCs w:val="21"/>
        </w:rPr>
        <w:t xml:space="preserve">②提供缴纳社会保险的凭据；</w:t>
      </w:r>
      <w:r/>
    </w:p>
    <w:p>
      <w:pPr>
        <w:ind w:firstLine="424"/>
        <w:spacing w:line="360" w:lineRule="auto"/>
        <w:rPr>
          <w:rFonts w:hint="eastAsia" w:ascii="宋体" w:hAnsi="宋体" w:cs="宋体"/>
          <w:bCs/>
          <w:szCs w:val="21"/>
        </w:rPr>
      </w:pPr>
      <w:r>
        <w:rPr>
          <w:rFonts w:hint="eastAsia" w:ascii="宋体" w:hAnsi="宋体" w:cs="宋体"/>
          <w:bCs/>
          <w:szCs w:val="21"/>
        </w:rPr>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ascii="宋体" w:hAnsi="宋体" w:cs="宋体"/>
          <w:b w:val="0"/>
          <w:bCs/>
          <w:szCs w:val="21"/>
        </w:rPr>
      </w:pPr>
      <w:r>
        <w:rPr>
          <w:rFonts w:hint="eastAsia" w:ascii="宋体" w:hAnsi="宋体" w:cs="宋体"/>
          <w:b w:val="0"/>
          <w:bCs/>
          <w:szCs w:val="21"/>
        </w:rPr>
        <w:t xml:space="preserve">（6）法律、行政法规规定的其他条件：无</w:t>
      </w:r>
      <w:r/>
    </w:p>
    <w:p>
      <w:pPr>
        <w:ind w:firstLine="452"/>
        <w:spacing w:line="360" w:lineRule="auto"/>
        <w:rPr>
          <w:rFonts w:ascii="宋体" w:hAnsi="宋体" w:cs="宋体"/>
          <w:b w:val="0"/>
          <w:bCs/>
          <w:i/>
          <w:color w:val="ff0000"/>
          <w:spacing w:val="8"/>
          <w:szCs w:val="21"/>
          <w:u w:val="single"/>
        </w:rPr>
      </w:pPr>
      <w:r>
        <w:rPr>
          <w:rFonts w:hint="eastAsia" w:ascii="宋体" w:hAnsi="宋体" w:cs="宋体"/>
          <w:b w:val="0"/>
          <w:bCs/>
          <w:spacing w:val="8"/>
          <w:szCs w:val="21"/>
        </w:rPr>
        <w:t xml:space="preserve">2落实政府采购政策需满足的资格要求：</w:t>
      </w:r>
      <w:r>
        <w:rPr>
          <w:rFonts w:hint="eastAsia" w:ascii="宋体" w:hAnsi="宋体" w:cs="宋体"/>
          <w:b w:val="0"/>
          <w:bCs/>
          <w:highlight w:val="none"/>
        </w:rPr>
        <w:t xml:space="preserve">本项目专门面向中小企业（或监狱企业或残疾人福利性单位）采购，供应商须提供《中小企业声明函》（或残疾人福利性单位声明函、属于监狱企业的证明文件）</w:t>
      </w:r>
      <w:r>
        <w:rPr>
          <w:rFonts w:hint="eastAsia" w:ascii="宋体" w:hAnsi="宋体" w:cs="宋体"/>
          <w:b w:val="0"/>
          <w:bCs/>
          <w:highlight w:val="none"/>
          <w:lang w:eastAsia="zh-CN"/>
        </w:rPr>
        <w:t xml:space="preserve">。</w:t>
      </w:r>
      <w:r/>
    </w:p>
    <w:p>
      <w:pPr>
        <w:ind w:firstLine="452"/>
        <w:spacing w:line="360" w:lineRule="auto"/>
        <w:rPr>
          <w:rFonts w:ascii="宋体" w:hAnsi="宋体" w:cs="宋体"/>
          <w:b w:val="0"/>
          <w:bCs/>
          <w:szCs w:val="21"/>
        </w:rPr>
      </w:pPr>
      <w:r>
        <w:rPr>
          <w:rFonts w:hint="eastAsia" w:ascii="宋体" w:hAnsi="宋体" w:cs="宋体"/>
          <w:b w:val="0"/>
          <w:bCs/>
          <w:spacing w:val="8"/>
          <w:szCs w:val="21"/>
        </w:rPr>
        <w:t xml:space="preserve">3</w:t>
      </w:r>
      <w:r>
        <w:rPr>
          <w:rFonts w:hint="eastAsia" w:ascii="宋体" w:hAnsi="宋体" w:cs="宋体"/>
          <w:b w:val="0"/>
          <w:bCs/>
          <w:szCs w:val="21"/>
        </w:rPr>
        <w:t xml:space="preserve">采购人根据采购项目的特殊要求规定的特定条件，并提供符合特殊要求的证明材料或者情况说明：</w:t>
      </w:r>
      <w:r/>
    </w:p>
    <w:p>
      <w:pPr>
        <w:ind w:firstLine="452"/>
        <w:spacing w:line="360" w:lineRule="auto"/>
        <w:rPr>
          <w:rFonts w:hint="eastAsia" w:ascii="宋体" w:hAnsi="宋体" w:eastAsia="宋体" w:cs="宋体"/>
          <w:b w:val="0"/>
          <w:bCs/>
          <w:color w:val="auto"/>
          <w:spacing w:val="8"/>
          <w:szCs w:val="21"/>
          <w:highlight w:val="none"/>
          <w:lang w:val="en-US" w:eastAsia="zh-CN"/>
        </w:rPr>
      </w:pPr>
      <w:r>
        <w:rPr>
          <w:rFonts w:hint="eastAsia" w:ascii="宋体" w:hAnsi="宋体" w:eastAsia="宋体" w:cs="宋体"/>
          <w:b w:val="0"/>
          <w:bCs/>
          <w:color w:val="auto"/>
          <w:spacing w:val="8"/>
          <w:szCs w:val="21"/>
          <w:highlight w:val="none"/>
          <w:lang w:val="en-US" w:eastAsia="zh-CN"/>
        </w:rPr>
        <w:t xml:space="preserve">（1）供应商须具有有效的建筑装修装饰工程二级(含）以上资质并具有有效的安全生产许可证（提供证书复印件并加盖公章）；</w:t>
      </w:r>
      <w:r/>
    </w:p>
    <w:p>
      <w:pPr>
        <w:ind w:firstLine="452"/>
        <w:spacing w:line="360" w:lineRule="auto"/>
        <w:rPr>
          <w:rFonts w:hint="eastAsia" w:ascii="宋体" w:hAnsi="宋体" w:eastAsia="宋体" w:cs="宋体"/>
          <w:b w:val="0"/>
          <w:bCs/>
          <w:color w:val="auto"/>
          <w:spacing w:val="8"/>
          <w:szCs w:val="21"/>
          <w:highlight w:val="none"/>
          <w:lang w:val="en-US" w:eastAsia="zh-CN"/>
        </w:rPr>
      </w:pPr>
      <w:r>
        <w:rPr>
          <w:rFonts w:hint="eastAsia" w:ascii="宋体" w:hAnsi="宋体" w:eastAsia="宋体" w:cs="宋体"/>
          <w:b w:val="0"/>
          <w:bCs/>
          <w:color w:val="auto"/>
          <w:spacing w:val="8"/>
          <w:szCs w:val="21"/>
          <w:highlight w:val="none"/>
          <w:lang w:val="en-US" w:eastAsia="zh-CN"/>
        </w:rPr>
        <w:t xml:space="preserve">（2）拟派项目负责人具有注册建造师证建筑工程二级(含)以上，并具有有效的安全生产考核合格证书（B类证），且不得担任其他在建工程，供应商必须提供拟派项目负责人无在建工程的承诺书。（提供承诺书、证书复印件及近半年内社保缴纳证明，并加盖公章。）</w:t>
      </w:r>
      <w:r/>
    </w:p>
    <w:p>
      <w:pPr>
        <w:spacing w:line="360" w:lineRule="auto"/>
        <w:rPr>
          <w:rFonts w:ascii="宋体" w:hAnsi="宋体" w:cs="宋体"/>
          <w:b/>
        </w:rPr>
      </w:pPr>
      <w:r>
        <w:rPr>
          <w:rFonts w:ascii="宋体" w:hAnsi="宋体" w:cs="宋体"/>
          <w:b/>
        </w:rPr>
      </w:r>
      <w:r/>
    </w:p>
    <w:p>
      <w:pPr>
        <w:pStyle w:val="1171"/>
        <w:ind w:firstLine="482"/>
        <w:rPr>
          <w:rFonts w:hAnsi="宋体" w:cs="宋体"/>
          <w:b/>
        </w:rPr>
      </w:pPr>
      <w:r>
        <w:rPr>
          <w:rFonts w:hAnsi="宋体" w:cs="宋体"/>
          <w:b/>
        </w:rPr>
      </w:r>
      <w:r/>
    </w:p>
    <w:p>
      <w:pPr>
        <w:rPr>
          <w:rFonts w:ascii="宋体" w:hAnsi="宋体" w:cs="宋体"/>
          <w:b/>
        </w:rPr>
      </w:pPr>
      <w:r>
        <w:rPr>
          <w:rFonts w:ascii="宋体" w:hAnsi="宋体" w:cs="宋体"/>
          <w:b/>
        </w:rPr>
      </w:r>
      <w:r/>
    </w:p>
    <w:p>
      <w:pPr>
        <w:pStyle w:val="1171"/>
        <w:ind w:firstLine="480"/>
      </w:p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附件十二、项目技术说明或实施方案</w:t>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color w:val="0000ff"/>
          <w:szCs w:val="21"/>
        </w:rPr>
      </w:pPr>
      <w:r>
        <w:rPr>
          <w:rFonts w:ascii="宋体" w:hAnsi="宋体" w:cs="宋体"/>
          <w:color w:val="0000ff"/>
          <w:szCs w:val="21"/>
        </w:rPr>
      </w:r>
      <w:r/>
    </w:p>
    <w:p>
      <w:pPr>
        <w:jc w:val="left"/>
        <w:spacing w:line="360" w:lineRule="auto"/>
        <w:shd w:val="clear" w:color="auto" w:fill="ffffff"/>
        <w:widowControl/>
        <w:rPr>
          <w:rFonts w:ascii="宋体" w:hAnsi="宋体" w:cs="宋体"/>
          <w:b/>
          <w:bCs/>
          <w:color w:val="0000ff"/>
          <w:szCs w:val="21"/>
        </w:rPr>
      </w:pPr>
      <w:r>
        <w:rPr>
          <w:rFonts w:ascii="宋体" w:hAnsi="宋体" w:cs="宋体"/>
          <w:b/>
          <w:bCs/>
          <w:color w:val="0000ff"/>
          <w:szCs w:val="21"/>
        </w:rPr>
      </w:r>
      <w:r/>
    </w:p>
    <w:p>
      <w:pPr>
        <w:ind w:firstLine="422"/>
        <w:spacing w:line="360" w:lineRule="auto"/>
        <w:rPr>
          <w:rFonts w:hint="eastAsia" w:ascii="宋体" w:hAnsi="宋体"/>
          <w:b/>
          <w:color w:val="auto"/>
          <w:szCs w:val="24"/>
        </w:rPr>
      </w:pPr>
      <w:r>
        <w:rPr>
          <w:rFonts w:hint="eastAsia" w:ascii="宋体" w:hAnsi="宋体"/>
          <w:b/>
          <w:color w:val="auto"/>
          <w:szCs w:val="24"/>
        </w:rPr>
      </w:r>
      <w:r/>
    </w:p>
    <w:p>
      <w:pPr>
        <w:rPr>
          <w:rFonts w:hint="eastAsia" w:ascii="宋体" w:hAnsi="宋体" w:eastAsia="宋体" w:cs="Times New Roman"/>
          <w:b/>
          <w:color w:val="auto"/>
          <w:szCs w:val="24"/>
        </w:rPr>
      </w:pPr>
      <w:r>
        <w:rPr>
          <w:rFonts w:hint="eastAsia" w:ascii="宋体" w:hAnsi="宋体" w:eastAsia="宋体" w:cs="Times New Roman"/>
          <w:b/>
          <w:color w:val="auto"/>
          <w:szCs w:val="24"/>
        </w:rPr>
        <w:br w:type="page" w:clear="all"/>
      </w:r>
      <w:r/>
    </w:p>
    <w:p>
      <w:pPr>
        <w:pStyle w:val="1235"/>
        <w:ind w:firstLine="422"/>
        <w:rPr>
          <w:rFonts w:ascii="宋体" w:hAnsi="宋体" w:cs="宋体"/>
          <w:b/>
        </w:rPr>
      </w:pPr>
      <w:r>
        <w:rPr>
          <w:rFonts w:ascii="宋体" w:hAnsi="宋体" w:cs="宋体"/>
          <w:b/>
        </w:rPr>
      </w:r>
      <w:r/>
    </w:p>
    <w:p>
      <w:pPr>
        <w:spacing w:line="360" w:lineRule="auto"/>
        <w:rPr>
          <w:rFonts w:hint="eastAsia" w:ascii="宋体" w:hAnsi="宋体" w:eastAsia="宋体" w:cs="宋体"/>
          <w:b/>
          <w:sz w:val="21"/>
          <w:lang w:val="en-US" w:eastAsia="zh-CN"/>
        </w:rPr>
      </w:pPr>
      <w:r>
        <w:rPr>
          <w:rFonts w:hint="eastAsia" w:ascii="宋体" w:hAnsi="宋体" w:eastAsia="宋体" w:cs="宋体"/>
          <w:b/>
          <w:sz w:val="21"/>
          <w:lang w:val="en-US" w:eastAsia="zh-CN"/>
        </w:rPr>
        <w:t xml:space="preserve">附件十</w:t>
      </w:r>
      <w:r>
        <w:rPr>
          <w:rFonts w:hint="eastAsia" w:ascii="宋体" w:hAnsi="宋体" w:cs="宋体"/>
          <w:b/>
          <w:sz w:val="21"/>
          <w:lang w:val="en-US" w:eastAsia="zh-CN"/>
        </w:rPr>
        <w:t xml:space="preserve">三</w:t>
      </w:r>
      <w:r>
        <w:rPr>
          <w:rFonts w:hint="eastAsia" w:ascii="宋体" w:hAnsi="宋体" w:eastAsia="宋体" w:cs="宋体"/>
          <w:b/>
          <w:sz w:val="21"/>
          <w:lang w:val="en-US" w:eastAsia="zh-CN"/>
        </w:rPr>
        <w:t xml:space="preserve">：其他承诺（根据招标文件资格及评分要求，格式自拟）</w:t>
      </w:r>
      <w:r/>
    </w:p>
    <w:p>
      <w:pPr>
        <w:pStyle w:val="1235"/>
        <w:ind w:firstLine="422"/>
        <w:rPr>
          <w:rFonts w:ascii="宋体" w:hAnsi="宋体" w:cs="宋体"/>
          <w:b/>
        </w:rPr>
      </w:pPr>
      <w:r>
        <w:rPr>
          <w:rFonts w:ascii="宋体" w:hAnsi="宋体" w:cs="宋体"/>
          <w:b/>
        </w:rPr>
      </w:r>
      <w:r/>
    </w:p>
    <w:p>
      <w:pPr>
        <w:pStyle w:val="1235"/>
        <w:ind w:firstLine="422"/>
        <w:rPr>
          <w:rFonts w:ascii="宋体" w:hAnsi="宋体" w:cs="宋体"/>
          <w:b/>
        </w:rPr>
      </w:pPr>
      <w:r>
        <w:rPr>
          <w:rFonts w:ascii="宋体" w:hAnsi="宋体" w:cs="宋体"/>
          <w:b/>
        </w:rPr>
      </w:r>
      <w:r/>
    </w:p>
    <w:p>
      <w:pPr>
        <w:pStyle w:val="1235"/>
        <w:ind w:firstLine="422"/>
        <w:rPr>
          <w:rFonts w:ascii="宋体" w:hAnsi="宋体" w:cs="宋体"/>
          <w:b/>
        </w:rPr>
      </w:pPr>
      <w:r>
        <w:rPr>
          <w:rFonts w:ascii="宋体" w:hAnsi="宋体" w:cs="宋体"/>
          <w:b/>
        </w:rPr>
      </w:r>
      <w:r/>
    </w:p>
    <w:p>
      <w:pPr>
        <w:pStyle w:val="1235"/>
        <w:ind w:firstLine="422"/>
        <w:rPr>
          <w:rFonts w:ascii="宋体" w:hAnsi="宋体" w:cs="宋体"/>
          <w:b/>
        </w:rPr>
      </w:pPr>
      <w:r>
        <w:rPr>
          <w:rFonts w:ascii="宋体" w:hAnsi="宋体" w:cs="宋体"/>
          <w:b/>
        </w:rPr>
      </w:r>
      <w:r/>
    </w:p>
    <w:p>
      <w:pPr>
        <w:pStyle w:val="1235"/>
        <w:ind w:firstLine="422"/>
        <w:rPr>
          <w:rFonts w:ascii="宋体" w:hAnsi="宋体" w:cs="宋体"/>
          <w:b/>
        </w:rPr>
      </w:pPr>
      <w:r>
        <w:rPr>
          <w:rFonts w:ascii="宋体" w:hAnsi="宋体" w:cs="宋体"/>
          <w:b/>
        </w:rPr>
      </w:r>
      <w:r/>
    </w:p>
    <w:p>
      <w:pPr>
        <w:pStyle w:val="1235"/>
        <w:ind w:firstLine="422"/>
        <w:jc w:val="center"/>
        <w:rPr>
          <w:rFonts w:hint="eastAsia" w:ascii="宋体" w:hAnsi="宋体" w:eastAsia="宋体" w:cs="宋体"/>
          <w:b/>
          <w:bCs/>
          <w:color w:val="auto"/>
          <w:spacing w:val="8"/>
          <w:szCs w:val="21"/>
          <w:highlight w:val="none"/>
          <w:lang w:val="en-US" w:eastAsia="zh-CN"/>
        </w:rPr>
      </w:pPr>
      <w:r>
        <w:rPr>
          <w:rFonts w:hint="eastAsia" w:ascii="宋体" w:hAnsi="宋体" w:eastAsia="宋体" w:cs="宋体"/>
          <w:b/>
          <w:bCs/>
          <w:color w:val="auto"/>
          <w:spacing w:val="8"/>
          <w:szCs w:val="21"/>
          <w:highlight w:val="none"/>
          <w:lang w:val="en-US" w:eastAsia="zh-CN"/>
        </w:rPr>
        <w:t xml:space="preserve">拟派项目负责人无在建工程的承诺书</w:t>
      </w:r>
      <w:r/>
    </w:p>
    <w:p>
      <w:pPr>
        <w:pStyle w:val="1235"/>
        <w:ind w:firstLine="422"/>
        <w:jc w:val="center"/>
        <w:rPr>
          <w:rFonts w:hint="eastAsia" w:ascii="宋体" w:hAnsi="宋体" w:eastAsia="宋体" w:cs="宋体"/>
          <w:b/>
          <w:bCs/>
          <w:color w:val="auto"/>
          <w:spacing w:val="8"/>
          <w:szCs w:val="21"/>
          <w:highlight w:val="none"/>
          <w:lang w:val="en-US" w:eastAsia="zh-CN"/>
        </w:rPr>
      </w:pPr>
      <w:r>
        <w:rPr>
          <w:rFonts w:hint="eastAsia" w:ascii="宋体" w:hAnsi="宋体" w:eastAsia="宋体" w:cs="宋体"/>
          <w:b/>
          <w:bCs/>
          <w:color w:val="auto"/>
          <w:spacing w:val="8"/>
          <w:szCs w:val="21"/>
          <w:highlight w:val="none"/>
          <w:lang w:val="en-US" w:eastAsia="zh-CN"/>
        </w:rPr>
      </w:r>
      <w:r/>
    </w:p>
    <w:p>
      <w:pPr>
        <w:pStyle w:val="1235"/>
        <w:ind w:firstLine="422"/>
        <w:jc w:val="center"/>
        <w:rPr>
          <w:rFonts w:hint="default" w:ascii="宋体" w:hAnsi="宋体" w:eastAsia="宋体" w:cs="宋体"/>
          <w:b w:val="0"/>
          <w:bCs w:val="0"/>
          <w:color w:val="auto"/>
          <w:spacing w:val="8"/>
          <w:szCs w:val="21"/>
          <w:highlight w:val="none"/>
          <w:lang w:val="en-US" w:eastAsia="zh-CN"/>
        </w:rPr>
      </w:pPr>
      <w:r>
        <w:rPr>
          <w:rFonts w:hint="eastAsia" w:ascii="宋体" w:hAnsi="宋体" w:cs="宋体"/>
          <w:b w:val="0"/>
          <w:bCs w:val="0"/>
          <w:color w:val="auto"/>
          <w:spacing w:val="8"/>
          <w:szCs w:val="21"/>
          <w:highlight w:val="none"/>
          <w:lang w:val="en-US" w:eastAsia="zh-CN"/>
        </w:rPr>
        <w:t xml:space="preserve">（格式自拟）</w:t>
      </w:r>
      <w:r/>
    </w:p>
    <w:p>
      <w:pPr>
        <w:pStyle w:val="1235"/>
        <w:ind w:firstLine="422"/>
        <w:rPr>
          <w:rFonts w:hint="eastAsia" w:ascii="宋体" w:hAnsi="宋体" w:eastAsia="宋体" w:cs="宋体"/>
          <w:b/>
          <w:bCs/>
          <w:color w:val="auto"/>
          <w:spacing w:val="8"/>
          <w:szCs w:val="21"/>
          <w:highlight w:val="none"/>
          <w:lang w:val="en-US" w:eastAsia="zh-CN"/>
        </w:rPr>
      </w:pPr>
      <w:r>
        <w:rPr>
          <w:rFonts w:hint="eastAsia" w:ascii="宋体" w:hAnsi="宋体" w:eastAsia="宋体" w:cs="宋体"/>
          <w:b/>
          <w:bCs/>
          <w:color w:val="auto"/>
          <w:spacing w:val="8"/>
          <w:szCs w:val="21"/>
          <w:highlight w:val="none"/>
          <w:lang w:val="en-US" w:eastAsia="zh-CN"/>
        </w:rPr>
      </w:r>
      <w:r/>
    </w:p>
    <w:p>
      <w:pPr>
        <w:pStyle w:val="1235"/>
        <w:ind w:firstLine="422"/>
        <w:rPr>
          <w:rFonts w:ascii="宋体" w:hAnsi="宋体" w:cs="宋体"/>
          <w:b/>
        </w:rPr>
      </w:pPr>
      <w:r>
        <w:rPr>
          <w:rFonts w:ascii="宋体" w:hAnsi="宋体" w:cs="宋体"/>
          <w:b/>
        </w:rPr>
      </w:r>
      <w:r/>
    </w:p>
    <w:p>
      <w:pPr>
        <w:pStyle w:val="1235"/>
        <w:ind w:firstLine="422"/>
        <w:rPr>
          <w:rFonts w:ascii="宋体" w:hAnsi="宋体" w:cs="宋体"/>
          <w:b/>
        </w:rPr>
      </w:pPr>
      <w:r>
        <w:rPr>
          <w:rFonts w:ascii="宋体" w:hAnsi="宋体" w:cs="宋体"/>
          <w:b/>
        </w:rPr>
      </w:r>
      <w:r/>
    </w:p>
    <w:p>
      <w:pPr>
        <w:pStyle w:val="1235"/>
        <w:ind w:firstLine="422"/>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四</w:t>
      </w:r>
      <w:r>
        <w:rPr>
          <w:rFonts w:hint="eastAsia" w:ascii="宋体" w:hAnsi="宋体" w:cs="宋体"/>
          <w:b/>
        </w:rPr>
        <w:t xml:space="preserve">、其他</w:t>
      </w:r>
      <w:r/>
    </w:p>
    <w:p>
      <w:pPr>
        <w:pStyle w:val="1235"/>
        <w:ind w:firstLine="422"/>
        <w:rPr>
          <w:rFonts w:ascii="宋体" w:hAnsi="宋体" w:cs="宋体"/>
          <w:b/>
        </w:rPr>
      </w:pPr>
      <w:r>
        <w:rPr>
          <w:rFonts w:ascii="宋体" w:hAnsi="宋体" w:cs="宋体"/>
          <w:b/>
        </w:rPr>
      </w:r>
      <w:r/>
    </w:p>
    <w:sectPr>
      <w:footerReference w:type="default" r:id="rId20"/>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w:panose1 w:val="020B0502040204020203"/>
  </w:font>
  <w:font w:name="Symbol">
    <w:panose1 w:val="05050102010706020507"/>
  </w:font>
  <w:font w:name="Wingdings">
    <w:panose1 w:val="05000000000000000000"/>
  </w:font>
  <w:font w:name="楷体">
    <w:panose1 w:val="02010609060101010101"/>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square" lIns="0" tIns="0" rIns="0" bIns="0"/>
                  </wps:wsp>
                </a:graphicData>
              </a:graphic>
            </wp:anchor>
          </w:drawing>
        </mc:Choice>
        <mc:Fallback>
          <w:pict>
            <v:shape id="shape 2" o:spid="_x0000_s2" o:spt="202" type="#_x0000_t202" style="position:absolute;z-index:251660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6"/>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both"/>
      <w:pBdr>
        <w:bottom w:val="none" w:color="auto"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96"/>
      <w:isLgl w:val="false"/>
      <w:suff w:val="nothing"/>
      <w:lvlText w:val="第%1章"/>
      <w:lvlJc w:val="left"/>
      <w:pPr>
        <w:ind w:left="0" w:firstLine="0"/>
      </w:pPr>
    </w:lvl>
    <w:lvl w:ilvl="1">
      <w:start w:val="1"/>
      <w:numFmt w:val="none"/>
      <w:pStyle w:val="1097"/>
      <w:isLgl w:val="false"/>
      <w:suff w:val="nothing"/>
      <w:lvlText w:val=""/>
      <w:lvlJc w:val="left"/>
      <w:pPr>
        <w:ind w:left="0" w:firstLine="0"/>
      </w:pPr>
    </w:lvl>
    <w:lvl w:ilvl="2">
      <w:start w:val="1"/>
      <w:numFmt w:val="none"/>
      <w:pStyle w:val="1098"/>
      <w:isLgl w:val="false"/>
      <w:suff w:val="nothing"/>
      <w:lvlText w:val=""/>
      <w:lvlJc w:val="left"/>
      <w:pPr>
        <w:ind w:left="0" w:firstLine="0"/>
      </w:pPr>
    </w:lvl>
    <w:lvl w:ilvl="3">
      <w:start w:val="1"/>
      <w:numFmt w:val="none"/>
      <w:pStyle w:val="1099"/>
      <w:isLgl w:val="false"/>
      <w:suff w:val="nothing"/>
      <w:lvlText w:val=""/>
      <w:lvlJc w:val="left"/>
      <w:pPr>
        <w:ind w:left="0" w:firstLine="0"/>
      </w:pPr>
    </w:lvl>
    <w:lvl w:ilvl="4">
      <w:start w:val="1"/>
      <w:numFmt w:val="none"/>
      <w:pStyle w:val="1100"/>
      <w:isLgl w:val="false"/>
      <w:suff w:val="nothing"/>
      <w:lvlText w:val=""/>
      <w:lvlJc w:val="left"/>
      <w:pPr>
        <w:ind w:left="0" w:firstLine="0"/>
      </w:pPr>
    </w:lvl>
    <w:lvl w:ilvl="5">
      <w:start w:val="1"/>
      <w:numFmt w:val="none"/>
      <w:pStyle w:val="1101"/>
      <w:isLgl w:val="false"/>
      <w:suff w:val="nothing"/>
      <w:lvlText w:val=""/>
      <w:lvlJc w:val="left"/>
      <w:pPr>
        <w:ind w:left="0" w:firstLine="0"/>
      </w:pPr>
    </w:lvl>
    <w:lvl w:ilvl="6">
      <w:start w:val="1"/>
      <w:numFmt w:val="none"/>
      <w:pStyle w:val="1102"/>
      <w:isLgl w:val="false"/>
      <w:suff w:val="nothing"/>
      <w:lvlText w:val=""/>
      <w:lvlJc w:val="left"/>
      <w:pPr>
        <w:ind w:left="0" w:firstLine="0"/>
      </w:pPr>
    </w:lvl>
    <w:lvl w:ilvl="7">
      <w:start w:val="1"/>
      <w:numFmt w:val="none"/>
      <w:pStyle w:val="1103"/>
      <w:isLgl w:val="false"/>
      <w:suff w:val="nothing"/>
      <w:lvlText w:val=""/>
      <w:lvlJc w:val="left"/>
      <w:pPr>
        <w:ind w:left="0" w:firstLine="0"/>
      </w:pPr>
    </w:lvl>
    <w:lvl w:ilvl="8">
      <w:start w:val="1"/>
      <w:numFmt w:val="none"/>
      <w:pStyle w:val="1104"/>
      <w:isLgl w:val="false"/>
      <w:suff w:val="nothing"/>
      <w:lvlText w:val=""/>
      <w:lvlJc w:val="left"/>
      <w:pPr>
        <w:ind w:left="0" w:firstLine="0"/>
      </w:pPr>
    </w:lvl>
  </w:abstractNum>
  <w:abstractNum w:abstractNumId="2">
    <w:multiLevelType w:val="hybridMultilevel"/>
    <w:lvl w:ilvl="0">
      <w:start w:val="10"/>
      <w:numFmt w:val="japaneseCounting"/>
      <w:isLgl w:val="false"/>
      <w:suff w:val="tab"/>
      <w:lvlText w:val="%1、"/>
      <w:lvlJc w:val="left"/>
      <w:pPr>
        <w:ind w:left="992" w:hanging="510"/>
        <w:tabs>
          <w:tab w:val="left" w:pos="0" w:leader="none"/>
        </w:tabs>
      </w:pPr>
      <w:rPr>
        <w:rFonts w:hint="default" w:ascii="Times New Roman" w:hAnsi="Times New Roman"/>
        <w:b/>
      </w:rPr>
    </w:lvl>
    <w:lvl w:ilvl="1">
      <w:start w:val="1"/>
      <w:numFmt w:val="lowerLetter"/>
      <w:isLgl w:val="false"/>
      <w:suff w:val="tab"/>
      <w:lvlText w:val="%2)"/>
      <w:lvlJc w:val="left"/>
      <w:pPr>
        <w:ind w:left="1322" w:hanging="420"/>
        <w:tabs>
          <w:tab w:val="left" w:pos="0" w:leader="none"/>
        </w:tabs>
      </w:pPr>
    </w:lvl>
    <w:lvl w:ilvl="2">
      <w:start w:val="1"/>
      <w:numFmt w:val="lowerRoman"/>
      <w:isLgl w:val="false"/>
      <w:suff w:val="tab"/>
      <w:lvlText w:val="%3."/>
      <w:lvlJc w:val="right"/>
      <w:pPr>
        <w:ind w:left="1742" w:hanging="420"/>
        <w:tabs>
          <w:tab w:val="left" w:pos="0" w:leader="none"/>
        </w:tabs>
      </w:pPr>
    </w:lvl>
    <w:lvl w:ilvl="3">
      <w:start w:val="1"/>
      <w:numFmt w:val="decimal"/>
      <w:isLgl w:val="false"/>
      <w:suff w:val="tab"/>
      <w:lvlText w:val="%4."/>
      <w:lvlJc w:val="left"/>
      <w:pPr>
        <w:ind w:left="2162" w:hanging="420"/>
        <w:tabs>
          <w:tab w:val="left" w:pos="0" w:leader="none"/>
        </w:tabs>
      </w:pPr>
    </w:lvl>
    <w:lvl w:ilvl="4">
      <w:start w:val="1"/>
      <w:numFmt w:val="lowerLetter"/>
      <w:isLgl w:val="false"/>
      <w:suff w:val="tab"/>
      <w:lvlText w:val="%5)"/>
      <w:lvlJc w:val="left"/>
      <w:pPr>
        <w:ind w:left="2582" w:hanging="420"/>
        <w:tabs>
          <w:tab w:val="left" w:pos="0" w:leader="none"/>
        </w:tabs>
      </w:pPr>
    </w:lvl>
    <w:lvl w:ilvl="5">
      <w:start w:val="1"/>
      <w:numFmt w:val="lowerRoman"/>
      <w:isLgl w:val="false"/>
      <w:suff w:val="tab"/>
      <w:lvlText w:val="%6."/>
      <w:lvlJc w:val="right"/>
      <w:pPr>
        <w:ind w:left="3002" w:hanging="420"/>
        <w:tabs>
          <w:tab w:val="left" w:pos="0" w:leader="none"/>
        </w:tabs>
      </w:pPr>
    </w:lvl>
    <w:lvl w:ilvl="6">
      <w:start w:val="1"/>
      <w:numFmt w:val="decimal"/>
      <w:isLgl w:val="false"/>
      <w:suff w:val="tab"/>
      <w:lvlText w:val="%7."/>
      <w:lvlJc w:val="left"/>
      <w:pPr>
        <w:ind w:left="3422" w:hanging="420"/>
        <w:tabs>
          <w:tab w:val="left" w:pos="0" w:leader="none"/>
        </w:tabs>
      </w:pPr>
    </w:lvl>
    <w:lvl w:ilvl="7">
      <w:start w:val="1"/>
      <w:numFmt w:val="lowerLetter"/>
      <w:isLgl w:val="false"/>
      <w:suff w:val="tab"/>
      <w:lvlText w:val="%8)"/>
      <w:lvlJc w:val="left"/>
      <w:pPr>
        <w:ind w:left="3842" w:hanging="420"/>
        <w:tabs>
          <w:tab w:val="left" w:pos="0" w:leader="none"/>
        </w:tabs>
      </w:pPr>
    </w:lvl>
    <w:lvl w:ilvl="8">
      <w:start w:val="1"/>
      <w:numFmt w:val="lowerRoman"/>
      <w:isLgl w:val="false"/>
      <w:suff w:val="tab"/>
      <w:lvlText w:val="%9."/>
      <w:lvlJc w:val="right"/>
      <w:pPr>
        <w:ind w:left="4262" w:hanging="420"/>
        <w:tabs>
          <w:tab w:val="left" w:pos="0" w:leader="none"/>
        </w:tabs>
      </w:pPr>
    </w:lvl>
  </w:abstractNum>
  <w:abstractNum w:abstractNumId="3">
    <w:multiLevelType w:val="hybridMultilevel"/>
    <w:lvl w:ilvl="0">
      <w:start w:val="1"/>
      <w:numFmt w:val="bullet"/>
      <w:pStyle w:val="126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6"/>
      <w:numFmt w:val="decimal"/>
      <w:isLgl w:val="false"/>
      <w:suff w:val="tab"/>
      <w:lvlText w:val="%1"/>
      <w:lvlJc w:val="left"/>
      <w:pPr>
        <w:ind w:left="600" w:hanging="600"/>
        <w:tabs>
          <w:tab w:val="left" w:pos="0" w:leader="none"/>
        </w:tabs>
      </w:pPr>
      <w:rPr>
        <w:rFonts w:hint="default"/>
      </w:rPr>
    </w:lvl>
    <w:lvl w:ilvl="1">
      <w:start w:val="1"/>
      <w:numFmt w:val="decimal"/>
      <w:isLgl w:val="false"/>
      <w:suff w:val="tab"/>
      <w:lvlText w:val="%1.%2"/>
      <w:lvlJc w:val="left"/>
      <w:pPr>
        <w:ind w:left="840" w:hanging="600"/>
        <w:tabs>
          <w:tab w:val="left" w:pos="0" w:leader="none"/>
        </w:tabs>
      </w:pPr>
      <w:rPr>
        <w:rFonts w:hint="default"/>
      </w:rPr>
    </w:lvl>
    <w:lvl w:ilvl="2">
      <w:start w:val="6"/>
      <w:numFmt w:val="decimal"/>
      <w:isLgl w:val="false"/>
      <w:suff w:val="tab"/>
      <w:lvlText w:val="%1.%2.%3"/>
      <w:lvlJc w:val="left"/>
      <w:pPr>
        <w:ind w:left="1200" w:hanging="720"/>
        <w:tabs>
          <w:tab w:val="left" w:pos="0" w:leader="none"/>
        </w:tabs>
      </w:pPr>
      <w:rPr>
        <w:rFonts w:hint="default"/>
      </w:rPr>
    </w:lvl>
    <w:lvl w:ilvl="3">
      <w:start w:val="1"/>
      <w:numFmt w:val="decimal"/>
      <w:isLgl w:val="false"/>
      <w:suff w:val="tab"/>
      <w:lvlText w:val="%1.%2.%3.%4"/>
      <w:lvlJc w:val="left"/>
      <w:pPr>
        <w:ind w:left="1440" w:hanging="720"/>
        <w:tabs>
          <w:tab w:val="left" w:pos="0" w:leader="none"/>
        </w:tabs>
      </w:pPr>
      <w:rPr>
        <w:rFonts w:hint="default"/>
      </w:rPr>
    </w:lvl>
    <w:lvl w:ilvl="4">
      <w:start w:val="1"/>
      <w:numFmt w:val="decimal"/>
      <w:isLgl w:val="false"/>
      <w:suff w:val="tab"/>
      <w:lvlText w:val="%1.%2.%3.%4.%5"/>
      <w:lvlJc w:val="left"/>
      <w:pPr>
        <w:ind w:left="2040" w:hanging="1080"/>
        <w:tabs>
          <w:tab w:val="left" w:pos="0" w:leader="none"/>
        </w:tabs>
      </w:pPr>
      <w:rPr>
        <w:rFonts w:hint="default"/>
      </w:rPr>
    </w:lvl>
    <w:lvl w:ilvl="5">
      <w:start w:val="1"/>
      <w:numFmt w:val="decimal"/>
      <w:isLgl w:val="false"/>
      <w:suff w:val="tab"/>
      <w:lvlText w:val="%1.%2.%3.%4.%5.%6"/>
      <w:lvlJc w:val="left"/>
      <w:pPr>
        <w:ind w:left="2280" w:hanging="1080"/>
        <w:tabs>
          <w:tab w:val="left" w:pos="0" w:leader="none"/>
        </w:tabs>
      </w:pPr>
      <w:rPr>
        <w:rFonts w:hint="default"/>
      </w:rPr>
    </w:lvl>
    <w:lvl w:ilvl="6">
      <w:start w:val="1"/>
      <w:numFmt w:val="decimal"/>
      <w:isLgl w:val="false"/>
      <w:suff w:val="tab"/>
      <w:lvlText w:val="%1.%2.%3.%4.%5.%6.%7"/>
      <w:lvlJc w:val="left"/>
      <w:pPr>
        <w:ind w:left="2880" w:hanging="1440"/>
        <w:tabs>
          <w:tab w:val="left" w:pos="0" w:leader="none"/>
        </w:tabs>
      </w:pPr>
      <w:rPr>
        <w:rFonts w:hint="default"/>
      </w:rPr>
    </w:lvl>
    <w:lvl w:ilvl="7">
      <w:start w:val="1"/>
      <w:numFmt w:val="decimal"/>
      <w:isLgl w:val="false"/>
      <w:suff w:val="tab"/>
      <w:lvlText w:val="%1.%2.%3.%4.%5.%6.%7.%8"/>
      <w:lvlJc w:val="left"/>
      <w:pPr>
        <w:ind w:left="3120" w:hanging="1440"/>
        <w:tabs>
          <w:tab w:val="left" w:pos="0" w:leader="none"/>
        </w:tabs>
      </w:pPr>
      <w:rPr>
        <w:rFonts w:hint="default"/>
      </w:rPr>
    </w:lvl>
    <w:lvl w:ilvl="8">
      <w:start w:val="1"/>
      <w:numFmt w:val="decimal"/>
      <w:isLgl w:val="false"/>
      <w:suff w:val="tab"/>
      <w:lvlText w:val="%1.%2.%3.%4.%5.%6.%7.%8.%9"/>
      <w:lvlJc w:val="left"/>
      <w:pPr>
        <w:ind w:left="3720" w:hanging="1800"/>
        <w:tabs>
          <w:tab w:val="left" w:pos="0" w:leader="none"/>
        </w:tabs>
      </w:pPr>
      <w:rPr>
        <w:rFonts w:hint="default"/>
      </w:rPr>
    </w:lvl>
  </w:abstractNum>
  <w:abstractNum w:abstractNumId="5">
    <w:multiLevelType w:val="hybridMultilevel"/>
    <w:lvl w:ilvl="0">
      <w:start w:val="1"/>
      <w:numFmt w:val="decimal"/>
      <w:isLgl w:val="false"/>
      <w:suff w:val="tab"/>
      <w:lvlText w:val="（%1）"/>
      <w:lvlJc w:val="left"/>
      <w:pPr>
        <w:ind w:left="1080" w:hanging="1080"/>
        <w:tabs>
          <w:tab w:val="left" w:pos="0" w:leader="none"/>
        </w:tabs>
      </w:pPr>
      <w:rPr>
        <w:rFonts w:hint="default"/>
      </w:r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6">
    <w:multiLevelType w:val="hybridMultilevel"/>
    <w:lvl w:ilvl="0">
      <w:start w:val="1"/>
      <w:numFmt w:val="decimal"/>
      <w:pStyle w:val="1245"/>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bullet"/>
      <w:pStyle w:val="121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4"/>
      <w:isLgl w:val="false"/>
      <w:suff w:val="tab"/>
      <w:lvlText w:val="%1"/>
      <w:lvlJc w:val="left"/>
      <w:pPr>
        <w:ind w:left="567" w:hanging="567"/>
        <w:tabs>
          <w:tab w:val="left" w:pos="567" w:leader="none"/>
        </w:tabs>
      </w:pPr>
      <w:rPr>
        <w:rFonts w:hint="eastAsia" w:cs="Times New Roman"/>
      </w:rPr>
    </w:lvl>
    <w:lvl w:ilvl="1">
      <w:start w:val="1"/>
      <w:numFmt w:val="decimal"/>
      <w:pStyle w:val="122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8"/>
  </w:num>
  <w:num w:numId="3">
    <w:abstractNumId w:val="7"/>
  </w:num>
  <w:num w:numId="4">
    <w:abstractNumId w:val="6"/>
  </w:num>
  <w:num w:numId="5">
    <w:abstractNumId w:val="3"/>
  </w:num>
  <w:num w:numId="6">
    <w:abstractNumId w:val="0"/>
  </w:num>
  <w:num w:numId="7">
    <w:abstractNumId w:val="9"/>
  </w:num>
  <w:num w:numId="8">
    <w:abstractNumId w:val="2"/>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4">
    <w:name w:val="Heading 1 Char"/>
    <w:basedOn w:val="1105"/>
    <w:link w:val="1096"/>
    <w:uiPriority w:val="9"/>
    <w:rPr>
      <w:rFonts w:ascii="Arial" w:hAnsi="Arial" w:eastAsia="Arial" w:cs="Arial"/>
      <w:sz w:val="40"/>
      <w:szCs w:val="40"/>
    </w:rPr>
  </w:style>
  <w:style w:type="character" w:styleId="945">
    <w:name w:val="Heading 2 Char"/>
    <w:basedOn w:val="1105"/>
    <w:link w:val="1097"/>
    <w:uiPriority w:val="9"/>
    <w:rPr>
      <w:rFonts w:ascii="Arial" w:hAnsi="Arial" w:eastAsia="Arial" w:cs="Arial"/>
      <w:sz w:val="34"/>
    </w:rPr>
  </w:style>
  <w:style w:type="character" w:styleId="946">
    <w:name w:val="Heading 3 Char"/>
    <w:basedOn w:val="1105"/>
    <w:link w:val="1098"/>
    <w:uiPriority w:val="9"/>
    <w:rPr>
      <w:rFonts w:ascii="Arial" w:hAnsi="Arial" w:eastAsia="Arial" w:cs="Arial"/>
      <w:sz w:val="30"/>
      <w:szCs w:val="30"/>
    </w:rPr>
  </w:style>
  <w:style w:type="character" w:styleId="947">
    <w:name w:val="Heading 4 Char"/>
    <w:basedOn w:val="1105"/>
    <w:link w:val="1099"/>
    <w:uiPriority w:val="9"/>
    <w:rPr>
      <w:rFonts w:ascii="Arial" w:hAnsi="Arial" w:eastAsia="Arial" w:cs="Arial"/>
      <w:b/>
      <w:bCs/>
      <w:sz w:val="26"/>
      <w:szCs w:val="26"/>
    </w:rPr>
  </w:style>
  <w:style w:type="character" w:styleId="948">
    <w:name w:val="Heading 5 Char"/>
    <w:basedOn w:val="1105"/>
    <w:link w:val="1100"/>
    <w:uiPriority w:val="9"/>
    <w:rPr>
      <w:rFonts w:ascii="Arial" w:hAnsi="Arial" w:eastAsia="Arial" w:cs="Arial"/>
      <w:b/>
      <w:bCs/>
      <w:sz w:val="24"/>
      <w:szCs w:val="24"/>
    </w:rPr>
  </w:style>
  <w:style w:type="character" w:styleId="949">
    <w:name w:val="Heading 6 Char"/>
    <w:basedOn w:val="1105"/>
    <w:link w:val="1101"/>
    <w:uiPriority w:val="9"/>
    <w:rPr>
      <w:rFonts w:ascii="Arial" w:hAnsi="Arial" w:eastAsia="Arial" w:cs="Arial"/>
      <w:b/>
      <w:bCs/>
      <w:sz w:val="22"/>
      <w:szCs w:val="22"/>
    </w:rPr>
  </w:style>
  <w:style w:type="character" w:styleId="950">
    <w:name w:val="Heading 7 Char"/>
    <w:basedOn w:val="1105"/>
    <w:link w:val="1102"/>
    <w:uiPriority w:val="9"/>
    <w:rPr>
      <w:rFonts w:ascii="Arial" w:hAnsi="Arial" w:eastAsia="Arial" w:cs="Arial"/>
      <w:b/>
      <w:bCs/>
      <w:i/>
      <w:iCs/>
      <w:sz w:val="22"/>
      <w:szCs w:val="22"/>
    </w:rPr>
  </w:style>
  <w:style w:type="character" w:styleId="951">
    <w:name w:val="Heading 8 Char"/>
    <w:basedOn w:val="1105"/>
    <w:link w:val="1103"/>
    <w:uiPriority w:val="9"/>
    <w:rPr>
      <w:rFonts w:ascii="Arial" w:hAnsi="Arial" w:eastAsia="Arial" w:cs="Arial"/>
      <w:i/>
      <w:iCs/>
      <w:sz w:val="22"/>
      <w:szCs w:val="22"/>
    </w:rPr>
  </w:style>
  <w:style w:type="character" w:styleId="952">
    <w:name w:val="Heading 9 Char"/>
    <w:basedOn w:val="1105"/>
    <w:link w:val="1104"/>
    <w:uiPriority w:val="9"/>
    <w:rPr>
      <w:rFonts w:ascii="Arial" w:hAnsi="Arial" w:eastAsia="Arial" w:cs="Arial"/>
      <w:i/>
      <w:iCs/>
      <w:sz w:val="21"/>
      <w:szCs w:val="21"/>
    </w:rPr>
  </w:style>
  <w:style w:type="character" w:styleId="953">
    <w:name w:val="Title Char"/>
    <w:basedOn w:val="1105"/>
    <w:link w:val="1154"/>
    <w:uiPriority w:val="10"/>
    <w:rPr>
      <w:sz w:val="48"/>
      <w:szCs w:val="48"/>
    </w:rPr>
  </w:style>
  <w:style w:type="character" w:styleId="954">
    <w:name w:val="Subtitle Char"/>
    <w:basedOn w:val="1105"/>
    <w:link w:val="1142"/>
    <w:uiPriority w:val="11"/>
    <w:rPr>
      <w:sz w:val="24"/>
      <w:szCs w:val="24"/>
    </w:rPr>
  </w:style>
  <w:style w:type="paragraph" w:styleId="955">
    <w:name w:val="Quote"/>
    <w:basedOn w:val="1095"/>
    <w:next w:val="1095"/>
    <w:link w:val="956"/>
    <w:uiPriority w:val="29"/>
    <w:qFormat/>
    <w:pPr>
      <w:ind w:left="720" w:right="720"/>
    </w:pPr>
    <w:rPr>
      <w:i/>
    </w:rPr>
  </w:style>
  <w:style w:type="character" w:styleId="956">
    <w:name w:val="Quote Char"/>
    <w:link w:val="955"/>
    <w:uiPriority w:val="29"/>
    <w:rPr>
      <w:i/>
    </w:rPr>
  </w:style>
  <w:style w:type="paragraph" w:styleId="957">
    <w:name w:val="Intense Quote"/>
    <w:basedOn w:val="1095"/>
    <w:next w:val="1095"/>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name w:val="Intense Quote Char"/>
    <w:link w:val="957"/>
    <w:uiPriority w:val="30"/>
    <w:rPr>
      <w:i/>
    </w:rPr>
  </w:style>
  <w:style w:type="character" w:styleId="959">
    <w:name w:val="Header Char"/>
    <w:basedOn w:val="1105"/>
    <w:link w:val="1137"/>
    <w:uiPriority w:val="99"/>
  </w:style>
  <w:style w:type="character" w:styleId="960">
    <w:name w:val="Footer Char"/>
    <w:basedOn w:val="1105"/>
    <w:link w:val="1136"/>
    <w:uiPriority w:val="99"/>
  </w:style>
  <w:style w:type="paragraph" w:styleId="961">
    <w:name w:val="Caption"/>
    <w:basedOn w:val="1095"/>
    <w:next w:val="1095"/>
    <w:uiPriority w:val="35"/>
    <w:semiHidden/>
    <w:unhideWhenUsed/>
    <w:qFormat/>
    <w:pPr>
      <w:spacing w:line="276" w:lineRule="auto"/>
    </w:pPr>
    <w:rPr>
      <w:b/>
      <w:bCs/>
      <w:color w:val="4f81bd" w:themeColor="accent1"/>
      <w:sz w:val="18"/>
      <w:szCs w:val="18"/>
    </w:rPr>
  </w:style>
  <w:style w:type="character" w:styleId="962">
    <w:name w:val="Caption Char"/>
    <w:basedOn w:val="961"/>
    <w:link w:val="1136"/>
    <w:uiPriority w:val="99"/>
  </w:style>
  <w:style w:type="table" w:styleId="963">
    <w:name w:val="Table Grid Light"/>
    <w:basedOn w:val="11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4">
    <w:name w:val="Plain Table 1"/>
    <w:basedOn w:val="11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name w:val="Plain Table 2"/>
    <w:basedOn w:val="11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name w:val="Plain Table 3"/>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name w:val="Plain Table 4"/>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name w:val="Plain Table 5"/>
    <w:basedOn w:val="11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9">
    <w:name w:val="Grid Table 1 Light"/>
    <w:basedOn w:val="11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0">
    <w:name w:val="Grid Table 1 Light - Accent 1"/>
    <w:basedOn w:val="11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1">
    <w:name w:val="Grid Table 1 Light - Accent 2"/>
    <w:basedOn w:val="11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2">
    <w:name w:val="Grid Table 1 Light - Accent 3"/>
    <w:basedOn w:val="11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3">
    <w:name w:val="Grid Table 1 Light - Accent 4"/>
    <w:basedOn w:val="11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4">
    <w:name w:val="Grid Table 1 Light - Accent 5"/>
    <w:basedOn w:val="11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5">
    <w:name w:val="Grid Table 1 Light - Accent 6"/>
    <w:basedOn w:val="11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6">
    <w:name w:val="Grid Table 2"/>
    <w:basedOn w:val="11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7">
    <w:name w:val="Grid Table 2 - Accent 1"/>
    <w:basedOn w:val="11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8">
    <w:name w:val="Grid Table 2 - Accent 2"/>
    <w:basedOn w:val="11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2 - Accent 3"/>
    <w:basedOn w:val="11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2 - Accent 4"/>
    <w:basedOn w:val="11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2 - Accent 5"/>
    <w:basedOn w:val="11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2">
    <w:name w:val="Grid Table 2 - Accent 6"/>
    <w:basedOn w:val="11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3">
    <w:name w:val="Grid Table 3"/>
    <w:basedOn w:val="11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1"/>
    <w:basedOn w:val="11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2"/>
    <w:basedOn w:val="11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3"/>
    <w:basedOn w:val="11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4"/>
    <w:basedOn w:val="11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5"/>
    <w:basedOn w:val="11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6"/>
    <w:basedOn w:val="11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4"/>
    <w:basedOn w:val="11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name w:val="Grid Table 4 - Accent 1"/>
    <w:basedOn w:val="11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2">
    <w:name w:val="Grid Table 4 - Accent 2"/>
    <w:basedOn w:val="11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3">
    <w:name w:val="Grid Table 4 - Accent 3"/>
    <w:basedOn w:val="11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4">
    <w:name w:val="Grid Table 4 - Accent 4"/>
    <w:basedOn w:val="11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5">
    <w:name w:val="Grid Table 4 - Accent 5"/>
    <w:basedOn w:val="11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6">
    <w:name w:val="Grid Table 4 - Accent 6"/>
    <w:basedOn w:val="11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7">
    <w:name w:val="Grid Table 5 Dark"/>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8">
    <w:name w:val="Grid Table 5 Dark- Accent 1"/>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9">
    <w:name w:val="Grid Table 5 Dark - Accent 2"/>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0">
    <w:name w:val="Grid Table 5 Dark - Accent 3"/>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1">
    <w:name w:val="Grid Table 5 Dark- Accent 4"/>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2">
    <w:name w:val="Grid Table 5 Dark - Accent 5"/>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3">
    <w:name w:val="Grid Table 5 Dark - Accent 6"/>
    <w:basedOn w:val="11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4">
    <w:name w:val="Grid Table 6 Colorful"/>
    <w:basedOn w:val="11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5">
    <w:name w:val="Grid Table 6 Colorful - Accent 1"/>
    <w:basedOn w:val="11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6">
    <w:name w:val="Grid Table 6 Colorful - Accent 2"/>
    <w:basedOn w:val="11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7">
    <w:name w:val="Grid Table 6 Colorful - Accent 3"/>
    <w:basedOn w:val="11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8">
    <w:name w:val="Grid Table 6 Colorful - Accent 4"/>
    <w:basedOn w:val="11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9">
    <w:name w:val="Grid Table 6 Colorful - Accent 5"/>
    <w:basedOn w:val="11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0">
    <w:name w:val="Grid Table 6 Colorful - Accent 6"/>
    <w:basedOn w:val="11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1">
    <w:name w:val="Grid Table 7 Colorful"/>
    <w:basedOn w:val="11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2">
    <w:name w:val="Grid Table 7 Colorful - Accent 1"/>
    <w:basedOn w:val="11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3">
    <w:name w:val="Grid Table 7 Colorful - Accent 2"/>
    <w:basedOn w:val="11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4">
    <w:name w:val="Grid Table 7 Colorful - Accent 3"/>
    <w:basedOn w:val="11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5">
    <w:name w:val="Grid Table 7 Colorful - Accent 4"/>
    <w:basedOn w:val="11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6">
    <w:name w:val="Grid Table 7 Colorful - Accent 5"/>
    <w:basedOn w:val="11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7">
    <w:name w:val="Grid Table 7 Colorful - Accent 6"/>
    <w:basedOn w:val="11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8">
    <w:name w:val="List Table 1 Light"/>
    <w:basedOn w:val="11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name w:val="List Table 1 Light - Accent 1"/>
    <w:basedOn w:val="11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0">
    <w:name w:val="List Table 1 Light - Accent 2"/>
    <w:basedOn w:val="11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1">
    <w:name w:val="List Table 1 Light - Accent 3"/>
    <w:basedOn w:val="11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2">
    <w:name w:val="List Table 1 Light - Accent 4"/>
    <w:basedOn w:val="11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3">
    <w:name w:val="List Table 1 Light - Accent 5"/>
    <w:basedOn w:val="11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4">
    <w:name w:val="List Table 1 Light - Accent 6"/>
    <w:basedOn w:val="11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5">
    <w:name w:val="List Table 2"/>
    <w:basedOn w:val="11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6">
    <w:name w:val="List Table 2 - Accent 1"/>
    <w:basedOn w:val="11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7">
    <w:name w:val="List Table 2 - Accent 2"/>
    <w:basedOn w:val="11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8">
    <w:name w:val="List Table 2 - Accent 3"/>
    <w:basedOn w:val="11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9">
    <w:name w:val="List Table 2 - Accent 4"/>
    <w:basedOn w:val="11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0">
    <w:name w:val="List Table 2 - Accent 5"/>
    <w:basedOn w:val="11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1">
    <w:name w:val="List Table 2 - Accent 6"/>
    <w:basedOn w:val="11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2">
    <w:name w:val="List Table 3"/>
    <w:basedOn w:val="11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3 - Accent 1"/>
    <w:basedOn w:val="11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4">
    <w:name w:val="List Table 3 - Accent 2"/>
    <w:basedOn w:val="11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5">
    <w:name w:val="List Table 3 - Accent 3"/>
    <w:basedOn w:val="11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6">
    <w:name w:val="List Table 3 - Accent 4"/>
    <w:basedOn w:val="11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7">
    <w:name w:val="List Table 3 - Accent 5"/>
    <w:basedOn w:val="11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8">
    <w:name w:val="List Table 3 - Accent 6"/>
    <w:basedOn w:val="11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9">
    <w:name w:val="List Table 4"/>
    <w:basedOn w:val="11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0">
    <w:name w:val="List Table 4 - Accent 1"/>
    <w:basedOn w:val="11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1">
    <w:name w:val="List Table 4 - Accent 2"/>
    <w:basedOn w:val="11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2">
    <w:name w:val="List Table 4 - Accent 3"/>
    <w:basedOn w:val="11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3">
    <w:name w:val="List Table 4 - Accent 4"/>
    <w:basedOn w:val="11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4">
    <w:name w:val="List Table 4 - Accent 5"/>
    <w:basedOn w:val="11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5">
    <w:name w:val="List Table 4 - Accent 6"/>
    <w:basedOn w:val="11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6">
    <w:name w:val="List Table 5 Dark"/>
    <w:basedOn w:val="11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1"/>
    <w:basedOn w:val="11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2"/>
    <w:basedOn w:val="11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3"/>
    <w:basedOn w:val="11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4"/>
    <w:basedOn w:val="11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5"/>
    <w:basedOn w:val="11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6"/>
    <w:basedOn w:val="11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6 Colorful"/>
    <w:basedOn w:val="11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4">
    <w:name w:val="List Table 6 Colorful - Accent 1"/>
    <w:basedOn w:val="11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5">
    <w:name w:val="List Table 6 Colorful - Accent 2"/>
    <w:basedOn w:val="11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6">
    <w:name w:val="List Table 6 Colorful - Accent 3"/>
    <w:basedOn w:val="11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7">
    <w:name w:val="List Table 6 Colorful - Accent 4"/>
    <w:basedOn w:val="11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8">
    <w:name w:val="List Table 6 Colorful - Accent 5"/>
    <w:basedOn w:val="11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9">
    <w:name w:val="List Table 6 Colorful - Accent 6"/>
    <w:basedOn w:val="11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0">
    <w:name w:val="List Table 7 Colorful"/>
    <w:basedOn w:val="11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1">
    <w:name w:val="List Table 7 Colorful - Accent 1"/>
    <w:basedOn w:val="11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2">
    <w:name w:val="List Table 7 Colorful - Accent 2"/>
    <w:basedOn w:val="11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3">
    <w:name w:val="List Table 7 Colorful - Accent 3"/>
    <w:basedOn w:val="11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4">
    <w:name w:val="List Table 7 Colorful - Accent 4"/>
    <w:basedOn w:val="11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5">
    <w:name w:val="List Table 7 Colorful - Accent 5"/>
    <w:basedOn w:val="11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6">
    <w:name w:val="List Table 7 Colorful - Accent 6"/>
    <w:basedOn w:val="11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7">
    <w:name w:val="Lined - Accent"/>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8">
    <w:name w:val="Lined - Accent 1"/>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9">
    <w:name w:val="Lined - Accent 2"/>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0">
    <w:name w:val="Lined - Accent 3"/>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1">
    <w:name w:val="Lined - Accent 4"/>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2">
    <w:name w:val="Lined - Accent 5"/>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3">
    <w:name w:val="Lined - Accent 6"/>
    <w:basedOn w:val="11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4">
    <w:name w:val="Bordered &amp; Lined - Accent"/>
    <w:basedOn w:val="11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5">
    <w:name w:val="Bordered &amp; Lined - Accent 1"/>
    <w:basedOn w:val="11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6">
    <w:name w:val="Bordered &amp; Lined - Accent 2"/>
    <w:basedOn w:val="11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7">
    <w:name w:val="Bordered &amp; Lined - Accent 3"/>
    <w:basedOn w:val="11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8">
    <w:name w:val="Bordered &amp; Lined - Accent 4"/>
    <w:basedOn w:val="11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9">
    <w:name w:val="Bordered &amp; Lined - Accent 5"/>
    <w:basedOn w:val="11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0">
    <w:name w:val="Bordered &amp; Lined - Accent 6"/>
    <w:basedOn w:val="11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1">
    <w:name w:val="Bordered"/>
    <w:basedOn w:val="11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2">
    <w:name w:val="Bordered - Accent 1"/>
    <w:basedOn w:val="11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3">
    <w:name w:val="Bordered - Accent 2"/>
    <w:basedOn w:val="11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4">
    <w:name w:val="Bordered - Accent 3"/>
    <w:basedOn w:val="11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5">
    <w:name w:val="Bordered - Accent 4"/>
    <w:basedOn w:val="11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6">
    <w:name w:val="Bordered - Accent 5"/>
    <w:basedOn w:val="11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7">
    <w:name w:val="Bordered - Accent 6"/>
    <w:basedOn w:val="11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8">
    <w:name w:val="footnote text"/>
    <w:basedOn w:val="1095"/>
    <w:link w:val="1089"/>
    <w:uiPriority w:val="99"/>
    <w:semiHidden/>
    <w:unhideWhenUsed/>
    <w:pPr>
      <w:spacing w:after="40" w:line="240" w:lineRule="auto"/>
    </w:pPr>
    <w:rPr>
      <w:sz w:val="18"/>
    </w:rPr>
  </w:style>
  <w:style w:type="character" w:styleId="1089">
    <w:name w:val="Footnote Text Char"/>
    <w:link w:val="1088"/>
    <w:uiPriority w:val="99"/>
    <w:rPr>
      <w:sz w:val="18"/>
    </w:rPr>
  </w:style>
  <w:style w:type="character" w:styleId="1090">
    <w:name w:val="footnote reference"/>
    <w:basedOn w:val="1105"/>
    <w:uiPriority w:val="99"/>
    <w:unhideWhenUsed/>
    <w:rPr>
      <w:vertAlign w:val="superscript"/>
    </w:rPr>
  </w:style>
  <w:style w:type="paragraph" w:styleId="1091">
    <w:name w:val="endnote text"/>
    <w:basedOn w:val="1095"/>
    <w:link w:val="1092"/>
    <w:uiPriority w:val="99"/>
    <w:semiHidden/>
    <w:unhideWhenUsed/>
    <w:pPr>
      <w:spacing w:after="0" w:line="240" w:lineRule="auto"/>
    </w:pPr>
    <w:rPr>
      <w:sz w:val="20"/>
    </w:rPr>
  </w:style>
  <w:style w:type="character" w:styleId="1092">
    <w:name w:val="Endnote Text Char"/>
    <w:link w:val="1091"/>
    <w:uiPriority w:val="99"/>
    <w:rPr>
      <w:sz w:val="20"/>
    </w:rPr>
  </w:style>
  <w:style w:type="character" w:styleId="1093">
    <w:name w:val="endnote reference"/>
    <w:basedOn w:val="1105"/>
    <w:uiPriority w:val="99"/>
    <w:semiHidden/>
    <w:unhideWhenUsed/>
    <w:rPr>
      <w:vertAlign w:val="superscript"/>
    </w:rPr>
  </w:style>
  <w:style w:type="paragraph" w:styleId="1094">
    <w:name w:val="TOC Heading"/>
    <w:uiPriority w:val="39"/>
    <w:unhideWhenUsed/>
  </w:style>
  <w:style w:type="paragraph" w:styleId="109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96">
    <w:name w:val="Heading 1"/>
    <w:basedOn w:val="1095"/>
    <w:next w:val="1095"/>
    <w:link w:val="1172"/>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1097">
    <w:name w:val="Heading 2"/>
    <w:basedOn w:val="1095"/>
    <w:next w:val="1095"/>
    <w:link w:val="1170"/>
    <w:uiPriority w:val="99"/>
    <w:qFormat/>
    <w:pPr>
      <w:numPr>
        <w:ilvl w:val="1"/>
        <w:numId w:val="1"/>
      </w:numPr>
      <w:jc w:val="left"/>
      <w:keepLines/>
      <w:keepNext/>
      <w:spacing w:before="120" w:after="120"/>
      <w:outlineLvl w:val="1"/>
    </w:pPr>
    <w:rPr>
      <w:rFonts w:ascii="Cambria" w:hAnsi="Cambria"/>
      <w:b/>
      <w:bCs/>
      <w:sz w:val="32"/>
      <w:szCs w:val="32"/>
    </w:rPr>
  </w:style>
  <w:style w:type="paragraph" w:styleId="1098">
    <w:name w:val="Heading 3"/>
    <w:basedOn w:val="1095"/>
    <w:next w:val="1095"/>
    <w:link w:val="1173"/>
    <w:uiPriority w:val="99"/>
    <w:qFormat/>
    <w:pPr>
      <w:numPr>
        <w:ilvl w:val="2"/>
        <w:numId w:val="1"/>
      </w:numPr>
      <w:keepLines/>
      <w:keepNext/>
      <w:spacing w:before="120" w:after="120"/>
      <w:outlineLvl w:val="2"/>
    </w:pPr>
    <w:rPr>
      <w:b/>
      <w:bCs/>
      <w:sz w:val="32"/>
      <w:szCs w:val="32"/>
    </w:rPr>
  </w:style>
  <w:style w:type="paragraph" w:styleId="1099">
    <w:name w:val="Heading 4"/>
    <w:basedOn w:val="1095"/>
    <w:next w:val="1095"/>
    <w:link w:val="1174"/>
    <w:uiPriority w:val="99"/>
    <w:qFormat/>
    <w:pPr>
      <w:numPr>
        <w:ilvl w:val="3"/>
        <w:numId w:val="1"/>
      </w:numPr>
      <w:keepLines/>
      <w:keepNext/>
      <w:spacing w:before="120" w:after="120"/>
      <w:outlineLvl w:val="3"/>
    </w:pPr>
    <w:rPr>
      <w:rFonts w:ascii="Cambria" w:hAnsi="Cambria"/>
      <w:b/>
      <w:bCs/>
      <w:sz w:val="28"/>
      <w:szCs w:val="28"/>
    </w:rPr>
  </w:style>
  <w:style w:type="paragraph" w:styleId="1100">
    <w:name w:val="Heading 5"/>
    <w:basedOn w:val="1095"/>
    <w:next w:val="1107"/>
    <w:link w:val="1176"/>
    <w:uiPriority w:val="99"/>
    <w:qFormat/>
    <w:pPr>
      <w:numPr>
        <w:ilvl w:val="4"/>
        <w:numId w:val="1"/>
      </w:numPr>
      <w:keepNext/>
      <w:spacing w:before="156" w:after="156"/>
      <w:outlineLvl w:val="4"/>
    </w:pPr>
    <w:rPr>
      <w:b/>
      <w:bCs/>
      <w:sz w:val="28"/>
      <w:szCs w:val="28"/>
    </w:rPr>
  </w:style>
  <w:style w:type="paragraph" w:styleId="1101">
    <w:name w:val="Heading 6"/>
    <w:basedOn w:val="1095"/>
    <w:next w:val="1095"/>
    <w:link w:val="117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102">
    <w:name w:val="Heading 7"/>
    <w:basedOn w:val="1095"/>
    <w:next w:val="1095"/>
    <w:link w:val="1178"/>
    <w:uiPriority w:val="99"/>
    <w:qFormat/>
    <w:pPr>
      <w:numPr>
        <w:ilvl w:val="6"/>
        <w:numId w:val="1"/>
      </w:numPr>
      <w:keepLines/>
      <w:keepNext/>
      <w:spacing w:before="240" w:after="64" w:line="320" w:lineRule="auto"/>
      <w:outlineLvl w:val="6"/>
    </w:pPr>
    <w:rPr>
      <w:b/>
      <w:bCs/>
      <w:sz w:val="24"/>
      <w:szCs w:val="24"/>
    </w:rPr>
  </w:style>
  <w:style w:type="paragraph" w:styleId="1103">
    <w:name w:val="Heading 8"/>
    <w:basedOn w:val="1095"/>
    <w:next w:val="1095"/>
    <w:link w:val="1179"/>
    <w:uiPriority w:val="99"/>
    <w:qFormat/>
    <w:pPr>
      <w:numPr>
        <w:ilvl w:val="7"/>
        <w:numId w:val="1"/>
      </w:numPr>
      <w:keepLines/>
      <w:keepNext/>
      <w:spacing w:before="240" w:after="64" w:line="320" w:lineRule="auto"/>
      <w:outlineLvl w:val="7"/>
    </w:pPr>
    <w:rPr>
      <w:rFonts w:ascii="Cambria" w:hAnsi="Cambria"/>
      <w:sz w:val="24"/>
      <w:szCs w:val="24"/>
    </w:rPr>
  </w:style>
  <w:style w:type="paragraph" w:styleId="1104">
    <w:name w:val="Heading 9"/>
    <w:basedOn w:val="1095"/>
    <w:next w:val="1095"/>
    <w:link w:val="1180"/>
    <w:uiPriority w:val="99"/>
    <w:qFormat/>
    <w:pPr>
      <w:numPr>
        <w:ilvl w:val="8"/>
        <w:numId w:val="1"/>
      </w:numPr>
      <w:keepLines/>
      <w:keepNext/>
      <w:spacing w:before="240" w:after="64" w:line="320" w:lineRule="auto"/>
      <w:outlineLvl w:val="8"/>
    </w:pPr>
    <w:rPr>
      <w:rFonts w:ascii="Cambria" w:hAnsi="Cambria"/>
      <w:szCs w:val="21"/>
    </w:rPr>
  </w:style>
  <w:style w:type="character" w:styleId="1105" w:default="1">
    <w:name w:val="Default Paragraph Font"/>
    <w:uiPriority w:val="1"/>
    <w:semiHidden/>
    <w:unhideWhenUsed/>
    <w:qFormat/>
  </w:style>
  <w:style w:type="table" w:styleId="1106" w:default="1">
    <w:name w:val="Normal Table"/>
    <w:uiPriority w:val="99"/>
    <w:semiHidden/>
    <w:unhideWhenUsed/>
    <w:qFormat/>
    <w:tblPr>
      <w:tblCellMar>
        <w:left w:w="108" w:type="dxa"/>
        <w:top w:w="0" w:type="dxa"/>
        <w:right w:w="108" w:type="dxa"/>
        <w:bottom w:w="0" w:type="dxa"/>
      </w:tblCellMar>
    </w:tblPr>
  </w:style>
  <w:style w:type="paragraph" w:styleId="1107">
    <w:name w:val="Normal Indent"/>
    <w:basedOn w:val="1095"/>
    <w:link w:val="1175"/>
    <w:uiPriority w:val="0"/>
    <w:qFormat/>
    <w:pPr>
      <w:ind w:firstLine="420"/>
    </w:pPr>
  </w:style>
  <w:style w:type="paragraph" w:styleId="1108">
    <w:name w:val="List 3"/>
    <w:basedOn w:val="1095"/>
    <w:uiPriority w:val="99"/>
    <w:qFormat/>
    <w:pPr>
      <w:ind w:left="1260" w:hanging="420"/>
    </w:pPr>
  </w:style>
  <w:style w:type="paragraph" w:styleId="1109">
    <w:name w:val="toc 7"/>
    <w:basedOn w:val="1095"/>
    <w:next w:val="1095"/>
    <w:uiPriority w:val="99"/>
    <w:semiHidden/>
    <w:qFormat/>
    <w:pPr>
      <w:ind w:left="1260"/>
      <w:jc w:val="left"/>
    </w:pPr>
    <w:rPr>
      <w:sz w:val="18"/>
    </w:rPr>
  </w:style>
  <w:style w:type="paragraph" w:styleId="1110">
    <w:name w:val="index 8"/>
    <w:basedOn w:val="1095"/>
    <w:next w:val="1095"/>
    <w:uiPriority w:val="99"/>
    <w:semiHidden/>
    <w:qFormat/>
    <w:pPr>
      <w:ind w:left="2940"/>
    </w:pPr>
  </w:style>
  <w:style w:type="paragraph" w:styleId="1111">
    <w:name w:val="index 5"/>
    <w:basedOn w:val="1095"/>
    <w:next w:val="1095"/>
    <w:uiPriority w:val="99"/>
    <w:semiHidden/>
    <w:qFormat/>
    <w:pPr>
      <w:ind w:left="1680"/>
    </w:pPr>
  </w:style>
  <w:style w:type="paragraph" w:styleId="1112">
    <w:name w:val="Document Map"/>
    <w:basedOn w:val="1095"/>
    <w:link w:val="1181"/>
    <w:uiPriority w:val="99"/>
    <w:semiHidden/>
    <w:qFormat/>
    <w:pPr>
      <w:shd w:val="clear" w:color="auto" w:fill="000080"/>
    </w:pPr>
    <w:rPr>
      <w:sz w:val="2"/>
    </w:rPr>
  </w:style>
  <w:style w:type="paragraph" w:styleId="1113">
    <w:name w:val="annotation text"/>
    <w:basedOn w:val="1095"/>
    <w:link w:val="1182"/>
    <w:uiPriority w:val="0"/>
    <w:qFormat/>
    <w:pPr>
      <w:jc w:val="left"/>
    </w:pPr>
    <w:rPr>
      <w:sz w:val="20"/>
    </w:rPr>
  </w:style>
  <w:style w:type="paragraph" w:styleId="1114">
    <w:name w:val="index 6"/>
    <w:basedOn w:val="1095"/>
    <w:next w:val="1095"/>
    <w:uiPriority w:val="99"/>
    <w:semiHidden/>
    <w:qFormat/>
    <w:pPr>
      <w:ind w:left="2100"/>
    </w:pPr>
  </w:style>
  <w:style w:type="paragraph" w:styleId="1115">
    <w:name w:val="Body Text 3"/>
    <w:basedOn w:val="1095"/>
    <w:link w:val="1183"/>
    <w:uiPriority w:val="99"/>
    <w:qFormat/>
    <w:rPr>
      <w:sz w:val="16"/>
      <w:szCs w:val="16"/>
    </w:rPr>
  </w:style>
  <w:style w:type="paragraph" w:styleId="1116">
    <w:name w:val="Body Text"/>
    <w:basedOn w:val="1095"/>
    <w:next w:val="1095"/>
    <w:link w:val="1184"/>
    <w:uiPriority w:val="99"/>
    <w:qFormat/>
    <w:rPr>
      <w:sz w:val="20"/>
    </w:rPr>
  </w:style>
  <w:style w:type="paragraph" w:styleId="1117">
    <w:name w:val="Body Text Indent"/>
    <w:basedOn w:val="1095"/>
    <w:next w:val="1118"/>
    <w:link w:val="1185"/>
    <w:uiPriority w:val="99"/>
    <w:qFormat/>
    <w:pPr>
      <w:ind w:firstLine="645"/>
    </w:pPr>
    <w:rPr>
      <w:sz w:val="20"/>
    </w:rPr>
  </w:style>
  <w:style w:type="paragraph" w:styleId="1118">
    <w:name w:val="envelope return"/>
    <w:basedOn w:val="1095"/>
    <w:uiPriority w:val="99"/>
    <w:qFormat/>
    <w:rPr>
      <w:rFonts w:ascii="Arial" w:hAnsi="Arial"/>
    </w:rPr>
  </w:style>
  <w:style w:type="paragraph" w:styleId="1119">
    <w:name w:val="index 4"/>
    <w:basedOn w:val="1095"/>
    <w:next w:val="1095"/>
    <w:uiPriority w:val="99"/>
    <w:semiHidden/>
    <w:qFormat/>
    <w:pPr>
      <w:ind w:left="1260"/>
    </w:pPr>
  </w:style>
  <w:style w:type="paragraph" w:styleId="1120">
    <w:name w:val="toc 5"/>
    <w:basedOn w:val="1095"/>
    <w:next w:val="1095"/>
    <w:uiPriority w:val="99"/>
    <w:semiHidden/>
    <w:qFormat/>
    <w:pPr>
      <w:ind w:left="840"/>
      <w:jc w:val="left"/>
    </w:pPr>
    <w:rPr>
      <w:sz w:val="18"/>
    </w:rPr>
  </w:style>
  <w:style w:type="paragraph" w:styleId="1121">
    <w:name w:val="toc 3"/>
    <w:basedOn w:val="1095"/>
    <w:next w:val="1095"/>
    <w:uiPriority w:val="99"/>
    <w:semiHidden/>
    <w:qFormat/>
    <w:pPr>
      <w:ind w:left="420"/>
      <w:jc w:val="left"/>
    </w:pPr>
    <w:rPr>
      <w:i/>
      <w:sz w:val="20"/>
    </w:rPr>
  </w:style>
  <w:style w:type="paragraph" w:styleId="1122">
    <w:name w:val="Plain Text"/>
    <w:basedOn w:val="1095"/>
    <w:link w:val="1186"/>
    <w:uiPriority w:val="0"/>
    <w:qFormat/>
    <w:rPr>
      <w:rFonts w:ascii="宋体" w:hAnsi="Courier New"/>
      <w:szCs w:val="21"/>
    </w:rPr>
  </w:style>
  <w:style w:type="paragraph" w:styleId="1123">
    <w:name w:val="toc 8"/>
    <w:basedOn w:val="1095"/>
    <w:next w:val="1095"/>
    <w:uiPriority w:val="99"/>
    <w:semiHidden/>
    <w:qFormat/>
    <w:pPr>
      <w:ind w:left="1470"/>
      <w:jc w:val="left"/>
    </w:pPr>
    <w:rPr>
      <w:sz w:val="18"/>
    </w:rPr>
  </w:style>
  <w:style w:type="paragraph" w:styleId="1124">
    <w:name w:val="index 3"/>
    <w:basedOn w:val="1095"/>
    <w:next w:val="1095"/>
    <w:uiPriority w:val="99"/>
    <w:semiHidden/>
    <w:qFormat/>
    <w:pPr>
      <w:ind w:left="840"/>
    </w:pPr>
  </w:style>
  <w:style w:type="paragraph" w:styleId="1125">
    <w:name w:val="Date"/>
    <w:basedOn w:val="1095"/>
    <w:next w:val="1095"/>
    <w:link w:val="1187"/>
    <w:uiPriority w:val="99"/>
    <w:qFormat/>
    <w:pPr>
      <w:ind w:left="100"/>
    </w:pPr>
    <w:rPr>
      <w:sz w:val="20"/>
    </w:rPr>
  </w:style>
  <w:style w:type="paragraph" w:styleId="1126">
    <w:name w:val="Body Text Indent 2"/>
    <w:basedOn w:val="1095"/>
    <w:next w:val="1127"/>
    <w:link w:val="1188"/>
    <w:uiPriority w:val="99"/>
    <w:qFormat/>
    <w:pPr>
      <w:ind w:left="630" w:firstLine="645"/>
    </w:pPr>
    <w:rPr>
      <w:sz w:val="20"/>
    </w:rPr>
  </w:style>
  <w:style w:type="paragraph" w:styleId="1127" w:customStyle="1">
    <w:name w:val="xl75"/>
    <w:basedOn w:val="1095"/>
    <w:next w:val="1128"/>
    <w:uiPriority w:val="0"/>
    <w:qFormat/>
    <w:pPr>
      <w:ind w:left="200" w:firstLine="5320"/>
      <w:jc w:val="center"/>
      <w:spacing w:before="280" w:after="280"/>
      <w:widowControl/>
    </w:pPr>
    <w:rPr>
      <w:rFonts w:ascii="宋体"/>
    </w:rPr>
  </w:style>
  <w:style w:type="paragraph" w:styleId="1128" w:customStyle="1">
    <w:name w:val="Test2"/>
    <w:basedOn w:val="1097"/>
    <w:next w:val="1129"/>
    <w:uiPriority w:val="0"/>
    <w:qFormat/>
    <w:pPr>
      <w:jc w:val="center"/>
      <w:spacing w:line="480" w:lineRule="exact"/>
      <w:widowControl/>
    </w:pPr>
    <w:rPr>
      <w:rFonts w:ascii="黑体" w:hAnsi="Arial" w:eastAsia="黑体"/>
      <w:sz w:val="24"/>
    </w:rPr>
  </w:style>
  <w:style w:type="paragraph" w:styleId="1129" w:customStyle="1">
    <w:name w:val="xl59"/>
    <w:basedOn w:val="1095"/>
    <w:next w:val="11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30" w:customStyle="1">
    <w:name w:val="方案正文"/>
    <w:basedOn w:val="1095"/>
    <w:next w:val="1131"/>
    <w:uiPriority w:val="0"/>
    <w:qFormat/>
    <w:pPr>
      <w:ind w:firstLine="359"/>
      <w:jc w:val="left"/>
      <w:spacing w:before="156" w:line="360" w:lineRule="auto"/>
    </w:pPr>
    <w:rPr>
      <w:rFonts w:ascii="Arial" w:hAnsi="Arial" w:cs="宋体"/>
      <w:sz w:val="24"/>
      <w:szCs w:val="21"/>
    </w:rPr>
  </w:style>
  <w:style w:type="paragraph" w:styleId="1131" w:customStyle="1">
    <w:name w:val="小四 段落 宋体 Char Char Char Char"/>
    <w:basedOn w:val="1095"/>
    <w:next w:val="1132"/>
    <w:uiPriority w:val="0"/>
    <w:qFormat/>
    <w:pPr>
      <w:ind w:right="-33" w:firstLine="480"/>
      <w:jc w:val="left"/>
      <w:spacing w:line="360" w:lineRule="auto"/>
    </w:pPr>
    <w:rPr>
      <w:sz w:val="24"/>
      <w:szCs w:val="24"/>
    </w:rPr>
  </w:style>
  <w:style w:type="paragraph" w:styleId="1132" w:customStyle="1">
    <w:name w:val="flType"/>
    <w:basedOn w:val="1133"/>
    <w:next w:val="1095"/>
    <w:uiPriority w:val="0"/>
    <w:qFormat/>
    <w:pPr>
      <w:spacing w:after="284"/>
    </w:pPr>
    <w:rPr>
      <w:rFonts w:eastAsia="宋体"/>
      <w:b w:val="0"/>
    </w:rPr>
  </w:style>
  <w:style w:type="paragraph" w:styleId="1133" w:customStyle="1">
    <w:name w:val="flName"/>
    <w:basedOn w:val="1134"/>
    <w:uiPriority w:val="0"/>
    <w:qFormat/>
    <w:pPr>
      <w:spacing w:before="0" w:line="113" w:lineRule="atLeast"/>
    </w:pPr>
  </w:style>
  <w:style w:type="paragraph" w:styleId="1134" w:customStyle="1">
    <w:name w:val="flNote"/>
    <w:basedOn w:val="1095"/>
    <w:uiPriority w:val="0"/>
    <w:qFormat/>
    <w:pPr>
      <w:jc w:val="center"/>
      <w:spacing w:before="567" w:line="360" w:lineRule="atLeast"/>
    </w:pPr>
    <w:rPr>
      <w:rFonts w:eastAsia="黑体"/>
      <w:b/>
      <w:sz w:val="24"/>
    </w:rPr>
  </w:style>
  <w:style w:type="paragraph" w:styleId="1135">
    <w:name w:val="Balloon Text"/>
    <w:basedOn w:val="1095"/>
    <w:link w:val="1189"/>
    <w:uiPriority w:val="99"/>
    <w:semiHidden/>
    <w:qFormat/>
    <w:rPr>
      <w:sz w:val="18"/>
      <w:szCs w:val="18"/>
    </w:rPr>
  </w:style>
  <w:style w:type="paragraph" w:styleId="1136">
    <w:name w:val="Footer"/>
    <w:basedOn w:val="1095"/>
    <w:link w:val="1190"/>
    <w:uiPriority w:val="99"/>
    <w:qFormat/>
    <w:pPr>
      <w:jc w:val="left"/>
      <w:tabs>
        <w:tab w:val="center" w:pos="4153" w:leader="none"/>
        <w:tab w:val="right" w:pos="8306" w:leader="none"/>
      </w:tabs>
    </w:pPr>
    <w:rPr>
      <w:sz w:val="18"/>
    </w:rPr>
  </w:style>
  <w:style w:type="paragraph" w:styleId="1137">
    <w:name w:val="Header"/>
    <w:basedOn w:val="1095"/>
    <w:link w:val="1191"/>
    <w:uiPriority w:val="99"/>
    <w:qFormat/>
    <w:pPr>
      <w:jc w:val="center"/>
      <w:tabs>
        <w:tab w:val="center" w:pos="4153" w:leader="none"/>
        <w:tab w:val="right" w:pos="8306" w:leader="none"/>
      </w:tabs>
      <w:pBdr>
        <w:bottom w:val="single" w:color="auto" w:sz="6" w:space="1"/>
      </w:pBdr>
    </w:pPr>
    <w:rPr>
      <w:sz w:val="18"/>
    </w:rPr>
  </w:style>
  <w:style w:type="paragraph" w:styleId="1138">
    <w:name w:val="toc 1"/>
    <w:basedOn w:val="1095"/>
    <w:next w:val="1095"/>
    <w:uiPriority w:val="39"/>
    <w:qFormat/>
    <w:pPr>
      <w:jc w:val="left"/>
      <w:spacing w:before="120" w:after="120"/>
    </w:pPr>
    <w:rPr>
      <w:b/>
      <w:caps/>
      <w:sz w:val="20"/>
    </w:rPr>
  </w:style>
  <w:style w:type="paragraph" w:styleId="1139">
    <w:name w:val="toc 4"/>
    <w:basedOn w:val="1095"/>
    <w:next w:val="1095"/>
    <w:uiPriority w:val="99"/>
    <w:semiHidden/>
    <w:qFormat/>
    <w:pPr>
      <w:ind w:left="630"/>
      <w:jc w:val="left"/>
    </w:pPr>
    <w:rPr>
      <w:sz w:val="18"/>
    </w:rPr>
  </w:style>
  <w:style w:type="paragraph" w:styleId="1140">
    <w:name w:val="index heading"/>
    <w:basedOn w:val="1095"/>
    <w:next w:val="1141"/>
    <w:uiPriority w:val="99"/>
    <w:semiHidden/>
    <w:qFormat/>
  </w:style>
  <w:style w:type="paragraph" w:styleId="1141">
    <w:name w:val="index 1"/>
    <w:basedOn w:val="1095"/>
    <w:next w:val="1095"/>
    <w:uiPriority w:val="99"/>
    <w:semiHidden/>
    <w:qFormat/>
    <w:pPr>
      <w:jc w:val="center"/>
    </w:pPr>
    <w:rPr>
      <w:rFonts w:ascii="仿宋_GB2312" w:hAnsi="宋体" w:eastAsia="仿宋_GB2312"/>
      <w:sz w:val="30"/>
      <w:szCs w:val="24"/>
    </w:rPr>
  </w:style>
  <w:style w:type="paragraph" w:styleId="1142">
    <w:name w:val="Subtitle"/>
    <w:basedOn w:val="1095"/>
    <w:next w:val="1095"/>
    <w:uiPriority w:val="0"/>
    <w:qFormat/>
    <w:pPr>
      <w:spacing w:before="240" w:after="60" w:line="312" w:lineRule="auto"/>
      <w:outlineLvl w:val="3"/>
    </w:pPr>
    <w:rPr>
      <w:rFonts w:ascii="Cambria" w:hAnsi="Cambria"/>
      <w:b/>
      <w:bCs/>
      <w:sz w:val="28"/>
      <w:szCs w:val="32"/>
    </w:rPr>
  </w:style>
  <w:style w:type="paragraph" w:styleId="1143">
    <w:name w:val="toc 6"/>
    <w:basedOn w:val="1095"/>
    <w:next w:val="1095"/>
    <w:uiPriority w:val="99"/>
    <w:semiHidden/>
    <w:qFormat/>
    <w:pPr>
      <w:ind w:left="1050"/>
      <w:jc w:val="left"/>
    </w:pPr>
    <w:rPr>
      <w:sz w:val="18"/>
    </w:rPr>
  </w:style>
  <w:style w:type="paragraph" w:styleId="1144">
    <w:name w:val="Body Text Indent 3"/>
    <w:basedOn w:val="1095"/>
    <w:link w:val="1192"/>
    <w:uiPriority w:val="99"/>
    <w:qFormat/>
    <w:pPr>
      <w:ind w:left="645" w:firstLine="645"/>
    </w:pPr>
    <w:rPr>
      <w:sz w:val="16"/>
      <w:szCs w:val="16"/>
    </w:rPr>
  </w:style>
  <w:style w:type="paragraph" w:styleId="1145">
    <w:name w:val="index 7"/>
    <w:basedOn w:val="1095"/>
    <w:next w:val="1095"/>
    <w:uiPriority w:val="99"/>
    <w:semiHidden/>
    <w:qFormat/>
    <w:pPr>
      <w:ind w:left="2520"/>
    </w:pPr>
  </w:style>
  <w:style w:type="paragraph" w:styleId="1146">
    <w:name w:val="index 9"/>
    <w:basedOn w:val="1095"/>
    <w:next w:val="1095"/>
    <w:uiPriority w:val="99"/>
    <w:semiHidden/>
    <w:qFormat/>
    <w:pPr>
      <w:ind w:left="3360"/>
    </w:pPr>
  </w:style>
  <w:style w:type="paragraph" w:styleId="1147">
    <w:name w:val="table of figures"/>
    <w:basedOn w:val="1095"/>
    <w:next w:val="1095"/>
    <w:uiPriority w:val="99"/>
    <w:semiHidden/>
    <w:qFormat/>
    <w:pPr>
      <w:ind w:left="840" w:hanging="420"/>
    </w:pPr>
  </w:style>
  <w:style w:type="paragraph" w:styleId="1148">
    <w:name w:val="toc 2"/>
    <w:basedOn w:val="1095"/>
    <w:next w:val="1095"/>
    <w:uiPriority w:val="39"/>
    <w:qFormat/>
    <w:pPr>
      <w:ind w:left="210"/>
      <w:jc w:val="left"/>
    </w:pPr>
    <w:rPr>
      <w:smallCaps/>
      <w:sz w:val="20"/>
    </w:rPr>
  </w:style>
  <w:style w:type="paragraph" w:styleId="1149">
    <w:name w:val="toc 9"/>
    <w:basedOn w:val="1095"/>
    <w:next w:val="1095"/>
    <w:uiPriority w:val="99"/>
    <w:semiHidden/>
    <w:qFormat/>
    <w:pPr>
      <w:ind w:left="1680"/>
      <w:jc w:val="left"/>
    </w:pPr>
    <w:rPr>
      <w:sz w:val="18"/>
    </w:rPr>
  </w:style>
  <w:style w:type="paragraph" w:styleId="1150">
    <w:name w:val="Body Text 2"/>
    <w:basedOn w:val="1095"/>
    <w:link w:val="1193"/>
    <w:uiPriority w:val="99"/>
    <w:qFormat/>
    <w:pPr>
      <w:jc w:val="center"/>
      <w:widowControl/>
    </w:pPr>
    <w:rPr>
      <w:sz w:val="20"/>
    </w:rPr>
  </w:style>
  <w:style w:type="paragraph" w:styleId="1151">
    <w:name w:val="HTML Preformatted"/>
    <w:basedOn w:val="1095"/>
    <w:link w:val="119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152">
    <w:name w:val="Normal (Web)"/>
    <w:basedOn w:val="1095"/>
    <w:uiPriority w:val="99"/>
    <w:qFormat/>
    <w:pPr>
      <w:jc w:val="left"/>
      <w:spacing w:before="100" w:beforeAutospacing="1" w:after="100" w:afterAutospacing="1"/>
      <w:widowControl/>
    </w:pPr>
    <w:rPr>
      <w:rFonts w:ascii="Arial" w:hAnsi="Arial" w:cs="Arial"/>
      <w:sz w:val="24"/>
      <w:szCs w:val="24"/>
    </w:rPr>
  </w:style>
  <w:style w:type="paragraph" w:styleId="1153">
    <w:name w:val="index 2"/>
    <w:basedOn w:val="1095"/>
    <w:next w:val="1095"/>
    <w:uiPriority w:val="99"/>
    <w:semiHidden/>
    <w:qFormat/>
    <w:pPr>
      <w:ind w:left="420"/>
    </w:pPr>
  </w:style>
  <w:style w:type="paragraph" w:styleId="1154">
    <w:name w:val="Title"/>
    <w:basedOn w:val="1095"/>
    <w:next w:val="1095"/>
    <w:link w:val="1195"/>
    <w:uiPriority w:val="10"/>
    <w:qFormat/>
    <w:pPr>
      <w:jc w:val="center"/>
      <w:spacing w:before="240" w:after="60"/>
      <w:outlineLvl w:val="0"/>
    </w:pPr>
    <w:rPr>
      <w:rFonts w:ascii="Cambria" w:hAnsi="Cambria"/>
      <w:b/>
      <w:bCs/>
      <w:sz w:val="32"/>
      <w:szCs w:val="32"/>
    </w:rPr>
  </w:style>
  <w:style w:type="paragraph" w:styleId="1155">
    <w:name w:val="annotation subject"/>
    <w:basedOn w:val="1113"/>
    <w:next w:val="1113"/>
    <w:link w:val="1196"/>
    <w:uiPriority w:val="99"/>
    <w:semiHidden/>
    <w:qFormat/>
    <w:rPr>
      <w:b/>
      <w:bCs/>
    </w:rPr>
  </w:style>
  <w:style w:type="paragraph" w:styleId="1156">
    <w:name w:val="Body Text First Indent"/>
    <w:basedOn w:val="1116"/>
    <w:link w:val="1197"/>
    <w:uiPriority w:val="99"/>
    <w:qFormat/>
    <w:pPr>
      <w:ind w:firstLine="420"/>
      <w:spacing w:after="120"/>
    </w:pPr>
    <w:rPr>
      <w:sz w:val="21"/>
      <w:szCs w:val="24"/>
    </w:rPr>
  </w:style>
  <w:style w:type="paragraph" w:styleId="1157">
    <w:name w:val="Body Text First Indent 2"/>
    <w:basedOn w:val="1117"/>
    <w:uiPriority w:val="0"/>
    <w:qFormat/>
    <w:pPr>
      <w:ind w:left="420"/>
      <w:spacing w:after="120"/>
    </w:pPr>
    <w:rPr>
      <w:sz w:val="21"/>
    </w:rPr>
  </w:style>
  <w:style w:type="table" w:styleId="1158">
    <w:name w:val="Table Grid"/>
    <w:basedOn w:val="110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9">
    <w:name w:val="Strong"/>
    <w:basedOn w:val="1105"/>
    <w:uiPriority w:val="22"/>
    <w:qFormat/>
    <w:rPr>
      <w:b/>
    </w:rPr>
  </w:style>
  <w:style w:type="character" w:styleId="1160">
    <w:name w:val="page number"/>
    <w:uiPriority w:val="0"/>
    <w:qFormat/>
    <w:rPr>
      <w:rFonts w:cs="Times New Roman"/>
    </w:rPr>
  </w:style>
  <w:style w:type="character" w:styleId="1161">
    <w:name w:val="FollowedHyperlink"/>
    <w:uiPriority w:val="99"/>
    <w:qFormat/>
    <w:rPr>
      <w:rFonts w:cs="Times New Roman"/>
      <w:color w:val="800080"/>
      <w:u w:val="single"/>
    </w:rPr>
  </w:style>
  <w:style w:type="character" w:styleId="1162">
    <w:name w:val="Emphasis"/>
    <w:uiPriority w:val="20"/>
    <w:qFormat/>
    <w:rPr>
      <w:i/>
      <w:iCs/>
    </w:rPr>
  </w:style>
  <w:style w:type="character" w:styleId="1163">
    <w:name w:val="HTML Typewriter"/>
    <w:uiPriority w:val="0"/>
    <w:unhideWhenUsed/>
    <w:qFormat/>
    <w:rPr>
      <w:rFonts w:ascii="monospace" w:hAnsi="monospace" w:eastAsia="monospace" w:cs="monospace"/>
      <w:sz w:val="20"/>
    </w:rPr>
  </w:style>
  <w:style w:type="character" w:styleId="1164">
    <w:name w:val="HTML Acronym"/>
    <w:uiPriority w:val="0"/>
    <w:unhideWhenUsed/>
    <w:qFormat/>
  </w:style>
  <w:style w:type="character" w:styleId="1165">
    <w:name w:val="Hyperlink"/>
    <w:basedOn w:val="1105"/>
    <w:uiPriority w:val="99"/>
    <w:qFormat/>
    <w:rPr>
      <w:rFonts w:cs="Times New Roman"/>
      <w:color w:val="0000ff"/>
      <w:u w:val="single"/>
    </w:rPr>
  </w:style>
  <w:style w:type="character" w:styleId="1166">
    <w:name w:val="HTML Code"/>
    <w:uiPriority w:val="0"/>
    <w:unhideWhenUsed/>
    <w:qFormat/>
    <w:rPr>
      <w:rFonts w:hint="default" w:ascii="monospace" w:hAnsi="monospace" w:eastAsia="monospace" w:cs="monospace"/>
      <w:sz w:val="20"/>
      <w:shd w:val="clear" w:color="auto" w:fill="fcf8f5"/>
    </w:rPr>
  </w:style>
  <w:style w:type="character" w:styleId="1167">
    <w:name w:val="annotation reference"/>
    <w:uiPriority w:val="0"/>
    <w:qFormat/>
    <w:rPr>
      <w:rFonts w:cs="Times New Roman"/>
      <w:sz w:val="21"/>
    </w:rPr>
  </w:style>
  <w:style w:type="character" w:styleId="1168">
    <w:name w:val="HTML Keyboard"/>
    <w:uiPriority w:val="0"/>
    <w:unhideWhenUsed/>
    <w:qFormat/>
    <w:rPr>
      <w:rFonts w:hint="default" w:ascii="monospace" w:hAnsi="monospace" w:eastAsia="monospace" w:cs="monospace"/>
      <w:sz w:val="20"/>
    </w:rPr>
  </w:style>
  <w:style w:type="character" w:styleId="1169">
    <w:name w:val="HTML Sample"/>
    <w:uiPriority w:val="0"/>
    <w:unhideWhenUsed/>
    <w:qFormat/>
    <w:rPr>
      <w:rFonts w:hint="default" w:ascii="monospace" w:hAnsi="monospace" w:eastAsia="monospace" w:cs="monospace"/>
    </w:rPr>
  </w:style>
  <w:style w:type="character" w:styleId="1170" w:customStyle="1">
    <w:name w:val="标题 2 字符"/>
    <w:link w:val="1097"/>
    <w:uiPriority w:val="99"/>
    <w:qFormat/>
    <w:rPr>
      <w:rFonts w:ascii="Cambria" w:hAnsi="Cambria"/>
      <w:b/>
      <w:bCs/>
      <w:sz w:val="32"/>
      <w:szCs w:val="32"/>
    </w:rPr>
  </w:style>
  <w:style w:type="paragraph" w:styleId="1171" w:customStyle="1">
    <w:name w:val="段"/>
    <w:next w:val="1095"/>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172" w:customStyle="1">
    <w:name w:val="标题 1 字符"/>
    <w:link w:val="1096"/>
    <w:uiPriority w:val="0"/>
    <w:qFormat/>
    <w:rPr>
      <w:rFonts w:ascii="黑体" w:eastAsia="黑体"/>
      <w:b/>
      <w:sz w:val="28"/>
    </w:rPr>
  </w:style>
  <w:style w:type="character" w:styleId="1173" w:customStyle="1">
    <w:name w:val="标题 3 字符"/>
    <w:link w:val="1098"/>
    <w:uiPriority w:val="99"/>
    <w:qFormat/>
    <w:rPr>
      <w:b/>
      <w:bCs/>
      <w:sz w:val="32"/>
      <w:szCs w:val="32"/>
    </w:rPr>
  </w:style>
  <w:style w:type="character" w:styleId="1174" w:customStyle="1">
    <w:name w:val="标题 4 字符"/>
    <w:link w:val="1099"/>
    <w:uiPriority w:val="99"/>
    <w:qFormat/>
    <w:rPr>
      <w:rFonts w:ascii="Cambria" w:hAnsi="Cambria"/>
      <w:b/>
      <w:bCs/>
      <w:sz w:val="28"/>
      <w:szCs w:val="28"/>
    </w:rPr>
  </w:style>
  <w:style w:type="character" w:styleId="1175" w:customStyle="1">
    <w:name w:val="正文缩进 字符"/>
    <w:link w:val="1107"/>
    <w:uiPriority w:val="0"/>
    <w:qFormat/>
    <w:rPr>
      <w:rFonts w:eastAsia="宋体" w:cs="Times New Roman"/>
      <w:sz w:val="21"/>
      <w:lang w:val="en-US" w:eastAsia="zh-CN" w:bidi="ar-SA"/>
    </w:rPr>
  </w:style>
  <w:style w:type="character" w:styleId="1176" w:customStyle="1">
    <w:name w:val="标题 5 字符"/>
    <w:link w:val="1100"/>
    <w:uiPriority w:val="99"/>
    <w:qFormat/>
    <w:rPr>
      <w:b/>
      <w:bCs/>
      <w:sz w:val="28"/>
      <w:szCs w:val="28"/>
    </w:rPr>
  </w:style>
  <w:style w:type="character" w:styleId="1177" w:customStyle="1">
    <w:name w:val="标题 6 字符"/>
    <w:link w:val="1101"/>
    <w:uiPriority w:val="99"/>
    <w:qFormat/>
    <w:rPr>
      <w:rFonts w:ascii="Cambria" w:hAnsi="Cambria"/>
      <w:b/>
      <w:bCs/>
      <w:sz w:val="24"/>
      <w:szCs w:val="24"/>
    </w:rPr>
  </w:style>
  <w:style w:type="character" w:styleId="1178" w:customStyle="1">
    <w:name w:val="标题 7 字符"/>
    <w:link w:val="1102"/>
    <w:uiPriority w:val="99"/>
    <w:qFormat/>
    <w:rPr>
      <w:b/>
      <w:bCs/>
      <w:sz w:val="24"/>
      <w:szCs w:val="24"/>
    </w:rPr>
  </w:style>
  <w:style w:type="character" w:styleId="1179" w:customStyle="1">
    <w:name w:val="标题 8 字符"/>
    <w:link w:val="1103"/>
    <w:uiPriority w:val="99"/>
    <w:qFormat/>
    <w:rPr>
      <w:rFonts w:ascii="Cambria" w:hAnsi="Cambria"/>
      <w:sz w:val="24"/>
      <w:szCs w:val="24"/>
    </w:rPr>
  </w:style>
  <w:style w:type="character" w:styleId="1180" w:customStyle="1">
    <w:name w:val="标题 9 字符"/>
    <w:link w:val="1104"/>
    <w:uiPriority w:val="99"/>
    <w:qFormat/>
    <w:rPr>
      <w:rFonts w:ascii="Cambria" w:hAnsi="Cambria"/>
      <w:sz w:val="21"/>
      <w:szCs w:val="21"/>
    </w:rPr>
  </w:style>
  <w:style w:type="character" w:styleId="1181" w:customStyle="1">
    <w:name w:val="文档结构图 字符"/>
    <w:link w:val="1112"/>
    <w:uiPriority w:val="99"/>
    <w:semiHidden/>
    <w:qFormat/>
    <w:rPr>
      <w:rFonts w:cs="Times New Roman"/>
      <w:sz w:val="2"/>
    </w:rPr>
  </w:style>
  <w:style w:type="character" w:styleId="1182" w:customStyle="1">
    <w:name w:val="批注文字 字符"/>
    <w:link w:val="1113"/>
    <w:uiPriority w:val="0"/>
    <w:qFormat/>
    <w:rPr>
      <w:rFonts w:cs="Times New Roman"/>
      <w:sz w:val="20"/>
      <w:szCs w:val="20"/>
    </w:rPr>
  </w:style>
  <w:style w:type="character" w:styleId="1183" w:customStyle="1">
    <w:name w:val="正文文本 3 字符"/>
    <w:link w:val="1115"/>
    <w:uiPriority w:val="99"/>
    <w:semiHidden/>
    <w:qFormat/>
    <w:rPr>
      <w:rFonts w:cs="Times New Roman"/>
      <w:sz w:val="16"/>
      <w:szCs w:val="16"/>
    </w:rPr>
  </w:style>
  <w:style w:type="character" w:styleId="1184" w:customStyle="1">
    <w:name w:val="正文文本 字符"/>
    <w:link w:val="1116"/>
    <w:uiPriority w:val="99"/>
    <w:semiHidden/>
    <w:qFormat/>
    <w:rPr>
      <w:rFonts w:cs="Times New Roman"/>
      <w:sz w:val="20"/>
      <w:szCs w:val="20"/>
    </w:rPr>
  </w:style>
  <w:style w:type="character" w:styleId="1185" w:customStyle="1">
    <w:name w:val="正文文本缩进 字符"/>
    <w:link w:val="1117"/>
    <w:uiPriority w:val="99"/>
    <w:semiHidden/>
    <w:qFormat/>
    <w:rPr>
      <w:rFonts w:cs="Times New Roman"/>
      <w:sz w:val="20"/>
      <w:szCs w:val="20"/>
    </w:rPr>
  </w:style>
  <w:style w:type="character" w:styleId="1186" w:customStyle="1">
    <w:name w:val="纯文本 字符"/>
    <w:link w:val="1122"/>
    <w:uiPriority w:val="0"/>
    <w:qFormat/>
    <w:rPr>
      <w:rFonts w:ascii="宋体" w:hAnsi="Courier New" w:cs="Courier New"/>
      <w:sz w:val="21"/>
      <w:szCs w:val="21"/>
    </w:rPr>
  </w:style>
  <w:style w:type="character" w:styleId="1187" w:customStyle="1">
    <w:name w:val="日期 字符"/>
    <w:link w:val="1125"/>
    <w:uiPriority w:val="99"/>
    <w:semiHidden/>
    <w:qFormat/>
    <w:rPr>
      <w:rFonts w:cs="Times New Roman"/>
      <w:sz w:val="20"/>
      <w:szCs w:val="20"/>
    </w:rPr>
  </w:style>
  <w:style w:type="character" w:styleId="1188" w:customStyle="1">
    <w:name w:val="正文文本缩进 2 字符"/>
    <w:link w:val="1126"/>
    <w:uiPriority w:val="99"/>
    <w:semiHidden/>
    <w:qFormat/>
    <w:rPr>
      <w:rFonts w:cs="Times New Roman"/>
      <w:sz w:val="20"/>
      <w:szCs w:val="20"/>
    </w:rPr>
  </w:style>
  <w:style w:type="character" w:styleId="1189" w:customStyle="1">
    <w:name w:val="批注框文本 字符"/>
    <w:link w:val="1135"/>
    <w:uiPriority w:val="99"/>
    <w:semiHidden/>
    <w:qFormat/>
    <w:rPr>
      <w:sz w:val="18"/>
      <w:szCs w:val="18"/>
    </w:rPr>
  </w:style>
  <w:style w:type="character" w:styleId="1190" w:customStyle="1">
    <w:name w:val="页脚 字符"/>
    <w:link w:val="1136"/>
    <w:uiPriority w:val="99"/>
    <w:qFormat/>
    <w:rPr>
      <w:rFonts w:eastAsia="宋体" w:cs="Times New Roman"/>
      <w:sz w:val="18"/>
      <w:lang w:val="en-US" w:eastAsia="zh-CN" w:bidi="ar-SA"/>
    </w:rPr>
  </w:style>
  <w:style w:type="character" w:styleId="1191" w:customStyle="1">
    <w:name w:val="页眉 字符"/>
    <w:link w:val="1137"/>
    <w:uiPriority w:val="99"/>
    <w:semiHidden/>
    <w:qFormat/>
    <w:rPr>
      <w:rFonts w:eastAsia="宋体" w:cs="Times New Roman"/>
      <w:sz w:val="18"/>
      <w:lang w:val="en-US" w:eastAsia="zh-CN" w:bidi="ar-SA"/>
    </w:rPr>
  </w:style>
  <w:style w:type="character" w:styleId="1192" w:customStyle="1">
    <w:name w:val="正文文本缩进 3 字符"/>
    <w:link w:val="1144"/>
    <w:uiPriority w:val="99"/>
    <w:semiHidden/>
    <w:qFormat/>
    <w:rPr>
      <w:rFonts w:cs="Times New Roman"/>
      <w:sz w:val="16"/>
      <w:szCs w:val="16"/>
    </w:rPr>
  </w:style>
  <w:style w:type="character" w:styleId="1193" w:customStyle="1">
    <w:name w:val="正文文本 2 字符"/>
    <w:link w:val="1150"/>
    <w:uiPriority w:val="99"/>
    <w:semiHidden/>
    <w:qFormat/>
    <w:rPr>
      <w:rFonts w:cs="Times New Roman"/>
      <w:sz w:val="20"/>
      <w:szCs w:val="20"/>
    </w:rPr>
  </w:style>
  <w:style w:type="character" w:styleId="1194" w:customStyle="1">
    <w:name w:val="HTML 预设格式 字符"/>
    <w:link w:val="1151"/>
    <w:uiPriority w:val="99"/>
    <w:semiHidden/>
    <w:qFormat/>
    <w:rPr>
      <w:rFonts w:ascii="Courier New" w:hAnsi="Courier New" w:cs="Courier New"/>
      <w:sz w:val="20"/>
      <w:szCs w:val="20"/>
    </w:rPr>
  </w:style>
  <w:style w:type="character" w:styleId="1195" w:customStyle="1">
    <w:name w:val="标题 字符"/>
    <w:link w:val="1154"/>
    <w:uiPriority w:val="10"/>
    <w:qFormat/>
    <w:rPr>
      <w:rFonts w:ascii="Cambria" w:hAnsi="Cambria" w:cs="Times New Roman"/>
      <w:b/>
      <w:bCs/>
      <w:sz w:val="32"/>
      <w:szCs w:val="32"/>
    </w:rPr>
  </w:style>
  <w:style w:type="character" w:styleId="1196" w:customStyle="1">
    <w:name w:val="批注主题 字符"/>
    <w:link w:val="1155"/>
    <w:uiPriority w:val="99"/>
    <w:semiHidden/>
    <w:qFormat/>
    <w:rPr>
      <w:rFonts w:cs="Times New Roman"/>
      <w:b/>
      <w:bCs/>
      <w:sz w:val="20"/>
      <w:szCs w:val="20"/>
    </w:rPr>
  </w:style>
  <w:style w:type="character" w:styleId="1197" w:customStyle="1">
    <w:name w:val="正文文本首行缩进 字符"/>
    <w:link w:val="1156"/>
    <w:uiPriority w:val="99"/>
    <w:semiHidden/>
    <w:qFormat/>
  </w:style>
  <w:style w:type="character" w:styleId="1198" w:customStyle="1">
    <w:name w:val="point_normal1"/>
    <w:uiPriority w:val="99"/>
    <w:qFormat/>
    <w:rPr>
      <w:rFonts w:ascii="Arial" w:hAnsi="Arial" w:cs="Arial"/>
      <w:sz w:val="18"/>
      <w:szCs w:val="18"/>
    </w:rPr>
  </w:style>
  <w:style w:type="character" w:styleId="1199" w:customStyle="1">
    <w:name w:val="15"/>
    <w:uiPriority w:val="0"/>
    <w:qFormat/>
    <w:rPr>
      <w:rFonts w:hint="default" w:ascii="Times New Roman" w:hAnsi="Times New Roman" w:eastAsia="宋体" w:cs="Times New Roman"/>
    </w:rPr>
  </w:style>
  <w:style w:type="character" w:styleId="1200" w:customStyle="1">
    <w:name w:val="二级目录 Char"/>
    <w:link w:val="1201"/>
    <w:uiPriority w:val="99"/>
    <w:qFormat/>
    <w:rPr>
      <w:b/>
      <w:sz w:val="30"/>
      <w:szCs w:val="28"/>
    </w:rPr>
  </w:style>
  <w:style w:type="paragraph" w:styleId="1201" w:customStyle="1">
    <w:name w:val="二级目录"/>
    <w:next w:val="1095"/>
    <w:link w:val="1200"/>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202" w:customStyle="1">
    <w:name w:val="副标题 Char2"/>
    <w:uiPriority w:val="11"/>
    <w:qFormat/>
    <w:rPr>
      <w:rFonts w:ascii="Calibri Light" w:hAnsi="Calibri Light" w:cs="Times New Roman"/>
      <w:b/>
      <w:bCs/>
      <w:sz w:val="32"/>
      <w:szCs w:val="32"/>
    </w:rPr>
  </w:style>
  <w:style w:type="character" w:styleId="1203" w:customStyle="1">
    <w:name w:val="正文2 Char"/>
    <w:link w:val="1204"/>
    <w:uiPriority w:val="0"/>
    <w:qFormat/>
    <w:rPr>
      <w:sz w:val="24"/>
    </w:rPr>
  </w:style>
  <w:style w:type="paragraph" w:styleId="1204" w:customStyle="1">
    <w:name w:val="正文2"/>
    <w:basedOn w:val="1095"/>
    <w:link w:val="1203"/>
    <w:uiPriority w:val="0"/>
    <w:qFormat/>
    <w:pPr>
      <w:ind w:firstLine="510"/>
      <w:spacing w:before="156" w:line="360" w:lineRule="auto"/>
    </w:pPr>
    <w:rPr>
      <w:sz w:val="24"/>
    </w:rPr>
  </w:style>
  <w:style w:type="character" w:styleId="1205" w:customStyle="1">
    <w:name w:val="标题 3 Char"/>
    <w:uiPriority w:val="99"/>
    <w:qFormat/>
    <w:rPr>
      <w:rFonts w:ascii="宋体" w:hAnsi="宋体" w:eastAsia="宋体" w:cs="Times New Roman"/>
      <w:b/>
      <w:bCs/>
      <w:sz w:val="32"/>
      <w:szCs w:val="32"/>
      <w:lang w:val="en-US" w:eastAsia="zh-CN" w:bidi="ar-SA"/>
    </w:rPr>
  </w:style>
  <w:style w:type="character" w:styleId="1206" w:customStyle="1">
    <w:name w:val="纯文本 Char1"/>
    <w:uiPriority w:val="0"/>
    <w:qFormat/>
    <w:rPr>
      <w:rFonts w:ascii="宋体" w:hAnsi="Courier New" w:eastAsia="宋体"/>
      <w:sz w:val="21"/>
      <w:lang w:val="en-US" w:eastAsia="zh-CN" w:bidi="ar-SA"/>
    </w:rPr>
  </w:style>
  <w:style w:type="character" w:styleId="1207" w:customStyle="1">
    <w:name w:val="para_small"/>
    <w:uiPriority w:val="99"/>
    <w:qFormat/>
    <w:rPr>
      <w:rFonts w:cs="Times New Roman"/>
    </w:rPr>
  </w:style>
  <w:style w:type="character" w:styleId="1208" w:customStyle="1">
    <w:name w:val="标题 Char3"/>
    <w:uiPriority w:val="10"/>
    <w:qFormat/>
    <w:rPr>
      <w:rFonts w:ascii="黑体" w:hAnsi="黑体" w:eastAsia="黑体"/>
      <w:b/>
      <w:bCs/>
      <w:sz w:val="24"/>
      <w:szCs w:val="32"/>
    </w:rPr>
  </w:style>
  <w:style w:type="paragraph" w:styleId="1209" w:customStyle="1">
    <w:name w:val="样式"/>
    <w:basedOn w:val="1095"/>
    <w:next w:val="1116"/>
    <w:uiPriority w:val="99"/>
    <w:qFormat/>
    <w:rPr>
      <w:rFonts w:ascii="楷体_GB2312" w:hAnsi="Arial" w:eastAsia="楷体_GB2312"/>
      <w:sz w:val="28"/>
    </w:rPr>
  </w:style>
  <w:style w:type="paragraph" w:styleId="1210" w:customStyle="1">
    <w:name w:val="xl113"/>
    <w:basedOn w:val="109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211" w:customStyle="1">
    <w:name w:val="xl112"/>
    <w:basedOn w:val="109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12" w:customStyle="1">
    <w:name w:val="普通正文"/>
    <w:basedOn w:val="1095"/>
    <w:uiPriority w:val="0"/>
    <w:qFormat/>
    <w:pPr>
      <w:ind w:firstLine="480"/>
      <w:jc w:val="left"/>
      <w:spacing w:before="120" w:after="120" w:line="360" w:lineRule="auto"/>
    </w:pPr>
    <w:rPr>
      <w:rFonts w:ascii="Arial" w:hAnsi="Arial" w:cs="Arial"/>
      <w:sz w:val="24"/>
      <w:szCs w:val="24"/>
    </w:rPr>
  </w:style>
  <w:style w:type="paragraph" w:styleId="1213" w:customStyle="1">
    <w:name w:val="Char Char Char Char Char Char Char Char Char Char Char Char Char"/>
    <w:basedOn w:val="1112"/>
    <w:uiPriority w:val="99"/>
    <w:qFormat/>
    <w:rPr>
      <w:rFonts w:ascii="Tahoma" w:hAnsi="Tahoma"/>
      <w:sz w:val="24"/>
      <w:szCs w:val="24"/>
    </w:rPr>
  </w:style>
  <w:style w:type="paragraph" w:styleId="1214" w:customStyle="1">
    <w:name w:val="丁华标题1"/>
    <w:basedOn w:val="1096"/>
    <w:next w:val="1215"/>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215" w:customStyle="1">
    <w:name w:val="丁华正文"/>
    <w:basedOn w:val="1144"/>
    <w:uiPriority w:val="99"/>
    <w:qFormat/>
    <w:pPr>
      <w:ind w:left="0" w:firstLine="510"/>
      <w:spacing w:line="360" w:lineRule="auto"/>
    </w:pPr>
    <w:rPr>
      <w:sz w:val="24"/>
    </w:rPr>
  </w:style>
  <w:style w:type="paragraph" w:styleId="1216" w:customStyle="1">
    <w:name w:val="Bullets L1"/>
    <w:basedOn w:val="1095"/>
    <w:uiPriority w:val="99"/>
    <w:qFormat/>
    <w:pPr>
      <w:numPr>
        <w:ilvl w:val="0"/>
        <w:numId w:val="3"/>
      </w:numPr>
      <w:jc w:val="left"/>
      <w:spacing w:before="60" w:after="60"/>
      <w:widowControl/>
    </w:pPr>
    <w:rPr>
      <w:rFonts w:ascii="Arial" w:hAnsi="Arial"/>
      <w:sz w:val="20"/>
    </w:rPr>
  </w:style>
  <w:style w:type="paragraph" w:styleId="1217" w:customStyle="1">
    <w:name w:val="+正文"/>
    <w:basedOn w:val="1095"/>
    <w:uiPriority w:val="0"/>
    <w:qFormat/>
    <w:pPr>
      <w:ind w:firstLine="200"/>
      <w:spacing w:line="360" w:lineRule="auto"/>
    </w:pPr>
    <w:rPr>
      <w:sz w:val="24"/>
      <w:szCs w:val="28"/>
    </w:rPr>
  </w:style>
  <w:style w:type="paragraph" w:styleId="1218" w:customStyle="1">
    <w:name w:val="xl107"/>
    <w:basedOn w:val="1095"/>
    <w:next w:val="1109"/>
    <w:uiPriority w:val="0"/>
    <w:qFormat/>
    <w:pPr>
      <w:jc w:val="left"/>
      <w:spacing w:before="100" w:beforeAutospacing="1" w:after="100" w:afterAutospacing="1"/>
      <w:widowControl/>
    </w:pPr>
    <w:rPr>
      <w:rFonts w:ascii="Arial" w:hAnsi="Arial" w:cs="Arial"/>
      <w:sz w:val="20"/>
    </w:rPr>
  </w:style>
  <w:style w:type="paragraph" w:styleId="1219" w:customStyle="1">
    <w:name w:val="xl116"/>
    <w:basedOn w:val="109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0" w:customStyle="1">
    <w:name w:val="默认段落字体 Para Char Char Char Char Char Char Char"/>
    <w:basedOn w:val="1095"/>
    <w:uiPriority w:val="99"/>
    <w:qFormat/>
  </w:style>
  <w:style w:type="paragraph" w:styleId="1221" w:customStyle="1">
    <w:name w:val="xl108"/>
    <w:basedOn w:val="10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2" w:customStyle="1">
    <w:name w:val="Table Paragraph"/>
    <w:basedOn w:val="1095"/>
    <w:uiPriority w:val="1"/>
    <w:qFormat/>
    <w:rPr>
      <w:rFonts w:ascii="宋体" w:hAnsi="宋体" w:cs="宋体"/>
      <w:lang w:val="zh-CN" w:bidi="zh-CN"/>
    </w:rPr>
  </w:style>
  <w:style w:type="paragraph" w:styleId="1223" w:customStyle="1">
    <w:name w:val="丁华标题2"/>
    <w:basedOn w:val="1097"/>
    <w:next w:val="1215"/>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224" w:customStyle="1">
    <w:name w:val="font5"/>
    <w:basedOn w:val="1095"/>
    <w:uiPriority w:val="0"/>
    <w:qFormat/>
    <w:pPr>
      <w:jc w:val="left"/>
      <w:spacing w:before="100" w:beforeAutospacing="1" w:after="100" w:afterAutospacing="1"/>
      <w:widowControl/>
    </w:pPr>
    <w:rPr>
      <w:rFonts w:ascii="宋体" w:hAnsi="宋体" w:cs="宋体"/>
      <w:sz w:val="18"/>
      <w:szCs w:val="18"/>
    </w:rPr>
  </w:style>
  <w:style w:type="paragraph" w:styleId="1225" w:customStyle="1">
    <w:name w:val="Char"/>
    <w:basedOn w:val="1095"/>
    <w:uiPriority w:val="0"/>
    <w:qFormat/>
    <w:rPr>
      <w:rFonts w:ascii="Tahoma" w:hAnsi="Tahoma" w:cs="仿宋_GB2312"/>
      <w:sz w:val="24"/>
      <w:szCs w:val="28"/>
    </w:rPr>
  </w:style>
  <w:style w:type="paragraph" w:styleId="1226" w:customStyle="1">
    <w:name w:val="列出段落1"/>
    <w:basedOn w:val="1095"/>
    <w:uiPriority w:val="99"/>
    <w:qFormat/>
    <w:pPr>
      <w:contextualSpacing/>
      <w:ind w:left="720"/>
      <w:jc w:val="left"/>
      <w:widowControl/>
    </w:pPr>
    <w:rPr>
      <w:rFonts w:ascii="Arial" w:hAnsi="Arial" w:eastAsia="黑体"/>
      <w:sz w:val="24"/>
      <w:szCs w:val="24"/>
      <w:lang w:eastAsia="en-US"/>
    </w:rPr>
  </w:style>
  <w:style w:type="paragraph" w:styleId="1227" w:customStyle="1">
    <w:name w:val="font7"/>
    <w:basedOn w:val="1095"/>
    <w:uiPriority w:val="0"/>
    <w:qFormat/>
    <w:pPr>
      <w:jc w:val="left"/>
      <w:spacing w:before="100" w:beforeAutospacing="1" w:after="100" w:afterAutospacing="1"/>
      <w:widowControl/>
    </w:pPr>
    <w:rPr>
      <w:rFonts w:ascii="Arial" w:hAnsi="Arial" w:cs="Arial"/>
      <w:color w:val="000000"/>
      <w:sz w:val="20"/>
    </w:rPr>
  </w:style>
  <w:style w:type="paragraph" w:styleId="1228" w:customStyle="1">
    <w:name w:val="xl111"/>
    <w:basedOn w:val="1095"/>
    <w:next w:val="11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29" w:customStyle="1">
    <w:name w:val="tableau"/>
    <w:basedOn w:val="1095"/>
    <w:uiPriority w:val="99"/>
    <w:qFormat/>
    <w:pPr>
      <w:jc w:val="center"/>
      <w:spacing w:before="20" w:after="20"/>
      <w:widowControl/>
    </w:pPr>
    <w:rPr>
      <w:rFonts w:ascii="Arial" w:hAnsi="Arial"/>
      <w:sz w:val="16"/>
      <w:lang w:eastAsia="en-US"/>
    </w:rPr>
  </w:style>
  <w:style w:type="paragraph" w:styleId="1230" w:customStyle="1">
    <w:name w:val="列出段落3"/>
    <w:basedOn w:val="1095"/>
    <w:uiPriority w:val="34"/>
    <w:qFormat/>
    <w:pPr>
      <w:ind w:firstLine="420"/>
    </w:pPr>
  </w:style>
  <w:style w:type="paragraph" w:styleId="1231" w:customStyle="1">
    <w:name w:val="Char1"/>
    <w:basedOn w:val="1095"/>
    <w:uiPriority w:val="99"/>
    <w:qFormat/>
    <w:pPr>
      <w:jc w:val="left"/>
      <w:spacing w:after="160" w:line="240" w:lineRule="exact"/>
      <w:widowControl/>
    </w:pPr>
    <w:rPr>
      <w:rFonts w:ascii="Verdana" w:hAnsi="Verdana" w:eastAsia="仿宋_GB2312"/>
      <w:sz w:val="24"/>
      <w:lang w:eastAsia="en-US"/>
    </w:rPr>
  </w:style>
  <w:style w:type="paragraph" w:styleId="1232" w:customStyle="1">
    <w:name w:val="Char Char Char"/>
    <w:basedOn w:val="1112"/>
    <w:uiPriority w:val="99"/>
    <w:qFormat/>
    <w:pPr>
      <w:spacing w:line="436" w:lineRule="exact"/>
    </w:pPr>
    <w:rPr>
      <w:szCs w:val="24"/>
    </w:rPr>
  </w:style>
  <w:style w:type="paragraph" w:styleId="1233" w:customStyle="1">
    <w:name w:val="xl109"/>
    <w:basedOn w:val="10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234" w:customStyle="1">
    <w:name w:val="Char Char Char Char"/>
    <w:basedOn w:val="1112"/>
    <w:uiPriority w:val="99"/>
    <w:qFormat/>
    <w:pPr>
      <w:spacing w:line="360" w:lineRule="auto"/>
    </w:pPr>
    <w:rPr>
      <w:rFonts w:ascii="Tahoma" w:hAnsi="Tahoma"/>
      <w:sz w:val="24"/>
      <w:szCs w:val="24"/>
    </w:rPr>
  </w:style>
  <w:style w:type="paragraph" w:styleId="1235" w:customStyle="1">
    <w:name w:val="列表段落1"/>
    <w:basedOn w:val="1095"/>
    <w:uiPriority w:val="99"/>
    <w:qFormat/>
    <w:pPr>
      <w:ind w:firstLine="420"/>
    </w:pPr>
  </w:style>
  <w:style w:type="paragraph" w:styleId="1236" w:customStyle="1">
    <w:name w:val="List Paragraph1"/>
    <w:basedOn w:val="1095"/>
    <w:uiPriority w:val="99"/>
    <w:qFormat/>
    <w:pPr>
      <w:ind w:firstLine="420"/>
    </w:pPr>
    <w:rPr>
      <w:szCs w:val="24"/>
    </w:rPr>
  </w:style>
  <w:style w:type="paragraph" w:styleId="1237" w:customStyle="1">
    <w:name w:val="font6"/>
    <w:basedOn w:val="1095"/>
    <w:uiPriority w:val="0"/>
    <w:qFormat/>
    <w:pPr>
      <w:jc w:val="left"/>
      <w:spacing w:before="100" w:beforeAutospacing="1" w:after="100" w:afterAutospacing="1"/>
      <w:widowControl/>
    </w:pPr>
    <w:rPr>
      <w:rFonts w:ascii="宋体" w:hAnsi="宋体" w:cs="宋体"/>
      <w:color w:val="000000"/>
      <w:sz w:val="20"/>
    </w:rPr>
  </w:style>
  <w:style w:type="paragraph" w:styleId="1238" w:customStyle="1">
    <w:name w:val="xl25"/>
    <w:basedOn w:val="1095"/>
    <w:uiPriority w:val="99"/>
    <w:qFormat/>
    <w:pPr>
      <w:jc w:val="center"/>
      <w:spacing w:before="100" w:beforeAutospacing="1" w:after="100" w:afterAutospacing="1"/>
      <w:widowControl/>
      <w:pBdr>
        <w:right w:val="single" w:color="auto" w:sz="4" w:space="0"/>
      </w:pBdr>
    </w:pPr>
    <w:rPr>
      <w:szCs w:val="21"/>
    </w:rPr>
  </w:style>
  <w:style w:type="paragraph" w:styleId="1239" w:customStyle="1">
    <w:name w:val="丁华标题3"/>
    <w:basedOn w:val="1223"/>
    <w:next w:val="1215"/>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240" w:customStyle="1">
    <w:name w:val="模板正文"/>
    <w:basedOn w:val="1095"/>
    <w:uiPriority w:val="0"/>
    <w:qFormat/>
    <w:pPr>
      <w:ind w:firstLine="200"/>
      <w:spacing w:before="120" w:line="360" w:lineRule="auto"/>
    </w:pPr>
    <w:rPr>
      <w:rFonts w:eastAsia="仿宋_GB2312"/>
      <w:sz w:val="24"/>
      <w:szCs w:val="21"/>
    </w:rPr>
  </w:style>
  <w:style w:type="paragraph" w:styleId="1241" w:customStyle="1">
    <w:name w:val="msolistparagraph"/>
    <w:basedOn w:val="1095"/>
    <w:uiPriority w:val="99"/>
    <w:qFormat/>
    <w:pPr>
      <w:ind w:firstLine="420"/>
    </w:pPr>
    <w:rPr>
      <w:rFonts w:ascii="Calibri" w:hAnsi="Calibri"/>
      <w:szCs w:val="22"/>
    </w:rPr>
  </w:style>
  <w:style w:type="paragraph" w:styleId="1242" w:customStyle="1">
    <w:name w:val="首行缩进"/>
    <w:basedOn w:val="1095"/>
    <w:uiPriority w:val="0"/>
    <w:qFormat/>
    <w:pPr>
      <w:ind w:firstLine="480"/>
    </w:pPr>
    <w:rPr>
      <w:rFonts w:ascii="Calibri" w:hAnsi="Calibri"/>
      <w:szCs w:val="21"/>
    </w:rPr>
  </w:style>
  <w:style w:type="paragraph" w:styleId="1243" w:customStyle="1">
    <w:name w:val="retrait3"/>
    <w:basedOn w:val="1095"/>
    <w:uiPriority w:val="99"/>
    <w:qFormat/>
    <w:pPr>
      <w:ind w:left="851"/>
      <w:jc w:val="left"/>
      <w:spacing w:before="20" w:after="20"/>
      <w:widowControl/>
    </w:pPr>
    <w:rPr>
      <w:rFonts w:ascii="Arial" w:hAnsi="Arial"/>
      <w:sz w:val="24"/>
    </w:rPr>
  </w:style>
  <w:style w:type="paragraph" w:styleId="1244" w:customStyle="1">
    <w:name w:val="论文正文"/>
    <w:basedOn w:val="1126"/>
    <w:uiPriority w:val="99"/>
    <w:qFormat/>
    <w:pPr>
      <w:ind w:left="0" w:firstLine="200"/>
      <w:jc w:val="left"/>
      <w:spacing w:line="360" w:lineRule="auto"/>
    </w:pPr>
    <w:rPr>
      <w:sz w:val="28"/>
      <w:szCs w:val="24"/>
    </w:rPr>
  </w:style>
  <w:style w:type="paragraph" w:styleId="1245"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246" w:customStyle="1">
    <w:name w:val="正文_0"/>
    <w:uiPriority w:val="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247" w:customStyle="1">
    <w:name w:val="列出段落2"/>
    <w:basedOn w:val="1095"/>
    <w:uiPriority w:val="34"/>
    <w:qFormat/>
    <w:pPr>
      <w:ind w:firstLine="420"/>
    </w:pPr>
  </w:style>
  <w:style w:type="paragraph" w:styleId="1248" w:customStyle="1">
    <w:name w:val="zhang"/>
    <w:basedOn w:val="1095"/>
    <w:uiPriority w:val="0"/>
    <w:qFormat/>
    <w:pPr>
      <w:spacing w:before="100" w:beforeAutospacing="1" w:after="100" w:afterAutospacing="1"/>
    </w:pPr>
    <w:rPr>
      <w:b/>
      <w:bCs/>
      <w:smallCaps/>
      <w:color w:val="000000"/>
      <w:sz w:val="20"/>
    </w:rPr>
  </w:style>
  <w:style w:type="paragraph" w:styleId="1249" w:customStyle="1">
    <w:name w:val="_Style 145"/>
    <w:basedOn w:val="1096"/>
    <w:next w:val="109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50" w:customStyle="1">
    <w:name w:val="列出段落4"/>
    <w:basedOn w:val="1095"/>
    <w:uiPriority w:val="34"/>
    <w:qFormat/>
    <w:pPr>
      <w:ind w:firstLine="420"/>
    </w:pPr>
  </w:style>
  <w:style w:type="paragraph" w:styleId="1251" w:customStyle="1">
    <w:name w:val="段落"/>
    <w:basedOn w:val="1095"/>
    <w:uiPriority w:val="99"/>
    <w:qFormat/>
    <w:pPr>
      <w:ind w:firstLine="480"/>
      <w:spacing w:line="460" w:lineRule="exact"/>
    </w:pPr>
    <w:rPr>
      <w:sz w:val="24"/>
    </w:rPr>
  </w:style>
  <w:style w:type="paragraph" w:styleId="1252" w:customStyle="1">
    <w:name w:val="默认段落字体 Para Char"/>
    <w:basedOn w:val="1095"/>
    <w:uiPriority w:val="99"/>
    <w:qFormat/>
    <w:rPr>
      <w:sz w:val="24"/>
      <w:szCs w:val="24"/>
    </w:rPr>
  </w:style>
  <w:style w:type="paragraph" w:styleId="1253" w:customStyle="1">
    <w:name w:val="表格1"/>
    <w:basedOn w:val="1095"/>
    <w:uiPriority w:val="99"/>
    <w:qFormat/>
    <w:rPr>
      <w:rFonts w:ascii="宋体"/>
      <w:szCs w:val="21"/>
    </w:rPr>
  </w:style>
  <w:style w:type="paragraph" w:styleId="1254" w:customStyle="1">
    <w:name w:val="Char Char Char Char Char Char Char Char Char Char Char1 Char Char Char1"/>
    <w:basedOn w:val="1095"/>
    <w:uiPriority w:val="99"/>
    <w:semiHidden/>
    <w:qFormat/>
    <w:pPr>
      <w:ind w:firstLine="200"/>
      <w:jc w:val="left"/>
    </w:pPr>
    <w:rPr>
      <w:rFonts w:ascii="Tahoma" w:hAnsi="Tahoma"/>
      <w:sz w:val="24"/>
      <w:szCs w:val="24"/>
    </w:rPr>
  </w:style>
  <w:style w:type="paragraph" w:styleId="1255" w:customStyle="1">
    <w:name w:val="Char Char2 Char Char"/>
    <w:basedOn w:val="1112"/>
    <w:uiPriority w:val="99"/>
    <w:qFormat/>
    <w:pPr>
      <w:spacing w:line="436" w:lineRule="exact"/>
    </w:pPr>
    <w:rPr>
      <w:rFonts w:ascii="Tahoma" w:hAnsi="Tahoma"/>
      <w:sz w:val="24"/>
    </w:rPr>
  </w:style>
  <w:style w:type="paragraph" w:styleId="1256" w:customStyle="1">
    <w:name w:val="p0"/>
    <w:basedOn w:val="1095"/>
    <w:uiPriority w:val="99"/>
    <w:qFormat/>
    <w:pPr>
      <w:widowControl/>
    </w:pPr>
    <w:rPr>
      <w:szCs w:val="21"/>
    </w:rPr>
  </w:style>
  <w:style w:type="paragraph" w:styleId="1257" w:customStyle="1">
    <w:name w:val="xl114"/>
    <w:basedOn w:val="10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58" w:customStyle="1">
    <w:name w:val="_Style 154"/>
    <w:uiPriority w:val="99"/>
    <w:unhideWhenUsed/>
    <w:qFormat/>
    <w:rPr>
      <w:rFonts w:ascii="Times New Roman" w:hAnsi="Times New Roman" w:eastAsia="宋体" w:cs="Times New Roman"/>
      <w:sz w:val="21"/>
      <w:lang w:val="en-US" w:eastAsia="zh-CN" w:bidi="ar-SA"/>
    </w:rPr>
  </w:style>
  <w:style w:type="paragraph" w:styleId="1259" w:customStyle="1">
    <w:name w:val="xl115"/>
    <w:basedOn w:val="10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260">
    <w:name w:val="List Paragraph"/>
    <w:basedOn w:val="1095"/>
    <w:uiPriority w:val="99"/>
    <w:qFormat/>
    <w:pPr>
      <w:ind w:firstLine="420"/>
    </w:pPr>
    <w:rPr>
      <w:rFonts w:ascii="Calibri" w:hAnsi="Calibri"/>
      <w:szCs w:val="22"/>
    </w:rPr>
  </w:style>
  <w:style w:type="paragraph" w:styleId="1261" w:customStyle="1">
    <w:name w:val="正文1"/>
    <w:uiPriority w:val="0"/>
    <w:qFormat/>
    <w:pPr>
      <w:jc w:val="both"/>
      <w:widowControl w:val="off"/>
    </w:pPr>
    <w:rPr>
      <w:rFonts w:ascii="Times New Roman" w:hAnsi="Times New Roman" w:eastAsia="Times New Roman" w:cs="Times New Roman"/>
      <w:sz w:val="21"/>
      <w:szCs w:val="22"/>
      <w:lang w:val="en-US" w:eastAsia="zh-CN" w:bidi="ar-SA"/>
    </w:rPr>
  </w:style>
  <w:style w:type="paragraph" w:styleId="1262" w:customStyle="1">
    <w:name w:val="标题6"/>
    <w:basedOn w:val="1100"/>
    <w:uiPriority w:val="99"/>
    <w:qFormat/>
    <w:pPr>
      <w:numPr>
        <w:ilvl w:val="0"/>
        <w:numId w:val="5"/>
      </w:numPr>
      <w:keepLines/>
    </w:pPr>
    <w:rPr>
      <w:b w:val="0"/>
      <w:sz w:val="24"/>
    </w:rPr>
  </w:style>
  <w:style w:type="paragraph" w:styleId="1263" w:customStyle="1">
    <w:name w:val="Normal_0"/>
    <w:basedOn w:val="1095"/>
    <w:uiPriority w:val="0"/>
    <w:qFormat/>
    <w:rPr>
      <w:rFonts w:eastAsia="Times New Roman"/>
      <w:sz w:val="24"/>
      <w:szCs w:val="24"/>
    </w:rPr>
  </w:style>
  <w:style w:type="paragraph" w:styleId="1264" w:customStyle="1">
    <w:name w:val="xl110"/>
    <w:basedOn w:val="10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5" w:customStyle="1">
    <w:name w:val="Heading 3_0"/>
    <w:basedOn w:val="1263"/>
    <w:next w:val="1263"/>
    <w:uiPriority w:val="0"/>
    <w:qFormat/>
    <w:pPr>
      <w:keepLines/>
      <w:keepNext/>
      <w:spacing w:after="100" w:afterAutospacing="1"/>
      <w:outlineLvl w:val="2"/>
    </w:pPr>
    <w:rPr>
      <w:rFonts w:ascii="宋体" w:hAnsi="宋体" w:cs="宋体"/>
    </w:rPr>
  </w:style>
  <w:style w:type="paragraph" w:styleId="1266" w:customStyle="1">
    <w:name w:val="xl117"/>
    <w:basedOn w:val="109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267" w:customStyle="1">
    <w:name w:val="样式2"/>
    <w:basedOn w:val="1097"/>
    <w:next w:val="1097"/>
    <w:uiPriority w:val="0"/>
    <w:qFormat/>
    <w:pPr>
      <w:spacing w:line="400" w:lineRule="exact"/>
      <w:tabs>
        <w:tab w:val="left" w:pos="5250" w:leader="none"/>
      </w:tabs>
      <w:outlineLvl w:val="0"/>
    </w:pPr>
    <w:rPr>
      <w:rFonts w:hint="eastAsia" w:eastAsia="仿宋"/>
    </w:rPr>
  </w:style>
  <w:style w:type="paragraph" w:styleId="1268">
    <w:name w:val="No Spacing"/>
    <w:uiPriority w:val="1"/>
    <w:qFormat/>
    <w:pPr>
      <w:jc w:val="both"/>
      <w:widowControl w:val="off"/>
    </w:pPr>
    <w:rPr>
      <w:rFonts w:ascii="Times New Roman" w:hAnsi="Times New Roman" w:eastAsia="宋体" w:cs="Times New Roman"/>
      <w:sz w:val="21"/>
      <w:lang w:val="en-US" w:eastAsia="zh-CN" w:bidi="ar-SA"/>
    </w:rPr>
  </w:style>
  <w:style w:type="table" w:styleId="1269" w:customStyle="1">
    <w:name w:val="Table Normal"/>
    <w:basedOn w:val="1106"/>
    <w:uiPriority w:val="2"/>
    <w:qFormat/>
    <w:rPr>
      <w:rFonts w:eastAsia="Times New Roman"/>
    </w:rPr>
    <w:tblPr>
      <w:tblCellMar>
        <w:left w:w="0" w:type="dxa"/>
        <w:right w:w="0" w:type="dxa"/>
      </w:tblCellMar>
    </w:tblPr>
  </w:style>
  <w:style w:type="paragraph" w:styleId="1270" w:customStyle="1">
    <w:name w:val="Revision"/>
    <w:hidden/>
    <w:uiPriority w:val="99"/>
    <w:semiHidden/>
    <w:qFormat/>
    <w:rPr>
      <w:rFonts w:ascii="Times New Roman" w:hAnsi="Times New Roman" w:eastAsia="宋体" w:cs="Times New Roman"/>
      <w:sz w:val="21"/>
      <w:lang w:val="en-US" w:eastAsia="zh-CN" w:bidi="ar-SA"/>
    </w:rPr>
  </w:style>
  <w:style w:type="character" w:styleId="1271" w:customStyle="1">
    <w:name w:val="font41"/>
    <w:basedOn w:val="1105"/>
    <w:uiPriority w:val="0"/>
    <w:qFormat/>
    <w:rPr>
      <w:rFonts w:hint="eastAsia" w:ascii="楷体" w:hAnsi="楷体" w:eastAsia="楷体" w:cs="楷体"/>
      <w:color w:val="000000"/>
      <w:sz w:val="22"/>
      <w:szCs w:val="22"/>
      <w:u w:val="none"/>
    </w:rPr>
  </w:style>
  <w:style w:type="character" w:styleId="1272" w:customStyle="1">
    <w:name w:val="font51"/>
    <w:basedOn w:val="1105"/>
    <w:uiPriority w:val="0"/>
    <w:qFormat/>
    <w:rPr>
      <w:rFonts w:hint="eastAsia" w:ascii="楷体" w:hAnsi="楷体" w:eastAsia="楷体" w:cs="楷体"/>
      <w:b/>
      <w:bCs/>
      <w:color w:val="000000"/>
      <w:sz w:val="22"/>
      <w:szCs w:val="22"/>
      <w:u w:val="none"/>
    </w:rPr>
  </w:style>
  <w:style w:type="numbering" w:styleId="12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E53C44-3DE2-46D2-961A-E1C587F94B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解凤宇</cp:lastModifiedBy>
  <cp:revision>29</cp:revision>
  <dcterms:created xsi:type="dcterms:W3CDTF">2025-07-25T11:41:00Z</dcterms:created>
  <dcterms:modified xsi:type="dcterms:W3CDTF">2026-06-26T06:31:16Z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65802F41394248E1A5F9AFC69A0563C1_13</vt:lpwstr>
  </property>
  <property fmtid="{D5CDD505-2E9C-101B-9397-08002B2CF9AE}" pid="4" name="KSOTemplateDocerSaveRecord">
    <vt:lpwstr>eyJoZGlkIjoiZjQwMDc2MWE1YjRlODk4NGE4ZDkyY2JkYjdkNDhmOWMiLCJ1c2VySWQiOiIxNzQ5OTY0OTM2In0=</vt:lpwstr>
  </property>
</Properties>
</file>