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ind w:left="-4" w:right="374" w:hanging="137"/>
        <w:jc w:val="center"/>
        <w:spacing w:line="360" w:lineRule="auto"/>
        <w:tabs>
          <w:tab w:val="left" w:pos="-142" w:leader="none"/>
        </w:tabs>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spacing w:line="360" w:lineRule="auto"/>
        <w:rPr>
          <w:rFonts w:hint="eastAsia" w:ascii="宋体" w:hAnsi="宋体"/>
          <w:color w:val="auto"/>
          <w:highlight w:val="none"/>
        </w:rPr>
      </w:pPr>
      <w:r>
        <w:rPr>
          <w:rFonts w:hint="eastAsia" w:ascii="宋体" w:hAnsi="宋体"/>
          <w:color w:val="auto"/>
          <w:highlight w:val="none"/>
        </w:rPr>
      </w:r>
      <w:r/>
    </w:p>
    <w:p>
      <w:pPr>
        <w:jc w:val="right"/>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275"/>
        <w:spacing w:line="360" w:lineRule="auto"/>
        <w:rPr>
          <w:rFonts w:hint="eastAsia" w:ascii="宋体" w:hAnsi="宋体" w:eastAsia="宋体" w:cs="Times New Roman"/>
          <w:b/>
          <w:color w:val="auto"/>
          <w:sz w:val="32"/>
          <w:szCs w:val="32"/>
          <w:highlight w:val="none"/>
          <w:lang w:eastAsia="zh-CN"/>
        </w:rPr>
      </w:pPr>
      <w:r>
        <w:rPr>
          <w:rFonts w:hint="eastAsia" w:ascii="宋体" w:hAnsi="宋体"/>
          <w:b/>
          <w:color w:val="auto"/>
          <w:sz w:val="32"/>
          <w:szCs w:val="32"/>
          <w:highlight w:val="none"/>
        </w:rPr>
        <w:t xml:space="preserve">招标编号：</w:t>
      </w:r>
      <w:r>
        <w:rPr>
          <w:rFonts w:hint="eastAsia" w:ascii="宋体" w:hAnsi="宋体" w:eastAsia="宋体" w:cs="Times New Roman"/>
          <w:b/>
          <w:color w:val="auto"/>
          <w:sz w:val="32"/>
          <w:szCs w:val="32"/>
          <w:highlight w:val="none"/>
          <w:lang w:val="en-US" w:eastAsia="zh-CN"/>
        </w:rPr>
        <w:t xml:space="preserve">JSZC-320585-XYCH-G2026-0001</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太仓高新区食堂运营服务</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江苏省太仓高新技术产业开发区管理委员会</w:t>
      </w:r>
      <w:r/>
    </w:p>
    <w:p>
      <w:pPr>
        <w:ind w:firstLine="1275"/>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采购项目类别：服务类</w:t>
      </w:r>
      <w:r/>
    </w:p>
    <w:p>
      <w:pPr>
        <w:ind w:firstLine="1275"/>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标的所属行业：（十）餐饮业 </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ind w:right="265"/>
        <w:jc w:val="center"/>
        <w:spacing w:line="360" w:lineRule="auto"/>
        <w:rPr>
          <w:rFonts w:hint="eastAsia" w:ascii="Times New Roman" w:hAnsi="Times New Roman" w:eastAsia="宋体" w:cs="Times New Roman"/>
          <w:b w:val="0"/>
          <w:bCs w:val="0"/>
          <w:color w:val="auto"/>
          <w:sz w:val="36"/>
          <w:szCs w:val="36"/>
          <w:highlight w:val="none"/>
          <w:lang w:val="en-US" w:eastAsia="zh-CN"/>
        </w:rPr>
      </w:pPr>
      <w:r>
        <w:rPr>
          <w:rFonts w:hint="eastAsia" w:ascii="Times New Roman" w:hAnsi="Times New Roman" w:eastAsia="宋体" w:cs="Times New Roman"/>
          <w:b w:val="0"/>
          <w:bCs w:val="0"/>
          <w:color w:val="auto"/>
          <w:sz w:val="36"/>
          <w:szCs w:val="36"/>
          <w:highlight w:val="none"/>
          <w:lang w:val="en-US" w:eastAsia="zh-CN"/>
        </w:rPr>
        <w:t xml:space="preserve">苏州星宇测绘科技有限公司</w:t>
      </w:r>
      <w:r/>
    </w:p>
    <w:p>
      <w:pPr>
        <w:ind w:right="265"/>
        <w:jc w:val="center"/>
        <w:spacing w:line="360" w:lineRule="auto"/>
        <w:rPr>
          <w:rFonts w:hint="eastAsia"/>
          <w:color w:val="auto"/>
          <w:sz w:val="18"/>
          <w:szCs w:val="16"/>
          <w:highlight w:val="none"/>
        </w:rPr>
      </w:pPr>
      <w:r>
        <w:rPr>
          <w:rFonts w:hint="eastAsia" w:ascii="宋体" w:hAnsi="宋体"/>
          <w:b w:val="0"/>
          <w:bCs w:val="0"/>
          <w:color w:val="auto"/>
          <w:sz w:val="36"/>
          <w:szCs w:val="36"/>
          <w:highlight w:val="none"/>
        </w:rPr>
        <w:t xml:space="preserve">二</w:t>
      </w:r>
      <w:r>
        <w:rPr>
          <w:b w:val="0"/>
          <w:bCs w:val="0"/>
          <w:color w:val="auto"/>
          <w:sz w:val="36"/>
          <w:szCs w:val="36"/>
          <w:highlight w:val="none"/>
        </w:rPr>
        <w:t xml:space="preserve">〇</w:t>
      </w:r>
      <w:r>
        <w:rPr>
          <w:rFonts w:hint="eastAsia" w:ascii="宋体" w:hAnsi="宋体"/>
          <w:b w:val="0"/>
          <w:bCs w:val="0"/>
          <w:color w:val="auto"/>
          <w:sz w:val="36"/>
          <w:szCs w:val="36"/>
          <w:highlight w:val="none"/>
        </w:rPr>
        <w:t xml:space="preserve">二</w:t>
      </w:r>
      <w:r>
        <w:rPr>
          <w:rFonts w:hint="eastAsia"/>
          <w:b w:val="0"/>
          <w:bCs w:val="0"/>
          <w:color w:val="auto"/>
          <w:sz w:val="36"/>
          <w:szCs w:val="36"/>
          <w:highlight w:val="none"/>
          <w:lang w:val="en-US" w:eastAsia="zh-CN"/>
        </w:rPr>
        <w:t xml:space="preserve">六</w:t>
      </w:r>
      <w:r>
        <w:rPr>
          <w:rFonts w:hint="eastAsia" w:ascii="宋体" w:hAnsi="宋体"/>
          <w:b w:val="0"/>
          <w:bCs w:val="0"/>
          <w:color w:val="auto"/>
          <w:sz w:val="36"/>
          <w:szCs w:val="36"/>
          <w:highlight w:val="none"/>
        </w:rPr>
        <w:t xml:space="preserve">年</w:t>
      </w:r>
      <w:r>
        <w:rPr>
          <w:rFonts w:hint="eastAsia" w:ascii="宋体" w:hAnsi="宋体"/>
          <w:b w:val="0"/>
          <w:bCs w:val="0"/>
          <w:color w:val="auto"/>
          <w:sz w:val="36"/>
          <w:szCs w:val="36"/>
          <w:highlight w:val="none"/>
          <w:lang w:val="en-US" w:eastAsia="zh-CN"/>
        </w:rPr>
        <w:t xml:space="preserve">六</w:t>
      </w:r>
      <w:r>
        <w:rPr>
          <w:rFonts w:hint="eastAsia" w:ascii="宋体" w:hAnsi="宋体"/>
          <w:b w:val="0"/>
          <w:bCs w:val="0"/>
          <w:color w:val="auto"/>
          <w:sz w:val="36"/>
          <w:szCs w:val="36"/>
          <w:highlight w:val="none"/>
        </w:rPr>
        <w:t xml:space="preserve">月</w:t>
      </w:r>
      <w:r>
        <w:rPr>
          <w:color w:val="auto"/>
          <w:sz w:val="18"/>
          <w:szCs w:val="16"/>
          <w:highlight w:val="none"/>
        </w:rPr>
        <w:br w:type="page" w:clear="all"/>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pStyle w:val="1309"/>
        <w:rPr>
          <w:rFonts w:hint="eastAsia"/>
          <w:color w:val="auto"/>
          <w:highlight w:val="none"/>
        </w:rPr>
      </w:pPr>
      <w:r>
        <w:rPr>
          <w:rFonts w:hint="eastAsia"/>
          <w:color w:val="auto"/>
          <w:highlight w:val="none"/>
        </w:rPr>
      </w:r>
      <w:r/>
    </w:p>
    <w:p>
      <w:pPr>
        <w:pStyle w:val="1355"/>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bookmarkStart w:id="1" w:name="_Toc315868049"/>
      <w:r/>
      <w:bookmarkStart w:id="2" w:name="_Toc315875312"/>
      <w:r/>
      <w:bookmarkStart w:id="3" w:name="_Toc467507028"/>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1388"/>
          <w:rFonts w:ascii="宋体" w:hAnsi="宋体"/>
          <w:b/>
          <w:color w:val="auto"/>
          <w:sz w:val="32"/>
          <w:szCs w:val="30"/>
          <w:highlight w:val="none"/>
        </w:rPr>
        <w:fldChar w:fldCharType="begin"/>
      </w:r>
      <w:r>
        <w:rPr>
          <w:rStyle w:val="138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1388"/>
          <w:rFonts w:ascii="宋体" w:hAnsi="宋体"/>
          <w:b/>
          <w:color w:val="auto"/>
          <w:sz w:val="32"/>
          <w:szCs w:val="30"/>
          <w:highlight w:val="none"/>
        </w:rPr>
        <w:instrText xml:space="preserve"> </w:instrText>
      </w:r>
      <w:r>
        <w:rPr>
          <w:rStyle w:val="1388"/>
          <w:rFonts w:ascii="宋体" w:hAnsi="宋体"/>
          <w:b/>
          <w:color w:val="auto"/>
          <w:sz w:val="32"/>
          <w:szCs w:val="30"/>
          <w:highlight w:val="none"/>
        </w:rPr>
        <w:fldChar w:fldCharType="separate"/>
      </w:r>
      <w:r>
        <w:rPr>
          <w:rStyle w:val="1388"/>
          <w:rFonts w:hint="eastAsia" w:ascii="宋体" w:hAnsi="宋体"/>
          <w:b/>
          <w:color w:val="auto"/>
          <w:sz w:val="32"/>
          <w:szCs w:val="30"/>
          <w:highlight w:val="none"/>
        </w:rPr>
        <w:t xml:space="preserve">第一部分</w:t>
      </w:r>
      <w:r>
        <w:rPr>
          <w:rStyle w:val="1388"/>
          <w:rFonts w:ascii="宋体" w:hAnsi="宋体"/>
          <w:b/>
          <w:color w:val="auto"/>
          <w:sz w:val="32"/>
          <w:szCs w:val="30"/>
          <w:highlight w:val="none"/>
        </w:rPr>
        <w:t xml:space="preserve">  </w:t>
      </w:r>
      <w:r>
        <w:rPr>
          <w:rStyle w:val="1388"/>
          <w:rFonts w:hint="eastAsia" w:ascii="宋体" w:hAnsi="宋体"/>
          <w:b/>
          <w:color w:val="auto"/>
          <w:sz w:val="32"/>
          <w:szCs w:val="30"/>
          <w:highlight w:val="none"/>
        </w:rPr>
        <w:t xml:space="preserve">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3</w:t>
      </w:r>
      <w:r>
        <w:rPr>
          <w:rFonts w:ascii="宋体" w:hAnsi="宋体"/>
          <w:b w:val="0"/>
          <w:color w:val="auto"/>
          <w:sz w:val="32"/>
          <w:szCs w:val="30"/>
          <w:highlight w:val="none"/>
        </w:rPr>
        <w:fldChar w:fldCharType="end"/>
      </w:r>
      <w:r>
        <w:rPr>
          <w:rStyle w:val="1388"/>
          <w:rFonts w:ascii="宋体" w:hAnsi="宋体"/>
          <w:b/>
          <w:color w:val="auto"/>
          <w:sz w:val="32"/>
          <w:szCs w:val="30"/>
          <w:highlight w:val="none"/>
        </w:rPr>
        <w:fldChar w:fldCharType="end"/>
      </w:r>
      <w:r/>
    </w:p>
    <w:p>
      <w:pPr>
        <w:pStyle w:val="1355"/>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388"/>
          <w:rFonts w:ascii="宋体" w:hAnsi="宋体"/>
          <w:b/>
          <w:color w:val="auto"/>
          <w:sz w:val="32"/>
          <w:szCs w:val="30"/>
          <w:highlight w:val="none"/>
        </w:rPr>
        <w:fldChar w:fldCharType="begin"/>
      </w:r>
      <w:r>
        <w:rPr>
          <w:rStyle w:val="138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1388"/>
          <w:rFonts w:ascii="宋体" w:hAnsi="宋体"/>
          <w:b/>
          <w:color w:val="auto"/>
          <w:sz w:val="32"/>
          <w:szCs w:val="30"/>
          <w:highlight w:val="none"/>
        </w:rPr>
        <w:instrText xml:space="preserve"> </w:instrText>
      </w:r>
      <w:r>
        <w:rPr>
          <w:rStyle w:val="1388"/>
          <w:rFonts w:ascii="宋体" w:hAnsi="宋体"/>
          <w:b/>
          <w:color w:val="auto"/>
          <w:sz w:val="32"/>
          <w:szCs w:val="30"/>
          <w:highlight w:val="none"/>
        </w:rPr>
        <w:fldChar w:fldCharType="separate"/>
      </w:r>
      <w:r>
        <w:rPr>
          <w:rStyle w:val="1388"/>
          <w:rFonts w:hint="eastAsia" w:ascii="宋体" w:hAnsi="宋体"/>
          <w:b/>
          <w:color w:val="auto"/>
          <w:sz w:val="32"/>
          <w:szCs w:val="30"/>
          <w:highlight w:val="none"/>
        </w:rPr>
        <w:t xml:space="preserve">第二部分</w:t>
      </w:r>
      <w:r>
        <w:rPr>
          <w:rStyle w:val="1388"/>
          <w:rFonts w:ascii="宋体" w:hAnsi="宋体"/>
          <w:b/>
          <w:color w:val="auto"/>
          <w:sz w:val="32"/>
          <w:szCs w:val="30"/>
          <w:highlight w:val="none"/>
        </w:rPr>
        <w:t xml:space="preserve">  </w:t>
      </w:r>
      <w:r>
        <w:rPr>
          <w:rStyle w:val="1388"/>
          <w:rFonts w:hint="eastAsia" w:ascii="宋体" w:hAnsi="宋体"/>
          <w:b/>
          <w:color w:val="auto"/>
          <w:sz w:val="32"/>
          <w:szCs w:val="30"/>
          <w:highlight w:val="none"/>
        </w:rPr>
        <w:t xml:space="preserve">投标人须知</w:t>
      </w:r>
      <w:r>
        <w:rPr>
          <w:rFonts w:ascii="宋体" w:hAnsi="宋体"/>
          <w:b w:val="0"/>
          <w:color w:val="auto"/>
          <w:sz w:val="32"/>
          <w:szCs w:val="30"/>
          <w:highlight w:val="none"/>
        </w:rPr>
        <w:tab/>
      </w:r>
      <w:r>
        <w:rPr>
          <w:rFonts w:hint="eastAsia" w:ascii="宋体" w:hAnsi="宋体"/>
          <w:b w:val="0"/>
          <w:color w:val="auto"/>
          <w:sz w:val="32"/>
          <w:szCs w:val="30"/>
          <w:highlight w:val="none"/>
          <w:lang w:val="en-US" w:eastAsia="zh-CN"/>
        </w:rPr>
        <w:t xml:space="preserve">8</w:t>
      </w:r>
      <w:r>
        <w:rPr>
          <w:rStyle w:val="1388"/>
          <w:rFonts w:ascii="宋体" w:hAnsi="宋体"/>
          <w:b/>
          <w:color w:val="auto"/>
          <w:sz w:val="32"/>
          <w:szCs w:val="30"/>
          <w:highlight w:val="none"/>
        </w:rPr>
        <w:fldChar w:fldCharType="end"/>
      </w:r>
      <w:r/>
    </w:p>
    <w:p>
      <w:pPr>
        <w:pStyle w:val="1355"/>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388"/>
          <w:rFonts w:ascii="宋体" w:hAnsi="宋体"/>
          <w:b/>
          <w:color w:val="auto"/>
          <w:sz w:val="32"/>
          <w:szCs w:val="30"/>
          <w:highlight w:val="none"/>
        </w:rPr>
        <w:fldChar w:fldCharType="begin"/>
      </w:r>
      <w:r>
        <w:rPr>
          <w:rStyle w:val="138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1388"/>
          <w:rFonts w:ascii="宋体" w:hAnsi="宋体"/>
          <w:b/>
          <w:color w:val="auto"/>
          <w:sz w:val="32"/>
          <w:szCs w:val="30"/>
          <w:highlight w:val="none"/>
        </w:rPr>
        <w:instrText xml:space="preserve"> </w:instrText>
      </w:r>
      <w:r>
        <w:rPr>
          <w:rStyle w:val="1388"/>
          <w:rFonts w:ascii="宋体" w:hAnsi="宋体"/>
          <w:b/>
          <w:color w:val="auto"/>
          <w:sz w:val="32"/>
          <w:szCs w:val="30"/>
          <w:highlight w:val="none"/>
        </w:rPr>
        <w:fldChar w:fldCharType="separate"/>
      </w:r>
      <w:r>
        <w:rPr>
          <w:rStyle w:val="1388"/>
          <w:rFonts w:hint="eastAsia" w:ascii="宋体" w:hAnsi="宋体"/>
          <w:b/>
          <w:color w:val="auto"/>
          <w:sz w:val="32"/>
          <w:szCs w:val="30"/>
          <w:highlight w:val="none"/>
        </w:rPr>
        <w:t xml:space="preserve">第三部分</w:t>
      </w:r>
      <w:r>
        <w:rPr>
          <w:rStyle w:val="1388"/>
          <w:rFonts w:ascii="宋体" w:hAnsi="宋体"/>
          <w:b/>
          <w:color w:val="auto"/>
          <w:sz w:val="32"/>
          <w:szCs w:val="30"/>
          <w:highlight w:val="none"/>
        </w:rPr>
        <w:t xml:space="preserve"> </w:t>
      </w:r>
      <w:r>
        <w:rPr>
          <w:rStyle w:val="1388"/>
          <w:rFonts w:hint="eastAsia" w:ascii="宋体" w:hAnsi="宋体"/>
          <w:b/>
          <w:color w:val="auto"/>
          <w:sz w:val="32"/>
          <w:szCs w:val="30"/>
          <w:highlight w:val="none"/>
          <w:lang w:eastAsia="zh-CN"/>
        </w:rPr>
        <w:t xml:space="preserve"> </w:t>
      </w:r>
      <w:r>
        <w:rPr>
          <w:rStyle w:val="1388"/>
          <w:rFonts w:hint="eastAsia" w:ascii="宋体" w:hAnsi="宋体"/>
          <w:b/>
          <w:color w:val="auto"/>
          <w:sz w:val="32"/>
          <w:szCs w:val="30"/>
          <w:highlight w:val="none"/>
        </w:rPr>
        <w:t xml:space="preserve">项目需</w:t>
      </w:r>
      <w:bookmarkStart w:id="4" w:name="_Hlt129101348"/>
      <w:r/>
      <w:bookmarkStart w:id="5" w:name="_Hlt129101347"/>
      <w:r>
        <w:rPr>
          <w:rStyle w:val="1388"/>
          <w:rFonts w:hint="eastAsia" w:ascii="宋体" w:hAnsi="宋体"/>
          <w:b/>
          <w:color w:val="auto"/>
          <w:sz w:val="32"/>
          <w:szCs w:val="30"/>
          <w:highlight w:val="none"/>
        </w:rPr>
        <w:t xml:space="preserve">求</w:t>
      </w:r>
      <w:bookmarkEnd w:id="4"/>
      <w:r/>
      <w:bookmarkEnd w:id="5"/>
      <w:r/>
      <w:bookmarkStart w:id="6" w:name="_Hlt129101676"/>
      <w:r/>
      <w:bookmarkStart w:id="7" w:name="_Hlt129101526"/>
      <w:r>
        <w:rPr>
          <w:rFonts w:ascii="宋体" w:hAnsi="宋体"/>
          <w:b w:val="0"/>
          <w:color w:val="auto"/>
          <w:sz w:val="32"/>
          <w:szCs w:val="30"/>
          <w:highlight w:val="none"/>
        </w:rPr>
        <w:tab/>
      </w:r>
      <w:bookmarkEnd w:id="6"/>
      <w:r/>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w:t>
      </w:r>
      <w:r>
        <w:rPr>
          <w:rFonts w:hint="eastAsia" w:ascii="宋体" w:hAnsi="宋体"/>
          <w:b w:val="0"/>
          <w:color w:val="auto"/>
          <w:sz w:val="32"/>
          <w:szCs w:val="30"/>
          <w:highlight w:val="none"/>
          <w:lang w:val="en-US" w:eastAsia="zh-CN"/>
        </w:rPr>
        <w:t xml:space="preserve">6</w:t>
      </w:r>
      <w:r>
        <w:rPr>
          <w:rFonts w:ascii="宋体" w:hAnsi="宋体"/>
          <w:b w:val="0"/>
          <w:color w:val="auto"/>
          <w:sz w:val="32"/>
          <w:szCs w:val="30"/>
          <w:highlight w:val="none"/>
        </w:rPr>
        <w:fldChar w:fldCharType="end"/>
      </w:r>
      <w:r>
        <w:rPr>
          <w:rStyle w:val="1388"/>
          <w:rFonts w:ascii="宋体" w:hAnsi="宋体"/>
          <w:b/>
          <w:color w:val="auto"/>
          <w:sz w:val="32"/>
          <w:szCs w:val="30"/>
          <w:highlight w:val="none"/>
        </w:rPr>
        <w:fldChar w:fldCharType="end"/>
      </w:r>
      <w:r/>
    </w:p>
    <w:p>
      <w:pPr>
        <w:pStyle w:val="1355"/>
        <w:ind w:left="-141" w:right="265"/>
        <w:jc w:val="left"/>
        <w:spacing w:before="0" w:beforeAutospacing="0" w:after="0" w:afterAutospacing="0" w:line="360" w:lineRule="auto"/>
        <w:rPr>
          <w:rFonts w:hint="eastAsia" w:ascii="宋体" w:hAnsi="宋体" w:eastAsia="宋体"/>
          <w:b w:val="0"/>
          <w:bCs w:val="0"/>
          <w:caps w:val="0"/>
          <w:color w:val="auto"/>
          <w:sz w:val="32"/>
          <w:szCs w:val="30"/>
          <w:highlight w:val="none"/>
          <w:lang w:val="en-US" w:eastAsia="zh-CN"/>
        </w:rPr>
      </w:pPr>
      <w:r>
        <w:rPr>
          <w:rStyle w:val="1388"/>
          <w:rFonts w:ascii="宋体" w:hAnsi="宋体"/>
          <w:b/>
          <w:color w:val="auto"/>
          <w:sz w:val="32"/>
          <w:szCs w:val="30"/>
          <w:highlight w:val="none"/>
        </w:rPr>
        <w:fldChar w:fldCharType="begin"/>
      </w:r>
      <w:r>
        <w:rPr>
          <w:rStyle w:val="138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1388"/>
          <w:rFonts w:ascii="宋体" w:hAnsi="宋体"/>
          <w:b/>
          <w:color w:val="auto"/>
          <w:sz w:val="32"/>
          <w:szCs w:val="30"/>
          <w:highlight w:val="none"/>
        </w:rPr>
        <w:instrText xml:space="preserve"> </w:instrText>
      </w:r>
      <w:r>
        <w:rPr>
          <w:rStyle w:val="1388"/>
          <w:rFonts w:ascii="宋体" w:hAnsi="宋体"/>
          <w:b/>
          <w:color w:val="auto"/>
          <w:sz w:val="32"/>
          <w:szCs w:val="30"/>
          <w:highlight w:val="none"/>
        </w:rPr>
        <w:fldChar w:fldCharType="separate"/>
      </w:r>
      <w:r>
        <w:rPr>
          <w:rStyle w:val="1388"/>
          <w:rFonts w:hint="eastAsia" w:ascii="宋体" w:hAnsi="宋体"/>
          <w:b/>
          <w:color w:val="auto"/>
          <w:sz w:val="32"/>
          <w:szCs w:val="30"/>
          <w:highlight w:val="none"/>
        </w:rPr>
        <w:t xml:space="preserve">第四部分</w:t>
      </w:r>
      <w:r>
        <w:rPr>
          <w:rStyle w:val="1388"/>
          <w:rFonts w:ascii="宋体" w:hAnsi="宋体"/>
          <w:b/>
          <w:color w:val="auto"/>
          <w:sz w:val="32"/>
          <w:szCs w:val="30"/>
          <w:highlight w:val="none"/>
        </w:rPr>
        <w:t xml:space="preserve"> </w:t>
      </w:r>
      <w:r>
        <w:rPr>
          <w:rStyle w:val="1388"/>
          <w:rFonts w:hint="eastAsia" w:ascii="宋体" w:hAnsi="宋体"/>
          <w:b/>
          <w:color w:val="auto"/>
          <w:sz w:val="32"/>
          <w:szCs w:val="30"/>
          <w:highlight w:val="none"/>
          <w:lang w:eastAsia="zh-CN"/>
        </w:rPr>
        <w:t xml:space="preserve"> </w:t>
      </w:r>
      <w:r>
        <w:rPr>
          <w:rStyle w:val="1388"/>
          <w:rFonts w:hint="eastAsia" w:ascii="宋体" w:hAnsi="宋体"/>
          <w:b/>
          <w:color w:val="auto"/>
          <w:sz w:val="32"/>
          <w:szCs w:val="30"/>
          <w:highlight w:val="none"/>
        </w:rPr>
        <w:t xml:space="preserve">投标文件格</w:t>
      </w:r>
      <w:bookmarkStart w:id="8" w:name="_Hlt129101679"/>
      <w:r>
        <w:rPr>
          <w:rStyle w:val="1388"/>
          <w:rFonts w:hint="eastAsia" w:ascii="宋体" w:hAnsi="宋体"/>
          <w:b/>
          <w:color w:val="auto"/>
          <w:sz w:val="32"/>
          <w:szCs w:val="30"/>
          <w:highlight w:val="none"/>
        </w:rPr>
        <w:t xml:space="preserve">式</w:t>
      </w:r>
      <w:bookmarkEnd w:id="8"/>
      <w:r/>
      <w:bookmarkStart w:id="9" w:name="_Hlt129101617"/>
      <w:r>
        <w:rPr>
          <w:rFonts w:ascii="宋体" w:hAnsi="宋体"/>
          <w:b w:val="0"/>
          <w:color w:val="auto"/>
          <w:sz w:val="32"/>
          <w:szCs w:val="30"/>
          <w:highlight w:val="none"/>
        </w:rPr>
        <w:tab/>
      </w:r>
      <w:bookmarkEnd w:id="9"/>
      <w:r>
        <w:rPr>
          <w:rFonts w:hint="eastAsia" w:ascii="宋体" w:hAnsi="宋体"/>
          <w:b w:val="0"/>
          <w:color w:val="auto"/>
          <w:sz w:val="32"/>
          <w:szCs w:val="30"/>
          <w:highlight w:val="none"/>
          <w:lang w:val="en-US" w:eastAsia="zh-CN"/>
        </w:rPr>
        <w:t xml:space="preserve">.3</w:t>
      </w:r>
      <w:r>
        <w:rPr>
          <w:rStyle w:val="1388"/>
          <w:rFonts w:ascii="宋体" w:hAnsi="宋体"/>
          <w:b/>
          <w:color w:val="auto"/>
          <w:sz w:val="32"/>
          <w:szCs w:val="30"/>
          <w:highlight w:val="none"/>
        </w:rPr>
        <w:fldChar w:fldCharType="end"/>
      </w:r>
      <w:r>
        <w:rPr>
          <w:rStyle w:val="1388"/>
          <w:rFonts w:ascii="宋体" w:hAnsi="宋体"/>
          <w:b w:val="0"/>
          <w:bCs w:val="0"/>
          <w:color w:val="auto"/>
          <w:sz w:val="32"/>
          <w:szCs w:val="30"/>
          <w:highlight w:val="none"/>
        </w:rPr>
        <w:t xml:space="preserve">9</w:t>
      </w:r>
      <w:r>
        <w:rPr>
          <w:rStyle w:val="1388"/>
          <w:rFonts w:hint="eastAsia" w:ascii="宋体" w:hAnsi="宋体"/>
          <w:b w:val="0"/>
          <w:bCs w:val="0"/>
          <w:color w:val="auto"/>
          <w:sz w:val="32"/>
          <w:szCs w:val="30"/>
          <w:highlight w:val="none"/>
          <w:lang w:val="en-US" w:eastAsia="zh-CN"/>
        </w:rPr>
      </w:r>
      <w:r/>
    </w:p>
    <w:p>
      <w:pPr>
        <w:pStyle w:val="1355"/>
        <w:ind w:left="-141" w:right="265"/>
        <w:jc w:val="left"/>
        <w:spacing w:before="0" w:beforeAutospacing="0" w:after="0" w:afterAutospacing="0" w:line="360" w:lineRule="auto"/>
        <w:rPr>
          <w:rFonts w:hint="eastAsia" w:ascii="宋体" w:hAnsi="宋体" w:eastAsia="宋体"/>
          <w:b w:val="0"/>
          <w:bCs w:val="0"/>
          <w:caps w:val="0"/>
          <w:color w:val="auto"/>
          <w:sz w:val="32"/>
          <w:szCs w:val="30"/>
          <w:highlight w:val="none"/>
          <w:lang w:val="en-US" w:eastAsia="zh-CN"/>
        </w:rPr>
      </w:pPr>
      <w:r>
        <w:rPr>
          <w:rStyle w:val="1388"/>
          <w:rFonts w:ascii="宋体" w:hAnsi="宋体"/>
          <w:b/>
          <w:color w:val="auto"/>
          <w:sz w:val="32"/>
          <w:szCs w:val="30"/>
          <w:highlight w:val="none"/>
        </w:rPr>
        <w:fldChar w:fldCharType="begin"/>
      </w:r>
      <w:r>
        <w:rPr>
          <w:rStyle w:val="138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1388"/>
          <w:rFonts w:ascii="宋体" w:hAnsi="宋体"/>
          <w:b/>
          <w:color w:val="auto"/>
          <w:sz w:val="32"/>
          <w:szCs w:val="30"/>
          <w:highlight w:val="none"/>
        </w:rPr>
        <w:instrText xml:space="preserve"> </w:instrText>
      </w:r>
      <w:r>
        <w:rPr>
          <w:rStyle w:val="1388"/>
          <w:rFonts w:ascii="宋体" w:hAnsi="宋体"/>
          <w:b/>
          <w:color w:val="auto"/>
          <w:sz w:val="32"/>
          <w:szCs w:val="30"/>
          <w:highlight w:val="none"/>
        </w:rPr>
        <w:fldChar w:fldCharType="separate"/>
      </w:r>
      <w:r>
        <w:rPr>
          <w:rStyle w:val="1388"/>
          <w:rFonts w:hint="eastAsia" w:ascii="宋体" w:hAnsi="宋体"/>
          <w:b/>
          <w:color w:val="auto"/>
          <w:sz w:val="32"/>
          <w:szCs w:val="30"/>
          <w:highlight w:val="none"/>
        </w:rPr>
        <w:t xml:space="preserve">第五部分</w:t>
      </w:r>
      <w:r>
        <w:rPr>
          <w:rStyle w:val="1388"/>
          <w:rFonts w:hint="eastAsia" w:ascii="宋体" w:hAnsi="宋体"/>
          <w:b/>
          <w:color w:val="auto"/>
          <w:sz w:val="32"/>
          <w:szCs w:val="30"/>
          <w:highlight w:val="none"/>
          <w:lang w:eastAsia="zh-CN"/>
        </w:rPr>
        <w:t xml:space="preserve">  </w:t>
      </w:r>
      <w:r>
        <w:rPr>
          <w:rStyle w:val="1388"/>
          <w:rFonts w:hint="eastAsia" w:ascii="宋体" w:hAnsi="宋体"/>
          <w:b/>
          <w:color w:val="auto"/>
          <w:sz w:val="32"/>
          <w:szCs w:val="30"/>
          <w:highlight w:val="none"/>
        </w:rPr>
        <w:t xml:space="preserve">评标方法与评</w:t>
      </w:r>
      <w:bookmarkStart w:id="10" w:name="_Hlt129101645"/>
      <w:r>
        <w:rPr>
          <w:rStyle w:val="1388"/>
          <w:rFonts w:hint="eastAsia" w:ascii="宋体" w:hAnsi="宋体"/>
          <w:b/>
          <w:color w:val="auto"/>
          <w:sz w:val="32"/>
          <w:szCs w:val="30"/>
          <w:highlight w:val="none"/>
        </w:rPr>
        <w:t xml:space="preserve">标</w:t>
      </w:r>
      <w:bookmarkEnd w:id="10"/>
      <w:r>
        <w:rPr>
          <w:rStyle w:val="1388"/>
          <w:rFonts w:hint="eastAsia" w:ascii="宋体" w:hAnsi="宋体"/>
          <w:b/>
          <w:color w:val="auto"/>
          <w:sz w:val="32"/>
          <w:szCs w:val="30"/>
          <w:highlight w:val="none"/>
        </w:rPr>
        <w:t xml:space="preserve">标准</w:t>
      </w:r>
      <w:r>
        <w:rPr>
          <w:rFonts w:ascii="宋体" w:hAnsi="宋体"/>
          <w:b w:val="0"/>
          <w:color w:val="auto"/>
          <w:sz w:val="32"/>
          <w:szCs w:val="30"/>
          <w:highlight w:val="none"/>
        </w:rPr>
        <w:tab/>
      </w:r>
      <w:r>
        <w:rPr>
          <w:rFonts w:hint="eastAsia" w:ascii="宋体" w:hAnsi="宋体"/>
          <w:b w:val="0"/>
          <w:color w:val="auto"/>
          <w:sz w:val="32"/>
          <w:szCs w:val="30"/>
          <w:highlight w:val="none"/>
          <w:lang w:val="en-US" w:eastAsia="zh-CN"/>
        </w:rPr>
        <w:t xml:space="preserve">5</w:t>
      </w:r>
      <w:r>
        <w:rPr>
          <w:rStyle w:val="1388"/>
          <w:rFonts w:ascii="宋体" w:hAnsi="宋体"/>
          <w:b/>
          <w:color w:val="auto"/>
          <w:sz w:val="32"/>
          <w:szCs w:val="30"/>
          <w:highlight w:val="none"/>
        </w:rPr>
        <w:fldChar w:fldCharType="end"/>
      </w:r>
      <w:r>
        <w:rPr>
          <w:rStyle w:val="1388"/>
          <w:rFonts w:ascii="宋体" w:hAnsi="宋体"/>
          <w:b w:val="0"/>
          <w:bCs w:val="0"/>
          <w:color w:val="auto"/>
          <w:sz w:val="32"/>
          <w:szCs w:val="30"/>
          <w:highlight w:val="none"/>
        </w:rPr>
        <w:t xml:space="preserve">6</w:t>
      </w:r>
      <w:r>
        <w:rPr>
          <w:rStyle w:val="1388"/>
          <w:rFonts w:hint="eastAsia" w:ascii="宋体" w:hAnsi="宋体"/>
          <w:b w:val="0"/>
          <w:bCs w:val="0"/>
          <w:color w:val="auto"/>
          <w:sz w:val="32"/>
          <w:szCs w:val="30"/>
          <w:highlight w:val="none"/>
          <w:lang w:val="en-US" w:eastAsia="zh-CN"/>
        </w:rPr>
      </w:r>
      <w:r/>
    </w:p>
    <w:p>
      <w:pPr>
        <w:pStyle w:val="1355"/>
        <w:ind w:left="-141" w:right="265"/>
        <w:jc w:val="left"/>
        <w:spacing w:before="0" w:beforeAutospacing="0" w:after="0" w:afterAutospacing="0" w:line="360" w:lineRule="auto"/>
        <w:rPr>
          <w:rFonts w:hint="eastAsia" w:ascii="宋体" w:hAnsi="宋体" w:eastAsia="宋体"/>
          <w:b w:val="0"/>
          <w:bCs w:val="0"/>
          <w:caps w:val="0"/>
          <w:color w:val="auto"/>
          <w:sz w:val="32"/>
          <w:szCs w:val="30"/>
          <w:highlight w:val="none"/>
          <w:lang w:val="en-US" w:eastAsia="zh-CN"/>
        </w:rPr>
      </w:pPr>
      <w:r>
        <w:rPr>
          <w:rStyle w:val="1388"/>
          <w:rFonts w:ascii="宋体" w:hAnsi="宋体"/>
          <w:b/>
          <w:color w:val="auto"/>
          <w:sz w:val="32"/>
          <w:szCs w:val="30"/>
          <w:highlight w:val="none"/>
        </w:rPr>
        <w:fldChar w:fldCharType="begin"/>
      </w:r>
      <w:r>
        <w:rPr>
          <w:rStyle w:val="138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1388"/>
          <w:rFonts w:ascii="宋体" w:hAnsi="宋体"/>
          <w:b/>
          <w:color w:val="auto"/>
          <w:sz w:val="32"/>
          <w:szCs w:val="30"/>
          <w:highlight w:val="none"/>
        </w:rPr>
        <w:instrText xml:space="preserve"> </w:instrText>
      </w:r>
      <w:r>
        <w:rPr>
          <w:rStyle w:val="1388"/>
          <w:rFonts w:ascii="宋体" w:hAnsi="宋体"/>
          <w:b/>
          <w:color w:val="auto"/>
          <w:sz w:val="32"/>
          <w:szCs w:val="30"/>
          <w:highlight w:val="none"/>
        </w:rPr>
        <w:fldChar w:fldCharType="separate"/>
      </w:r>
      <w:r>
        <w:rPr>
          <w:rStyle w:val="1388"/>
          <w:rFonts w:hint="eastAsia" w:ascii="宋体" w:hAnsi="宋体"/>
          <w:b/>
          <w:color w:val="auto"/>
          <w:sz w:val="32"/>
          <w:szCs w:val="30"/>
          <w:highlight w:val="none"/>
        </w:rPr>
        <w:t xml:space="preserve">第六部分</w:t>
      </w:r>
      <w:r>
        <w:rPr>
          <w:rStyle w:val="1388"/>
          <w:rFonts w:ascii="宋体" w:hAnsi="宋体"/>
          <w:b/>
          <w:color w:val="auto"/>
          <w:sz w:val="32"/>
          <w:szCs w:val="30"/>
          <w:highlight w:val="none"/>
        </w:rPr>
        <w:t xml:space="preserve"> </w:t>
      </w:r>
      <w:r>
        <w:rPr>
          <w:rStyle w:val="1388"/>
          <w:rFonts w:hint="eastAsia" w:ascii="宋体" w:hAnsi="宋体"/>
          <w:b/>
          <w:color w:val="auto"/>
          <w:sz w:val="32"/>
          <w:szCs w:val="30"/>
          <w:highlight w:val="none"/>
          <w:lang w:eastAsia="zh-CN"/>
        </w:rPr>
        <w:t xml:space="preserve"> </w:t>
      </w:r>
      <w:r>
        <w:rPr>
          <w:rStyle w:val="1388"/>
          <w:rFonts w:hint="eastAsia" w:ascii="宋体" w:hAnsi="宋体"/>
          <w:b/>
          <w:color w:val="auto"/>
          <w:sz w:val="32"/>
          <w:szCs w:val="30"/>
          <w:highlight w:val="none"/>
        </w:rPr>
        <w:t xml:space="preserve">合同格式</w:t>
      </w:r>
      <w:r>
        <w:rPr>
          <w:rFonts w:ascii="宋体" w:hAnsi="宋体"/>
          <w:b w:val="0"/>
          <w:color w:val="auto"/>
          <w:sz w:val="32"/>
          <w:szCs w:val="30"/>
          <w:highlight w:val="none"/>
        </w:rPr>
        <w:tab/>
      </w:r>
      <w:r>
        <w:rPr>
          <w:rFonts w:hint="eastAsia" w:ascii="宋体" w:hAnsi="宋体"/>
          <w:b w:val="0"/>
          <w:color w:val="auto"/>
          <w:sz w:val="32"/>
          <w:szCs w:val="30"/>
          <w:highlight w:val="none"/>
          <w:lang w:val="en-US" w:eastAsia="zh-CN"/>
        </w:rPr>
        <w:t xml:space="preserve">5</w:t>
      </w:r>
      <w:r>
        <w:rPr>
          <w:rStyle w:val="1388"/>
          <w:rFonts w:ascii="宋体" w:hAnsi="宋体"/>
          <w:b/>
          <w:color w:val="auto"/>
          <w:sz w:val="32"/>
          <w:szCs w:val="30"/>
          <w:highlight w:val="none"/>
        </w:rPr>
        <w:fldChar w:fldCharType="end"/>
      </w:r>
      <w:r>
        <w:rPr>
          <w:rStyle w:val="1388"/>
          <w:rFonts w:hint="eastAsia" w:ascii="宋体" w:hAnsi="宋体"/>
          <w:b w:val="0"/>
          <w:bCs w:val="0"/>
          <w:color w:val="auto"/>
          <w:sz w:val="32"/>
          <w:szCs w:val="30"/>
          <w:highlight w:val="none"/>
          <w:lang w:val="en-US" w:eastAsia="zh-CN"/>
        </w:rPr>
        <w:t xml:space="preserve">9</w:t>
      </w:r>
      <w:r/>
    </w:p>
    <w:p>
      <w:pPr>
        <w:ind w:left="-141" w:right="265"/>
        <w:jc w:val="left"/>
        <w:spacing w:line="360" w:lineRule="auto"/>
        <w:tabs>
          <w:tab w:val="right" w:pos="9072" w:leader="dot"/>
        </w:tabs>
        <w:rPr>
          <w:color w:val="auto"/>
          <w:highlight w:val="none"/>
        </w:rPr>
      </w:pPr>
      <w:r>
        <w:rPr>
          <w:rFonts w:ascii="宋体" w:hAnsi="宋体"/>
          <w:color w:val="auto"/>
          <w:sz w:val="32"/>
          <w:szCs w:val="30"/>
          <w:highlight w:val="none"/>
        </w:rPr>
        <w:fldChar w:fldCharType="end"/>
      </w:r>
      <w:r/>
    </w:p>
    <w:p>
      <w:pPr>
        <w:pStyle w:val="1454"/>
        <w:jc w:val="center"/>
        <w:rPr>
          <w:rFonts w:hAnsi="宋体" w:eastAsia="宋体"/>
          <w:b/>
          <w:color w:val="auto"/>
          <w:sz w:val="30"/>
          <w:szCs w:val="30"/>
          <w:highlight w:val="none"/>
        </w:rPr>
      </w:pPr>
      <w:r>
        <w:rPr>
          <w:rFonts w:hAnsi="宋体" w:eastAsia="宋体"/>
          <w:b/>
          <w:color w:val="auto"/>
          <w:sz w:val="30"/>
          <w:szCs w:val="30"/>
          <w:highlight w:val="none"/>
        </w:rPr>
      </w:r>
      <w:r/>
    </w:p>
    <w:p>
      <w:r/>
      <w:r/>
    </w:p>
    <w:p>
      <w:r/>
      <w:r/>
    </w:p>
    <w:p>
      <w:r/>
      <w:r/>
    </w:p>
    <w:p>
      <w:r/>
      <w:r/>
    </w:p>
    <w:p>
      <w:r/>
      <w:r/>
    </w:p>
    <w:p>
      <w:pPr>
        <w:jc w:val="left"/>
        <w:tabs>
          <w:tab w:val="center" w:pos="4598" w:leader="none"/>
        </w:tabs>
        <w:rPr>
          <w:rFonts w:hint="eastAsia" w:eastAsia="宋体"/>
          <w:lang w:eastAsia="zh-CN"/>
        </w:rPr>
        <w:sectPr>
          <w:footerReference w:type="default" r:id="rId9"/>
          <w:footerReference w:type="first" r:id="rId10"/>
          <w:footnotePr/>
          <w:endnotePr/>
          <w:type w:val="nextPage"/>
          <w:pgSz w:w="11907" w:h="16840" w:orient="portrait"/>
          <w:pgMar w:top="1134" w:right="1134" w:bottom="1134" w:left="1576" w:header="567" w:footer="794" w:gutter="0"/>
          <w:cols w:num="1" w:sep="0" w:space="1701" w:equalWidth="1"/>
          <w:docGrid w:linePitch="360"/>
          <w:titlePg/>
        </w:sectPr>
      </w:pPr>
      <w:r>
        <w:rPr>
          <w:rFonts w:hint="eastAsia"/>
          <w:lang w:eastAsia="zh-CN"/>
        </w:rPr>
        <w:tab/>
      </w:r>
      <w:r/>
    </w:p>
    <w:p>
      <w:pPr>
        <w:pStyle w:val="1454"/>
        <w:jc w:val="center"/>
        <w:spacing w:line="360" w:lineRule="auto"/>
        <w:rPr>
          <w:rFonts w:hint="eastAsia" w:ascii="宋体" w:hAnsi="宋体" w:eastAsia="宋体" w:cs="宋体"/>
          <w:b/>
          <w:color w:val="auto"/>
          <w:sz w:val="30"/>
          <w:szCs w:val="30"/>
          <w:highlight w:val="none"/>
        </w:rPr>
        <w:outlineLvl w:val="0"/>
      </w:pPr>
      <w:r/>
      <w:bookmarkStart w:id="11" w:name="_Toc129003582"/>
      <w:r>
        <w:rPr>
          <w:rFonts w:hint="eastAsia" w:ascii="宋体" w:hAnsi="宋体" w:eastAsia="宋体" w:cs="宋体"/>
          <w:b/>
          <w:color w:val="auto"/>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color w:val="auto"/>
          <w:sz w:val="24"/>
          <w:szCs w:val="24"/>
          <w:highlight w:val="none"/>
          <w:shd w:val="clear" w:color="auto" w:fill="ffffff"/>
        </w:rPr>
      </w:pPr>
      <w:r/>
      <w:bookmarkStart w:id="12" w:name="_Toc158691767"/>
      <w:r/>
      <w:bookmarkStart w:id="13" w:name="_Toc315868051"/>
      <w:r/>
      <w:bookmarkStart w:id="14" w:name="_Toc315875314"/>
      <w:r/>
      <w:bookmarkStart w:id="15" w:name="_Toc467507030"/>
      <w:r>
        <w:rPr>
          <w:rFonts w:hint="eastAsia" w:ascii="宋体" w:hAnsi="宋体" w:eastAsia="宋体" w:cs="宋体"/>
          <w:b/>
          <w:color w:val="auto"/>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太仓高新区食堂运营服务</w:t>
      </w:r>
      <w:r>
        <w:rPr>
          <w:rFonts w:hint="eastAsia" w:ascii="宋体" w:hAnsi="宋体" w:eastAsia="宋体" w:cs="宋体"/>
          <w:color w:val="auto"/>
          <w:sz w:val="24"/>
          <w:szCs w:val="24"/>
          <w:highlight w:val="none"/>
          <w:shd w:val="clear" w:color="auto" w:fill="ffffff"/>
        </w:rPr>
        <w:t xml:space="preserve">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 xml:space="preserve">并</w:t>
      </w:r>
      <w:r>
        <w:rPr>
          <w:rFonts w:hint="eastAsia" w:ascii="宋体" w:hAnsi="宋体" w:eastAsia="宋体" w:cs="宋体"/>
          <w:color w:val="auto"/>
          <w:sz w:val="24"/>
          <w:szCs w:val="24"/>
          <w:highlight w:val="none"/>
          <w:shd w:val="clear" w:color="auto" w:fill="ffffff"/>
        </w:rPr>
        <w:t xml:space="preserve">下载获取电子招标文件，并于</w:t>
      </w:r>
      <w:r>
        <w:rPr>
          <w:rFonts w:hint="eastAsia" w:ascii="宋体" w:hAnsi="宋体" w:eastAsia="宋体" w:cs="宋体"/>
          <w:color w:val="0000ff"/>
          <w:sz w:val="24"/>
          <w:szCs w:val="24"/>
          <w:highlight w:val="none"/>
          <w:shd w:val="clear" w:color="auto" w:fill="ffffff"/>
        </w:rPr>
        <w:t xml:space="preserve">202</w:t>
      </w:r>
      <w:r>
        <w:rPr>
          <w:rFonts w:hint="eastAsia" w:ascii="宋体" w:hAnsi="宋体" w:cs="宋体"/>
          <w:color w:val="0000ff"/>
          <w:sz w:val="24"/>
          <w:szCs w:val="24"/>
          <w:highlight w:val="none"/>
          <w:shd w:val="clear" w:color="auto" w:fill="ffffff"/>
          <w:lang w:val="en-US" w:eastAsia="zh-CN"/>
        </w:rPr>
        <w:t xml:space="preserve">6</w:t>
      </w:r>
      <w:r>
        <w:rPr>
          <w:rFonts w:hint="eastAsia" w:ascii="宋体" w:hAnsi="宋体" w:eastAsia="宋体" w:cs="宋体"/>
          <w:color w:val="0000ff"/>
          <w:sz w:val="24"/>
          <w:szCs w:val="24"/>
          <w:highlight w:val="none"/>
          <w:shd w:val="clear" w:color="auto" w:fill="ffffff"/>
        </w:rPr>
        <w:t xml:space="preserve">年</w:t>
      </w:r>
      <w:r>
        <w:rPr>
          <w:rFonts w:hint="eastAsia" w:ascii="宋体" w:hAnsi="宋体" w:cs="宋体"/>
          <w:color w:val="0000ff"/>
          <w:sz w:val="24"/>
          <w:szCs w:val="24"/>
          <w:highlight w:val="none"/>
          <w:shd w:val="clear" w:color="auto" w:fill="ffffff"/>
          <w:lang w:val="en-US" w:eastAsia="zh-CN"/>
        </w:rPr>
        <w:t xml:space="preserve">07</w:t>
      </w:r>
      <w:r>
        <w:rPr>
          <w:rFonts w:hint="eastAsia" w:ascii="宋体" w:hAnsi="宋体" w:eastAsia="宋体" w:cs="宋体"/>
          <w:color w:val="0000ff"/>
          <w:sz w:val="24"/>
          <w:szCs w:val="24"/>
          <w:highlight w:val="none"/>
          <w:shd w:val="clear" w:color="auto" w:fill="ffffff"/>
        </w:rPr>
        <w:t xml:space="preserve">月16</w:t>
      </w:r>
      <w:r>
        <w:rPr>
          <w:rFonts w:hint="eastAsia" w:ascii="宋体" w:hAnsi="宋体" w:eastAsia="宋体" w:cs="宋体"/>
          <w:color w:val="0000ff"/>
          <w:sz w:val="24"/>
          <w:szCs w:val="24"/>
          <w:highlight w:val="none"/>
          <w:shd w:val="clear" w:color="auto" w:fill="ffffff"/>
        </w:rPr>
        <w:t xml:space="preserve">日</w:t>
      </w:r>
      <w:r>
        <w:rPr>
          <w:rFonts w:hint="eastAsia" w:ascii="宋体" w:hAnsi="宋体" w:cs="宋体"/>
          <w:color w:val="0000ff"/>
          <w:sz w:val="24"/>
          <w:szCs w:val="24"/>
          <w:highlight w:val="none"/>
          <w:shd w:val="clear" w:color="auto" w:fill="ffffff"/>
          <w:lang w:val="en-US" w:eastAsia="zh-CN"/>
        </w:rPr>
        <w:t xml:space="preserve">14</w:t>
      </w:r>
      <w:r>
        <w:rPr>
          <w:rFonts w:hint="eastAsia" w:ascii="宋体" w:hAnsi="宋体" w:eastAsia="宋体" w:cs="宋体"/>
          <w:color w:val="0000ff"/>
          <w:sz w:val="24"/>
          <w:szCs w:val="24"/>
          <w:highlight w:val="none"/>
          <w:shd w:val="clear" w:color="auto" w:fill="ffffff"/>
        </w:rPr>
        <w:t xml:space="preserve">时00</w:t>
      </w:r>
      <w:r>
        <w:rPr>
          <w:rFonts w:hint="eastAsia" w:ascii="宋体" w:hAnsi="宋体" w:eastAsia="宋体" w:cs="宋体"/>
          <w:color w:val="0000ff"/>
          <w:sz w:val="24"/>
          <w:szCs w:val="24"/>
          <w:highlight w:val="none"/>
          <w:shd w:val="clear" w:color="auto" w:fill="ffffff"/>
        </w:rPr>
        <w:t xml:space="preserve">分</w:t>
      </w:r>
      <w:r>
        <w:rPr>
          <w:rFonts w:hint="eastAsia" w:ascii="宋体" w:hAnsi="宋体" w:eastAsia="宋体" w:cs="宋体"/>
          <w:color w:val="auto"/>
          <w:sz w:val="24"/>
          <w:szCs w:val="24"/>
          <w:highlight w:val="none"/>
          <w:shd w:val="clear" w:color="auto" w:fill="ffffff"/>
        </w:rPr>
        <w:t xml:space="preserve">（北京时间）前上传电子投标文件。</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eastAsia="宋体" w:cs="宋体"/>
          <w:color w:val="auto"/>
          <w:sz w:val="24"/>
          <w:szCs w:val="24"/>
          <w:highlight w:val="none"/>
          <w:shd w:val="clear" w:color="auto" w:fill="ffffff"/>
          <w:lang w:val="en-US" w:eastAsia="zh-CN" w:bidi="ar"/>
        </w:rPr>
        <w:t xml:space="preserve">JSZC-320585-XYCH-G2026-0001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太仓高新区食堂运营服务</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4、预算金额：人民币</w:t>
      </w:r>
      <w:r>
        <w:rPr>
          <w:rFonts w:hint="eastAsia" w:ascii="宋体" w:hAnsi="宋体" w:cs="宋体"/>
          <w:color w:val="auto"/>
          <w:sz w:val="24"/>
          <w:szCs w:val="24"/>
          <w:highlight w:val="none"/>
          <w:shd w:val="clear" w:color="auto" w:fill="ffffff"/>
          <w:lang w:val="en-US" w:eastAsia="zh-CN" w:bidi="ar"/>
        </w:rPr>
        <w:t xml:space="preserve">柒佰柒拾贰万元整</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val="en-US" w:eastAsia="zh-CN" w:bidi="ar"/>
        </w:rPr>
        <w:t xml:space="preserve">772</w:t>
      </w:r>
      <w:r>
        <w:rPr>
          <w:rFonts w:hint="eastAsia" w:ascii="宋体" w:hAnsi="宋体" w:cs="宋体"/>
          <w:color w:val="auto"/>
          <w:sz w:val="24"/>
          <w:szCs w:val="24"/>
          <w:highlight w:val="none"/>
          <w:shd w:val="clear" w:color="auto" w:fill="ffffff"/>
          <w:lang w:eastAsia="zh-CN" w:bidi="ar"/>
        </w:rPr>
        <w:t xml:space="preserve">0000</w:t>
      </w:r>
      <w:r>
        <w:rPr>
          <w:rFonts w:hint="eastAsia" w:ascii="宋体" w:hAnsi="宋体" w:eastAsia="宋体" w:cs="宋体"/>
          <w:color w:val="auto"/>
          <w:sz w:val="24"/>
          <w:szCs w:val="24"/>
          <w:highlight w:val="none"/>
          <w:shd w:val="clear" w:color="auto" w:fill="ffffff"/>
          <w:lang w:bidi="ar"/>
        </w:rPr>
        <w:t xml:space="preserve">.00元）</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5、最高限价：人民币</w:t>
      </w:r>
      <w:r>
        <w:rPr>
          <w:rFonts w:hint="eastAsia" w:ascii="宋体" w:hAnsi="宋体" w:cs="宋体"/>
          <w:color w:val="auto"/>
          <w:sz w:val="24"/>
          <w:szCs w:val="24"/>
          <w:highlight w:val="none"/>
          <w:shd w:val="clear" w:color="auto" w:fill="ffffff"/>
          <w:lang w:val="en-US" w:eastAsia="zh-CN" w:bidi="ar"/>
        </w:rPr>
        <w:t xml:space="preserve">柒佰陆拾叁万元</w:t>
      </w:r>
      <w:r>
        <w:rPr>
          <w:rFonts w:hint="eastAsia" w:ascii="宋体" w:hAnsi="宋体" w:eastAsia="宋体" w:cs="宋体"/>
          <w:color w:val="auto"/>
          <w:sz w:val="24"/>
          <w:szCs w:val="24"/>
          <w:highlight w:val="none"/>
          <w:shd w:val="clear" w:color="auto" w:fill="ffffff"/>
          <w:lang w:bidi="ar"/>
        </w:rPr>
        <w:t xml:space="preserve">整（￥</w:t>
      </w:r>
      <w:r>
        <w:rPr>
          <w:rFonts w:hint="eastAsia" w:ascii="宋体" w:hAnsi="宋体" w:cs="宋体"/>
          <w:color w:val="auto"/>
          <w:sz w:val="24"/>
          <w:szCs w:val="24"/>
          <w:highlight w:val="none"/>
          <w:shd w:val="clear" w:color="auto" w:fill="ffffff"/>
          <w:lang w:val="en-US" w:eastAsia="zh-CN" w:bidi="ar"/>
        </w:rPr>
        <w:t xml:space="preserve">763</w:t>
      </w:r>
      <w:r>
        <w:rPr>
          <w:rFonts w:hint="eastAsia" w:ascii="宋体" w:hAnsi="宋体" w:cs="宋体"/>
          <w:color w:val="auto"/>
          <w:sz w:val="24"/>
          <w:szCs w:val="24"/>
          <w:highlight w:val="none"/>
          <w:shd w:val="clear" w:color="auto" w:fill="ffffff"/>
          <w:lang w:eastAsia="zh-CN" w:bidi="ar"/>
        </w:rPr>
        <w:t xml:space="preserve">0000</w:t>
      </w:r>
      <w:r>
        <w:rPr>
          <w:rFonts w:hint="eastAsia" w:ascii="宋体" w:hAnsi="宋体" w:eastAsia="宋体" w:cs="宋体"/>
          <w:color w:val="auto"/>
          <w:sz w:val="24"/>
          <w:szCs w:val="24"/>
          <w:highlight w:val="none"/>
          <w:shd w:val="clear" w:color="auto" w:fill="ffffff"/>
          <w:lang w:bidi="ar"/>
        </w:rPr>
        <w:t xml:space="preserve">.00元）</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6、采购需求：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太仓高新区管委会食堂服务。</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提供用餐范围及标准：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供餐时间为周一至周五的早餐、午餐（法定假日除外）。</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餐厅就餐标准：全体在岗工作人员每日早餐、午餐及采购方要求的其他用餐服务。</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A、早餐</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1）用餐时间：7：30—8：45；</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2）中标方必须确保采购方的开膳时间，于开膳时间前15分钟准时将饭菜置于柜台，并做到菜单醒目；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3）套餐标准：提供粥、面、馄饨等多种基础套餐，粥套餐至少包含粥/豆浆、各式点心、小菜、荷包蛋或水煮蛋；面套餐至少包含光面、荤素浇头。</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B、午餐</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1）用餐时间：11：45—12：30；</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2）中标方必须确保采购方的开膳时间，于开膳时间前15分钟准时将饭菜置于柜台，并做到菜单醒目；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3）基本套餐标准（以苏帮菜、淮扬菜为主）：三荤菜选二、三素菜选二、一水果或酸奶、一汤、米饭等必备内容，除此之外投标人可自行增加内容；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服务期限：</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年，自合同生效之日起计算。</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本项目不接受联合体投标。</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6、法律、行政法规规定的其他条件；</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（二）落实政府采购政策需满足的资格要求：本项目专门面向中小企业采购</w:t>
      </w:r>
      <w:r>
        <w:rPr>
          <w:rFonts w:hint="eastAsia" w:ascii="宋体" w:hAnsi="宋体" w:eastAsia="宋体" w:cs="宋体"/>
          <w:color w:val="auto"/>
          <w:sz w:val="24"/>
          <w:szCs w:val="24"/>
          <w:highlight w:val="none"/>
          <w:shd w:val="clear" w:color="auto" w:fill="ffffff"/>
          <w:lang w:bidi="ar"/>
        </w:rPr>
        <w:t xml:space="preserve">，所属行业为</w:t>
      </w:r>
      <w:r>
        <w:rPr>
          <w:rFonts w:hint="eastAsia" w:ascii="宋体" w:hAnsi="宋体" w:eastAsia="宋体" w:cs="宋体"/>
          <w:color w:val="auto"/>
          <w:sz w:val="24"/>
          <w:szCs w:val="24"/>
          <w:highlight w:val="none"/>
          <w:shd w:val="clear" w:color="auto" w:fill="ffffff"/>
          <w:lang w:val="en-US" w:eastAsia="zh-CN" w:bidi="ar"/>
        </w:rPr>
        <w:t xml:space="preserve">餐饮业</w:t>
      </w:r>
      <w:r>
        <w:rPr>
          <w:rFonts w:hint="eastAsia" w:ascii="宋体" w:hAnsi="宋体" w:eastAsia="宋体" w:cs="宋体"/>
          <w:color w:val="auto"/>
          <w:sz w:val="24"/>
          <w:szCs w:val="24"/>
          <w:highlight w:val="none"/>
          <w:shd w:val="clear" w:color="auto" w:fill="ffffff"/>
          <w:lang w:bidi="ar"/>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82"/>
        <w:jc w:val="left"/>
        <w:spacing w:line="360" w:lineRule="auto"/>
        <w:widowControl/>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（三）本项目的特定资格要求：</w:t>
      </w:r>
      <w:r/>
    </w:p>
    <w:p>
      <w:pPr>
        <w:pStyle w:val="1141"/>
        <w:ind w:left="0" w:firstLine="482"/>
        <w:keepLines w:val="0"/>
        <w:keepNext w:val="0"/>
        <w:pageBreakBefore w:val="0"/>
        <w:spacing w:line="360" w:lineRule="auto"/>
        <w:rPr>
          <w:rFonts w:hint="eastAsia" w:hAnsi="宋体" w:cs="宋体"/>
          <w:b/>
          <w:bCs w:val="0"/>
          <w:color w:val="auto"/>
          <w:sz w:val="24"/>
          <w:szCs w:val="24"/>
          <w:highlight w:val="none"/>
          <w:shd w:val="clear" w:color="auto" w:fill="ffffff"/>
          <w:lang w:val="en-US" w:eastAsia="zh-CN" w:bidi="ar"/>
        </w:rPr>
      </w:pPr>
      <w:r>
        <w:rPr>
          <w:rFonts w:hint="eastAsia" w:hAnsi="宋体" w:cs="宋体"/>
          <w:b/>
          <w:bCs w:val="0"/>
          <w:color w:val="auto"/>
          <w:sz w:val="24"/>
          <w:szCs w:val="24"/>
          <w:highlight w:val="none"/>
          <w:shd w:val="clear" w:color="auto" w:fill="ffffff"/>
          <w:lang w:val="en-US" w:eastAsia="zh-CN" w:bidi="ar"/>
        </w:rPr>
        <w:t xml:space="preserve">1、投标人须具有有效期内的《食品经营许可证》（提供有效期内的许可证扫描件）。</w:t>
      </w:r>
      <w:r/>
    </w:p>
    <w:p>
      <w:pPr>
        <w:pStyle w:val="1141"/>
        <w:ind w:left="0" w:firstLine="482"/>
        <w:keepLines w:val="0"/>
        <w:keepNext w:val="0"/>
        <w:pageBreakBefore w:val="0"/>
        <w:spacing w:line="360" w:lineRule="auto"/>
        <w:rPr>
          <w:rFonts w:hint="default" w:hAnsi="宋体" w:cs="宋体"/>
          <w:b/>
          <w:bCs w:val="0"/>
          <w:color w:val="auto"/>
          <w:sz w:val="24"/>
          <w:szCs w:val="24"/>
          <w:highlight w:val="none"/>
          <w:shd w:val="clear" w:color="auto" w:fill="ffffff"/>
          <w:lang w:val="en-US" w:eastAsia="zh-CN" w:bidi="ar"/>
        </w:rPr>
      </w:pPr>
      <w:r>
        <w:rPr>
          <w:rFonts w:hint="eastAsia" w:hAnsi="宋体" w:cs="宋体"/>
          <w:b/>
          <w:bCs w:val="0"/>
          <w:color w:val="auto"/>
          <w:sz w:val="24"/>
          <w:szCs w:val="24"/>
          <w:highlight w:val="none"/>
          <w:shd w:val="clear" w:color="auto" w:fill="ffffff"/>
          <w:lang w:val="en-US" w:eastAsia="zh-CN" w:bidi="ar"/>
        </w:rPr>
        <w:t xml:space="preserve">2、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ind w:firstLine="482"/>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（四）拒绝下述供应商参加本次采购活动：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3、法人的分支机构不得参加投标（除银行、保险、石油石化、电力、电信等行业特殊情况外）</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三、获取招标文件：</w:t>
      </w:r>
      <w:r>
        <w:rPr>
          <w:rFonts w:hint="eastAsia" w:ascii="宋体" w:hAnsi="宋体" w:eastAsia="宋体" w:cs="宋体"/>
          <w:color w:val="auto"/>
          <w:sz w:val="24"/>
          <w:szCs w:val="24"/>
          <w:highlight w:val="none"/>
          <w:shd w:val="clear" w:color="auto" w:fill="ffffff"/>
          <w:lang w:bidi="ar"/>
        </w:rPr>
        <w:t xml:space="preserve"> </w:t>
      </w:r>
      <w:r/>
    </w:p>
    <w:p>
      <w:pPr>
        <w:pStyle w:val="1336"/>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1、依法获取电子招标文件：投标人在</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年06</w:t>
      </w:r>
      <w:r>
        <w:rPr>
          <w:rFonts w:hint="eastAsia" w:ascii="宋体" w:hAnsi="宋体" w:eastAsia="宋体" w:cs="宋体"/>
          <w:color w:val="0000ff"/>
          <w:sz w:val="24"/>
          <w:szCs w:val="24"/>
          <w:highlight w:val="none"/>
          <w:shd w:val="clear" w:color="auto" w:fill="ffffff"/>
          <w:lang w:bidi="ar"/>
        </w:rPr>
        <w:t xml:space="preserve">月24</w:t>
      </w:r>
      <w:r>
        <w:rPr>
          <w:rFonts w:hint="eastAsia" w:ascii="宋体" w:hAnsi="宋体" w:eastAsia="宋体" w:cs="宋体"/>
          <w:color w:val="0000ff"/>
          <w:sz w:val="24"/>
          <w:szCs w:val="24"/>
          <w:highlight w:val="none"/>
          <w:shd w:val="clear" w:color="auto" w:fill="ffffff"/>
          <w:lang w:bidi="ar"/>
        </w:rPr>
        <w:t xml:space="preserve">日至202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年07</w:t>
      </w:r>
      <w:r>
        <w:rPr>
          <w:rFonts w:hint="eastAsia" w:ascii="宋体" w:hAnsi="宋体" w:eastAsia="宋体" w:cs="宋体"/>
          <w:color w:val="0000ff"/>
          <w:sz w:val="24"/>
          <w:szCs w:val="24"/>
          <w:highlight w:val="none"/>
          <w:shd w:val="clear" w:color="auto" w:fill="ffffff"/>
          <w:lang w:bidi="ar"/>
        </w:rPr>
        <w:t xml:space="preserve">月01</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b/>
          <w:bCs/>
          <w:color w:val="auto"/>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2、获取方式：网上下载电子招标文件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3、本项目免费下载电子招标文件</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r/>
    </w:p>
    <w:p>
      <w:pPr>
        <w:ind w:firstLine="480"/>
        <w:jc w:val="left"/>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1、加密的电子投标文件上传截止时间：</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月16</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bidi="ar"/>
        </w:rPr>
        <w:t xml:space="preserve">14</w:t>
      </w:r>
      <w:r>
        <w:rPr>
          <w:rFonts w:hint="eastAsia" w:ascii="宋体" w:hAnsi="宋体" w:eastAsia="宋体" w:cs="宋体"/>
          <w:color w:val="0000ff"/>
          <w:sz w:val="24"/>
          <w:szCs w:val="24"/>
          <w:highlight w:val="none"/>
          <w:shd w:val="clear" w:color="auto" w:fill="ffffff"/>
          <w:lang w:bidi="ar"/>
        </w:rPr>
        <w:t xml:space="preserve">点00分</w:t>
      </w:r>
      <w:r>
        <w:rPr>
          <w:rFonts w:hint="eastAsia" w:ascii="宋体" w:hAnsi="宋体" w:eastAsia="宋体" w:cs="宋体"/>
          <w:color w:val="auto"/>
          <w:sz w:val="24"/>
          <w:szCs w:val="24"/>
          <w:highlight w:val="none"/>
          <w:shd w:val="clear" w:color="auto" w:fill="ffffff"/>
          <w:lang w:bidi="ar"/>
        </w:rPr>
        <w:t xml:space="preserve">（北京时间），</w:t>
      </w:r>
      <w:r>
        <w:rPr>
          <w:rFonts w:hint="eastAsia" w:ascii="宋体" w:hAnsi="宋体" w:eastAsia="宋体" w:cs="宋体"/>
          <w:b/>
          <w:bCs/>
          <w:color w:val="auto"/>
          <w:sz w:val="24"/>
          <w:szCs w:val="24"/>
          <w:highlight w:val="none"/>
          <w:shd w:val="clear" w:color="auto" w:fill="ffffff"/>
          <w:lang w:bidi="ar"/>
        </w:rPr>
        <w:t xml:space="preserve">投标人登录苏采云政府采购一体化平台，进入“参与详情”页面，上传电子投标文件。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注：考虑网络上传速度因素，请投标供应商适当提前上传电子投标文件。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3、开标时间：</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年07</w:t>
      </w:r>
      <w:r>
        <w:rPr>
          <w:rFonts w:hint="eastAsia" w:ascii="宋体" w:hAnsi="宋体" w:eastAsia="宋体" w:cs="宋体"/>
          <w:color w:val="0000ff"/>
          <w:sz w:val="24"/>
          <w:szCs w:val="24"/>
          <w:highlight w:val="none"/>
          <w:shd w:val="clear" w:color="auto" w:fill="ffffff"/>
          <w:lang w:bidi="ar"/>
        </w:rPr>
        <w:t xml:space="preserve">月16</w:t>
      </w:r>
      <w:r>
        <w:rPr>
          <w:rFonts w:hint="eastAsia" w:ascii="宋体" w:hAnsi="宋体" w:eastAsia="宋体" w:cs="宋体"/>
          <w:color w:val="0000ff"/>
          <w:sz w:val="24"/>
          <w:szCs w:val="24"/>
          <w:highlight w:val="none"/>
          <w:shd w:val="clear" w:color="auto" w:fill="ffffff"/>
          <w:lang w:bidi="ar"/>
        </w:rPr>
        <w:t xml:space="preserve">日14</w:t>
      </w:r>
      <w:r>
        <w:rPr>
          <w:rFonts w:hint="eastAsia" w:ascii="宋体" w:hAnsi="宋体" w:eastAsia="宋体" w:cs="宋体"/>
          <w:color w:val="0000ff"/>
          <w:sz w:val="24"/>
          <w:szCs w:val="24"/>
          <w:highlight w:val="none"/>
          <w:shd w:val="clear" w:color="auto" w:fill="ffffff"/>
          <w:lang w:bidi="ar"/>
        </w:rPr>
        <w:t xml:space="preserve">点00</w:t>
      </w:r>
      <w:r>
        <w:rPr>
          <w:rFonts w:hint="eastAsia" w:ascii="宋体" w:hAnsi="宋体" w:eastAsia="宋体" w:cs="宋体"/>
          <w:color w:val="0000ff"/>
          <w:sz w:val="24"/>
          <w:szCs w:val="24"/>
          <w:highlight w:val="none"/>
          <w:shd w:val="clear" w:color="auto" w:fill="ffffff"/>
          <w:lang w:bidi="ar"/>
        </w:rPr>
        <w:t xml:space="preserve">分</w:t>
      </w:r>
      <w:r>
        <w:rPr>
          <w:rFonts w:hint="eastAsia" w:ascii="宋体" w:hAnsi="宋体" w:eastAsia="宋体" w:cs="宋体"/>
          <w:color w:val="auto"/>
          <w:sz w:val="24"/>
          <w:szCs w:val="24"/>
          <w:highlight w:val="none"/>
          <w:shd w:val="clear" w:color="auto" w:fill="ffffff"/>
          <w:lang w:bidi="ar"/>
        </w:rPr>
        <w:t xml:space="preserve">（北京时间）</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4、开标地点：网上不见面开标大厅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0"/>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val="0"/>
          <w:bCs w:val="0"/>
          <w:color w:val="auto"/>
          <w:sz w:val="24"/>
          <w:szCs w:val="24"/>
          <w:highlight w:val="none"/>
          <w:shd w:val="clear" w:color="auto" w:fill="ffffff"/>
          <w:lang w:val="en-US" w:eastAsia="zh-CN" w:bidi="ar"/>
        </w:rPr>
        <w:t xml:space="preserve">3、</w:t>
      </w:r>
      <w:r>
        <w:rPr>
          <w:rFonts w:hint="eastAsia" w:ascii="宋体" w:hAnsi="宋体" w:eastAsia="宋体" w:cs="宋体"/>
          <w:color w:val="auto"/>
          <w:sz w:val="24"/>
          <w:szCs w:val="24"/>
          <w:highlight w:val="none"/>
          <w:shd w:val="clear" w:color="auto" w:fill="ffffff"/>
          <w:lang w:val="en-US" w:eastAsia="zh-CN" w:bidi="ar"/>
        </w:rPr>
        <w:t xml:space="preserve">本项目采用不见面开标，投标人开标时无需到开标现场进行解密，采取网上开标大厅解密电子投标文件，投标人远程解密要求如下：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3）投标截止时间后根据系统提示解密电子投标文件。</w:t>
      </w:r>
      <w:r>
        <w:rPr>
          <w:rFonts w:hint="eastAsia" w:ascii="宋体" w:hAnsi="宋体" w:eastAsia="宋体" w:cs="宋体"/>
          <w:b/>
          <w:bCs/>
          <w:color w:val="auto"/>
          <w:sz w:val="24"/>
          <w:szCs w:val="24"/>
          <w:highlight w:val="none"/>
          <w:shd w:val="clear" w:color="auto" w:fill="ffffff"/>
          <w:lang w:bidi="ar"/>
        </w:rPr>
        <w:t xml:space="preserve">解密时间为 15 分钟</w:t>
      </w:r>
      <w:r>
        <w:rPr>
          <w:rFonts w:hint="eastAsia" w:ascii="宋体" w:hAnsi="宋体" w:eastAsia="宋体" w:cs="宋体"/>
          <w:color w:val="auto"/>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val="en-US" w:eastAsia="zh-CN" w:bidi="ar"/>
        </w:rPr>
        <w:t xml:space="preserve">4</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b/>
          <w:bCs/>
          <w:color w:val="auto"/>
          <w:sz w:val="24"/>
          <w:szCs w:val="24"/>
          <w:highlight w:val="none"/>
          <w:shd w:val="clear" w:color="auto" w:fill="ffffff"/>
          <w:lang w:bidi="ar"/>
        </w:rPr>
        <w:t xml:space="preserve">有关苏采云系统驱动安装</w:t>
      </w:r>
      <w:r>
        <w:rPr>
          <w:rFonts w:hint="eastAsia" w:ascii="宋体" w:hAnsi="宋体" w:eastAsia="宋体" w:cs="宋体"/>
          <w:color w:val="auto"/>
          <w:sz w:val="24"/>
          <w:szCs w:val="24"/>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 xml:space="preserve">政务CA、方正签章控件驱动安装包及安装说明</w:t>
      </w:r>
      <w:r>
        <w:rPr>
          <w:rFonts w:hint="eastAsia" w:ascii="宋体" w:hAnsi="宋体" w:eastAsia="宋体" w:cs="宋体"/>
          <w:color w:val="auto"/>
          <w:sz w:val="24"/>
          <w:szCs w:val="24"/>
          <w:highlight w:val="none"/>
          <w:shd w:val="clear" w:color="auto" w:fill="ffffff"/>
          <w:lang w:bidi="ar"/>
        </w:rPr>
        <w:t xml:space="preserve">”文件，按要求安装驱动。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val="en-US" w:eastAsia="zh-CN" w:bidi="ar"/>
        </w:rPr>
        <w:t xml:space="preserve">5</w:t>
      </w:r>
      <w:r>
        <w:rPr>
          <w:rFonts w:hint="eastAsia" w:ascii="宋体" w:hAnsi="宋体" w:eastAsia="宋体" w:cs="宋体"/>
          <w:color w:val="auto"/>
          <w:sz w:val="24"/>
          <w:szCs w:val="24"/>
          <w:highlight w:val="none"/>
          <w:shd w:val="clear" w:color="auto" w:fill="ffffff"/>
          <w:lang w:bidi="ar"/>
        </w:rPr>
        <w:t xml:space="preserve">、有关供应商注册、报名、下载电子招标文件、制作上传电子投标文件、不见面开标及其他注意事项登录苏州政府采购网，在“下载中心”栏目下载“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 xml:space="preserve">苏采云系统供应商操作手册</w:t>
      </w:r>
      <w:r>
        <w:rPr>
          <w:rFonts w:hint="eastAsia" w:ascii="宋体" w:hAnsi="宋体" w:eastAsia="宋体" w:cs="宋体"/>
          <w:color w:val="auto"/>
          <w:sz w:val="24"/>
          <w:szCs w:val="24"/>
          <w:highlight w:val="none"/>
          <w:shd w:val="clear" w:color="auto" w:fill="ffffff"/>
          <w:lang w:bidi="ar"/>
        </w:rPr>
        <w:t xml:space="preserve">”查阅。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val="en-US" w:eastAsia="zh-CN" w:bidi="ar"/>
        </w:rPr>
        <w:t xml:space="preserve">6</w:t>
      </w:r>
      <w:r>
        <w:rPr>
          <w:rFonts w:hint="eastAsia" w:ascii="宋体" w:hAnsi="宋体" w:eastAsia="宋体" w:cs="宋体"/>
          <w:color w:val="auto"/>
          <w:sz w:val="24"/>
          <w:szCs w:val="24"/>
          <w:highlight w:val="none"/>
          <w:shd w:val="clear" w:color="auto" w:fill="ffffff"/>
          <w:lang w:bidi="ar"/>
        </w:rPr>
        <w:t xml:space="preserve">、有关办理CA数字申领及电子签章事项，登录苏州政府采购网，点击页面底部苏采云图标，进入苏采云政府采购一体化平台，下载“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 xml:space="preserve">新CA办理指南</w:t>
      </w:r>
      <w:r>
        <w:rPr>
          <w:rFonts w:hint="eastAsia" w:ascii="宋体" w:hAnsi="宋体" w:eastAsia="宋体" w:cs="宋体"/>
          <w:color w:val="auto"/>
          <w:sz w:val="24"/>
          <w:szCs w:val="24"/>
          <w:highlight w:val="none"/>
          <w:shd w:val="clear" w:color="auto" w:fill="ffffff"/>
          <w:lang w:bidi="ar"/>
        </w:rPr>
        <w:t xml:space="preserve">”文件查阅。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7、代理服务费：根据省厅《关于进一步规范政府采购活动相关费用管理的通知》（苏财规〔2026〕1号）相关要求，本次招标项目代理服务费由采购人支付。本项目代理服务费金额为柒万叁仟玖佰陆拾元整（73960.00元）。</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8、有关电子投标制作技术疑问，请咨询苏采云软件公司客服：18261002950、0512-69820854、0519-86722802</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9、政府采购监督电话：0512-53512539</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10、本次招标投标保证金：本项目无须缴纳投标保证金。</w:t>
      </w:r>
      <w:r/>
    </w:p>
    <w:p>
      <w:pPr>
        <w:ind w:firstLine="480"/>
        <w:jc w:val="left"/>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11、政府采购信用融资政策：中标供应商可凭政府采购合同办理融资贷款，详情请见江苏政府采购网“政采贷”专栏。</w:t>
      </w:r>
      <w:r>
        <w:rPr>
          <w:rFonts w:hint="eastAsia" w:ascii="宋体" w:hAnsi="宋体" w:eastAsia="宋体" w:cs="宋体"/>
          <w:color w:val="auto"/>
          <w:sz w:val="24"/>
          <w:szCs w:val="24"/>
          <w:highlight w:val="none"/>
          <w:shd w:val="clear" w:color="auto" w:fill="ffffff"/>
          <w:lang w:val="en-US" w:eastAsia="zh-CN" w:bidi="ar"/>
        </w:rPr>
        <w:br/>
      </w:r>
      <w:r>
        <w:rPr>
          <w:rFonts w:hint="eastAsia" w:ascii="宋体" w:hAnsi="宋体" w:eastAsia="宋体" w:cs="宋体"/>
          <w:color w:val="auto"/>
          <w:sz w:val="24"/>
          <w:szCs w:val="24"/>
          <w:highlight w:val="none"/>
          <w:shd w:val="clear" w:color="auto" w:fill="ffffff"/>
          <w:lang w:val="en-US" w:eastAsia="zh-CN" w:bidi="ar"/>
        </w:rPr>
        <w:t xml:space="preserve">    12、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shd w:val="clear" w:color="auto" w:fill="ffffff"/>
          <w:lang w:bidi="ar"/>
        </w:rPr>
        <w:t xml:space="preserve">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江苏省太仓高新技术产业开发区管理委员会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地址</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rPr>
        <w:t xml:space="preserve">江苏省苏州市太仓市上海东路88号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 xml:space="preserve">联系人</w:t>
      </w:r>
      <w:r>
        <w:rPr>
          <w:rFonts w:hint="eastAsia" w:ascii="宋体" w:hAnsi="宋体" w:eastAsia="宋体" w:cs="宋体"/>
          <w:color w:val="auto"/>
          <w:sz w:val="24"/>
          <w:szCs w:val="24"/>
          <w:highlight w:val="none"/>
          <w:shd w:val="clear" w:color="auto" w:fill="ffffff"/>
          <w:lang w:val="en-US" w:eastAsia="zh-CN" w:bidi="ar"/>
        </w:rPr>
        <w:t xml:space="preserve">：赵祥珍</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eastAsia="zh-CN" w:bidi="ar"/>
        </w:rPr>
        <w:t xml:space="preserve">联系电话：0512-5359</w:t>
      </w:r>
      <w:r>
        <w:rPr>
          <w:rFonts w:hint="eastAsia" w:ascii="宋体" w:hAnsi="宋体" w:cs="宋体"/>
          <w:color w:val="auto"/>
          <w:sz w:val="24"/>
          <w:szCs w:val="24"/>
          <w:highlight w:val="none"/>
          <w:shd w:val="clear" w:color="auto" w:fill="ffffff"/>
          <w:lang w:val="en-US" w:eastAsia="zh-CN" w:bidi="ar"/>
        </w:rPr>
        <w:t xml:space="preserve">50</w:t>
      </w:r>
      <w:r>
        <w:rPr>
          <w:rFonts w:hint="eastAsia" w:ascii="宋体" w:hAnsi="宋体" w:eastAsia="宋体" w:cs="宋体"/>
          <w:color w:val="auto"/>
          <w:sz w:val="24"/>
          <w:szCs w:val="24"/>
          <w:highlight w:val="none"/>
          <w:shd w:val="clear" w:color="auto" w:fill="ffffff"/>
          <w:lang w:eastAsia="zh-CN" w:bidi="ar"/>
        </w:rPr>
        <w:t xml:space="preserve">12</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苏州星宇测绘科技有限公司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地</w:t>
      </w:r>
      <w:r>
        <w:rPr>
          <w:rFonts w:hint="eastAsia" w:ascii="宋体" w:hAnsi="宋体" w:eastAsia="宋体" w:cs="宋体"/>
          <w:color w:val="auto"/>
          <w:sz w:val="24"/>
          <w:szCs w:val="24"/>
          <w:highlight w:val="none"/>
          <w:shd w:val="clear" w:color="auto" w:fill="ffffff"/>
          <w:lang w:eastAsia="zh-CN" w:bidi="ar"/>
        </w:rPr>
        <w:t xml:space="preserve">址：</w:t>
      </w:r>
      <w:r>
        <w:rPr>
          <w:rFonts w:hint="eastAsia" w:ascii="宋体" w:hAnsi="宋体" w:eastAsia="宋体" w:cs="宋体"/>
          <w:color w:val="auto"/>
          <w:sz w:val="24"/>
          <w:szCs w:val="24"/>
          <w:highlight w:val="none"/>
          <w:shd w:val="clear" w:color="auto" w:fill="ffffff"/>
          <w:lang w:val="en-US" w:eastAsia="zh-CN" w:bidi="ar"/>
        </w:rPr>
        <w:t xml:space="preserve">太仓市娄东街道常胜北路16号4楼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联系人：</w:t>
      </w:r>
      <w:r>
        <w:rPr>
          <w:rFonts w:hint="eastAsia" w:ascii="宋体" w:hAnsi="宋体" w:cs="宋体"/>
          <w:color w:val="auto"/>
          <w:sz w:val="24"/>
          <w:szCs w:val="24"/>
          <w:highlight w:val="none"/>
          <w:shd w:val="clear" w:color="auto" w:fill="ffffff"/>
          <w:lang w:val="en-US" w:eastAsia="zh-CN" w:bidi="ar"/>
        </w:rPr>
        <w:t xml:space="preserve">王姝婷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18352390828</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项目联系人：</w:t>
      </w:r>
      <w:r>
        <w:rPr>
          <w:rFonts w:hint="eastAsia" w:ascii="宋体" w:hAnsi="宋体" w:cs="宋体"/>
          <w:color w:val="auto"/>
          <w:sz w:val="24"/>
          <w:szCs w:val="24"/>
          <w:highlight w:val="none"/>
          <w:shd w:val="clear" w:color="auto" w:fill="ffffff"/>
          <w:lang w:eastAsia="zh-CN" w:bidi="ar"/>
        </w:rPr>
        <w:t xml:space="preserve">王姝婷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18352390828</w:t>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ind w:firstLine="0"/>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pStyle w:val="1141"/>
        <w:ind w:left="0" w:firstLine="0"/>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r>
      <w:r/>
    </w:p>
    <w:p>
      <w:pPr>
        <w:jc w:val="both"/>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1372"/>
        <w:jc w:val="center"/>
        <w:rPr>
          <w:rFonts w:hint="eastAsia"/>
          <w:b/>
          <w:color w:val="auto"/>
          <w:sz w:val="30"/>
          <w:szCs w:val="30"/>
          <w:highlight w:val="none"/>
        </w:rPr>
        <w:outlineLvl w:val="0"/>
      </w:pPr>
      <w:r/>
      <w:bookmarkStart w:id="16" w:name="_Toc129003583"/>
      <w:r>
        <w:rPr>
          <w:b/>
          <w:color w:val="auto"/>
          <w:sz w:val="30"/>
          <w:szCs w:val="30"/>
          <w:highlight w:val="none"/>
        </w:rPr>
        <w:t xml:space="preserve">第</w:t>
      </w:r>
      <w:r>
        <w:rPr>
          <w:rFonts w:hint="eastAsia"/>
          <w:b/>
          <w:color w:val="auto"/>
          <w:sz w:val="30"/>
          <w:szCs w:val="30"/>
          <w:highlight w:val="none"/>
        </w:rPr>
        <w:t xml:space="preserve">二部分</w:t>
      </w:r>
      <w:r>
        <w:rPr>
          <w:b/>
          <w:color w:val="auto"/>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1．说明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苏州星宇测绘科技有限公司</w:t>
      </w:r>
      <w:r>
        <w:rPr>
          <w:rFonts w:hint="eastAsia" w:ascii="宋体" w:hAnsi="宋体"/>
          <w:color w:val="auto"/>
          <w:sz w:val="24"/>
          <w:highlight w:val="none"/>
        </w:rPr>
        <w:t xml:space="preserve">组织的采购活动。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本次采购活动及因本次采购产生的合同受中国法律制约和保护。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本招标文件的解释权属于</w:t>
      </w:r>
      <w:r>
        <w:rPr>
          <w:rFonts w:hint="eastAsia" w:ascii="宋体" w:hAnsi="宋体"/>
          <w:color w:val="auto"/>
          <w:sz w:val="24"/>
          <w:highlight w:val="none"/>
          <w:lang w:eastAsia="zh-CN"/>
        </w:rPr>
        <w:t xml:space="preserve">苏州星宇测绘科技有限公司</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2．词语释义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2.3投标人（供应商）：指响应招标、参加投标竞争的法人、其他组织或者自然人。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6甲方（采购人）：合同中明确规定的实际购买货物和服务的法人或其他组织和自然人。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7乙方（供应商）：合同中规定的向采购人提供货物和服务的法人或其他组织和自然人。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w:t>
      </w:r>
      <w:r>
        <w:rPr>
          <w:rFonts w:ascii="宋体" w:hAnsi="宋体"/>
          <w:color w:val="auto"/>
          <w:sz w:val="24"/>
          <w:highlight w:val="none"/>
        </w:rPr>
        <w:t xml:space="preserve">货物</w:t>
      </w:r>
      <w:r>
        <w:rPr>
          <w:rFonts w:hint="eastAsia" w:ascii="宋体" w:hAnsi="宋体"/>
          <w:color w:val="auto"/>
          <w:sz w:val="24"/>
          <w:highlight w:val="none"/>
        </w:rPr>
        <w:t xml:space="preserve">：</w:t>
      </w:r>
      <w:r>
        <w:rPr>
          <w:rFonts w:ascii="宋体" w:hAnsi="宋体"/>
          <w:color w:val="auto"/>
          <w:sz w:val="24"/>
          <w:highlight w:val="none"/>
        </w:rPr>
        <w:t xml:space="preserve">系指</w:t>
      </w:r>
      <w:r>
        <w:rPr>
          <w:rFonts w:hint="eastAsia" w:ascii="宋体" w:hAnsi="宋体"/>
          <w:color w:val="auto"/>
          <w:sz w:val="24"/>
          <w:highlight w:val="none"/>
        </w:rPr>
        <w:t xml:space="preserve">乙</w:t>
      </w:r>
      <w:r>
        <w:rPr>
          <w:rFonts w:ascii="宋体" w:hAnsi="宋体"/>
          <w:color w:val="auto"/>
          <w:sz w:val="24"/>
          <w:highlight w:val="none"/>
        </w:rPr>
        <w:t xml:space="preserve">方按招标文件规定，</w:t>
      </w:r>
      <w:r>
        <w:rPr>
          <w:rFonts w:hint="eastAsia" w:ascii="宋体" w:hAnsi="宋体"/>
          <w:color w:val="auto"/>
          <w:sz w:val="24"/>
          <w:highlight w:val="none"/>
        </w:rPr>
        <w:t xml:space="preserve">应</w:t>
      </w:r>
      <w:r>
        <w:rPr>
          <w:rFonts w:ascii="宋体" w:hAnsi="宋体"/>
          <w:color w:val="auto"/>
          <w:sz w:val="24"/>
          <w:highlight w:val="none"/>
        </w:rPr>
        <w:t xml:space="preserve">向</w:t>
      </w:r>
      <w:r>
        <w:rPr>
          <w:rFonts w:hint="eastAsia" w:ascii="宋体" w:hAnsi="宋体"/>
          <w:color w:val="auto"/>
          <w:sz w:val="24"/>
          <w:highlight w:val="none"/>
        </w:rPr>
        <w:t xml:space="preserve">甲</w:t>
      </w:r>
      <w:r>
        <w:rPr>
          <w:rFonts w:ascii="宋体" w:hAnsi="宋体"/>
          <w:color w:val="auto"/>
          <w:sz w:val="24"/>
          <w:highlight w:val="none"/>
        </w:rPr>
        <w:t xml:space="preserve">方提供的一切设备、备品、备件、工具、手册及其它有关技术资料和材料。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服务</w:t>
      </w:r>
      <w:r>
        <w:rPr>
          <w:rFonts w:hint="eastAsia" w:ascii="宋体" w:hAnsi="宋体"/>
          <w:color w:val="auto"/>
          <w:sz w:val="24"/>
          <w:highlight w:val="none"/>
        </w:rPr>
        <w:t xml:space="preserve">：</w:t>
      </w:r>
      <w:r>
        <w:rPr>
          <w:rFonts w:ascii="宋体" w:hAnsi="宋体"/>
          <w:color w:val="auto"/>
          <w:sz w:val="24"/>
          <w:highlight w:val="none"/>
        </w:rPr>
        <w:t xml:space="preserve">系指本次招标文件规定</w:t>
      </w:r>
      <w:r>
        <w:rPr>
          <w:rFonts w:hint="eastAsia" w:ascii="宋体" w:hAnsi="宋体"/>
          <w:color w:val="auto"/>
          <w:sz w:val="24"/>
          <w:highlight w:val="none"/>
        </w:rPr>
        <w:t xml:space="preserve">乙</w:t>
      </w:r>
      <w:r>
        <w:rPr>
          <w:rFonts w:ascii="宋体" w:hAnsi="宋体"/>
          <w:color w:val="auto"/>
          <w:sz w:val="24"/>
          <w:highlight w:val="none"/>
        </w:rPr>
        <w:t xml:space="preserve">方</w:t>
      </w:r>
      <w:r>
        <w:rPr>
          <w:rFonts w:hint="eastAsia" w:ascii="宋体" w:hAnsi="宋体"/>
          <w:color w:val="auto"/>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2.11天：日历日。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2.12时间：除特别说明，均指北京时间。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2.13交货地点：合同中明确约定的乙方提交的货物和履行服务最终地点。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2.14合同价款：根据合同规定，乙方在正确地履行合同义务后甲方应支付乙方的价款。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2.15不可抗力：不能预见、不能避免并且不能克服的客观情况。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2.17书面形式：指书面文字、合同书、信件等可有形地表现所载内容的形式。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2.18进口产品：通过中国海关报关验放进入中国境内且产自关境外的产品。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2.19核心产品：根据本项目技术构成、产品价格比重等合理确定的产品。</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合格投标人的一般条件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3.1符合《中华人民共和国政府采购法》第二十二条第一款之规定；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3.2满足本文件实质性条款的规定。</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4.合格投标人的特殊条件</w:t>
      </w:r>
      <w:r/>
    </w:p>
    <w:p>
      <w:pPr>
        <w:ind w:firstLine="480"/>
        <w:spacing w:line="360" w:lineRule="auto"/>
        <w:rPr>
          <w:rFonts w:ascii="宋体" w:hAnsi="宋体"/>
          <w:color w:val="auto"/>
          <w:sz w:val="24"/>
          <w:highlight w:val="none"/>
        </w:rPr>
      </w:pPr>
      <w:r/>
      <w:bookmarkStart w:id="17" w:name="_Toc35525655"/>
      <w:r>
        <w:rPr>
          <w:rFonts w:hint="eastAsia" w:ascii="宋体" w:hAnsi="宋体"/>
          <w:color w:val="auto"/>
          <w:sz w:val="24"/>
          <w:highlight w:val="none"/>
        </w:rPr>
        <w:t xml:space="preserve">见招标公告。</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5.投标人代表</w:t>
      </w:r>
      <w:bookmarkEnd w:id="17"/>
      <w:r/>
      <w:r/>
    </w:p>
    <w:p>
      <w:pPr>
        <w:ind w:firstLine="480"/>
        <w:spacing w:line="360" w:lineRule="auto"/>
        <w:rPr>
          <w:rFonts w:ascii="宋体" w:hAnsi="宋体"/>
          <w:color w:val="auto"/>
          <w:sz w:val="24"/>
          <w:highlight w:val="none"/>
        </w:rPr>
      </w:pPr>
      <w:r/>
      <w:bookmarkStart w:id="18" w:name="_Toc35525656"/>
      <w:r>
        <w:rPr>
          <w:rFonts w:hint="eastAsia" w:ascii="宋体" w:hAnsi="宋体"/>
          <w:color w:val="auto"/>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color w:val="auto"/>
          <w:sz w:val="24"/>
          <w:highlight w:val="none"/>
        </w:rPr>
      </w:pPr>
      <w:r/>
      <w:bookmarkStart w:id="19" w:name="_Toc35525657"/>
      <w:r>
        <w:rPr>
          <w:rFonts w:hint="eastAsia" w:ascii="宋体" w:hAnsi="宋体"/>
          <w:b/>
          <w:color w:val="auto"/>
          <w:sz w:val="24"/>
          <w:highlight w:val="none"/>
        </w:rPr>
        <w:t xml:space="preserve">6.投标费用</w:t>
      </w:r>
      <w:bookmarkEnd w:id="19"/>
      <w:r/>
      <w:r/>
    </w:p>
    <w:p>
      <w:pPr>
        <w:ind w:firstLine="480"/>
        <w:spacing w:line="360" w:lineRule="auto"/>
        <w:rPr>
          <w:rFonts w:ascii="宋体" w:hAnsi="宋体"/>
          <w:color w:val="auto"/>
          <w:sz w:val="24"/>
          <w:highlight w:val="none"/>
        </w:rPr>
      </w:pPr>
      <w:r/>
      <w:bookmarkStart w:id="20" w:name="_Toc35525658"/>
      <w:r>
        <w:rPr>
          <w:rFonts w:hint="eastAsia" w:ascii="宋体" w:hAnsi="宋体"/>
          <w:color w:val="auto"/>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7.联合体投标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本项目不接收联合体投标。</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w:t>
      </w:r>
      <w:r>
        <w:rPr>
          <w:rFonts w:hint="eastAsia" w:ascii="宋体" w:hAnsi="宋体"/>
          <w:b/>
          <w:color w:val="auto"/>
          <w:sz w:val="24"/>
          <w:highlight w:val="none"/>
        </w:rPr>
        <w:t xml:space="preserve">招标文件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w:t>
      </w:r>
      <w:r>
        <w:rPr>
          <w:rFonts w:hint="eastAsia" w:ascii="宋体" w:hAnsi="宋体"/>
          <w:color w:val="auto"/>
          <w:sz w:val="24"/>
          <w:highlight w:val="none"/>
        </w:rPr>
        <w:t xml:space="preserve">招标文件</w:t>
      </w:r>
      <w:r>
        <w:rPr>
          <w:rFonts w:ascii="宋体" w:hAnsi="宋体"/>
          <w:color w:val="auto"/>
          <w:sz w:val="24"/>
          <w:highlight w:val="none"/>
        </w:rPr>
        <w:t xml:space="preserve">由</w:t>
      </w:r>
      <w:r>
        <w:rPr>
          <w:rFonts w:hint="eastAsia" w:ascii="宋体" w:hAnsi="宋体"/>
          <w:color w:val="auto"/>
          <w:sz w:val="24"/>
          <w:highlight w:val="none"/>
        </w:rPr>
        <w:t xml:space="preserve">招标文件总</w:t>
      </w:r>
      <w:r>
        <w:rPr>
          <w:rFonts w:ascii="宋体" w:hAnsi="宋体"/>
          <w:color w:val="auto"/>
          <w:sz w:val="24"/>
          <w:highlight w:val="none"/>
        </w:rPr>
        <w:t xml:space="preserve">目录所列内容组成，投标人获取</w:t>
      </w:r>
      <w:r>
        <w:rPr>
          <w:rFonts w:hint="eastAsia" w:ascii="宋体" w:hAnsi="宋体"/>
          <w:color w:val="auto"/>
          <w:sz w:val="24"/>
          <w:highlight w:val="none"/>
        </w:rPr>
        <w:t xml:space="preserve">招标文件</w:t>
      </w:r>
      <w:r>
        <w:rPr>
          <w:rFonts w:ascii="宋体" w:hAnsi="宋体"/>
          <w:color w:val="auto"/>
          <w:sz w:val="24"/>
          <w:highlight w:val="none"/>
        </w:rPr>
        <w:t xml:space="preserve">后，应仔细检查</w:t>
      </w:r>
      <w:r>
        <w:rPr>
          <w:rFonts w:hint="eastAsia" w:ascii="宋体" w:hAnsi="宋体"/>
          <w:color w:val="auto"/>
          <w:sz w:val="24"/>
          <w:highlight w:val="none"/>
        </w:rPr>
        <w:t xml:space="preserve">招标文件</w:t>
      </w:r>
      <w:r>
        <w:rPr>
          <w:rFonts w:ascii="宋体" w:hAnsi="宋体"/>
          <w:color w:val="auto"/>
          <w:sz w:val="24"/>
          <w:highlight w:val="none"/>
        </w:rPr>
        <w:t xml:space="preserve">的所有内容。投标人同时应认真审阅</w:t>
      </w:r>
      <w:r>
        <w:rPr>
          <w:rFonts w:hint="eastAsia" w:ascii="宋体" w:hAnsi="宋体"/>
          <w:color w:val="auto"/>
          <w:sz w:val="24"/>
          <w:highlight w:val="none"/>
        </w:rPr>
        <w:t xml:space="preserve">招标文件</w:t>
      </w:r>
      <w:r>
        <w:rPr>
          <w:rFonts w:ascii="宋体" w:hAnsi="宋体"/>
          <w:color w:val="auto"/>
          <w:sz w:val="24"/>
          <w:highlight w:val="none"/>
        </w:rPr>
        <w:t xml:space="preserve">中所有的事项、格式、条款和规范要求等，若投标人的投标文件没有按</w:t>
      </w:r>
      <w:r>
        <w:rPr>
          <w:rFonts w:hint="eastAsia" w:ascii="宋体" w:hAnsi="宋体"/>
          <w:color w:val="auto"/>
          <w:sz w:val="24"/>
          <w:highlight w:val="none"/>
        </w:rPr>
        <w:t xml:space="preserve">招标文件</w:t>
      </w:r>
      <w:r>
        <w:rPr>
          <w:rFonts w:ascii="宋体" w:hAnsi="宋体"/>
          <w:color w:val="auto"/>
          <w:sz w:val="24"/>
          <w:highlight w:val="none"/>
        </w:rPr>
        <w:t xml:space="preserve">要求提交全部资料，或投标文件没有对</w:t>
      </w:r>
      <w:r>
        <w:rPr>
          <w:rFonts w:hint="eastAsia" w:ascii="宋体" w:hAnsi="宋体"/>
          <w:color w:val="auto"/>
          <w:sz w:val="24"/>
          <w:highlight w:val="none"/>
        </w:rPr>
        <w:t xml:space="preserve">招标文件</w:t>
      </w:r>
      <w:r>
        <w:rPr>
          <w:rFonts w:ascii="宋体" w:hAnsi="宋体"/>
          <w:color w:val="auto"/>
          <w:sz w:val="24"/>
          <w:highlight w:val="none"/>
        </w:rPr>
        <w:t xml:space="preserve">做出实质性响应，其风险由投标人自行承担，并根据有关条款规定，该投标有可能被拒绝。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8.2招标文件</w:t>
      </w:r>
      <w:r>
        <w:rPr>
          <w:rFonts w:ascii="宋体" w:hAnsi="宋体"/>
          <w:color w:val="auto"/>
          <w:sz w:val="24"/>
          <w:highlight w:val="none"/>
        </w:rPr>
        <w:t xml:space="preserve">及其</w:t>
      </w:r>
      <w:r>
        <w:rPr>
          <w:rFonts w:hint="eastAsia" w:ascii="宋体" w:hAnsi="宋体"/>
          <w:color w:val="auto"/>
          <w:sz w:val="24"/>
          <w:highlight w:val="none"/>
        </w:rPr>
        <w:t xml:space="preserve">补充文件（包括更正公告）不是直接从采购人或采购代理机构处获得的</w:t>
      </w:r>
      <w:r>
        <w:rPr>
          <w:rFonts w:ascii="宋体" w:hAnsi="宋体"/>
          <w:color w:val="auto"/>
          <w:sz w:val="24"/>
          <w:highlight w:val="none"/>
        </w:rPr>
        <w:t xml:space="preserve">，</w:t>
      </w:r>
      <w:r>
        <w:rPr>
          <w:rFonts w:hint="eastAsia" w:ascii="宋体" w:hAnsi="宋体"/>
          <w:color w:val="auto"/>
          <w:sz w:val="24"/>
          <w:highlight w:val="none"/>
        </w:rPr>
        <w:t xml:space="preserve">采购人或采购代理机构</w:t>
      </w:r>
      <w:r>
        <w:rPr>
          <w:rFonts w:ascii="宋体" w:hAnsi="宋体"/>
          <w:color w:val="auto"/>
          <w:sz w:val="24"/>
          <w:highlight w:val="none"/>
        </w:rPr>
        <w:t xml:space="preserve">对</w:t>
      </w:r>
      <w:r>
        <w:rPr>
          <w:rFonts w:hint="eastAsia" w:ascii="宋体" w:hAnsi="宋体"/>
          <w:color w:val="auto"/>
          <w:sz w:val="24"/>
          <w:highlight w:val="none"/>
        </w:rPr>
        <w:t xml:space="preserve">招标文件</w:t>
      </w:r>
      <w:r>
        <w:rPr>
          <w:rFonts w:ascii="宋体" w:hAnsi="宋体"/>
          <w:color w:val="auto"/>
          <w:sz w:val="24"/>
          <w:highlight w:val="none"/>
        </w:rPr>
        <w:t xml:space="preserve">及其补遗的真实性、完整性不承担任何责任</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10.招标文件的修改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10.1采购代理机构无论出于自己的考虑，还是出于对投标人提问的澄清，均可对已发出的招标文件用</w:t>
      </w:r>
      <w:r>
        <w:rPr>
          <w:rFonts w:ascii="宋体" w:hAnsi="宋体"/>
          <w:color w:val="auto"/>
          <w:sz w:val="24"/>
          <w:highlight w:val="none"/>
          <w:lang w:val="zh-CN"/>
        </w:rPr>
        <w:t xml:space="preserve">补充文件的方式</w:t>
      </w:r>
      <w:r>
        <w:rPr>
          <w:rFonts w:hint="eastAsia" w:ascii="宋体" w:hAnsi="宋体"/>
          <w:color w:val="auto"/>
          <w:sz w:val="24"/>
          <w:highlight w:val="none"/>
        </w:rPr>
        <w:t xml:space="preserve">进行必要澄清或者修改。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11.质疑</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11.3上述应知其权益受到损害之日是指：</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 xml:space="preserve">供应商的姓名或者名称、地址、邮编、联系人及联系电话；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 xml:space="preserve">质疑项目的名称、编号；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 xml:space="preserve">具体、明确的质疑事项和与质疑事项相关的请求；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 xml:space="preserve">事实依据；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 xml:space="preserve">必要的法律依据；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 xml:space="preserve">提出质疑的日期。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r/>
      <w:bookmarkEnd w:id="21"/>
      <w:r>
        <w:rPr>
          <w:rFonts w:hint="eastAsia" w:ascii="宋体" w:hAnsi="宋体"/>
          <w:color w:val="auto"/>
          <w:sz w:val="24"/>
          <w:highlight w:val="none"/>
        </w:rPr>
        <w:t xml:space="preserve">要求，质疑函范本在</w:t>
      </w:r>
      <w:r>
        <w:rPr>
          <w:rFonts w:ascii="宋体" w:hAnsi="宋体"/>
          <w:color w:val="auto"/>
          <w:sz w:val="24"/>
          <w:highlight w:val="none"/>
        </w:rPr>
        <w:t xml:space="preserve">财政</w:t>
      </w:r>
      <w:r>
        <w:rPr>
          <w:rFonts w:hint="eastAsia" w:ascii="宋体" w:hAnsi="宋体"/>
          <w:color w:val="auto"/>
          <w:sz w:val="24"/>
          <w:highlight w:val="none"/>
        </w:rPr>
        <w:t xml:space="preserve">部官网上提供下载。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 提交质疑函同时应当附如下证明材料：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11.6.1对采购文件提出质疑的供应商提供参加本项目的“交易文件下载确认单”；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11.6.2质疑供应商的营业执照扫描件加盖单位公章；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11.6.3质疑供应商法定代表人身份证复印件加盖单位公章；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11.9 接受质疑函联系方式见采购公告联系事项。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 投标文件说明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、提示与要求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13. 投标文件计量单位和使用文字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14. 知识产权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 投标文件的组成和顺序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15.1报价部分（详见投标文件格式）：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 xml:space="preserve">开标一览表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投标报价明细表。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 投标正文部分（包含资质证明和技术部分）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15.2.1资质证明文件部分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15.2.1.1关于资格文件的声明函（详见投标文件格式）；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15.2.1.2投标承诺函（详见投标文件格式）；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15.2.1.3投标单位营业执照、特定资格条件（若有）证明材料扫描件；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15.2.1.9投标人基本情况表（详见投标文件格式）；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15.2.1.10投标人法定代表人身份证扫描件；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15.2.1.11投标人法定代表人授权委托书原件（如有授权）（详见投标文件格式）；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15.2.1.12投标人授权代理人身份证扫描件（如有授权）；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15.2.2技术部分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商务要求偏离表（详见投标文件格式）；</w:t>
      </w:r>
      <w:r/>
    </w:p>
    <w:p>
      <w:p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15.2.2.3类似项目业绩一览表（详见投标文件格式）；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15.2.2.4拟派项目人员一览表（详见投标文件格式）；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15.2.2.5</w:t>
      </w:r>
      <w:r>
        <w:rPr>
          <w:rFonts w:hint="eastAsia" w:asciiTheme="minorEastAsia" w:hAnsiTheme="minorEastAsia" w:eastAsiaTheme="minorEastAsia"/>
          <w:color w:val="auto"/>
          <w:sz w:val="24"/>
          <w:szCs w:val="24"/>
          <w:highlight w:val="none"/>
        </w:rPr>
        <w:t xml:space="preserve">针对本项目的设备配备情况表</w:t>
      </w:r>
      <w:r>
        <w:rPr>
          <w:rFonts w:hint="eastAsia" w:ascii="宋体" w:hAnsi="宋体"/>
          <w:color w:val="auto"/>
          <w:sz w:val="24"/>
          <w:szCs w:val="24"/>
          <w:highlight w:val="none"/>
        </w:rPr>
        <w:t xml:space="preserve">（详见投标文件格式）；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15.2.2.6相关服务方案、措施、承诺等（请针对评分标准进行编制）；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15.2.2.7招标文件及评分标准中要求提供的其他相关材料；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15.2.2.8其他需投标人对本次投标的详细说明（投标人视各自的情况自行编制）；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color w:val="auto"/>
          <w:sz w:val="24"/>
          <w:highlight w:val="none"/>
        </w:rPr>
      </w:pPr>
      <w:r>
        <w:rPr>
          <w:rFonts w:hint="eastAsia" w:ascii="宋体" w:hAnsi="宋体"/>
          <w:b/>
          <w:color w:val="auto"/>
          <w:sz w:val="24"/>
          <w:highlight w:val="none"/>
        </w:rPr>
        <w:t xml:space="preserve">15.3投标文件由15.1、15.2款规定的内容共同组成。</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16. 投标文件编制要求   </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16.1</w:t>
      </w:r>
      <w:r>
        <w:rPr>
          <w:rFonts w:hint="eastAsia" w:ascii="宋体" w:hAnsi="宋体"/>
          <w:b/>
          <w:color w:val="auto"/>
          <w:sz w:val="24"/>
          <w:highlight w:val="none"/>
        </w:rPr>
        <w:t xml:space="preserve">电子投标文件编制要求：</w:t>
      </w:r>
      <w:r>
        <w:rPr>
          <w:rFonts w:hint="eastAsia" w:ascii="宋体" w:hAnsi="宋体"/>
          <w:color w:val="auto"/>
          <w:sz w:val="24"/>
          <w:highlight w:val="none"/>
        </w:rPr>
        <w:t xml:space="preserve">投标人应使用</w:t>
      </w:r>
      <w:r>
        <w:rPr>
          <w:rFonts w:hint="eastAsia" w:ascii="宋体" w:hAnsi="宋体"/>
          <w:b/>
          <w:color w:val="auto"/>
          <w:sz w:val="24"/>
          <w:highlight w:val="none"/>
        </w:rPr>
        <w:t xml:space="preserve">招标文件要求的</w:t>
      </w:r>
      <w:r>
        <w:rPr>
          <w:rFonts w:ascii="宋体" w:hAnsi="宋体"/>
          <w:b/>
          <w:color w:val="auto"/>
          <w:sz w:val="24"/>
          <w:highlight w:val="none"/>
        </w:rPr>
        <w:t xml:space="preserve">投标文件制作软件</w:t>
      </w:r>
      <w:r>
        <w:rPr>
          <w:rFonts w:hint="eastAsia" w:ascii="宋体" w:hAnsi="宋体"/>
          <w:b/>
          <w:color w:val="auto"/>
          <w:sz w:val="24"/>
          <w:highlight w:val="none"/>
        </w:rPr>
        <w:t xml:space="preserve">制作电子投标文件</w:t>
      </w:r>
      <w:r>
        <w:rPr>
          <w:rFonts w:hint="eastAsia" w:ascii="宋体" w:hAnsi="宋体"/>
          <w:color w:val="auto"/>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16.2中标后，中标供应商需向采购代理机构提供纸质投标文件</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17. 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17.5最</w:t>
      </w:r>
      <w:r>
        <w:rPr>
          <w:rFonts w:ascii="宋体" w:hAnsi="宋体"/>
          <w:color w:val="auto"/>
          <w:sz w:val="24"/>
          <w:highlight w:val="none"/>
        </w:rPr>
        <w:t xml:space="preserve">低的投标报价或最高的折扣比例是中标的重要条件，但不是中标的唯一条件。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18. 投标保证金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本项目无须缴纳投标保证金</w:t>
      </w:r>
      <w:r>
        <w:rPr>
          <w:rFonts w:hint="eastAsia" w:ascii="宋体" w:hAnsi="宋体"/>
          <w:b w:val="0"/>
          <w:bCs/>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19. 投标文件的有效期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19.1在本招标文件规定的</w:t>
      </w:r>
      <w:r>
        <w:rPr>
          <w:rFonts w:ascii="宋体" w:hAnsi="宋体"/>
          <w:color w:val="auto"/>
          <w:sz w:val="24"/>
          <w:highlight w:val="none"/>
        </w:rPr>
        <w:t xml:space="preserve">开标之日起</w:t>
      </w:r>
      <w:r>
        <w:rPr>
          <w:rFonts w:hint="eastAsia" w:ascii="宋体" w:hAnsi="宋体"/>
          <w:color w:val="auto"/>
          <w:sz w:val="24"/>
          <w:highlight w:val="none"/>
        </w:rPr>
        <w:t xml:space="preserve">九十</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0）天</w:t>
      </w:r>
      <w:r>
        <w:rPr>
          <w:rFonts w:hint="eastAsia" w:ascii="宋体" w:hAnsi="宋体"/>
          <w:color w:val="auto"/>
          <w:sz w:val="24"/>
          <w:highlight w:val="none"/>
        </w:rPr>
        <w:t xml:space="preserve">内，投标人所提交的投标文件应保持有效。</w:t>
      </w:r>
      <w:r>
        <w:rPr>
          <w:rFonts w:hint="eastAsia" w:ascii="宋体" w:hAnsi="宋体"/>
          <w:b/>
          <w:color w:val="auto"/>
          <w:sz w:val="24"/>
          <w:highlight w:val="none"/>
        </w:rPr>
        <w:t xml:space="preserve">有效期短于这个规定期限的投标文件，将被认定为未实质性响应招标文件要求。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五、 投标文件的提交、撤回和修改</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20. 投标文件的上传、提交</w:t>
      </w:r>
      <w:r/>
    </w:p>
    <w:p>
      <w:pPr>
        <w:ind w:firstLine="480"/>
        <w:jc w:val="left"/>
        <w:spacing w:line="360" w:lineRule="auto"/>
        <w:tabs>
          <w:tab w:val="left" w:pos="426" w:leader="none"/>
        </w:tabs>
        <w:rPr>
          <w:rFonts w:ascii="宋体" w:hAnsi="宋体"/>
          <w:b/>
          <w:color w:val="auto"/>
          <w:sz w:val="24"/>
          <w:highlight w:val="none"/>
        </w:rPr>
      </w:pPr>
      <w:r>
        <w:rPr>
          <w:rFonts w:hint="eastAsia" w:ascii="宋体" w:hAnsi="宋体"/>
          <w:color w:val="auto"/>
          <w:sz w:val="24"/>
          <w:highlight w:val="none"/>
        </w:rPr>
        <w:t xml:space="preserve">20.</w:t>
      </w:r>
      <w:r>
        <w:rPr>
          <w:rFonts w:hint="eastAsia" w:ascii="宋体" w:hAnsi="宋体"/>
          <w:b/>
          <w:color w:val="auto"/>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21. 投标截止时间</w:t>
      </w:r>
      <w:r/>
    </w:p>
    <w:p>
      <w:pPr>
        <w:ind w:firstLine="480"/>
        <w:jc w:val="left"/>
        <w:spacing w:line="360" w:lineRule="auto"/>
        <w:tabs>
          <w:tab w:val="left" w:pos="284" w:leader="none"/>
        </w:tabs>
        <w:rPr>
          <w:rFonts w:ascii="宋体" w:hAnsi="宋体"/>
          <w:b/>
          <w:color w:val="auto"/>
          <w:sz w:val="24"/>
          <w:highlight w:val="none"/>
        </w:rPr>
      </w:pPr>
      <w:r>
        <w:rPr>
          <w:rFonts w:hint="eastAsia" w:ascii="宋体" w:hAnsi="宋体"/>
          <w:color w:val="auto"/>
          <w:sz w:val="24"/>
          <w:highlight w:val="none"/>
        </w:rPr>
        <w:t xml:space="preserve">21.1</w:t>
      </w:r>
      <w:r>
        <w:rPr>
          <w:rFonts w:hint="eastAsia" w:ascii="宋体" w:hAnsi="宋体"/>
          <w:b/>
          <w:color w:val="auto"/>
          <w:sz w:val="24"/>
          <w:highlight w:val="none"/>
        </w:rPr>
        <w:t xml:space="preserve">电子投标文件必须按招标公告中规定的网上投标截止时间前提交</w:t>
      </w:r>
      <w:r>
        <w:rPr>
          <w:rFonts w:hint="eastAsia" w:ascii="宋体" w:hAnsi="宋体"/>
          <w:color w:val="auto"/>
          <w:sz w:val="24"/>
          <w:highlight w:val="none"/>
        </w:rPr>
        <w:t xml:space="preserve">，</w:t>
      </w:r>
      <w:r>
        <w:rPr>
          <w:rFonts w:hint="eastAsia" w:ascii="宋体" w:hAnsi="宋体"/>
          <w:b/>
          <w:color w:val="auto"/>
          <w:sz w:val="24"/>
          <w:highlight w:val="none"/>
        </w:rPr>
        <w:t xml:space="preserve">否则投标无效</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21.3在投标截止时间止采购代理机构收到的电子投标文件</w:t>
      </w:r>
      <w:r>
        <w:rPr>
          <w:rFonts w:hint="eastAsia" w:ascii="宋体" w:hAnsi="宋体"/>
          <w:b/>
          <w:color w:val="auto"/>
          <w:sz w:val="24"/>
          <w:highlight w:val="none"/>
        </w:rPr>
        <w:t xml:space="preserve">少于三份</w:t>
      </w:r>
      <w:r>
        <w:rPr>
          <w:rFonts w:hint="eastAsia" w:ascii="宋体" w:hAnsi="宋体"/>
          <w:color w:val="auto"/>
          <w:sz w:val="24"/>
          <w:highlight w:val="none"/>
        </w:rPr>
        <w:t xml:space="preserve">的，采购代理机构有权宣布本次招标失败。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22. 投标文件的修改和撤回</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22.1投标人在提交投标文件截止时间前，可对其投标文件进行撤回或修改。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ascii="宋体" w:hAnsi="宋体"/>
          <w:color w:val="auto"/>
          <w:sz w:val="24"/>
          <w:highlight w:val="none"/>
        </w:rPr>
        <w:t xml:space="preserve">开标后投标人不得撤回投标。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23. 开标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hint="eastAsia" w:ascii="宋体" w:hAnsi="宋体" w:cs="创艺简仿宋"/>
          <w:b/>
          <w:color w:val="auto"/>
          <w:sz w:val="24"/>
          <w:highlight w:val="none"/>
        </w:rPr>
        <w:t xml:space="preserve">参加开标的投标法定代表人或授权代理人须在项目开标前登录</w:t>
      </w:r>
      <w:r>
        <w:rPr>
          <w:rFonts w:hint="eastAsia" w:ascii="宋体" w:hAnsi="宋体" w:cs="创艺简仿宋"/>
          <w:b/>
          <w:color w:val="auto"/>
          <w:sz w:val="24"/>
          <w:highlight w:val="none"/>
          <w:lang w:val="en-US" w:eastAsia="zh-CN"/>
        </w:rPr>
        <w:t xml:space="preserve">苏采云</w:t>
      </w:r>
      <w:r>
        <w:rPr>
          <w:rFonts w:hint="eastAsia" w:ascii="宋体" w:hAnsi="宋体" w:cs="创艺简仿宋"/>
          <w:b/>
          <w:color w:val="auto"/>
          <w:sz w:val="24"/>
          <w:highlight w:val="none"/>
        </w:rPr>
        <w:t xml:space="preserve">不见面开标系统，进入网上开标大厅，做好相关准备工作。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23.3</w:t>
      </w:r>
      <w:r>
        <w:rPr>
          <w:rFonts w:hint="eastAsia" w:ascii="宋体" w:hAnsi="宋体" w:cs="创艺简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color w:val="auto"/>
          <w:sz w:val="24"/>
          <w:highlight w:val="none"/>
        </w:rPr>
      </w:pPr>
      <w:r>
        <w:rPr>
          <w:rFonts w:hint="eastAsia" w:ascii="宋体" w:hAnsi="宋体"/>
          <w:color w:val="auto"/>
          <w:sz w:val="24"/>
          <w:highlight w:val="none"/>
        </w:rPr>
        <w:t xml:space="preserve">23.5</w:t>
      </w:r>
      <w:r>
        <w:rPr>
          <w:rFonts w:hint="eastAsia" w:ascii="宋体" w:hAnsi="宋体" w:cs="Arial"/>
          <w:color w:val="auto"/>
          <w:sz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highlight w:val="none"/>
        </w:rPr>
        <w:t xml:space="preserve">应通过不见面开标大厅提出</w:t>
      </w:r>
      <w:r>
        <w:rPr>
          <w:rFonts w:hint="eastAsia" w:ascii="宋体" w:hAnsi="宋体" w:cs="Arial"/>
          <w:color w:val="auto"/>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24. 评标委员会</w:t>
      </w:r>
      <w:r>
        <w:rPr>
          <w:rFonts w:hint="eastAsia" w:ascii="宋体" w:hAnsi="宋体"/>
          <w:b/>
          <w:color w:val="auto"/>
          <w:sz w:val="24"/>
          <w:highlight w:val="none"/>
        </w:rPr>
        <w:tab/>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24.1评标委员会由采购人或委托采购代理机构依法组建，负责本项目的评标事务。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24.2评标委员会独立履行下列职责：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24.2.1审查投标文件是否符合招标文件的要求，并作出评价；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24.2.2可以要求投标供应商对投标文件有关事项作出解释或澄清；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24.2.4向采购代理机构或者有关部门报告非法干预评标工作的行为；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24.3评标委员会成员应当履行下列义务：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24.3.1遵纪守法，客观、公正、廉洁地履行职责；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24.3.3对评标过程和结果，以及投标人的商业秘密保密；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24.3.4参与评标报告的起草；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24.3.5配合采购代理机构答复投标供应商提出的质疑；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24.3.6配合相关部门的投诉处理工作；</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25. 评标内容的保密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25.3在评标期间，采购代理机构将通过指定联络人与投标人进行联系。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26.对投标文件初审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26.1投标文件初审分为资格性检查和符合性检查。</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26.1.1资格性检查。依据法律法规和招标文件的规定</w:t>
      </w:r>
      <w:r>
        <w:rPr>
          <w:rFonts w:hint="eastAsia" w:ascii="宋体" w:hAnsi="宋体" w:cs="Arial"/>
          <w:color w:val="auto"/>
          <w:sz w:val="24"/>
          <w:highlight w:val="none"/>
        </w:rPr>
        <w:t xml:space="preserve">，</w:t>
      </w:r>
      <w:r>
        <w:rPr>
          <w:rFonts w:hint="eastAsia" w:ascii="宋体" w:hAnsi="宋体" w:cs="Arial"/>
          <w:b/>
          <w:bCs/>
          <w:color w:val="auto"/>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 xml:space="preserve">关于信用记录查询：</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26.1.2.2</w:t>
      </w:r>
      <w:r>
        <w:rPr>
          <w:rFonts w:hint="eastAsia" w:ascii="宋体" w:hAnsi="宋体"/>
          <w:color w:val="auto"/>
          <w:sz w:val="24"/>
          <w:highlight w:val="none"/>
          <w:lang w:val="zh-CN"/>
        </w:rPr>
        <w:t xml:space="preserve">查询渠道：信用中国、信用江苏、诚信苏州网站的相关主体信用记录。</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26.1.2.3</w:t>
      </w:r>
      <w:r>
        <w:rPr>
          <w:rFonts w:hint="eastAsia" w:ascii="宋体" w:hAnsi="宋体"/>
          <w:color w:val="auto"/>
          <w:sz w:val="24"/>
          <w:highlight w:val="none"/>
          <w:lang w:val="zh-CN"/>
        </w:rPr>
        <w:t xml:space="preserve">查询证据留存方式：对存在失信信息的供应商，由失信供应商应签名确认。同时，采购代理机构工作人员应根据失信信息，登陆到来源网站页面进行复核并打印，作为证据留存。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26.2.1 不同投标人的投标文件由同一单位或者个人编制；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26.2.2不同投</w:t>
      </w:r>
      <w:r>
        <w:rPr>
          <w:rFonts w:hint="eastAsia" w:ascii="宋体" w:hAnsi="宋体"/>
          <w:color w:val="auto"/>
          <w:sz w:val="24"/>
          <w:highlight w:val="none"/>
        </w:rPr>
        <w:t xml:space="preserve">标人委托同一单位或者个人办理投标事宜；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26.2.3不同投标人的投标文件载明的项目管理成员或者联系人员为同一人；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26.2.4不同投标人的投标文件异常一致或者投标报价呈规律性差异；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26.2.5不同投标人的投标文件相互混装；</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26.3在详细评标之前，</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26.5</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26.6.2大写金额和小写金额不一致的，以大写金额为准；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须知26.6条</w:t>
      </w:r>
      <w:r>
        <w:rPr>
          <w:rFonts w:ascii="宋体" w:hAnsi="宋体"/>
          <w:color w:val="auto"/>
          <w:sz w:val="24"/>
          <w:highlight w:val="none"/>
          <w:lang w:val="zh-CN"/>
        </w:rPr>
        <w:t xml:space="preserve">规定经投标人确认后产生约束力，投标人不确认的，其投标无效。</w:t>
      </w:r>
      <w:r/>
    </w:p>
    <w:p>
      <w:pPr>
        <w:numPr>
          <w:ilvl w:val="0"/>
          <w:numId w:val="0"/>
        </w:numPr>
        <w:ind w:firstLine="480"/>
        <w:jc w:val="left"/>
        <w:pageBreakBefore w:val="0"/>
        <w:spacing w:line="360" w:lineRule="auto"/>
        <w:rPr>
          <w:rFonts w:hint="eastAsia" w:ascii="宋体" w:hAnsi="宋体"/>
          <w:b/>
          <w:color w:val="auto"/>
          <w:sz w:val="24"/>
          <w:highlight w:val="none"/>
          <w:lang w:val="en-US" w:eastAsia="zh-CN"/>
        </w:rPr>
      </w:pPr>
      <w:r>
        <w:rPr>
          <w:rFonts w:hint="eastAsia" w:ascii="宋体" w:hAnsi="宋体"/>
          <w:b/>
          <w:color w:val="auto"/>
          <w:sz w:val="24"/>
          <w:highlight w:val="none"/>
          <w:lang w:val="zh-CN" w:eastAsia="zh-CN"/>
        </w:rPr>
        <w:t xml:space="preserve">26</w:t>
      </w:r>
      <w:r>
        <w:rPr>
          <w:rFonts w:ascii="宋体" w:hAnsi="宋体"/>
          <w:b/>
          <w:color w:val="auto"/>
          <w:sz w:val="24"/>
          <w:highlight w:val="none"/>
          <w:lang w:val="zh-CN" w:eastAsia="zh-CN"/>
        </w:rPr>
        <w:t xml:space="preserve">.</w:t>
      </w:r>
      <w:r>
        <w:rPr>
          <w:rFonts w:hint="eastAsia" w:ascii="宋体" w:hAnsi="宋体"/>
          <w:b/>
          <w:color w:val="auto"/>
          <w:sz w:val="24"/>
          <w:highlight w:val="none"/>
          <w:lang w:val="zh-CN" w:eastAsia="zh-CN"/>
        </w:rPr>
        <w:t xml:space="preserve">7</w:t>
      </w:r>
      <w:r>
        <w:rPr>
          <w:rFonts w:hint="eastAsia" w:ascii="宋体" w:hAnsi="宋体"/>
          <w:b/>
          <w:color w:val="auto"/>
          <w:sz w:val="24"/>
          <w:highlight w:val="none"/>
          <w:lang w:val="en-US" w:eastAsia="zh-CN"/>
        </w:rPr>
        <w:t xml:space="preserve">异常低价</w:t>
      </w:r>
      <w:r/>
    </w:p>
    <w:p>
      <w:pPr>
        <w:numPr>
          <w:ilvl w:val="0"/>
          <w:numId w:val="0"/>
        </w:numPr>
        <w:ind w:firstLine="480"/>
        <w:jc w:val="left"/>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26.7.1、</w:t>
      </w:r>
      <w:r>
        <w:rPr>
          <w:rFonts w:hint="eastAsia" w:ascii="宋体" w:hAnsi="宋体" w:eastAsia="宋体" w:cs="宋体"/>
          <w:b w:val="0"/>
          <w:bCs/>
          <w:color w:val="auto"/>
          <w:sz w:val="24"/>
          <w:szCs w:val="24"/>
          <w:highlight w:val="none"/>
        </w:rPr>
        <w:t xml:space="preserve">评审过程中出现下列情形之一的，评审委员会应当启动异常低价投标（响应）审查程序:</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的，即投标（响应）报价&lt;全部通过符合性审查供应商投标（响应）报价平均值×</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的，即投标（响应）报价&lt;通过符合性审查的次低报价供应商投标（响应）报价×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的，即投标（响应）报价&lt;采购项目最高限价×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420"/>
        <w:jc w:val="both"/>
        <w:spacing w:line="360" w:lineRule="auto"/>
        <w:tabs>
          <w:tab w:val="left" w:pos="0" w:leader="none"/>
        </w:tabs>
        <w:rPr>
          <w:rFonts w:hint="eastAsia" w:ascii="宋体" w:hAnsi="宋体"/>
          <w:color w:val="auto"/>
          <w:sz w:val="24"/>
          <w:highlight w:val="none"/>
          <w:lang w:val="zh-CN" w:eastAsia="zh-CN"/>
        </w:rPr>
      </w:pPr>
      <w:r>
        <w:rPr>
          <w:rFonts w:hint="eastAsia" w:ascii="宋体" w:hAnsi="宋体" w:eastAsia="宋体" w:cs="宋体"/>
          <w:b w:val="0"/>
          <w:bCs/>
          <w:color w:val="auto"/>
          <w:sz w:val="24"/>
          <w:szCs w:val="24"/>
          <w:highlight w:val="none"/>
          <w:lang w:val="en-US" w:eastAsia="zh-CN"/>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w:t>
      </w:r>
      <w:r>
        <w:rPr>
          <w:rFonts w:hint="eastAsia" w:ascii="宋体" w:hAnsi="宋体"/>
          <w:color w:val="auto"/>
          <w:sz w:val="24"/>
          <w:highlight w:val="none"/>
          <w:lang w:val="en-US" w:eastAsia="zh-CN"/>
        </w:rPr>
        <w:t xml:space="preserve">处理。</w:t>
      </w:r>
      <w:r/>
    </w:p>
    <w:p>
      <w:pPr>
        <w:ind w:firstLine="420"/>
        <w:jc w:val="both"/>
        <w:spacing w:line="360" w:lineRule="auto"/>
        <w:tabs>
          <w:tab w:val="left" w:pos="0"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26.7.4异常低价审查有关要求，均以财库〔2026〕2号为准。</w:t>
      </w:r>
      <w:r/>
    </w:p>
    <w:p>
      <w:pPr>
        <w:ind w:firstLine="420"/>
        <w:jc w:val="both"/>
        <w:spacing w:line="360" w:lineRule="auto"/>
        <w:tabs>
          <w:tab w:val="left" w:pos="0" w:leader="none"/>
        </w:tabs>
        <w:rPr>
          <w:rFonts w:hint="eastAsia" w:ascii="宋体" w:hAnsi="宋体"/>
          <w:color w:val="auto"/>
          <w:sz w:val="24"/>
          <w:highlight w:val="none"/>
          <w:lang w:val="en-US" w:eastAsia="zh-CN"/>
        </w:rPr>
      </w:pPr>
      <w:r>
        <w:rPr>
          <w:rFonts w:hint="eastAsia" w:ascii="宋体" w:hAnsi="宋体"/>
          <w:color w:val="auto"/>
          <w:sz w:val="24"/>
          <w:highlight w:val="none"/>
          <w:lang w:val="zh-CN"/>
        </w:rPr>
        <w:t xml:space="preserve">26.8</w:t>
      </w:r>
      <w:r>
        <w:rPr>
          <w:rFonts w:hint="eastAsia" w:ascii="宋体" w:hAnsi="宋体"/>
          <w:color w:val="auto"/>
          <w:sz w:val="24"/>
          <w:highlight w:val="none"/>
        </w:rPr>
        <w:t xml:space="preserve">对不同文字文本投标文件的解释发生异议的，以中文文本为准</w:t>
      </w:r>
      <w:r>
        <w:rPr>
          <w:rFonts w:hint="eastAsia" w:ascii="宋体" w:hAnsi="宋体"/>
          <w:color w:val="auto"/>
          <w:sz w:val="24"/>
          <w:highlight w:val="none"/>
          <w:lang w:val="en-US" w:eastAsia="zh-CN"/>
        </w:rPr>
        <w:t xml:space="preserve">。</w:t>
      </w:r>
      <w:r/>
    </w:p>
    <w:p>
      <w:pPr>
        <w:ind w:firstLine="420"/>
        <w:jc w:val="both"/>
        <w:spacing w:line="360" w:lineRule="auto"/>
        <w:tabs>
          <w:tab w:val="left" w:pos="0" w:leader="none"/>
        </w:tabs>
        <w:rPr>
          <w:rFonts w:hint="eastAsia" w:ascii="宋体" w:hAnsi="宋体"/>
          <w:color w:val="auto"/>
          <w:sz w:val="24"/>
          <w:highlight w:val="none"/>
          <w:lang w:val="zh-CN"/>
        </w:rPr>
      </w:pPr>
      <w:r>
        <w:rPr>
          <w:rFonts w:hint="eastAsia" w:ascii="宋体" w:hAnsi="宋体"/>
          <w:color w:val="auto"/>
          <w:sz w:val="24"/>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olor w:val="auto"/>
          <w:sz w:val="24"/>
          <w:highlight w:val="none"/>
          <w:lang w:eastAsia="zh-CN"/>
        </w:rPr>
      </w:pPr>
      <w:r>
        <w:rPr>
          <w:rFonts w:hint="eastAsia" w:ascii="宋体" w:hAnsi="宋体"/>
          <w:color w:val="auto"/>
          <w:sz w:val="24"/>
          <w:highlight w:val="none"/>
          <w:lang w:val="zh-CN"/>
        </w:rPr>
        <w:t xml:space="preserve">24.10评标委员会将拒绝被确定为非实质性响应的投标，投标人不能通过修正或撤销不符之处而使其投标成为实质性响应的投标。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27.投标的澄清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27.1在投标文件中含有不明确、同类问题表述不一致或者有明显文字和计算错误的内容，评标委员会应当以书面（或电子件</w:t>
      </w:r>
      <w:r>
        <w:rPr>
          <w:rFonts w:ascii="宋体" w:hAnsi="宋体"/>
          <w:color w:val="auto"/>
          <w:sz w:val="24"/>
          <w:highlight w:val="none"/>
        </w:rPr>
        <w:t xml:space="preserve">）</w:t>
      </w:r>
      <w:r>
        <w:rPr>
          <w:rFonts w:hint="eastAsia" w:ascii="宋体" w:hAnsi="宋体"/>
          <w:color w:val="auto"/>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28.无效投标和废标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28.1无效投标的具体情形有：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28.1.1不同投标人的投标文件使用同一台电脑编制的；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28.1.2投标文件未按招标文件要求签署、盖章或电子签章的；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28.1.3不具备招标文件中规定的资格要求的；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28.1.4报价超过招标文件中规定的预算金额或者最高限价的；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28.1.5投标文件含有采购人不能接受的附加条件的；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28.1.6法律、法规和招标文件规定的其他无效情形。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 在招标采购中，出现下列情形之一的，应予废标：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28.2.1符合专业条件的供应商或者对招标文件作实质响应的供应商不足三家的；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28.2.2出现影响采购公正的违法、违规行为的；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28.2.3投标人的报价均超过了采购预算，采购人不能支付的；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28.2.4因重大变故，采购任务取消的。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28.3 废标后，采购人应当将废标理由通知所有投标人。</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 投标文件的评价和比较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29.2.1</w:t>
      </w:r>
      <w:r>
        <w:rPr>
          <w:rFonts w:ascii="宋体" w:hAnsi="宋体"/>
          <w:color w:val="auto"/>
          <w:sz w:val="24"/>
          <w:highlight w:val="none"/>
        </w:rPr>
        <w:t xml:space="preserve">服务的质量保证（保障）内容</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29.2.2</w:t>
      </w:r>
      <w:r>
        <w:rPr>
          <w:rFonts w:ascii="宋体" w:hAnsi="宋体"/>
          <w:color w:val="auto"/>
          <w:sz w:val="24"/>
          <w:highlight w:val="none"/>
        </w:rPr>
        <w:t xml:space="preserve">服务配备的人员；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29.2.3投标者的资信情况和履约能力；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29.2.4投标者提供的其他服务承诺；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29.2.5参与本项目政府采购工作的态度及信誉；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29.2.6</w:t>
      </w:r>
      <w:r>
        <w:rPr>
          <w:rFonts w:ascii="宋体" w:hAnsi="宋体"/>
          <w:b/>
          <w:color w:val="auto"/>
          <w:sz w:val="24"/>
          <w:highlight w:val="none"/>
        </w:rPr>
        <w:t xml:space="preserve">最低的投标报价或最高的折扣比例是中标的重要条件，但不是唯一条件。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30. 中标供应商的确认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30.3各投标单位如对公告结果有异议，应在中标公告期届满起七个工作日内，以书面形式向采购人或采购代理机构提出质疑，</w:t>
      </w:r>
      <w:r>
        <w:rPr>
          <w:rFonts w:ascii="宋体" w:hAnsi="宋体"/>
          <w:color w:val="auto"/>
          <w:sz w:val="24"/>
          <w:highlight w:val="none"/>
        </w:rPr>
        <w:t xml:space="preserve">该质疑</w:t>
      </w:r>
      <w:r>
        <w:rPr>
          <w:rFonts w:hint="eastAsia" w:ascii="宋体" w:hAnsi="宋体"/>
          <w:color w:val="auto"/>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 xml:space="preserve">后向采购人或采购代理机构提出质疑或质疑未经投标人法定代表人或参加投标的</w:t>
      </w:r>
      <w:r>
        <w:rPr>
          <w:rFonts w:hint="eastAsia" w:ascii="宋体" w:hAnsi="宋体"/>
          <w:color w:val="auto"/>
          <w:sz w:val="24"/>
          <w:highlight w:val="none"/>
        </w:rPr>
        <w:t xml:space="preserve">代理人</w:t>
      </w:r>
      <w:r>
        <w:rPr>
          <w:rFonts w:ascii="宋体" w:hAnsi="宋体"/>
          <w:color w:val="auto"/>
          <w:sz w:val="24"/>
          <w:highlight w:val="none"/>
        </w:rPr>
        <w:t xml:space="preserve">签署和盖公章（原件），采购人或</w:t>
      </w:r>
      <w:r>
        <w:rPr>
          <w:rFonts w:hint="eastAsia" w:ascii="宋体" w:hAnsi="宋体"/>
          <w:color w:val="auto"/>
          <w:sz w:val="24"/>
          <w:highlight w:val="none"/>
        </w:rPr>
        <w:t xml:space="preserve">采购代理机构有权对该质疑不予答复。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30.4质疑函递交地点及联系方式详见公告内容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31. 合同授予标准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 中标通知书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32.3中标通知书将成为合同的组成部分。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32.4采购代理机构对未中标供应商不承担解释未中标原因的义务。</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33.履约保证金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33.1中标供应商按招标公告要求提交履约保证金。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34. 合同的签订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八、质疑与投诉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36.3 上述应知其权益受到损害之日是指：</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（1）供应商的姓名或者名称、地址、邮编、联系人及联系电话；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（2）质疑项目的名称、编号；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（3）具体、明确的质疑事项和与质疑事项相关的请求；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（5）必要的法律依据；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（6）提出质疑的日期。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36.6 提交质疑函同时应当附如下证明材料：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（2）质疑供应商的营业执照复印件加盖单位公章；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（3）质疑供应商法定代表人身份证复印件加盖单位公章；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36.8 供应商须在在法定质疑期内一次性提出针对同一采购程序环节的质疑。</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37、质疑的受理与答复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37.2 质疑函由采购代理机构办理签收手续。</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接收单位：</w:t>
      </w:r>
      <w:r>
        <w:rPr>
          <w:rFonts w:hint="eastAsia" w:ascii="宋体" w:hAnsi="宋体"/>
          <w:b w:val="0"/>
          <w:bCs/>
          <w:color w:val="auto"/>
          <w:sz w:val="24"/>
          <w:highlight w:val="none"/>
          <w:lang w:val="en-US" w:eastAsia="zh-CN"/>
        </w:rPr>
        <w:t xml:space="preserve">苏州星宇测绘科技有限公司</w:t>
      </w:r>
      <w:r/>
    </w:p>
    <w:p>
      <w:pPr>
        <w:ind w:firstLine="480"/>
        <w:jc w:val="left"/>
        <w:spacing w:line="360" w:lineRule="auto"/>
        <w:rPr>
          <w:rFonts w:hint="eastAsia" w:ascii="宋体" w:hAnsi="宋体" w:eastAsia="宋体" w:cs="Times New Roman"/>
          <w:b w:val="0"/>
          <w:bCs/>
          <w:color w:val="auto"/>
          <w:sz w:val="24"/>
          <w:highlight w:val="none"/>
          <w:lang w:val="en-US" w:eastAsia="zh-CN"/>
        </w:rPr>
      </w:pPr>
      <w:r>
        <w:rPr>
          <w:rFonts w:hint="eastAsia" w:ascii="宋体" w:hAnsi="宋体"/>
          <w:b w:val="0"/>
          <w:bCs/>
          <w:color w:val="auto"/>
          <w:sz w:val="24"/>
          <w:highlight w:val="none"/>
        </w:rPr>
        <w:t xml:space="preserve">地址：</w:t>
      </w:r>
      <w:r>
        <w:rPr>
          <w:rFonts w:hint="eastAsia" w:ascii="宋体" w:hAnsi="宋体" w:eastAsia="宋体" w:cs="Times New Roman"/>
          <w:b w:val="0"/>
          <w:bCs/>
          <w:color w:val="auto"/>
          <w:sz w:val="24"/>
          <w:highlight w:val="none"/>
          <w:lang w:val="en-US" w:eastAsia="zh-CN"/>
        </w:rPr>
        <w:t xml:space="preserve">太仓市娄东街道常胜北路16号4楼</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邮编：215400</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联系人：</w:t>
      </w:r>
      <w:r>
        <w:rPr>
          <w:rFonts w:hint="eastAsia" w:ascii="宋体" w:hAnsi="宋体"/>
          <w:b w:val="0"/>
          <w:bCs/>
          <w:color w:val="auto"/>
          <w:sz w:val="24"/>
          <w:highlight w:val="none"/>
          <w:lang w:val="en-US" w:eastAsia="zh-CN"/>
        </w:rPr>
        <w:t xml:space="preserve">王姝婷</w:t>
      </w:r>
      <w:r/>
    </w:p>
    <w:p>
      <w:pPr>
        <w:ind w:firstLine="480"/>
        <w:jc w:val="left"/>
        <w:spacing w:line="360" w:lineRule="auto"/>
        <w:rPr>
          <w:rFonts w:hint="default"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电话：</w:t>
      </w:r>
      <w:r>
        <w:rPr>
          <w:rFonts w:hint="eastAsia" w:ascii="宋体" w:hAnsi="宋体"/>
          <w:b w:val="0"/>
          <w:bCs/>
          <w:color w:val="auto"/>
          <w:sz w:val="24"/>
          <w:highlight w:val="none"/>
          <w:lang w:val="en-US" w:eastAsia="zh-CN"/>
        </w:rPr>
        <w:t xml:space="preserve">18352390828</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38、投诉的提起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（2）质疑和质疑答复情况说明及相关证明材料；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（3）具体、明确的投诉事项和与投诉事项相关的投诉请求；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（6）提起投诉的日期。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38.4 投诉人提起投诉应当符合下列条件：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（1）提起投诉前已依法进行质疑；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（2）投诉书内容符合本办法的规定；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（3）在投诉有效期限内提起投诉；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（4）同一投诉事项未经财政部门投诉处理；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（5）财政部规定的其他条件。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39.1 节能产品和环境标志产品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39.2 小微企业的价格分评审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（6）中小企业划分标准详见“工信部联企业〔2011〕300号通知”。</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39.2.2 残疾人福利性单位政策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39.2.3 监狱企业发展政策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 xml:space="preserve">专门面向中小企业采购的项目，不再执行价格评审优惠的扶持政策。</w:t>
      </w:r>
      <w:r/>
    </w:p>
    <w:p>
      <w:pPr>
        <w:ind w:firstLine="482"/>
        <w:jc w:val="left"/>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若投标供应商提供的声明函或认定证明为虚假声明则视同提供虚假材料，按“政府采购法”相关规定处理并报请政府监管部门给予行政处罚。</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40、中标服务费</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由采购人支付</w:t>
      </w:r>
      <w:r>
        <w:rPr>
          <w:rFonts w:hint="eastAsia" w:ascii="宋体" w:hAnsi="宋体"/>
          <w:b w:val="0"/>
          <w:bCs/>
          <w:color w:val="auto"/>
          <w:sz w:val="24"/>
          <w:highlight w:val="none"/>
          <w:lang w:eastAsia="zh-CN"/>
        </w:rPr>
        <w:t xml:space="preserve">。</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41、监督和公证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42.1 政府有关监督部门将对招投标全过程进行监督。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42.2 采购代理机构的招标过程将通过公证机关进行公证。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42、未尽事宜</w:t>
      </w:r>
      <w:r/>
    </w:p>
    <w:p>
      <w:pPr>
        <w:ind w:firstLine="480"/>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按《中华人民共和国政府采购法》及其他有关政府采购的法律法规的的规定执行。</w:t>
      </w:r>
      <w:r/>
    </w:p>
    <w:p>
      <w:pPr>
        <w:ind w:firstLine="315"/>
        <w:jc w:val="center"/>
        <w:spacing w:line="360" w:lineRule="auto"/>
        <w:rPr>
          <w:color w:val="auto"/>
          <w:sz w:val="32"/>
          <w:szCs w:val="32"/>
          <w:highlight w:val="none"/>
        </w:rPr>
        <w:outlineLvl w:val="0"/>
      </w:pPr>
      <w:r>
        <w:rPr>
          <w:color w:val="auto"/>
          <w:highlight w:val="none"/>
        </w:rPr>
        <w:br w:type="page" w:clear="all"/>
      </w:r>
      <w:bookmarkStart w:id="22" w:name="_Toc129003584"/>
      <w:r/>
      <w:bookmarkStart w:id="23" w:name="_Toc467507043"/>
      <w:r/>
      <w:bookmarkStart w:id="24" w:name="_Toc467507037"/>
      <w:r/>
      <w:bookmarkStart w:id="25" w:name="_Toc315868058"/>
      <w:r/>
      <w:bookmarkStart w:id="26" w:name="_Toc158691774"/>
      <w:r/>
      <w:bookmarkStart w:id="27" w:name="_Toc315875321"/>
      <w:r>
        <w:rPr>
          <w:rFonts w:hint="eastAsia"/>
          <w:b/>
          <w:bCs/>
          <w:color w:val="auto"/>
          <w:sz w:val="44"/>
          <w:szCs w:val="44"/>
          <w:highlight w:val="none"/>
        </w:rPr>
        <w:t xml:space="preserve">第三部分 </w:t>
      </w:r>
      <w:r>
        <w:rPr>
          <w:b/>
          <w:bCs/>
          <w:color w:val="auto"/>
          <w:sz w:val="44"/>
          <w:szCs w:val="44"/>
          <w:highlight w:val="none"/>
        </w:rPr>
        <w:t xml:space="preserve">项目需求</w:t>
      </w:r>
      <w:bookmarkEnd w:id="22"/>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1、采购单位：</w:t>
      </w:r>
      <w:r>
        <w:rPr>
          <w:rFonts w:hint="eastAsia" w:ascii="宋体" w:hAnsi="宋体" w:cs="宋体"/>
          <w:color w:val="auto"/>
          <w:sz w:val="24"/>
          <w:szCs w:val="24"/>
          <w:highlight w:val="none"/>
          <w:lang w:eastAsia="zh-CN"/>
        </w:rPr>
        <w:t xml:space="preserve">江苏省太仓高新技术产业开发区管理委员会</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太仓高新区食堂运营服务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3、项目编号：</w:t>
      </w:r>
      <w:r>
        <w:rPr>
          <w:rFonts w:hint="eastAsia" w:ascii="宋体" w:hAnsi="宋体" w:eastAsia="宋体" w:cs="宋体"/>
          <w:color w:val="auto"/>
          <w:sz w:val="24"/>
          <w:szCs w:val="24"/>
          <w:highlight w:val="none"/>
          <w:shd w:val="clear" w:color="auto" w:fill="ffffff"/>
          <w:lang w:val="en-US" w:eastAsia="zh-CN" w:bidi="ar"/>
        </w:rPr>
        <w:t xml:space="preserve">JSZC-320585-XYCH-G2026-0001</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4、预算金额：人民币</w:t>
      </w:r>
      <w:r>
        <w:rPr>
          <w:rFonts w:hint="eastAsia" w:ascii="宋体" w:hAnsi="宋体" w:cs="宋体"/>
          <w:color w:val="auto"/>
          <w:sz w:val="24"/>
          <w:szCs w:val="24"/>
          <w:highlight w:val="none"/>
          <w:shd w:val="clear" w:color="auto" w:fill="ffffff"/>
          <w:lang w:val="en-US" w:eastAsia="zh-CN" w:bidi="ar"/>
        </w:rPr>
        <w:t xml:space="preserve">柒佰柒拾贰万元整</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val="en-US" w:eastAsia="zh-CN" w:bidi="ar"/>
        </w:rPr>
        <w:t xml:space="preserve">772</w:t>
      </w:r>
      <w:r>
        <w:rPr>
          <w:rFonts w:hint="eastAsia" w:ascii="宋体" w:hAnsi="宋体" w:cs="宋体"/>
          <w:color w:val="auto"/>
          <w:sz w:val="24"/>
          <w:szCs w:val="24"/>
          <w:highlight w:val="none"/>
          <w:shd w:val="clear" w:color="auto" w:fill="ffffff"/>
          <w:lang w:eastAsia="zh-CN" w:bidi="ar"/>
        </w:rPr>
        <w:t xml:space="preserve">0000</w:t>
      </w:r>
      <w:r>
        <w:rPr>
          <w:rFonts w:hint="eastAsia" w:ascii="宋体" w:hAnsi="宋体" w:eastAsia="宋体" w:cs="宋体"/>
          <w:color w:val="auto"/>
          <w:sz w:val="24"/>
          <w:szCs w:val="24"/>
          <w:highlight w:val="none"/>
          <w:shd w:val="clear" w:color="auto" w:fill="ffffff"/>
          <w:lang w:bidi="ar"/>
        </w:rPr>
        <w:t xml:space="preserve">.00元）</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5、最高限价：人民币</w:t>
      </w:r>
      <w:r>
        <w:rPr>
          <w:rFonts w:hint="eastAsia" w:ascii="宋体" w:hAnsi="宋体" w:cs="宋体"/>
          <w:color w:val="auto"/>
          <w:sz w:val="24"/>
          <w:szCs w:val="24"/>
          <w:highlight w:val="none"/>
          <w:shd w:val="clear" w:color="auto" w:fill="ffffff"/>
          <w:lang w:val="en-US" w:eastAsia="zh-CN" w:bidi="ar"/>
        </w:rPr>
        <w:t xml:space="preserve">柒佰陆拾叁万元</w:t>
      </w:r>
      <w:r>
        <w:rPr>
          <w:rFonts w:hint="eastAsia" w:ascii="宋体" w:hAnsi="宋体" w:eastAsia="宋体" w:cs="宋体"/>
          <w:color w:val="auto"/>
          <w:sz w:val="24"/>
          <w:szCs w:val="24"/>
          <w:highlight w:val="none"/>
          <w:shd w:val="clear" w:color="auto" w:fill="ffffff"/>
          <w:lang w:bidi="ar"/>
        </w:rPr>
        <w:t xml:space="preserve">整（￥</w:t>
      </w:r>
      <w:r>
        <w:rPr>
          <w:rFonts w:hint="eastAsia" w:ascii="宋体" w:hAnsi="宋体" w:cs="宋体"/>
          <w:color w:val="auto"/>
          <w:sz w:val="24"/>
          <w:szCs w:val="24"/>
          <w:highlight w:val="none"/>
          <w:shd w:val="clear" w:color="auto" w:fill="ffffff"/>
          <w:lang w:val="en-US" w:eastAsia="zh-CN" w:bidi="ar"/>
        </w:rPr>
        <w:t xml:space="preserve">763</w:t>
      </w:r>
      <w:r>
        <w:rPr>
          <w:rFonts w:hint="eastAsia" w:ascii="宋体" w:hAnsi="宋体" w:cs="宋体"/>
          <w:color w:val="auto"/>
          <w:sz w:val="24"/>
          <w:szCs w:val="24"/>
          <w:highlight w:val="none"/>
          <w:shd w:val="clear" w:color="auto" w:fill="ffffff"/>
          <w:lang w:eastAsia="zh-CN" w:bidi="ar"/>
        </w:rPr>
        <w:t xml:space="preserve">0000</w:t>
      </w:r>
      <w:r>
        <w:rPr>
          <w:rFonts w:hint="eastAsia" w:ascii="宋体" w:hAnsi="宋体" w:eastAsia="宋体" w:cs="宋体"/>
          <w:color w:val="auto"/>
          <w:sz w:val="24"/>
          <w:szCs w:val="24"/>
          <w:highlight w:val="none"/>
          <w:shd w:val="clear" w:color="auto" w:fill="ffffff"/>
          <w:lang w:bidi="ar"/>
        </w:rPr>
        <w:t xml:space="preserve">.00元）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项目概况</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1、供餐时间为周一至周五的早餐、午餐。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早午餐必须确保符合国家及苏州市食品卫生安全的相关法律法规要求，采用新鲜卫生、安全可靠原材料（蔬菜、肉、蛋、鱼、米、面、食用油、调料等）制作，每周向采购人提供下一周食材采购明细及原料品牌、采购地点；整个烹制、盛放过程须保证卫生与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3、中标服务方需在每周三向采购方提供下周的餐食配置明细表（加盖公章），采购方有权向中标服务方提出合理改进意见，经双方协商后，中标服务方应针对采购方合理意见作出调整。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4、提供用餐范围及标准：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（1）供餐时间为周一至周五的早餐、午餐（法定假日除外）。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（2）餐厅就餐标准：全体在岗工作人员每日早餐、午餐及采购方要求的其他用餐服务。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A、早餐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1）用餐时间：7：30—8：45；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2）中标方必须确保采购方的开膳时间，于开膳时间前15分钟准时将饭菜置于柜台，并做到菜单醒目；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3）套餐标准：提供粥、面、馄饨等多种基础套餐，粥套餐至少包含粥/豆浆、各式点心、小菜、荷包蛋或水煮蛋；面套餐至少包含光面、荤素浇头。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B、午餐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1）用餐时间：11：45—12：30；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2）中标方必须确保采购方的开膳时间，于开膳时间前15分钟准时将饭菜置于柜台，并做到菜单醒目；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3）基本套餐标准（以苏帮菜、淮扬菜为主）：三荤菜选二、三素菜选二、一水果或酸奶、一汤、米饭等必备内容，除此之外投标人可自行增加内容；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a.大荤：如熏鱼、酱猪肉、鸡腿、猪蹄、牛肉、大排、虾等；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b.小荤：如炒肉丝、西红柿炒蛋、油面筋塞肉、花菜炒肉片、肉末炖蛋等；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c.素菜：时令蔬菜、豆制品、菌菇类等；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d.汤：如紫菜蛋汤、冬瓜排骨汤、榨菜肉丝汤、咸菜肉丝汤等；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e.水果：如西瓜、苹果、香蕉、桃子、桔子、哈密瓜、石榴等或酸奶（水果品种按季节替换）；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f.米饭。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5、因上级来客等情况，需食堂提供工作餐（政府工作人员用餐标准）。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三、设备设施要求：</w:t>
      </w:r>
      <w:r/>
    </w:p>
    <w:p>
      <w:pPr>
        <w:pStyle w:val="1456"/>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设备采购方已一次性投资到位，包括食堂装修部分、所有陈设布置、餐饮主要设备（包括餐具），其所有权归采购方所有，供服务方使用。采购方提供现有设施设备条件，中标服务方在中标公示期满后须赴食堂现场探勘现有设备，检查核对并测试设备，如有损坏书面通知采购方维修或购置。设备经维修或添置完毕，双方须书面确认。服务商在承包经营期内对所有厨具设备负责维护保养及维修，确保设备正常运行。服务期内除确因设备使用年限到期造成的设备设施无法使用，由采购方负责添置。若服务方需进行大件设备添置或更换的，需与采购方协商后确定。</w:t>
      </w:r>
      <w:r/>
    </w:p>
    <w:p>
      <w:pPr>
        <w:pStyle w:val="1456"/>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服务方在经营过程中要对采购方所提供设备实施进行日常的维护，如涉及人为损坏或不当造成损坏的，则由中标服务方负责维修及赔偿。如正常耗损，或确实需要添置的餐具、厨房设备设施等，报采购方确认同意后，由采购方负责添置。</w:t>
      </w:r>
      <w:r/>
    </w:p>
    <w:p>
      <w:pPr>
        <w:pStyle w:val="1456"/>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3、食堂内下水道疏通由中标服务方自行负责，并承担相关费用。</w:t>
      </w:r>
      <w:r/>
    </w:p>
    <w:p>
      <w:pPr>
        <w:pStyle w:val="1456"/>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4、经营所需食堂耗材、调味品、食材、清洁易耗品、食堂用杂品及卫生用品等所有易耗品，均由中标服务方提供，所发生所有费用包含在本次采购报价餐费中。</w:t>
      </w:r>
      <w:r/>
    </w:p>
    <w:p>
      <w:pPr>
        <w:pStyle w:val="1456"/>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食堂内配套设施设备、电路和网络维修（除中标服务方人为损坏）等费用按实由采购方负责。服务过程中所涉及的燃气、水、电费、食堂耗材等均由采购方负责。食堂专业保洁（如：油烟机专业清洗）等由采购方负责。</w:t>
      </w:r>
      <w:r/>
    </w:p>
    <w:p>
      <w:pPr>
        <w:pStyle w:val="1456"/>
        <w:ind w:firstLine="482"/>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rPr>
        <w:t xml:space="preserve">四、供餐要求</w:t>
      </w:r>
      <w:r>
        <w:rPr>
          <w:rFonts w:hint="eastAsia" w:ascii="宋体" w:hAnsi="宋体" w:eastAsia="宋体" w:cs="宋体"/>
          <w:b/>
          <w:color w:val="auto"/>
          <w:sz w:val="24"/>
          <w:szCs w:val="24"/>
          <w:highlight w:val="none"/>
          <w:lang w:val="en-US"/>
        </w:rPr>
        <w:t xml:space="preserve">：</w:t>
      </w:r>
      <w:r/>
    </w:p>
    <w:p>
      <w:pPr>
        <w:pStyle w:val="1456"/>
        <w:ind w:firstLine="480"/>
        <w:spacing w:line="36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t xml:space="preserve">1、中标服务方须保证采购方工作人员早午餐及时供应。提供的菜品除保证营养均衡外需要多样化，有季节特色、价格优惠。保证菜品的新鲜、干净、卫生、口感良好，造型美观整齐且有一定创意；具体菜品结构、菜品价格根据实际情况进场后双方协商确定。收费标准与供餐方式如与政策性调整，以上级政策为准，双方另行确定，并签署补充协议。</w:t>
      </w:r>
      <w:r/>
    </w:p>
    <w:p>
      <w:pPr>
        <w:pStyle w:val="145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2、中标服务方需根据采购方要求提供中国传统习俗的新年、中秋、端午、冬至等节庆日的特色食品，确保人性化服务。</w:t>
      </w:r>
      <w:r/>
    </w:p>
    <w:p>
      <w:pPr>
        <w:pStyle w:val="1456"/>
        <w:ind w:firstLine="482"/>
        <w:spacing w:line="360" w:lineRule="auto"/>
        <w:rPr>
          <w:rFonts w:hint="eastAsia" w:ascii="宋体" w:hAnsi="宋体" w:eastAsia="宋体" w:cs="宋体"/>
          <w:b/>
          <w:bCs/>
          <w:color w:val="auto"/>
          <w:sz w:val="24"/>
          <w:szCs w:val="24"/>
          <w:highlight w:val="none"/>
          <w:lang w:eastAsia="zh-CN"/>
        </w:rPr>
      </w:pPr>
      <w:r>
        <w:rPr>
          <w:rFonts w:hint="eastAsia"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、经营要求</w:t>
      </w:r>
      <w:r>
        <w:rPr>
          <w:rFonts w:hint="eastAsia" w:cs="宋体"/>
          <w:b/>
          <w:bCs/>
          <w:color w:val="auto"/>
          <w:sz w:val="24"/>
          <w:szCs w:val="24"/>
          <w:highlight w:val="none"/>
          <w:lang w:eastAsia="zh-CN"/>
        </w:rPr>
        <w:t xml:space="preserve">：</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1、经营方式</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采购方提供厨房、餐厅及基础设施、全套厨房设施，服务方提供整套就餐及服务。中标服务方独立管理，工作人员由中标服务方自行聘请和安排。不得私自转让（含转包、分包）或委托他人经营，更不能搞非法经营。经营服务方与采购方以外的单位和个人所发生的债权债务均与采购方无关。中标服务方项目负责人必须无条件服从采购方的有关工作要求，并积极参与检查或处理有关事件。</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中标服务方须接受采购方的监督，采购方有权对服务方的服务管理、价格质量（包含所购物资的渠道和品质）、卫生秩序等进行监督检查（包含菜价核定）、考核评价和管理。</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2、服务人员要求：不得少于1</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服务人员统一着装</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至少配备：1名厨师长、</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名</w:t>
      </w:r>
      <w:r>
        <w:rPr>
          <w:rFonts w:hint="eastAsia" w:hAnsi="宋体" w:eastAsia="宋体" w:cs="宋体"/>
          <w:color w:val="auto"/>
          <w:sz w:val="24"/>
          <w:szCs w:val="24"/>
          <w:highlight w:val="none"/>
          <w:lang w:val="en-US" w:eastAsia="zh-CN"/>
        </w:rPr>
        <w:t xml:space="preserve">主厨</w:t>
      </w:r>
      <w:r>
        <w:rPr>
          <w:rFonts w:hint="eastAsia" w:ascii="宋体" w:hAnsi="宋体" w:eastAsia="宋体" w:cs="宋体"/>
          <w:color w:val="auto"/>
          <w:sz w:val="24"/>
          <w:szCs w:val="24"/>
          <w:highlight w:val="none"/>
        </w:rPr>
        <w:t xml:space="preserve">，点心师</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人，领班1人、服务员 3 人。</w:t>
      </w:r>
      <w:r>
        <w:rPr>
          <w:rFonts w:hint="eastAsia" w:ascii="宋体" w:hAnsi="宋体" w:eastAsia="宋体" w:cs="宋体"/>
          <w:color w:val="auto"/>
          <w:sz w:val="24"/>
          <w:szCs w:val="24"/>
          <w:highlight w:val="none"/>
        </w:rPr>
        <w:t xml:space="preserve">服务用工必须符合国家和苏州地方用工的相关规定，按照国家及苏州市的最新有关规定支付工资和交纳正常的社会保险等，服务人员均需提供在本单位缴纳社保证明。中标服务方根据采购方的用餐及服务需求合理配置保质保量完成采购方的用餐需求。如不能满足采购方用餐需求的，采购方有权对人员配置提出增减替换的要求，中标服务方须在一周内按照采购方的要求将人员配置到位，否则，视为中标方违约，按合同相关规定处理。</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厨师长</w:t>
      </w:r>
      <w:r>
        <w:rPr>
          <w:rFonts w:hint="eastAsia" w:ascii="宋体" w:hAnsi="宋体" w:eastAsia="宋体" w:cs="宋体"/>
          <w:color w:val="auto"/>
          <w:sz w:val="24"/>
          <w:szCs w:val="24"/>
          <w:highlight w:val="none"/>
        </w:rPr>
        <w:t xml:space="preserve">：要求年龄不超过50周岁，具备有效厨师资格证书（中式烹调师）及健康证，无犯罪记录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主持食堂的日常工作，负责管理食堂的一切工作。具备良好的心态，较好的组织、沟通能力，较强的执行力和处理突发事件的高效综合能力与应变能力；具有较好的能源控制意识与方法；具有食品安全的管理意识和不断完善的经营理念。负责并管理食堂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具有5年以上厨房工作经验</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精通中餐烹饪方法，并熟悉相关食品</w:t>
      </w:r>
      <w:r>
        <w:rPr>
          <w:rFonts w:hint="eastAsia" w:hAnsi="宋体" w:eastAsia="宋体" w:cs="宋体"/>
          <w:b w:val="0"/>
          <w:bCs w:val="0"/>
          <w:color w:val="auto"/>
          <w:sz w:val="24"/>
          <w:szCs w:val="24"/>
          <w:highlight w:val="none"/>
          <w:lang w:val="en-US" w:eastAsia="zh-CN"/>
        </w:rPr>
        <w:t xml:space="preserve">卫生</w:t>
      </w:r>
      <w:r>
        <w:rPr>
          <w:rFonts w:hint="eastAsia" w:ascii="宋体" w:hAnsi="宋体" w:eastAsia="宋体" w:cs="宋体"/>
          <w:b w:val="0"/>
          <w:bCs w:val="0"/>
          <w:color w:val="auto"/>
          <w:sz w:val="24"/>
          <w:szCs w:val="24"/>
          <w:highlight w:val="none"/>
          <w:lang w:val="en-US" w:eastAsia="zh-CN"/>
        </w:rPr>
        <w:t xml:space="preserve">知识。工作要勤恳踏实，有工作责任心。</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主厨：要求年龄在30-60周岁的男性，具备有效厨师资格证书（中式烹调师）及健康证，无犯罪记录，具有3年以上厨房工作经验，精通中餐烹饪方法，并熟悉相关食品卫生法知识。工作要勤恳踏实，有工作责任心，根据餐厅的情况及当天的用餐情况，验收货品质量和数量，变质食品不下锅、不蒸煮、不烘烤。验收后向厨房有关人员分门别类交代清楚。根据用餐人数有计划的烧饭，全面检查菜肴的质量，减少并杜绝不符合规格、质量要求的成品和半成品，不断提高菜品的质量，满足采购人的需求。检查所购食品有无合格证和检疫证明，验收记录妥善保存以备检查。</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点心师：要求年龄在30-60周岁，性别不限，具备健康证，无犯罪记录，具有3年以上厨房工作经验，精通点心方法，并熟悉相关食品卫生法知识。工作要勤恳踏实，有工作责任心，严格按照食品制作要求，确保点心各种品种、数量、质量要求，品种质量要求色纯正，形状大小均匀，份量适当，馅心制作口味好，成品符合卫生要求，动脑筋、想办法、变花样，增加点心花色品种，不断满足就餐者的需求。</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领班及现场服务人员：要求年龄在30-60周岁，具有有效的健康证，无犯罪记录，熟悉相关食品卫生法知识。工作要勤恳踏实，有工作责任心。服装穿戴整齐，男不留长发，女发不过肩，化妆淡雅大方。做好台面调料、牙签、餐巾、茶水等清洁卫生工作。禁止直接用手拿取食物及相关物品。用餐前餐具要集中摆放整齐，保持清洁，防止蝇叮，餐具内外保持干净、干燥。工作结束后做好台面、桌椅及地面的清扫、整理工作。</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各岗位人员按岗位职责分别负责各项工作内容，具体投标单位在投标文件中需提供工作岗位职责制度以及各项管理规定。此外中标服务方还需负责食堂日常保洁、水电气日常管理等职责。中标服务方必须给上述人员按照国家有关规定支付工资和交纳正常的社会保险等。要充分考虑所有工作人员的值休、轮休、法定假日休息以及岗位顶班、日常机动人员的配备，以上所有费用均计入投标总价。</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3、食堂经营时间</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食堂经营时间：服务方必须根据采购方规定的时段经营，确保在规定时间段工作不间</w:t>
      </w:r>
      <w:r>
        <w:rPr>
          <w:rFonts w:hint="eastAsia" w:hAnsi="宋体" w:eastAsia="宋体" w:cs="宋体"/>
          <w:color w:val="auto"/>
          <w:sz w:val="24"/>
          <w:szCs w:val="24"/>
          <w:highlight w:val="none"/>
          <w:lang w:val="en-US" w:eastAsia="zh-CN"/>
        </w:rPr>
        <w:t xml:space="preserve">断</w:t>
      </w:r>
      <w:r>
        <w:rPr>
          <w:rFonts w:hint="eastAsia" w:ascii="宋体" w:hAnsi="宋体" w:eastAsia="宋体" w:cs="宋体"/>
          <w:color w:val="auto"/>
          <w:sz w:val="24"/>
          <w:szCs w:val="24"/>
          <w:highlight w:val="none"/>
        </w:rPr>
        <w:t xml:space="preserve">，服务不停顿。如因采购方需要，特殊情况要求服务方上班的，采购方应全力做好协调服务工作</w:t>
      </w:r>
      <w:r>
        <w:rPr>
          <w:rFonts w:hint="eastAsia" w:hAnsi="宋体" w:eastAsia="宋体" w:cs="宋体"/>
          <w:color w:val="auto"/>
          <w:sz w:val="24"/>
          <w:szCs w:val="24"/>
          <w:highlight w:val="none"/>
          <w:lang w:eastAsia="zh-CN"/>
        </w:rPr>
        <w:t xml:space="preserve">。</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员工作息时间由服务方负责，上班时间服务方采用弹性工作制（忙时存时，闲时欠时），忙时集中人力、集中精力完成任务，闲时人员分散。</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4、管理要求</w:t>
      </w:r>
      <w:r/>
    </w:p>
    <w:p>
      <w:pPr>
        <w:pStyle w:val="1470"/>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1）经营服务单位作为食品卫生安全和消防安全的第一责任人，对相应的安全管理工作负有直接的组织和管理义务，并承担全部责任。卫生检疫、工作人员体检、伤残疾病等费用均由中标服务方自理。</w:t>
      </w:r>
      <w:r>
        <w:rPr>
          <w:rFonts w:hint="eastAsia" w:hAnsi="宋体" w:eastAsia="宋体" w:cs="宋体"/>
          <w:color w:val="auto"/>
          <w:sz w:val="24"/>
          <w:szCs w:val="24"/>
          <w:highlight w:val="none"/>
          <w:lang w:val="en-US" w:eastAsia="zh-CN"/>
        </w:rPr>
        <w:t xml:space="preserve">投标单位需针对本项目编制总体服务方案，内容包括但不限于顾客需求分析；成本控制措施；对食堂的理解和定位；信息技术的运用等。</w:t>
      </w:r>
      <w:r/>
    </w:p>
    <w:p>
      <w:pPr>
        <w:pStyle w:val="1470"/>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2）严格遵守《中华人民共和国食品安全法》、《国务院关于进一步加强食品安全工作的决定》、《餐饮服务食品安全操作规范》及江苏省、苏州市关于加强食堂管理等国家、地方相关 法律法规和规章，建立规范的内部管理制度，认真做好食品原料的采购、贮存和食品的加工、出售环节食品卫生安全工作。餐厨废弃物按照环卫、环保部门的要求统一处理。</w:t>
      </w:r>
      <w:r>
        <w:rPr>
          <w:rFonts w:hint="eastAsia" w:hAnsi="宋体" w:eastAsia="宋体" w:cs="宋体"/>
          <w:color w:val="auto"/>
          <w:sz w:val="24"/>
          <w:szCs w:val="24"/>
          <w:highlight w:val="none"/>
          <w:lang w:val="en-US" w:eastAsia="zh-CN"/>
        </w:rPr>
        <w:t xml:space="preserve">投标单位需编制健全的食堂安全卫生管理措施及制度，内容包括但不限于人员卫生管理措施；环境卫生管理措施；厨余垃圾处理措施；餐具及厨房设备卫生管理措施；消防安全管理措施；安全知识培训制度等。</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1"/>
      </w:pPr>
      <w:r>
        <w:rPr>
          <w:rFonts w:hint="eastAsia" w:ascii="宋体" w:hAnsi="宋体" w:eastAsia="宋体" w:cs="宋体"/>
          <w:color w:val="auto"/>
          <w:sz w:val="24"/>
          <w:szCs w:val="24"/>
          <w:highlight w:val="none"/>
        </w:rPr>
        <w:t xml:space="preserve">3）经营服务单位应自觉做好食品安全和防火、防盗等工作，如发生食品安全、火灾、失窃等事故，经营服务单位负完全责任；给采购方造成经济损失的，应予赔偿；造成不良影响的，视为经营服务单位严重违约，采购方有权解除合同，并追究相应责任。为合理避免突发事件对本项目实施的影响，投标</w:t>
      </w:r>
      <w:r>
        <w:rPr>
          <w:rFonts w:hint="eastAsia"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需针对突发事件编制应对的应急预案</w:t>
      </w:r>
      <w:r>
        <w:rPr>
          <w:rFonts w:hint="eastAsia" w:hAnsi="宋体" w:eastAsia="宋体" w:cs="宋体"/>
          <w:color w:val="auto"/>
          <w:sz w:val="24"/>
          <w:szCs w:val="24"/>
          <w:highlight w:val="none"/>
          <w:lang w:eastAsia="zh-CN"/>
        </w:rPr>
        <w:t xml:space="preserve">，包括食物中毒应急预案、投诉处理预案、消防事故处理预案等及各种突发性事件的应急处理方案等。</w:t>
      </w:r>
      <w:r/>
    </w:p>
    <w:p>
      <w:pPr>
        <w:pStyle w:val="1470"/>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4）应自觉接受政府行政管理部门的监管和采购方对食品原材料采购和贮存、原材料采购登记台帐和索证索票、食品加工和销售、食品留样、餐具消毒、饭菜质量、饭菜价格、饭菜品种、服务规范等方面的监督检查。在经营期内按卫生监督部门和采购方要求建好各类台账，如：索证、食品添加剂领用记录、消毒记录，采购、支出账目等。</w:t>
      </w:r>
      <w:r>
        <w:rPr>
          <w:rFonts w:hint="eastAsia" w:hAnsi="宋体" w:eastAsia="宋体" w:cs="宋体"/>
          <w:color w:val="auto"/>
          <w:sz w:val="24"/>
          <w:szCs w:val="24"/>
          <w:highlight w:val="none"/>
          <w:lang w:val="en-US" w:eastAsia="zh-CN"/>
        </w:rPr>
        <w:t xml:space="preserve">投标单位需制定完善的原料采购方案，内容包括但不限于原料采购的管理办法；对供货商的管理措施；采购人员配置；食品储存安全管理措施等。</w:t>
      </w:r>
      <w:r/>
    </w:p>
    <w:p>
      <w:pPr>
        <w:pStyle w:val="1470"/>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5）经营服务单位在开始营业前必须向采购方提交食堂人员花名册、岗位</w:t>
      </w:r>
      <w:r>
        <w:rPr>
          <w:rFonts w:hint="eastAsia" w:ascii="宋体" w:hAnsi="宋体" w:eastAsia="宋体" w:cs="宋体"/>
          <w:color w:val="auto"/>
          <w:sz w:val="24"/>
          <w:szCs w:val="24"/>
          <w:highlight w:val="none"/>
        </w:rPr>
        <w:t xml:space="preserve">分工情况表、工作人员健康证复印件、厨师资格证复印件等证件，人员到岗和变动前需向采购方报备相关信息。食堂工作人员全部由中标服务方自行安排（即中标服务方为用人单位，食堂工作人员与采购不存在雇佣等劳动关系），中标服务方应严格按照卫生部门对食堂从业人员进行饮食行业知识培训、安全教育和管理工作。所属工作人员要遵守餐饮法规，要有良好的服务态度并监督实施。所有员工不允许带家属（老人，小孩，包括不在食堂内工作的配偶等）进入食堂。服务工作人员发生工伤或死亡事故（包括上下班途中），中标服务方要负完全责任，采购方不承担任何责任。</w:t>
      </w:r>
      <w:r>
        <w:rPr>
          <w:rFonts w:hint="eastAsia" w:hAnsi="宋体" w:eastAsia="宋体" w:cs="宋体"/>
          <w:color w:val="auto"/>
          <w:sz w:val="24"/>
          <w:szCs w:val="24"/>
          <w:highlight w:val="none"/>
          <w:lang w:val="en-US" w:eastAsia="zh-CN"/>
        </w:rPr>
        <w:t xml:space="preserve">投标单位需针对本项目的实施制定内部管理措施，内容包括但不限于工作人员管理职责；工作人员工作标准；奖惩制度（激励制度，惩罚制度）；服务员仪态要求等。</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食堂餐饮服务许可证由采购方出资并负责办理。中标服务方配合应配合采购方办理，抓好食品卫生安全和食堂卫生防疫工作，就餐环境必须达到卫生部门的有关标准。规范经营，采购方有权监督，并可随时检查。如因经营者的管理不善造成安全事故，承包者负全部责任。</w:t>
      </w:r>
      <w:r/>
    </w:p>
    <w:p>
      <w:pPr>
        <w:pStyle w:val="1470"/>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7）采购方有义务配合经营者共同管理好食堂，组织膳食管理委员会对食堂的经营状况、服务质量、饭菜价格进行监督检查和考核。采购单位、市场监督管理局、采购方后勤部门将定期或不定期调查饭菜质量、数量、价格及服务情况，进行满意度调查，并将有关信息通知经营者，承包者应听取意见，采取措施及时整改到位。</w:t>
      </w:r>
      <w:r>
        <w:rPr>
          <w:rFonts w:hint="eastAsia" w:hAnsi="宋体" w:eastAsia="宋体" w:cs="宋体"/>
          <w:color w:val="auto"/>
          <w:sz w:val="24"/>
          <w:szCs w:val="24"/>
          <w:highlight w:val="none"/>
          <w:lang w:val="en-US" w:eastAsia="zh-CN"/>
        </w:rPr>
        <w:t xml:space="preserve">投标单位需编制食堂节能节约计划和管理措施，内容包含节能环保计划的推广与实施；节水管理措施；节电管理措施；其他节能措施等。还需编制成本控制方案，内容包含食材供货价格保障措施、微利经营方案及保障措施等。</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8）中标服务方应确保食堂操作的安全卫生，杜绝各类设施设备的安全卫生事故。全体工作人员都应熟掌握消防安全常规常识，严格执行消防安全标准，确保不出问题。做到人走灯灭，人走水停。</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5、质量要求</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1）保证采购、制作、销售的食品质量要求符</w:t>
      </w:r>
      <w:r>
        <w:rPr>
          <w:rFonts w:hint="eastAsia" w:ascii="宋体" w:hAnsi="宋体" w:eastAsia="宋体" w:cs="宋体"/>
          <w:color w:val="auto"/>
          <w:sz w:val="24"/>
          <w:szCs w:val="24"/>
          <w:highlight w:val="none"/>
        </w:rPr>
        <w:t xml:space="preserve">合国家卫生、安全标准，保证一日两餐优质(质量保证体系)、做到品种多样化(列出供用品种)。食品卫生合格率必须达到100%。保证搞好食品卫生、个人卫生、室内外环境卫生，从业人员持证上岗，并符合饮食行业操作的规范要求。按时做好经营区域内的卫生工作，如检查发现未按要求操作，按附件《违约责任及相关处罚条例》处罚。如遇上级卫生防疫部门或食品执法部门检查不符合要求的（如超出经营范围等），因中标服务方管理或其他原因而造成的处罚由中标服务方自行承担全部责任（包括罚款和限期整改等，若因相关营业证件不全问题，由采购方负责解决）。</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保持就餐环境、熟食区、操作区和仓储区的清洁整齐，厨房要保持设备整齐划一。工作台、餐具、炊具、地面、墙面按时消毒，干净无异物，冰箱保持干净卫生，分档分类存放食物（生熟分开、肉类、鱼类、海鲜类等分档分类保存）。</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食堂内粗加工间区、面点区、仓库等功能区域划分明确。餐具严格洗、消、冲、保洁，利用消毒柜对餐具进行严格消毒。遵守国家和地方现行的《食品安全法》等相关规定，熟悉食品从业人员常规知识，遵守采购方的各项管理制度。</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4）食堂内有健全的防鼠、防蝇、防尘“三防措施”（特别是分菜间、加工间、大厅等场所的门窗）。在食堂管理中，不使用腐烂变质的主副食品，包括各类辅料，保证菜品卫生质量。</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5）中标服务方负责食品原材料及辅料等素材的采购，所采购食材及辅料须有品牌、保证品质，报采购方认可，禁止使用“三无”产品、</w:t>
      </w:r>
      <w:r>
        <w:rPr>
          <w:rFonts w:hint="eastAsia" w:ascii="宋体" w:hAnsi="宋体" w:eastAsia="宋体" w:cs="宋体"/>
          <w:color w:val="auto"/>
          <w:sz w:val="24"/>
          <w:szCs w:val="24"/>
          <w:highlight w:val="none"/>
        </w:rPr>
        <w:t xml:space="preserve">地沟油等不合格原料。所购材料必须开具税务发票，以备采购方查验、备案。每日由厨师长开具食材及辅料的用量清单，确保所采购的食材及辅料新鲜、安全、卫生，并对采购的食材及辅料质量负责。所用食物原材料、烹饪原料需有指定的供货商且供货商名录需提供给采购方备案，报采购方认可，采购方认可后方可采购。并检查货物的卫生及质量，需向供货商索取营业执照、身份证和产品检疫合格证等复印件，交采购方保管并负责监督，不得采购假、伪、腐、劣或次品，如检查发现问题，一切责任由中标服务方承担。食品原料除必须符合卫生标准外保证原料的环保和高品质。</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6）采购的原材料做好质量</w:t>
      </w:r>
      <w:r>
        <w:rPr>
          <w:rFonts w:hint="eastAsia" w:ascii="宋体" w:hAnsi="宋体" w:eastAsia="宋体" w:cs="宋体"/>
          <w:color w:val="auto"/>
          <w:sz w:val="24"/>
          <w:szCs w:val="24"/>
          <w:highlight w:val="none"/>
        </w:rPr>
        <w:t xml:space="preserve">、数量、发霉变质食品处理等验收记录。腐败变质、发霉、生虫、有毒、有害、掺杂掺假食品不购买和加工。按采购方要求，使用环保安全的餐具，按时保质保量完成配送餐服务。对就餐餐具必须进行严格清洗和使用消毒柜及沸水进行消毒，确保卫生、环保与安全要求，符合国家及苏州市食品卫生安全法律法规相关规定，并于每周五向采购方提供一周内餐具消毒明细，以确保采购方用餐卫生。根据采购方工作人员用餐习惯，负责回收餐具，不得乱扔乱放，保证采购方场地清洁；中标服务商负责对厨余垃圾的收集及暂存，并在规定时间内，转交具有资质的机构，进行垃圾回收。</w:t>
      </w:r>
      <w:r/>
    </w:p>
    <w:p>
      <w:pPr>
        <w:pStyle w:val="1470"/>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食品制作及加工程序必须符合国家卫生标准。中标服务方供应给采购方的食物必须每天留样，并保存于冰箱48小时以备查验。采购方有权不定时检查中标方的作业场地，并就发现的问题要求中标服务方整改。</w:t>
      </w:r>
      <w:r/>
    </w:p>
    <w:p>
      <w:pPr>
        <w:pStyle w:val="1470"/>
        <w:numPr>
          <w:ilvl w:val="0"/>
          <w:numId w:val="7"/>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中标服务方在食堂经营过程中实行刷卡结算制度和记账结算方式，一律不得收取现金。</w:t>
      </w:r>
      <w:r/>
    </w:p>
    <w:p>
      <w:pPr>
        <w:pStyle w:val="1470"/>
        <w:numPr>
          <w:ilvl w:val="0"/>
          <w:numId w:val="8"/>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综合服务要求</w:t>
      </w:r>
      <w:r/>
    </w:p>
    <w:p>
      <w:pPr>
        <w:ind w:firstLine="480"/>
        <w:spacing w:line="360" w:lineRule="auto"/>
        <w:widowControl/>
        <w:rPr>
          <w:rFonts w:hAnsi="宋体" w:cs="Arial"/>
          <w:sz w:val="24"/>
          <w:szCs w:val="24"/>
        </w:rPr>
      </w:pPr>
      <w:r>
        <w:rPr>
          <w:rFonts w:hint="eastAsia" w:ascii="宋体" w:hAnsi="宋体" w:eastAsia="宋体" w:cs="宋体"/>
          <w:color w:val="auto"/>
          <w:sz w:val="24"/>
          <w:szCs w:val="24"/>
          <w:highlight w:val="none"/>
          <w:lang w:val="en-US" w:eastAsia="zh-CN"/>
        </w:rPr>
        <w:t xml:space="preserve">1）</w:t>
      </w:r>
      <w:r>
        <w:rPr>
          <w:rFonts w:hint="eastAsia" w:hAnsi="宋体" w:cs="Arial"/>
          <w:sz w:val="24"/>
          <w:szCs w:val="24"/>
        </w:rPr>
        <w:t xml:space="preserve">总体食堂运营方案</w:t>
      </w:r>
      <w:r/>
    </w:p>
    <w:p>
      <w:pPr>
        <w:ind w:firstLine="480"/>
        <w:spacing w:line="360" w:lineRule="auto"/>
        <w:widowControl/>
        <w:rPr>
          <w:rFonts w:hAnsi="宋体" w:cs="Arial"/>
          <w:sz w:val="24"/>
          <w:szCs w:val="24"/>
        </w:rPr>
      </w:pPr>
      <w:r>
        <w:rPr>
          <w:rFonts w:hint="eastAsia" w:hAnsi="宋体" w:cs="Arial"/>
          <w:sz w:val="24"/>
          <w:szCs w:val="24"/>
        </w:rPr>
        <w:t xml:space="preserve">投标人需要针对本项目提供总体食堂运营方案，内容至少包括：</w:t>
      </w:r>
      <w:r/>
    </w:p>
    <w:p>
      <w:pPr>
        <w:ind w:firstLine="480"/>
        <w:spacing w:line="360" w:lineRule="auto"/>
        <w:widowControl/>
        <w:rPr>
          <w:rFonts w:hAnsi="宋体" w:cs="Arial"/>
          <w:sz w:val="24"/>
          <w:szCs w:val="24"/>
        </w:rPr>
      </w:pPr>
      <w:r>
        <w:rPr>
          <w:rFonts w:hint="eastAsia" w:hAnsi="宋体" w:cs="Arial"/>
          <w:sz w:val="24"/>
          <w:szCs w:val="24"/>
        </w:rPr>
        <w:t xml:space="preserve">①顾客需求分析：包括但不限于对就餐时间、设备设施、服务人员、营养搭配等需求进行分析；</w:t>
      </w:r>
      <w:r/>
    </w:p>
    <w:p>
      <w:pPr>
        <w:ind w:firstLine="480"/>
        <w:spacing w:line="360" w:lineRule="auto"/>
        <w:widowControl/>
        <w:rPr>
          <w:rFonts w:hAnsi="宋体" w:cs="Arial"/>
          <w:sz w:val="24"/>
          <w:szCs w:val="24"/>
        </w:rPr>
      </w:pPr>
      <w:r>
        <w:rPr>
          <w:rFonts w:hint="eastAsia" w:hAnsi="宋体" w:cs="Arial"/>
          <w:sz w:val="24"/>
          <w:szCs w:val="24"/>
        </w:rPr>
        <w:t xml:space="preserve">②成本控制措施：包括但不限于采购成本、存储成本、人力成本等进行成本控制的措施；</w:t>
      </w:r>
      <w:r/>
    </w:p>
    <w:p>
      <w:pPr>
        <w:ind w:firstLine="480"/>
        <w:spacing w:line="360" w:lineRule="auto"/>
        <w:widowControl/>
        <w:rPr>
          <w:rFonts w:hAnsi="宋体" w:cs="Arial"/>
          <w:sz w:val="24"/>
          <w:szCs w:val="24"/>
        </w:rPr>
      </w:pPr>
      <w:r>
        <w:rPr>
          <w:rFonts w:hint="eastAsia" w:hAnsi="宋体" w:cs="Arial"/>
          <w:sz w:val="24"/>
          <w:szCs w:val="24"/>
        </w:rPr>
        <w:t xml:space="preserve">③对食堂的理解和定位：包括但不限于经营理念、服务宗旨、服务目标等内容；</w:t>
      </w:r>
      <w:r/>
    </w:p>
    <w:p>
      <w:pPr>
        <w:ind w:firstLine="480"/>
        <w:spacing w:line="360" w:lineRule="auto"/>
        <w:widowControl/>
        <w:rPr>
          <w:rFonts w:hAnsi="宋体" w:cs="Arial"/>
          <w:sz w:val="24"/>
          <w:szCs w:val="24"/>
        </w:rPr>
      </w:pPr>
      <w:r>
        <w:rPr>
          <w:rFonts w:hint="eastAsia" w:hAnsi="宋体" w:cs="Arial"/>
          <w:sz w:val="24"/>
          <w:szCs w:val="24"/>
        </w:rPr>
        <w:t xml:space="preserve">④信息技术的运用：包括但不限于智能点餐、数据分析、反馈机制等内容。</w:t>
      </w:r>
      <w:r/>
    </w:p>
    <w:p>
      <w:pPr>
        <w:ind w:firstLine="480"/>
        <w:spacing w:line="360" w:lineRule="auto"/>
        <w:widowControl/>
        <w:rPr>
          <w:rFonts w:hAnsi="宋体" w:cs="Arial"/>
          <w:sz w:val="24"/>
          <w:szCs w:val="24"/>
        </w:rPr>
      </w:pPr>
      <w:r>
        <w:rPr>
          <w:rFonts w:hint="eastAsia" w:ascii="宋体" w:hAnsi="宋体" w:eastAsia="宋体" w:cs="宋体"/>
          <w:color w:val="auto"/>
          <w:sz w:val="24"/>
          <w:szCs w:val="24"/>
          <w:highlight w:val="none"/>
          <w:lang w:val="en-US" w:eastAsia="zh-CN"/>
        </w:rPr>
        <w:t xml:space="preserve">2）</w:t>
      </w:r>
      <w:r>
        <w:rPr>
          <w:rFonts w:hint="eastAsia" w:hAnsi="宋体" w:cs="Arial"/>
          <w:sz w:val="24"/>
          <w:szCs w:val="24"/>
        </w:rPr>
        <w:t xml:space="preserve">原料采购</w:t>
      </w:r>
      <w:r>
        <w:rPr>
          <w:rFonts w:hint="eastAsia" w:hAnsi="宋体" w:cs="Arial"/>
          <w:sz w:val="24"/>
          <w:szCs w:val="24"/>
          <w:lang w:val="en-US" w:eastAsia="zh-CN"/>
        </w:rPr>
        <w:t xml:space="preserve">方</w:t>
      </w:r>
      <w:r>
        <w:rPr>
          <w:rFonts w:hint="eastAsia" w:hAnsi="宋体" w:cs="Arial"/>
          <w:sz w:val="24"/>
          <w:szCs w:val="24"/>
        </w:rPr>
        <w:t xml:space="preserve">案</w:t>
      </w:r>
      <w:r/>
    </w:p>
    <w:p>
      <w:pPr>
        <w:ind w:firstLine="480"/>
        <w:spacing w:line="360" w:lineRule="auto"/>
        <w:widowControl/>
        <w:rPr>
          <w:rFonts w:hAnsi="宋体" w:cs="Arial"/>
          <w:sz w:val="24"/>
          <w:szCs w:val="24"/>
        </w:rPr>
      </w:pPr>
      <w:r>
        <w:rPr>
          <w:rFonts w:hint="eastAsia" w:hAnsi="宋体" w:cs="Arial"/>
          <w:sz w:val="24"/>
          <w:szCs w:val="24"/>
        </w:rPr>
        <w:t xml:space="preserve">投标人需要针对本项目提供原料采购</w:t>
      </w:r>
      <w:r>
        <w:rPr>
          <w:rFonts w:hint="eastAsia" w:hAnsi="宋体" w:cs="Arial"/>
          <w:sz w:val="24"/>
          <w:szCs w:val="24"/>
          <w:lang w:val="en-US" w:eastAsia="zh-CN"/>
        </w:rPr>
        <w:t xml:space="preserve">方</w:t>
      </w:r>
      <w:r>
        <w:rPr>
          <w:rFonts w:hint="eastAsia" w:hAnsi="宋体" w:cs="Arial"/>
          <w:sz w:val="24"/>
          <w:szCs w:val="24"/>
        </w:rPr>
        <w:t xml:space="preserve">案，内容至少包括：</w:t>
      </w:r>
      <w:r/>
    </w:p>
    <w:p>
      <w:pPr>
        <w:ind w:firstLine="480"/>
        <w:spacing w:line="360" w:lineRule="auto"/>
        <w:widowControl/>
        <w:rPr>
          <w:rFonts w:hAnsi="宋体" w:cs="Arial"/>
          <w:sz w:val="24"/>
          <w:szCs w:val="24"/>
        </w:rPr>
      </w:pPr>
      <w:r>
        <w:rPr>
          <w:rFonts w:hint="eastAsia" w:hAnsi="宋体" w:cs="Arial"/>
          <w:sz w:val="24"/>
          <w:szCs w:val="24"/>
        </w:rPr>
        <w:t xml:space="preserve">①原料采购的管理办法：包括但不限于采购原则、采购流程、查验管理等内容；</w:t>
      </w:r>
      <w:r/>
    </w:p>
    <w:p>
      <w:pPr>
        <w:ind w:firstLine="480"/>
        <w:spacing w:line="360" w:lineRule="auto"/>
        <w:widowControl/>
        <w:rPr>
          <w:rFonts w:hAnsi="宋体" w:cs="Arial"/>
          <w:sz w:val="24"/>
          <w:szCs w:val="24"/>
        </w:rPr>
      </w:pPr>
      <w:r>
        <w:rPr>
          <w:rFonts w:hint="eastAsia" w:hAnsi="宋体" w:cs="Arial"/>
          <w:sz w:val="24"/>
          <w:szCs w:val="24"/>
        </w:rPr>
        <w:t xml:space="preserve">②对供货商的管理措施：包括但不限于供应商选择、备案管理、监督管理等内容；</w:t>
      </w:r>
      <w:r/>
    </w:p>
    <w:p>
      <w:pPr>
        <w:ind w:firstLine="480"/>
        <w:spacing w:line="360" w:lineRule="auto"/>
        <w:widowControl/>
        <w:rPr>
          <w:rFonts w:hAnsi="宋体" w:cs="Arial"/>
          <w:sz w:val="24"/>
          <w:szCs w:val="24"/>
        </w:rPr>
      </w:pPr>
      <w:r>
        <w:rPr>
          <w:rFonts w:hint="eastAsia" w:hAnsi="宋体" w:cs="Arial"/>
          <w:sz w:val="24"/>
          <w:szCs w:val="24"/>
        </w:rPr>
        <w:t xml:space="preserve">③食品储存安全管理措施：包括但不限于溯源、食品储存操作规范、入库流程等内容。</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lang w:val="en-US" w:eastAsia="zh-CN"/>
        </w:rPr>
        <w:t xml:space="preserve">3）</w:t>
      </w:r>
      <w:r>
        <w:rPr>
          <w:rFonts w:hint="eastAsia" w:ascii="Times New Roman" w:hAnsi="宋体" w:eastAsia="宋体" w:cs="Arial"/>
          <w:sz w:val="24"/>
          <w:szCs w:val="24"/>
        </w:rPr>
        <w:t xml:space="preserve">食堂安全卫生管理措施</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投标人需要针对本项目提供食堂安全卫生管理措施，内容至少包括：</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①人员卫生管理措施：包括但不限于健康检查、着装规定、仪容仪表等内容；</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②环境卫生管理措施：包括但不限于库房卫生、厨房卫生、食堂卫生管理等内容；</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③消防安全管理措施：包括但不限于火灾控制预防、安全知识培训、消防演练等内容；</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lang w:val="en-US" w:eastAsia="zh-CN"/>
        </w:rPr>
        <w:t xml:space="preserve">4）</w:t>
      </w:r>
      <w:r>
        <w:rPr>
          <w:rFonts w:hint="eastAsia" w:ascii="Times New Roman" w:hAnsi="宋体" w:eastAsia="宋体" w:cs="Arial"/>
          <w:sz w:val="24"/>
          <w:szCs w:val="24"/>
        </w:rPr>
        <w:t xml:space="preserve">内部管理措施</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投标人需要针对本项目提供内部管理措施，内容至少包括：</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①内部管理架构：包括但不限于组织架构、公司内部岗位职责、各岗位职责等内容；</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②工作人员工作标准：包括但不限于入职培训、行为规范、设备使用维护等内容；</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③奖惩制度：包括但不限于绩效考核、奖励制度、惩罚制度等内容；</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lang w:val="en-US" w:eastAsia="zh-CN"/>
        </w:rPr>
        <w:t xml:space="preserve">5）</w:t>
      </w:r>
      <w:r>
        <w:rPr>
          <w:rFonts w:hint="eastAsia" w:ascii="Times New Roman" w:hAnsi="宋体" w:eastAsia="宋体" w:cs="Arial"/>
          <w:sz w:val="24"/>
          <w:szCs w:val="24"/>
        </w:rPr>
        <w:t xml:space="preserve">食堂节能节约计划和管理措施</w:t>
      </w:r>
      <w:r/>
    </w:p>
    <w:p>
      <w:pPr>
        <w:ind w:firstLine="480"/>
        <w:spacing w:line="360" w:lineRule="auto"/>
        <w:widowControl/>
        <w:rPr>
          <w:rFonts w:hAnsi="宋体" w:cs="Arial"/>
          <w:sz w:val="24"/>
          <w:szCs w:val="24"/>
        </w:rPr>
      </w:pPr>
      <w:r>
        <w:rPr>
          <w:rFonts w:hint="eastAsia" w:ascii="Times New Roman" w:hAnsi="宋体" w:eastAsia="宋体" w:cs="Arial"/>
          <w:sz w:val="24"/>
          <w:szCs w:val="24"/>
        </w:rPr>
        <w:t xml:space="preserve">投标人需要针对本项目提供食堂节能节约</w:t>
      </w:r>
      <w:r>
        <w:rPr>
          <w:rFonts w:hint="eastAsia" w:hAnsi="宋体" w:cs="Arial"/>
          <w:sz w:val="24"/>
          <w:szCs w:val="24"/>
        </w:rPr>
        <w:t xml:space="preserve">计划和管理措施，内容至少包括：</w:t>
      </w:r>
      <w:r/>
    </w:p>
    <w:p>
      <w:pPr>
        <w:ind w:firstLine="480"/>
        <w:spacing w:line="360" w:lineRule="auto"/>
        <w:widowControl/>
        <w:rPr>
          <w:rFonts w:hAnsi="宋体" w:cs="Arial"/>
          <w:sz w:val="24"/>
          <w:szCs w:val="24"/>
        </w:rPr>
      </w:pPr>
      <w:r>
        <w:rPr>
          <w:rFonts w:hint="eastAsia" w:hAnsi="宋体" w:cs="Arial"/>
          <w:sz w:val="24"/>
          <w:szCs w:val="24"/>
        </w:rPr>
        <w:t xml:space="preserve">①节能环保计划的推广与实施：包括但不限于能耗监测、回收利用、宣传教育等内容；</w:t>
      </w:r>
      <w:r/>
    </w:p>
    <w:p>
      <w:pPr>
        <w:ind w:firstLine="480"/>
        <w:spacing w:line="360" w:lineRule="auto"/>
        <w:widowControl/>
        <w:rPr>
          <w:rFonts w:hAnsi="宋体" w:cs="Arial"/>
          <w:sz w:val="24"/>
          <w:szCs w:val="24"/>
        </w:rPr>
      </w:pPr>
      <w:r>
        <w:rPr>
          <w:rFonts w:hint="eastAsia" w:hAnsi="宋体" w:cs="Arial"/>
          <w:sz w:val="24"/>
          <w:szCs w:val="24"/>
        </w:rPr>
        <w:t xml:space="preserve">②节水管理措施：包括但不限于节水措施、监督管理、设备维护等内容；</w:t>
      </w:r>
      <w:r/>
    </w:p>
    <w:p>
      <w:pPr>
        <w:ind w:firstLine="480"/>
        <w:spacing w:line="360" w:lineRule="auto"/>
        <w:widowControl/>
        <w:rPr>
          <w:rFonts w:hAnsi="宋体" w:cs="Arial"/>
          <w:sz w:val="24"/>
          <w:szCs w:val="24"/>
        </w:rPr>
      </w:pPr>
      <w:r>
        <w:rPr>
          <w:rFonts w:hint="eastAsia" w:hAnsi="宋体" w:cs="Arial"/>
          <w:sz w:val="24"/>
          <w:szCs w:val="24"/>
        </w:rPr>
        <w:t xml:space="preserve">③节电管理措施：包括但不限于节电措施、监督管理、设备维护等内容；</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lang w:val="en-US" w:eastAsia="zh-CN"/>
        </w:rPr>
        <w:t xml:space="preserve">6）</w:t>
      </w:r>
      <w:r>
        <w:rPr>
          <w:rFonts w:hint="eastAsia" w:ascii="Times New Roman" w:hAnsi="宋体" w:eastAsia="宋体" w:cs="Arial"/>
          <w:sz w:val="24"/>
          <w:szCs w:val="24"/>
        </w:rPr>
        <w:t xml:space="preserve">突发事件应急预案</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投标人需要针对本项目提供突发事件应急预案，内容至少包括：</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①食物中毒应急预案：包括但不限于食品留样、上报制度等；</w:t>
      </w:r>
      <w:r/>
    </w:p>
    <w:p>
      <w:pPr>
        <w:ind w:firstLine="480"/>
        <w:spacing w:line="360" w:lineRule="auto"/>
        <w:widowControl/>
        <w:rPr>
          <w:rFonts w:hint="eastAsia" w:ascii="Times New Roman" w:hAnsi="宋体" w:eastAsia="宋体" w:cs="Arial"/>
          <w:sz w:val="24"/>
          <w:szCs w:val="24"/>
        </w:rPr>
      </w:pPr>
      <w:r>
        <w:rPr>
          <w:rFonts w:hint="eastAsia" w:ascii="Times New Roman" w:hAnsi="宋体" w:eastAsia="宋体" w:cs="Arial"/>
          <w:sz w:val="24"/>
          <w:szCs w:val="24"/>
        </w:rPr>
        <w:t xml:space="preserve">②自然灾害类应急预案：包括但不限于地震、台风、洪涝、雷电等；</w:t>
      </w:r>
      <w:r/>
    </w:p>
    <w:p>
      <w:pPr>
        <w:ind w:firstLine="480"/>
        <w:spacing w:line="360" w:lineRule="auto"/>
        <w:widowControl/>
        <w:rPr>
          <w:rFonts w:hint="default" w:ascii="宋体" w:hAnsi="宋体" w:eastAsia="宋体" w:cs="宋体"/>
          <w:color w:val="auto"/>
          <w:sz w:val="24"/>
          <w:szCs w:val="24"/>
          <w:highlight w:val="none"/>
          <w:lang w:val="en-US" w:eastAsia="zh-CN"/>
        </w:rPr>
      </w:pPr>
      <w:r>
        <w:rPr>
          <w:rFonts w:hint="eastAsia" w:ascii="Times New Roman" w:hAnsi="宋体" w:eastAsia="宋体" w:cs="Arial"/>
          <w:sz w:val="24"/>
          <w:szCs w:val="24"/>
          <w:lang w:val="en-US" w:eastAsia="zh-CN"/>
        </w:rPr>
        <w:t xml:space="preserve">③突发性事件应急预案：包括但不限于停水停电停气、设备故障、公共卫生事件等。</w:t>
      </w:r>
      <w:r/>
    </w:p>
    <w:p>
      <w:pPr>
        <w:pStyle w:val="1470"/>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outlineLvl w:val="1"/>
      </w:pPr>
      <w:r>
        <w:rPr>
          <w:rFonts w:hint="eastAsia" w:hAnsi="宋体" w:eastAsia="宋体" w:cs="宋体"/>
          <w:b/>
          <w:color w:val="auto"/>
          <w:sz w:val="24"/>
          <w:szCs w:val="24"/>
          <w:highlight w:val="none"/>
          <w:lang w:val="en-US" w:eastAsia="zh-CN"/>
        </w:rPr>
        <w:t xml:space="preserve">六、考核方法和费用支付：</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考核办法：服从采购方管理，在检查中发现礼节礼貌、仪表仪容、设备设施、卫生保洁、工作质量、服务态度、执行制度等方面存在的问题，依据采购单位考核标准（见附件一《考核标准》）的要求进行考核。中标单位在签订合同后有</w:t>
      </w:r>
      <w:r>
        <w:rPr>
          <w:rFonts w:hint="eastAsia"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rPr>
        <w:t xml:space="preserve">个月的试用期，若在试用期间中标单位月考核分数</w:t>
      </w:r>
      <w:r>
        <w:rPr>
          <w:rFonts w:hint="eastAsia" w:cs="宋体"/>
          <w:color w:val="auto"/>
          <w:sz w:val="24"/>
          <w:szCs w:val="24"/>
          <w:highlight w:val="none"/>
          <w:lang w:val="en-US" w:eastAsia="zh-CN"/>
        </w:rPr>
        <w:t xml:space="preserve">80（含80）分</w:t>
      </w:r>
      <w:r>
        <w:rPr>
          <w:rFonts w:hint="eastAsia" w:ascii="宋体" w:hAnsi="宋体" w:eastAsia="宋体" w:cs="宋体"/>
          <w:color w:val="auto"/>
          <w:sz w:val="24"/>
          <w:szCs w:val="24"/>
          <w:highlight w:val="none"/>
          <w:lang w:val="en-US"/>
        </w:rPr>
        <w:t xml:space="preserve">以上的，则该合同继续进行；若在此期间内中标单位月考核分数</w:t>
      </w:r>
      <w:r>
        <w:rPr>
          <w:rFonts w:hint="eastAsia"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rPr>
        <w:t xml:space="preserve">分以下的，中标单位进入</w:t>
      </w:r>
      <w:r>
        <w:rPr>
          <w:rFonts w:hint="eastAsia"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rPr>
        <w:t xml:space="preserve">个月整改期，</w:t>
      </w:r>
      <w:r>
        <w:rPr>
          <w:rFonts w:hint="eastAsia" w:cs="宋体"/>
          <w:color w:val="auto"/>
          <w:sz w:val="24"/>
          <w:szCs w:val="24"/>
          <w:highlight w:val="none"/>
          <w:lang w:val="en-US" w:eastAsia="zh-CN"/>
        </w:rPr>
        <w:t xml:space="preserve">整改期间</w:t>
      </w:r>
      <w:r>
        <w:rPr>
          <w:rFonts w:hint="eastAsia" w:ascii="宋体" w:hAnsi="宋体" w:eastAsia="宋体" w:cs="宋体"/>
          <w:color w:val="auto"/>
          <w:sz w:val="24"/>
          <w:szCs w:val="24"/>
          <w:highlight w:val="none"/>
          <w:lang w:val="en-US"/>
        </w:rPr>
        <w:t xml:space="preserve">考核分数</w:t>
      </w:r>
      <w:r>
        <w:rPr>
          <w:rFonts w:hint="eastAsia"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rPr>
        <w:t xml:space="preserve">分以下的，则采购单位可以无条件终止合同。试用期自签订合同之日起开始计算。</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每月考核结果与服务费用挂钩，月考核≥90分，当月服务费全额给付；如月考核80-89分，</w:t>
      </w:r>
      <w:r>
        <w:rPr>
          <w:rFonts w:hint="eastAsia" w:cs="宋体"/>
          <w:color w:val="auto"/>
          <w:sz w:val="24"/>
          <w:szCs w:val="24"/>
          <w:highlight w:val="none"/>
          <w:lang w:val="en-US" w:eastAsia="zh-CN"/>
        </w:rPr>
        <w:t xml:space="preserve">相比90分</w:t>
      </w:r>
      <w:r>
        <w:rPr>
          <w:rFonts w:hint="eastAsia" w:ascii="宋体" w:hAnsi="宋体" w:eastAsia="宋体" w:cs="宋体"/>
          <w:color w:val="auto"/>
          <w:sz w:val="24"/>
          <w:szCs w:val="24"/>
          <w:highlight w:val="none"/>
          <w:lang w:val="en-US"/>
        </w:rPr>
        <w:t xml:space="preserve">每下降1分扣除当月服务费0.</w:t>
      </w:r>
      <w:r>
        <w:rPr>
          <w:rFonts w:hint="eastAsia"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rPr>
        <w:t xml:space="preserve">%；月考核</w:t>
      </w:r>
      <w:r>
        <w:rPr>
          <w:rFonts w:hint="eastAsia" w:cs="宋体"/>
          <w:color w:val="auto"/>
          <w:sz w:val="24"/>
          <w:szCs w:val="24"/>
          <w:highlight w:val="none"/>
          <w:lang w:val="en-US" w:eastAsia="zh-CN"/>
        </w:rPr>
        <w:t xml:space="preserve">70-</w:t>
      </w:r>
      <w:r>
        <w:rPr>
          <w:rFonts w:hint="eastAsia" w:ascii="宋体" w:hAnsi="宋体" w:eastAsia="宋体" w:cs="宋体"/>
          <w:color w:val="auto"/>
          <w:sz w:val="24"/>
          <w:szCs w:val="24"/>
          <w:highlight w:val="none"/>
          <w:lang w:val="en-US"/>
        </w:rPr>
        <w:t xml:space="preserve">79分</w:t>
      </w:r>
      <w:r>
        <w:rPr>
          <w:rFonts w:hint="eastAsia" w:cs="宋体"/>
          <w:color w:val="auto"/>
          <w:sz w:val="24"/>
          <w:szCs w:val="24"/>
          <w:highlight w:val="none"/>
          <w:lang w:val="en-US" w:eastAsia="zh-CN"/>
        </w:rPr>
        <w:t xml:space="preserve">，相比90分</w:t>
      </w:r>
      <w:r>
        <w:rPr>
          <w:rFonts w:hint="eastAsia" w:ascii="宋体" w:hAnsi="宋体" w:eastAsia="宋体" w:cs="宋体"/>
          <w:color w:val="auto"/>
          <w:sz w:val="24"/>
          <w:szCs w:val="24"/>
          <w:highlight w:val="none"/>
          <w:lang w:val="en-US"/>
        </w:rPr>
        <w:t xml:space="preserve">每下降1分扣除当月服务费</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%；月考核</w:t>
      </w:r>
      <w:r>
        <w:rPr>
          <w:rFonts w:hint="eastAsia"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rPr>
        <w:t xml:space="preserve">69分</w:t>
      </w:r>
      <w:r>
        <w:rPr>
          <w:rFonts w:hint="eastAsia" w:cs="宋体"/>
          <w:color w:val="auto"/>
          <w:sz w:val="24"/>
          <w:szCs w:val="24"/>
          <w:highlight w:val="none"/>
          <w:lang w:val="en-US" w:eastAsia="zh-CN"/>
        </w:rPr>
        <w:t xml:space="preserve">，相比90分</w:t>
      </w:r>
      <w:r>
        <w:rPr>
          <w:rFonts w:hint="eastAsia" w:ascii="宋体" w:hAnsi="宋体" w:eastAsia="宋体" w:cs="宋体"/>
          <w:color w:val="auto"/>
          <w:sz w:val="24"/>
          <w:szCs w:val="24"/>
          <w:highlight w:val="none"/>
          <w:lang w:val="en-US"/>
        </w:rPr>
        <w:t xml:space="preserve">每下降1分扣除当月服务费</w:t>
      </w:r>
      <w:r>
        <w:rPr>
          <w:rFonts w:hint="eastAsia"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月考核60分以下，</w:t>
      </w:r>
      <w:r>
        <w:rPr>
          <w:rFonts w:hint="eastAsia" w:hAnsi="宋体" w:cs="宋体"/>
          <w:color w:val="auto"/>
          <w:sz w:val="24"/>
          <w:szCs w:val="24"/>
          <w:highlight w:val="none"/>
          <w:lang w:val="en-US" w:eastAsia="zh-CN"/>
        </w:rPr>
        <w:t xml:space="preserve">直接扣除当月结算费用的</w:t>
      </w:r>
      <w:r>
        <w:rPr>
          <w:rFonts w:hint="eastAsia" w:cs="宋体"/>
          <w:color w:val="auto"/>
          <w:sz w:val="24"/>
          <w:szCs w:val="24"/>
          <w:highlight w:val="none"/>
          <w:lang w:val="en-US" w:eastAsia="zh-CN"/>
        </w:rPr>
        <w:t xml:space="preserve">50</w:t>
      </w:r>
      <w:r>
        <w:rPr>
          <w:rFonts w:hint="eastAsia" w:hAnsi="宋体" w:cs="宋体"/>
          <w:color w:val="auto"/>
          <w:sz w:val="24"/>
          <w:szCs w:val="24"/>
          <w:highlight w:val="none"/>
          <w:lang w:val="en-US" w:eastAsia="zh-CN"/>
        </w:rPr>
        <w:t xml:space="preserve">%，月考核分数</w:t>
      </w:r>
      <w:r>
        <w:rPr>
          <w:rFonts w:hint="eastAsia" w:cs="宋体"/>
          <w:color w:val="auto"/>
          <w:sz w:val="24"/>
          <w:szCs w:val="24"/>
          <w:highlight w:val="none"/>
          <w:lang w:val="en-US" w:eastAsia="zh-CN"/>
        </w:rPr>
        <w:t xml:space="preserve">低于</w:t>
      </w:r>
      <w:r>
        <w:rPr>
          <w:rFonts w:hint="eastAsia" w:hAnsi="宋体" w:cs="宋体"/>
          <w:color w:val="auto"/>
          <w:sz w:val="24"/>
          <w:szCs w:val="24"/>
          <w:highlight w:val="none"/>
          <w:lang w:val="en-US" w:eastAsia="zh-CN"/>
        </w:rPr>
        <w:t xml:space="preserve">80分以下</w:t>
      </w:r>
      <w:r>
        <w:rPr>
          <w:rFonts w:hint="eastAsia" w:ascii="宋体" w:hAnsi="宋体" w:eastAsia="宋体" w:cs="宋体"/>
          <w:color w:val="auto"/>
          <w:sz w:val="24"/>
          <w:szCs w:val="24"/>
          <w:highlight w:val="none"/>
          <w:lang w:val="en-US"/>
        </w:rPr>
        <w:t xml:space="preserve">，</w:t>
      </w:r>
      <w:r>
        <w:rPr>
          <w:rFonts w:hint="eastAsia" w:cs="宋体"/>
          <w:color w:val="auto"/>
          <w:sz w:val="24"/>
          <w:szCs w:val="24"/>
          <w:highlight w:val="none"/>
          <w:lang w:val="en-US" w:eastAsia="zh-CN"/>
        </w:rPr>
        <w:t xml:space="preserve">中标单位进入一个月整改期</w:t>
      </w:r>
      <w:r>
        <w:rPr>
          <w:rFonts w:hint="eastAsia" w:ascii="宋体" w:hAnsi="宋体" w:eastAsia="宋体" w:cs="宋体"/>
          <w:color w:val="auto"/>
          <w:sz w:val="24"/>
          <w:szCs w:val="24"/>
          <w:highlight w:val="none"/>
          <w:lang w:val="en-US"/>
        </w:rPr>
        <w:t xml:space="preserve">，</w:t>
      </w:r>
      <w:r>
        <w:rPr>
          <w:rFonts w:hint="eastAsia" w:cs="宋体"/>
          <w:color w:val="auto"/>
          <w:sz w:val="24"/>
          <w:szCs w:val="24"/>
          <w:highlight w:val="none"/>
          <w:lang w:val="en-US" w:eastAsia="zh-CN"/>
        </w:rPr>
        <w:t xml:space="preserve">整改期间</w:t>
      </w:r>
      <w:r>
        <w:rPr>
          <w:rFonts w:hint="eastAsia" w:ascii="宋体" w:hAnsi="宋体" w:eastAsia="宋体" w:cs="宋体"/>
          <w:color w:val="auto"/>
          <w:sz w:val="24"/>
          <w:szCs w:val="24"/>
          <w:highlight w:val="none"/>
          <w:lang w:val="en-US"/>
        </w:rPr>
        <w:t xml:space="preserve">考核分数</w:t>
      </w:r>
      <w:r>
        <w:rPr>
          <w:rFonts w:hint="eastAsia" w:cs="宋体"/>
          <w:color w:val="auto"/>
          <w:sz w:val="24"/>
          <w:szCs w:val="24"/>
          <w:highlight w:val="none"/>
          <w:lang w:val="en-US" w:eastAsia="zh-CN"/>
        </w:rPr>
        <w:t xml:space="preserve">低于80</w:t>
      </w:r>
      <w:r>
        <w:rPr>
          <w:rFonts w:hint="eastAsia" w:ascii="宋体" w:hAnsi="宋体" w:eastAsia="宋体" w:cs="宋体"/>
          <w:color w:val="auto"/>
          <w:sz w:val="24"/>
          <w:szCs w:val="24"/>
          <w:highlight w:val="none"/>
          <w:lang w:val="en-US"/>
        </w:rPr>
        <w:t xml:space="preserve">分以下的，则采购单位可以无条件终止合</w:t>
      </w:r>
      <w:r>
        <w:rPr>
          <w:rFonts w:hint="eastAsia" w:ascii="宋体" w:hAnsi="宋体" w:eastAsia="宋体" w:cs="宋体"/>
          <w:color w:val="auto"/>
          <w:sz w:val="24"/>
          <w:szCs w:val="24"/>
          <w:highlight w:val="none"/>
          <w:lang w:val="en-US"/>
        </w:rPr>
        <w:t xml:space="preserve">同。</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2、费用支付：详见合同条款</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3、费用结算：</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（1）人数及餐费标准</w:t>
      </w:r>
      <w:r/>
    </w:p>
    <w:tbl>
      <w:tblPr>
        <w:tblStyle w:val="1115"/>
        <w:tblW w:w="7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92"/>
        <w:gridCol w:w="2134"/>
        <w:gridCol w:w="3304"/>
      </w:tblGrid>
      <w:tr>
        <w:trPr>
          <w:jc w:val="center"/>
          <w:trHeight w:val="454"/>
        </w:trPr>
        <w:tc>
          <w:tcPr>
            <w:tcW w:w="1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条目</w:t>
            </w:r>
            <w:r/>
          </w:p>
        </w:tc>
        <w:tc>
          <w:tcPr>
            <w:tcW w:w="213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最高限价</w:t>
            </w:r>
            <w:r/>
          </w:p>
        </w:tc>
        <w:tc>
          <w:tcPr>
            <w:tcW w:w="330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454"/>
        </w:trPr>
        <w:tc>
          <w:tcPr>
            <w:tcW w:w="1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早餐</w:t>
            </w:r>
            <w:r/>
          </w:p>
        </w:tc>
        <w:tc>
          <w:tcPr>
            <w:tcW w:w="2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元/人</w:t>
            </w:r>
            <w:r/>
          </w:p>
        </w:tc>
        <w:tc>
          <w:tcPr>
            <w:tcW w:w="3304"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计划约300人（因离职调动等原因人数会有变动）*30元/人/工作日*</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年用餐天数</w:t>
            </w:r>
            <w:r/>
          </w:p>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（约</w:t>
            </w:r>
            <w:r>
              <w:rPr>
                <w:rFonts w:hint="eastAsia" w:ascii="宋体" w:hAnsi="宋体" w:cs="宋体"/>
                <w:color w:val="auto"/>
                <w:sz w:val="24"/>
                <w:szCs w:val="24"/>
                <w:highlight w:val="none"/>
                <w:lang w:val="en-US" w:eastAsia="zh-CN"/>
              </w:rPr>
              <w:t xml:space="preserve">4833000</w:t>
            </w:r>
            <w:r>
              <w:rPr>
                <w:rFonts w:hint="eastAsia" w:ascii="宋体" w:hAnsi="宋体" w:eastAsia="宋体" w:cs="宋体"/>
                <w:color w:val="auto"/>
                <w:sz w:val="24"/>
                <w:szCs w:val="24"/>
                <w:highlight w:val="none"/>
                <w:lang w:val="en-US" w:eastAsia="zh-CN"/>
              </w:rPr>
              <w:t xml:space="preserve">.00）</w:t>
            </w:r>
            <w:r>
              <w:rPr>
                <w:rFonts w:hint="eastAsia" w:ascii="宋体" w:hAnsi="宋体" w:cs="宋体"/>
                <w:color w:val="auto"/>
                <w:sz w:val="24"/>
                <w:szCs w:val="24"/>
                <w:highlight w:val="none"/>
                <w:lang w:val="en-US" w:eastAsia="zh-CN"/>
              </w:rPr>
              <w:t xml:space="preserve">，因该笔餐费是以员工刷卡金额结算，所以此</w:t>
            </w:r>
            <w:r>
              <w:rPr>
                <w:rFonts w:hint="eastAsia" w:ascii="宋体" w:hAnsi="宋体" w:eastAsia="宋体" w:cs="宋体"/>
                <w:color w:val="auto"/>
                <w:sz w:val="24"/>
                <w:szCs w:val="24"/>
                <w:highlight w:val="none"/>
                <w:lang w:val="en-US" w:eastAsia="zh-CN"/>
              </w:rPr>
              <w:t xml:space="preserve">价格不得竞</w:t>
            </w:r>
            <w:r>
              <w:rPr>
                <w:rFonts w:hint="eastAsia" w:ascii="宋体" w:hAnsi="宋体" w:cs="宋体"/>
                <w:color w:val="auto"/>
                <w:sz w:val="24"/>
                <w:szCs w:val="24"/>
                <w:highlight w:val="none"/>
                <w:lang w:val="en-US" w:eastAsia="zh-CN"/>
              </w:rPr>
              <w:t xml:space="preserve">价</w:t>
            </w:r>
            <w:r/>
          </w:p>
        </w:tc>
      </w:tr>
      <w:tr>
        <w:trPr>
          <w:jc w:val="center"/>
          <w:trHeight w:val="454"/>
        </w:trPr>
        <w:tc>
          <w:tcPr>
            <w:tcW w:w="1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午餐</w:t>
            </w:r>
            <w:r/>
          </w:p>
        </w:tc>
        <w:tc>
          <w:tcPr>
            <w:tcW w:w="2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元/人</w:t>
            </w:r>
            <w:r/>
          </w:p>
        </w:tc>
        <w:tc>
          <w:tcPr>
            <w:tcW w:w="3304" w:type="dxa"/>
            <w:vAlign w:val="center"/>
            <w:vMerge w:val="continue"/>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54"/>
        </w:trPr>
        <w:tc>
          <w:tcPr>
            <w:tcW w:w="199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运营服务费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食堂耗材、清洁易耗品、食堂用杂品（餐巾纸、牙签等）及卫生用品等</w:t>
            </w:r>
            <w:r/>
          </w:p>
        </w:tc>
        <w:tc>
          <w:tcPr>
            <w:tcW w:w="213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2797000</w:t>
            </w:r>
            <w:r/>
          </w:p>
        </w:tc>
        <w:tc>
          <w:tcPr>
            <w:tcW w:w="330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1456"/>
        <w:ind w:firstLine="896"/>
        <w:jc w:val="left"/>
        <w:spacing w:line="360" w:lineRule="auto"/>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备注：员工饭卡支持在已签约的其他商户使用，员工饭卡上余额无年度作废机制。</w:t>
      </w:r>
      <w:r/>
    </w:p>
    <w:p>
      <w:pPr>
        <w:pStyle w:val="1456"/>
        <w:ind w:firstLine="896"/>
        <w:jc w:val="left"/>
        <w:spacing w:line="360" w:lineRule="auto"/>
        <w:rPr>
          <w:rFonts w:hint="default" w:cs="宋体"/>
          <w:color w:val="auto"/>
          <w:sz w:val="21"/>
          <w:szCs w:val="21"/>
          <w:highlight w:val="none"/>
          <w:lang w:val="en-US" w:eastAsia="zh-CN"/>
        </w:rPr>
      </w:pPr>
      <w:r>
        <w:rPr>
          <w:rFonts w:hint="default" w:cs="宋体"/>
          <w:color w:val="auto"/>
          <w:sz w:val="21"/>
          <w:szCs w:val="21"/>
          <w:highlight w:val="none"/>
          <w:lang w:val="en-US" w:eastAsia="zh-CN"/>
        </w:rPr>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rPr>
        <w:t xml:space="preserve">金额包括在承包期内所有工作人员餐费、服务费和管理费、各种食堂耗材、食材、调味品、一次性打包盒、餐具、餐巾纸、洗涤用品、利润、工资、税金、风险及政策性文件规定等的各项费用。</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（3）餐费结算标准：实际月结算费用=</w:t>
      </w:r>
      <w:r>
        <w:rPr>
          <w:rFonts w:hint="eastAsia" w:cs="宋体"/>
          <w:color w:val="auto"/>
          <w:sz w:val="24"/>
          <w:szCs w:val="24"/>
          <w:highlight w:val="none"/>
          <w:lang w:val="en-US" w:eastAsia="zh-CN"/>
        </w:rPr>
        <w:t xml:space="preserve">实际刷卡费用</w:t>
      </w:r>
      <w:r>
        <w:rPr>
          <w:rFonts w:hint="eastAsia" w:ascii="宋体" w:hAnsi="宋体" w:eastAsia="宋体" w:cs="宋体"/>
          <w:color w:val="auto"/>
          <w:sz w:val="24"/>
          <w:szCs w:val="24"/>
          <w:highlight w:val="none"/>
          <w:lang w:val="en-US" w:eastAsia="zh-CN"/>
        </w:rPr>
        <w:t xml:space="preserve">+中标每月运营服务费</w:t>
      </w:r>
      <w:r>
        <w:rPr>
          <w:rFonts w:hint="eastAsia" w:hAnsi="宋体"/>
          <w:b/>
          <w:color w:val="auto"/>
          <w:sz w:val="24"/>
          <w:szCs w:val="24"/>
          <w:highlight w:val="none"/>
        </w:rPr>
        <w:t xml:space="preserve">（含食堂耗材、清洁易耗品、食堂用杂品、餐巾纸、牙签及卫生用品等其他所有费用）</w:t>
      </w:r>
      <w:r>
        <w:rPr>
          <w:rFonts w:hint="eastAsia" w:ascii="宋体" w:hAnsi="宋体" w:eastAsia="宋体" w:cs="宋体"/>
          <w:color w:val="auto"/>
          <w:sz w:val="24"/>
          <w:szCs w:val="24"/>
          <w:highlight w:val="none"/>
          <w:lang w:val="en-US"/>
        </w:rPr>
        <w:t xml:space="preserve">-月考核扣款费用-责任处罚费用。</w:t>
      </w:r>
      <w:r/>
    </w:p>
    <w:p>
      <w:pPr>
        <w:pStyle w:val="1456"/>
        <w:ind w:firstLine="480"/>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（4）用餐人数按实结算，中标单位应每日与采购人确认次日用餐人数变化情况，如次日用餐人数变化较大时，中标单位应调整配餐数量，避免浪费或配餐不足的情况发生。</w:t>
      </w:r>
      <w:r/>
    </w:p>
    <w:p>
      <w:pPr>
        <w:pStyle w:val="1470"/>
        <w:numPr>
          <w:ilvl w:val="0"/>
          <w:numId w:val="0"/>
        </w:numPr>
        <w:keepLines w:val="0"/>
        <w:keepNext w:val="0"/>
        <w:pageBreakBefore w:val="0"/>
        <w:spacing w:line="360" w:lineRule="auto"/>
        <w:widowControl w:val="off"/>
        <w:rPr>
          <w:rFonts w:hint="eastAsia" w:hAnsi="宋体" w:eastAsia="宋体" w:cs="宋体"/>
          <w:b/>
          <w:color w:val="auto"/>
          <w:sz w:val="24"/>
          <w:szCs w:val="24"/>
          <w:highlight w:val="none"/>
          <w:lang w:val="en-US" w:eastAsia="zh-CN"/>
        </w:rPr>
        <w:outlineLvl w:val="1"/>
      </w:pPr>
      <w:r>
        <w:rPr>
          <w:rFonts w:hint="eastAsia" w:hAnsi="宋体" w:eastAsia="宋体" w:cs="宋体"/>
          <w:b/>
          <w:color w:val="auto"/>
          <w:sz w:val="24"/>
          <w:szCs w:val="24"/>
          <w:highlight w:val="none"/>
          <w:lang w:val="en-US" w:eastAsia="zh-CN"/>
        </w:rPr>
        <w:t xml:space="preserve">七、验收</w:t>
      </w:r>
      <w:r/>
    </w:p>
    <w:p>
      <w:pPr>
        <w:pStyle w:val="1456"/>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w:t>
      </w:r>
      <w:r>
        <w:rPr>
          <w:rFonts w:hint="eastAsia" w:cs="宋体"/>
          <w:color w:val="auto"/>
          <w:sz w:val="24"/>
          <w:szCs w:val="24"/>
          <w:highlight w:val="none"/>
          <w:lang w:val="en-US" w:eastAsia="zh-CN"/>
        </w:rPr>
        <w:t xml:space="preserve">履约</w:t>
      </w:r>
      <w:r>
        <w:rPr>
          <w:rFonts w:hint="eastAsia" w:ascii="宋体" w:hAnsi="宋体" w:eastAsia="宋体" w:cs="宋体"/>
          <w:color w:val="auto"/>
          <w:sz w:val="24"/>
          <w:szCs w:val="24"/>
          <w:highlight w:val="none"/>
          <w:lang w:val="en-US" w:eastAsia="zh-CN"/>
        </w:rPr>
        <w:t xml:space="preserve">验收的实施主体：本项目采购单位。</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2、履约验收时间：采购人以项目采购需求及合同相关内容按月考核。采购人向供应商发出《政府采购履约验收通知单》（</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rPr>
        <w:t xml:space="preserve">附件1），验收完成后形成《政府采购履约验收书》（</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rPr>
        <w:t xml:space="preserve">附件2）。</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验收方式：按月考核、验收，由采购人进行考核验收。</w:t>
      </w:r>
      <w:r/>
    </w:p>
    <w:p>
      <w:pPr>
        <w:pStyle w:val="1456"/>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、履约验收的内容及标准：考核细则，详见合同附件。</w:t>
      </w:r>
      <w:r/>
    </w:p>
    <w:p>
      <w:pPr>
        <w:pStyle w:val="1470"/>
        <w:numPr>
          <w:ilvl w:val="0"/>
          <w:numId w:val="0"/>
        </w:numPr>
        <w:keepLines w:val="0"/>
        <w:keepNext w:val="0"/>
        <w:pageBreakBefore w:val="0"/>
        <w:spacing w:line="360" w:lineRule="auto"/>
        <w:widowControl w:val="off"/>
        <w:rPr>
          <w:rFonts w:hint="eastAsia" w:hAnsi="宋体" w:eastAsia="宋体" w:cs="宋体"/>
          <w:b/>
          <w:color w:val="auto"/>
          <w:sz w:val="24"/>
          <w:szCs w:val="24"/>
          <w:highlight w:val="none"/>
          <w:lang w:val="en-US" w:eastAsia="zh-CN"/>
        </w:rPr>
        <w:outlineLvl w:val="1"/>
      </w:pPr>
      <w:r>
        <w:rPr>
          <w:rFonts w:hint="eastAsia" w:hAnsi="宋体" w:eastAsia="宋体" w:cs="宋体"/>
          <w:b/>
          <w:color w:val="auto"/>
          <w:sz w:val="24"/>
          <w:szCs w:val="24"/>
          <w:highlight w:val="none"/>
          <w:lang w:val="en-US" w:eastAsia="zh-CN"/>
        </w:rPr>
        <w:t xml:space="preserve">八、其他说明</w:t>
      </w:r>
      <w:r/>
    </w:p>
    <w:p>
      <w:pPr>
        <w:pStyle w:val="1456"/>
        <w:ind w:firstLine="480"/>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1、报价包含本项目全部内容的一切费用。本项目总报价包括在</w:t>
      </w:r>
      <w:r>
        <w:rPr>
          <w:rFonts w:hint="eastAsia" w:ascii="宋体" w:hAnsi="宋体" w:eastAsia="宋体" w:cs="宋体"/>
          <w:color w:val="auto"/>
          <w:sz w:val="24"/>
          <w:szCs w:val="24"/>
          <w:highlight w:val="none"/>
          <w:lang w:val="en-US"/>
        </w:rPr>
        <w:t xml:space="preserve">承包期内所有工作人员餐费、服务费和管理费、各种食堂耗材、食材、调味品、一次性打包盒、餐具、餐巾纸、洗涤用品、利润、工资、税金、风险及政策性文件规定等的各项费用。</w:t>
      </w:r>
      <w:r/>
    </w:p>
    <w:p>
      <w:pPr>
        <w:pStyle w:val="1456"/>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实际用餐人数原则上按实计算，</w:t>
      </w:r>
      <w:r>
        <w:rPr>
          <w:rFonts w:hint="eastAsia" w:ascii="宋体" w:hAnsi="宋体" w:eastAsia="宋体" w:cs="宋体"/>
          <w:color w:val="auto"/>
          <w:sz w:val="24"/>
          <w:szCs w:val="24"/>
          <w:highlight w:val="none"/>
        </w:rPr>
        <w:t xml:space="preserve">为了最大限度减少浪费，待实际运行正常后（试用期满后），具体</w:t>
      </w:r>
      <w:r>
        <w:rPr>
          <w:rFonts w:hint="eastAsia" w:ascii="宋体" w:hAnsi="宋体" w:eastAsia="宋体" w:cs="宋体"/>
          <w:color w:val="auto"/>
          <w:sz w:val="24"/>
          <w:szCs w:val="24"/>
          <w:highlight w:val="none"/>
          <w:lang w:val="en-US"/>
        </w:rPr>
        <w:t xml:space="preserve">结算</w:t>
      </w:r>
      <w:r>
        <w:rPr>
          <w:rFonts w:hint="eastAsia" w:ascii="宋体" w:hAnsi="宋体" w:eastAsia="宋体" w:cs="宋体"/>
          <w:color w:val="auto"/>
          <w:sz w:val="24"/>
          <w:szCs w:val="24"/>
          <w:highlight w:val="none"/>
        </w:rPr>
        <w:t xml:space="preserve">人数双方可再予补充商定。</w:t>
      </w:r>
      <w:r/>
    </w:p>
    <w:p>
      <w:pPr>
        <w:pStyle w:val="1456"/>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3、投标单位必须说明其是否响应采购文件中提出的全部服务内容与要求，如果以其中某些条款不响应时，应在文件中逐条列出，未列出的视同响应。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w:t>
      </w:r>
      <w:r/>
    </w:p>
    <w:p>
      <w:pPr>
        <w:pStyle w:val="1456"/>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方应保证需方免除且供方承担由于需方在其本国使用货物任何一部分时而引起第三方提出的侵犯专利权、商标权或工业设计权的起诉、行动、行政程序索赔、请求等以及需方为此而产生的损失和损害、费用和支出（包括律师费）。</w:t>
      </w:r>
      <w:r/>
    </w:p>
    <w:p>
      <w:pPr>
        <w:pStyle w:val="1470"/>
        <w:numPr>
          <w:ilvl w:val="0"/>
          <w:numId w:val="9"/>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投标人对招标文件自行所做出的判断、推论、解释和结论，并由此所造成的后果，均由投标人自负。</w:t>
      </w:r>
      <w:r/>
    </w:p>
    <w:p>
      <w:pPr>
        <w:pStyle w:val="1470"/>
        <w:numPr>
          <w:ilvl w:val="0"/>
          <w:numId w:val="9"/>
        </w:numPr>
        <w:ind w:firstLine="480"/>
        <w:keepLines w:val="0"/>
        <w:keepNext w:val="0"/>
        <w:pageBreakBefore w:val="0"/>
        <w:spacing w:line="360" w:lineRule="auto"/>
        <w:widowControl w:val="off"/>
        <w:rPr>
          <w:rFonts w:hint="eastAsia" w:ascii="宋体" w:hAnsi="宋体" w:cs="宋体"/>
          <w:b/>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凡涉及招标文件的补充说明和修改，均以苏州政府采购网上发布的公告为准。</w:t>
      </w:r>
      <w:r>
        <w:rPr>
          <w:rFonts w:hint="eastAsia" w:ascii="宋体" w:hAnsi="宋体" w:cs="宋体"/>
          <w:b/>
          <w:color w:val="auto"/>
          <w:sz w:val="24"/>
          <w:szCs w:val="24"/>
          <w:highlight w:val="none"/>
        </w:rPr>
        <w:t xml:space="preserve"> </w:t>
      </w:r>
      <w:r/>
    </w:p>
    <w:p>
      <w:pPr>
        <w:ind w:firstLine="482"/>
        <w:jc w:val="left"/>
        <w:spacing w:line="360" w:lineRule="auto"/>
        <w:tabs>
          <w:tab w:val="left" w:pos="142"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contextualSpacing/>
        <w:ind w:firstLine="420"/>
        <w:spacing w:line="360" w:lineRule="auto"/>
        <w:rPr>
          <w:rFonts w:hint="default" w:ascii="宋体" w:hAnsi="宋体" w:cs="宋体"/>
          <w:sz w:val="21"/>
          <w:szCs w:val="21"/>
          <w:highlight w:val="none"/>
          <w:lang w:val="zh-CN"/>
        </w:rPr>
      </w:pPr>
      <w:r>
        <w:rPr>
          <w:rFonts w:hint="eastAsia" w:ascii="宋体"/>
          <w:b/>
          <w:color w:val="auto"/>
          <w:sz w:val="44"/>
          <w:szCs w:val="44"/>
          <w:highlight w:val="none"/>
        </w:rPr>
        <w:br w:type="page" w:clear="all"/>
      </w:r>
      <w:bookmarkStart w:id="28" w:name="_Toc129003585"/>
      <w:r>
        <w:rPr>
          <w:rFonts w:hint="eastAsia" w:ascii="宋体" w:hAnsi="宋体" w:cs="宋体"/>
          <w:sz w:val="21"/>
          <w:szCs w:val="21"/>
          <w:highlight w:val="none"/>
          <w:lang w:val="zh-CN"/>
        </w:rPr>
        <w:t xml:space="preserve">附件1：</w:t>
      </w:r>
      <w:r/>
    </w:p>
    <w:p>
      <w:pPr>
        <w:jc w:val="center"/>
        <w:spacing w:before="104" w:line="185" w:lineRule="auto"/>
        <w:rPr>
          <w:rFonts w:hint="eastAsia" w:ascii="微软雅黑" w:hAnsi="微软雅黑" w:eastAsia="微软雅黑" w:cs="微软雅黑"/>
          <w:spacing w:val="19"/>
          <w:sz w:val="36"/>
          <w:szCs w:val="36"/>
          <w:highlight w:val="none"/>
        </w:rPr>
      </w:pPr>
      <w:r>
        <w:rPr>
          <w:rFonts w:hint="default" w:ascii="微软雅黑" w:hAnsi="微软雅黑" w:eastAsia="微软雅黑" w:cs="微软雅黑"/>
          <w:spacing w:val="19"/>
          <w:sz w:val="36"/>
          <w:szCs w:val="36"/>
          <w:highlight w:val="none"/>
        </w:rPr>
        <w:t xml:space="preserve">政府采购履约验收通知单（参考样本）</w:t>
      </w:r>
      <w:r/>
    </w:p>
    <w:p>
      <w:pPr>
        <w:ind w:left="85"/>
        <w:spacing w:before="216" w:line="214" w:lineRule="auto"/>
        <w:rPr>
          <w:rFonts w:hint="eastAsia" w:ascii="宋体" w:hAnsi="宋体" w:cs="宋体"/>
          <w:sz w:val="23"/>
          <w:szCs w:val="23"/>
          <w:highlight w:val="none"/>
        </w:rPr>
      </w:pPr>
      <w:r>
        <w:rPr>
          <w:rFonts w:hint="default" w:ascii="宋体" w:hAnsi="宋体" w:cs="宋体"/>
          <w:spacing w:val="9"/>
          <w:sz w:val="23"/>
          <w:szCs w:val="23"/>
          <w:highlight w:val="none"/>
        </w:rPr>
        <w:t xml:space="preserve">供应商：</w:t>
      </w:r>
      <w:r/>
    </w:p>
    <w:p>
      <w:pPr>
        <w:spacing w:line="44" w:lineRule="exact"/>
        <w:rPr>
          <w:rFonts w:hint="default" w:ascii="Times New Roman" w:hAnsi="Times New Roman"/>
          <w:sz w:val="21"/>
          <w:szCs w:val="24"/>
          <w:highlight w:val="none"/>
        </w:rPr>
      </w:pPr>
      <w:r>
        <w:rPr>
          <w:rFonts w:hint="default" w:ascii="Times New Roman" w:hAnsi="Times New Roman"/>
          <w:sz w:val="21"/>
          <w:szCs w:val="24"/>
          <w:highlight w:val="none"/>
        </w:rPr>
      </w:r>
      <w:r/>
    </w:p>
    <w:tbl>
      <w:tblPr>
        <w:tblStyle w:val="1115"/>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shd w:val="clear" w:color="auto" w:fill="auto"/>
            <w:tcW w:w="2610" w:type="dxa"/>
            <w:vAlign w:val="top"/>
            <w:textDirection w:val="lrTb"/>
            <w:noWrap w:val="false"/>
          </w:tcPr>
          <w:p>
            <w:pPr>
              <w:ind w:left="961"/>
              <w:spacing w:before="249" w:line="212"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采购人</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841"/>
              <w:spacing w:before="249" w:line="211"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项目名称</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2610" w:type="dxa"/>
            <w:vAlign w:val="top"/>
            <w:textDirection w:val="lrTb"/>
            <w:noWrap w:val="false"/>
          </w:tcPr>
          <w:p>
            <w:pPr>
              <w:ind w:left="841"/>
              <w:spacing w:before="247" w:line="213"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合同名称</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841"/>
              <w:spacing w:before="247" w:line="212"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合同编号</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7"/>
              <w:spacing w:before="247" w:line="213"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合同金额</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2610" w:type="dxa"/>
            <w:vAlign w:val="top"/>
            <w:textDirection w:val="lrTb"/>
            <w:noWrap w:val="false"/>
          </w:tcPr>
          <w:p>
            <w:pPr>
              <w:ind w:left="841"/>
              <w:spacing w:before="248" w:line="212" w:lineRule="auto"/>
              <w:rPr>
                <w:rFonts w:hint="eastAsia" w:ascii="黑体" w:hAnsi="黑体" w:eastAsia="黑体" w:cs="黑体"/>
                <w:sz w:val="23"/>
                <w:szCs w:val="23"/>
                <w:highlight w:val="none"/>
              </w:rPr>
            </w:pPr>
            <w:r>
              <w:rPr>
                <w:rFonts w:hint="default" w:ascii="黑体" w:hAnsi="黑体" w:eastAsia="黑体" w:cs="黑体"/>
                <w:spacing w:val="4"/>
                <w:sz w:val="23"/>
                <w:szCs w:val="23"/>
                <w:highlight w:val="none"/>
              </w:rPr>
              <w:t xml:space="preserve">验收时间</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7"/>
              <w:spacing w:before="248" w:line="213" w:lineRule="auto"/>
              <w:rPr>
                <w:rFonts w:hint="eastAsia" w:ascii="黑体" w:hAnsi="黑体" w:eastAsia="黑体" w:cs="黑体"/>
                <w:sz w:val="23"/>
                <w:szCs w:val="23"/>
                <w:highlight w:val="none"/>
              </w:rPr>
            </w:pPr>
            <w:r>
              <w:rPr>
                <w:rFonts w:hint="default" w:ascii="黑体" w:hAnsi="黑体" w:eastAsia="黑体" w:cs="黑体"/>
                <w:spacing w:val="4"/>
                <w:sz w:val="23"/>
                <w:szCs w:val="23"/>
                <w:highlight w:val="none"/>
              </w:rPr>
              <w:t xml:space="preserve">验收地点</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960"/>
              <w:spacing w:before="248" w:line="213" w:lineRule="auto"/>
              <w:rPr>
                <w:rFonts w:hint="eastAsia" w:ascii="黑体" w:hAnsi="黑体" w:eastAsia="黑体" w:cs="黑体"/>
                <w:sz w:val="23"/>
                <w:szCs w:val="23"/>
                <w:highlight w:val="none"/>
              </w:rPr>
            </w:pPr>
            <w:r>
              <w:rPr>
                <w:rFonts w:hint="default" w:ascii="黑体" w:hAnsi="黑体" w:eastAsia="黑体" w:cs="黑体"/>
                <w:spacing w:val="1"/>
                <w:sz w:val="23"/>
                <w:szCs w:val="23"/>
                <w:highlight w:val="none"/>
              </w:rPr>
              <w:t xml:space="preserve">联系人</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5"/>
              <w:spacing w:before="248" w:line="213" w:lineRule="auto"/>
              <w:rPr>
                <w:rFonts w:hint="eastAsia" w:ascii="黑体" w:hAnsi="黑体" w:eastAsia="黑体" w:cs="黑体"/>
                <w:sz w:val="23"/>
                <w:szCs w:val="23"/>
                <w:highlight w:val="none"/>
              </w:rPr>
            </w:pPr>
            <w:r>
              <w:rPr>
                <w:rFonts w:hint="default" w:ascii="黑体" w:hAnsi="黑体" w:eastAsia="黑体" w:cs="黑体"/>
                <w:spacing w:val="3"/>
                <w:sz w:val="23"/>
                <w:szCs w:val="23"/>
                <w:highlight w:val="none"/>
              </w:rPr>
              <w:t xml:space="preserve">联系电话</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gridSpan w:val="4"/>
            <w:shd w:val="clear" w:color="auto" w:fill="auto"/>
            <w:tcW w:w="9318" w:type="dxa"/>
            <w:vAlign w:val="top"/>
            <w:textDirection w:val="lrTb"/>
            <w:noWrap w:val="false"/>
          </w:tcPr>
          <w:p>
            <w:pPr>
              <w:ind w:left="3353"/>
              <w:spacing w:before="250" w:line="212" w:lineRule="auto"/>
              <w:rPr>
                <w:rFonts w:hint="eastAsia" w:ascii="黑体" w:hAnsi="黑体" w:eastAsia="黑体" w:cs="黑体"/>
                <w:sz w:val="23"/>
                <w:szCs w:val="23"/>
                <w:highlight w:val="none"/>
              </w:rPr>
            </w:pPr>
            <w:r>
              <w:rPr>
                <w:rFonts w:hint="default" w:ascii="黑体" w:hAnsi="黑体" w:eastAsia="黑体" w:cs="黑体"/>
                <w:spacing w:val="7"/>
                <w:sz w:val="23"/>
                <w:szCs w:val="23"/>
                <w:highlight w:val="none"/>
              </w:rPr>
              <w:t xml:space="preserve">履约验收方案及工作要求</w:t>
            </w:r>
            <w:r/>
          </w:p>
        </w:tc>
      </w:tr>
      <w:tr>
        <w:trPr>
          <w:trHeight w:val="7569"/>
        </w:trPr>
        <w:tc>
          <w:tcPr>
            <w:gridSpan w:val="4"/>
            <w:shd w:val="clear" w:color="auto" w:fill="auto"/>
            <w:tcW w:w="9318" w:type="dxa"/>
            <w:vAlign w:val="top"/>
            <w:textDirection w:val="lrTb"/>
            <w:noWrap w:val="false"/>
          </w:tcPr>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right="2893" w:firstLine="4720"/>
              <w:spacing w:before="75" w:line="507" w:lineRule="auto"/>
              <w:rPr>
                <w:rFonts w:hint="eastAsia" w:ascii="黑体" w:hAnsi="黑体" w:eastAsia="黑体" w:cs="黑体"/>
                <w:spacing w:val="3"/>
                <w:sz w:val="23"/>
                <w:szCs w:val="23"/>
                <w:highlight w:val="none"/>
              </w:rPr>
            </w:pPr>
            <w:r>
              <w:rPr>
                <w:rFonts w:hint="default" w:ascii="黑体" w:hAnsi="黑体" w:eastAsia="黑体" w:cs="黑体"/>
                <w:spacing w:val="3"/>
                <w:sz w:val="23"/>
                <w:szCs w:val="23"/>
                <w:highlight w:val="none"/>
              </w:rPr>
              <w:t xml:space="preserve">单位公章</w:t>
            </w:r>
            <w:r/>
          </w:p>
          <w:p>
            <w:pPr>
              <w:ind w:right="2893" w:firstLine="4600"/>
              <w:spacing w:before="75" w:line="507" w:lineRule="auto"/>
              <w:rPr>
                <w:rFonts w:hint="eastAsia" w:ascii="黑体" w:hAnsi="黑体" w:eastAsia="黑体" w:cs="黑体"/>
                <w:sz w:val="23"/>
                <w:szCs w:val="23"/>
                <w:highlight w:val="none"/>
              </w:rPr>
            </w:pPr>
            <w:r>
              <w:rPr>
                <w:rFonts w:hint="default" w:ascii="黑体" w:hAnsi="黑体" w:eastAsia="黑体" w:cs="黑体"/>
                <w:sz w:val="23"/>
                <w:szCs w:val="23"/>
                <w:highlight w:val="none"/>
              </w:rPr>
              <w:t xml:space="preserve">  </w:t>
            </w:r>
            <w:r>
              <w:rPr>
                <w:rFonts w:hint="default" w:ascii="黑体" w:hAnsi="黑体" w:eastAsia="黑体" w:cs="黑体"/>
                <w:spacing w:val="-16"/>
                <w:sz w:val="23"/>
                <w:szCs w:val="23"/>
                <w:highlight w:val="none"/>
              </w:rPr>
              <w:t xml:space="preserve">年</w:t>
            </w:r>
            <w:r>
              <w:rPr>
                <w:rFonts w:hint="default" w:ascii="黑体" w:hAnsi="黑体" w:eastAsia="黑体" w:cs="黑体"/>
                <w:spacing w:val="18"/>
                <w:sz w:val="23"/>
                <w:szCs w:val="23"/>
                <w:highlight w:val="none"/>
              </w:rPr>
              <w:t xml:space="preserve"> </w:t>
            </w:r>
            <w:r>
              <w:rPr>
                <w:rFonts w:hint="default" w:ascii="黑体" w:hAnsi="黑体" w:eastAsia="黑体" w:cs="黑体"/>
                <w:spacing w:val="-16"/>
                <w:sz w:val="23"/>
                <w:szCs w:val="23"/>
                <w:highlight w:val="none"/>
              </w:rPr>
              <w:t xml:space="preserve">月</w:t>
            </w:r>
            <w:r>
              <w:rPr>
                <w:rFonts w:hint="default" w:ascii="黑体" w:hAnsi="黑体" w:eastAsia="黑体" w:cs="黑体"/>
                <w:spacing w:val="12"/>
                <w:sz w:val="23"/>
                <w:szCs w:val="23"/>
                <w:highlight w:val="none"/>
              </w:rPr>
              <w:t xml:space="preserve">  </w:t>
            </w:r>
            <w:r>
              <w:rPr>
                <w:rFonts w:hint="default" w:ascii="黑体" w:hAnsi="黑体" w:eastAsia="黑体" w:cs="黑体"/>
                <w:spacing w:val="-16"/>
                <w:sz w:val="23"/>
                <w:szCs w:val="23"/>
                <w:highlight w:val="none"/>
              </w:rPr>
              <w:t xml:space="preserve">日</w:t>
            </w:r>
            <w:r/>
          </w:p>
        </w:tc>
      </w:tr>
    </w:tbl>
    <w:p>
      <w:pPr>
        <w:spacing w:before="240" w:after="60"/>
        <w:rPr>
          <w:rFonts w:hint="eastAsia"/>
          <w:b/>
          <w:bCs/>
          <w:sz w:val="28"/>
          <w:szCs w:val="28"/>
          <w:highlight w:val="none"/>
        </w:rPr>
        <w:sectPr>
          <w:footerReference w:type="default" r:id="rId11"/>
          <w:footerReference w:type="even" r:id="rId12"/>
          <w:footerReference w:type="first" r:id="rId13"/>
          <w:footnotePr/>
          <w:endnotePr/>
          <w:type w:val="nextPage"/>
          <w:pgSz w:w="11906" w:h="16838" w:orient="portrait"/>
          <w:pgMar w:top="1418" w:right="1134" w:bottom="1134" w:left="1418" w:header="624" w:footer="510" w:gutter="113"/>
          <w:cols w:num="1" w:sep="0" w:space="1701" w:equalWidth="1"/>
          <w:docGrid w:linePitch="360"/>
          <w:titlePg/>
        </w:sectPr>
        <w:outlineLvl w:val="0"/>
      </w:pPr>
      <w:r>
        <w:rPr>
          <w:rFonts w:hint="eastAsia"/>
          <w:b/>
          <w:bCs/>
          <w:sz w:val="28"/>
          <w:szCs w:val="28"/>
          <w:highlight w:val="none"/>
        </w:rPr>
      </w:r>
      <w:r/>
    </w:p>
    <w:p>
      <w:pPr>
        <w:contextualSpacing/>
        <w:ind w:firstLine="420"/>
        <w:spacing w:line="360" w:lineRule="auto"/>
        <w:rPr>
          <w:rFonts w:hint="eastAsia" w:ascii="宋体" w:hAnsi="宋体" w:cs="宋体"/>
          <w:sz w:val="21"/>
          <w:szCs w:val="21"/>
          <w:highlight w:val="none"/>
          <w:lang w:val="zh-CN"/>
        </w:rPr>
      </w:pPr>
      <w:r>
        <w:rPr>
          <w:rFonts w:hint="default" w:ascii="宋体" w:hAnsi="宋体" w:cs="宋体"/>
          <w:sz w:val="21"/>
          <w:szCs w:val="21"/>
          <w:highlight w:val="none"/>
          <w:lang w:val="zh-CN"/>
        </w:rPr>
        <w:t xml:space="preserve">附件</w:t>
      </w:r>
      <w:r>
        <w:rPr>
          <w:rFonts w:hint="eastAsia" w:ascii="宋体" w:hAnsi="宋体" w:cs="宋体"/>
          <w:sz w:val="21"/>
          <w:szCs w:val="21"/>
          <w:highlight w:val="none"/>
          <w:lang w:val="zh-CN"/>
        </w:rPr>
        <w:t xml:space="preserve">2</w:t>
      </w:r>
      <w:r/>
    </w:p>
    <w:p>
      <w:pPr>
        <w:ind w:left="3812"/>
        <w:spacing w:before="104" w:line="185" w:lineRule="auto"/>
        <w:rPr>
          <w:rFonts w:hint="eastAsia" w:ascii="微软雅黑" w:hAnsi="微软雅黑" w:eastAsia="微软雅黑" w:cs="微软雅黑"/>
          <w:sz w:val="36"/>
          <w:szCs w:val="36"/>
          <w:highlight w:val="none"/>
        </w:rPr>
      </w:pPr>
      <w:r>
        <w:rPr>
          <w:rFonts w:hint="default" w:ascii="微软雅黑" w:hAnsi="微软雅黑" w:eastAsia="微软雅黑" w:cs="微软雅黑"/>
          <w:spacing w:val="19"/>
          <w:sz w:val="36"/>
          <w:szCs w:val="36"/>
          <w:highlight w:val="none"/>
        </w:rPr>
        <w:t xml:space="preserve">政府采购履约验收书参考样本(服务类)</w:t>
      </w:r>
      <w:r/>
    </w:p>
    <w:tbl>
      <w:tblPr>
        <w:tblStyle w:val="1115"/>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shd w:val="clear" w:color="auto" w:fill="auto"/>
            <w:tcW w:w="1625" w:type="dxa"/>
            <w:vAlign w:val="top"/>
            <w:textDirection w:val="lrTb"/>
            <w:noWrap w:val="false"/>
          </w:tcPr>
          <w:p>
            <w:pPr>
              <w:ind w:left="543"/>
              <w:spacing w:before="29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采购人</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ind w:left="553"/>
              <w:spacing w:before="298" w:line="208"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项目名称</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ind w:left="1640"/>
              <w:spacing w:before="29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合同名称</w:t>
            </w:r>
            <w:r/>
          </w:p>
        </w:tc>
        <w:tc>
          <w:tcPr>
            <w:shd w:val="clear" w:color="auto" w:fill="auto"/>
            <w:tcW w:w="255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4"/>
        </w:trPr>
        <w:tc>
          <w:tcPr>
            <w:shd w:val="clear" w:color="auto" w:fill="auto"/>
            <w:tcW w:w="1625" w:type="dxa"/>
            <w:vAlign w:val="top"/>
            <w:textDirection w:val="lrTb"/>
            <w:noWrap w:val="false"/>
          </w:tcPr>
          <w:p>
            <w:pPr>
              <w:ind w:left="544"/>
              <w:spacing w:before="29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供应商</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ind w:left="285"/>
              <w:spacing w:before="29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项目及合同编号</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ind w:left="1640"/>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合同金额</w:t>
            </w:r>
            <w:r/>
          </w:p>
        </w:tc>
        <w:tc>
          <w:tcPr>
            <w:shd w:val="clear" w:color="auto" w:fill="auto"/>
            <w:tcW w:w="255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1625" w:type="dxa"/>
            <w:vAlign w:val="top"/>
            <w:textDirection w:val="lrTb"/>
            <w:noWrap w:val="false"/>
          </w:tcPr>
          <w:p>
            <w:pPr>
              <w:ind w:left="186"/>
              <w:spacing w:before="267"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分期（段）验收</w:t>
            </w:r>
            <w:r/>
          </w:p>
        </w:tc>
        <w:tc>
          <w:tcPr>
            <w:shd w:val="clear" w:color="auto" w:fill="auto"/>
            <w:tcW w:w="1714" w:type="dxa"/>
            <w:vAlign w:val="top"/>
            <w:textDirection w:val="lrTb"/>
            <w:noWrap w:val="false"/>
          </w:tcPr>
          <w:p>
            <w:pPr>
              <w:ind w:left="367"/>
              <w:spacing w:before="267" w:line="240" w:lineRule="exact"/>
              <w:rPr>
                <w:rFonts w:hint="eastAsia" w:ascii="宋体" w:hAnsi="宋体" w:cs="宋体"/>
                <w:sz w:val="18"/>
                <w:szCs w:val="18"/>
                <w:highlight w:val="none"/>
              </w:rPr>
            </w:pPr>
            <w:r>
              <w:rPr>
                <w:rFonts w:hint="default" w:ascii="宋体" w:hAnsi="宋体" w:cs="宋体"/>
                <w:spacing w:val="-6"/>
                <w:position w:val="1"/>
                <w:sz w:val="18"/>
                <w:szCs w:val="18"/>
                <w:highlight w:val="none"/>
              </w:rPr>
              <w:t xml:space="preserve">是□</w:t>
            </w:r>
            <w:r>
              <w:rPr>
                <w:rFonts w:hint="default" w:ascii="宋体" w:hAnsi="宋体" w:cs="宋体"/>
                <w:spacing w:val="4"/>
                <w:position w:val="1"/>
                <w:sz w:val="18"/>
                <w:szCs w:val="18"/>
                <w:highlight w:val="none"/>
              </w:rPr>
              <w:t xml:space="preserve">   </w:t>
            </w:r>
            <w:r>
              <w:rPr>
                <w:rFonts w:hint="default" w:ascii="宋体" w:hAnsi="宋体" w:cs="宋体"/>
                <w:spacing w:val="-6"/>
                <w:position w:val="1"/>
                <w:sz w:val="18"/>
                <w:szCs w:val="18"/>
                <w:highlight w:val="none"/>
              </w:rPr>
              <w:t xml:space="preserve">否□</w:t>
            </w:r>
            <w:r/>
          </w:p>
        </w:tc>
        <w:tc>
          <w:tcPr>
            <w:shd w:val="clear" w:color="auto" w:fill="auto"/>
            <w:tcW w:w="1816" w:type="dxa"/>
            <w:vAlign w:val="top"/>
            <w:textDirection w:val="lrTb"/>
            <w:noWrap w:val="false"/>
          </w:tcPr>
          <w:p>
            <w:pPr>
              <w:ind w:left="284"/>
              <w:spacing w:before="267"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分期（段）情况</w:t>
            </w:r>
            <w:r/>
          </w:p>
        </w:tc>
        <w:tc>
          <w:tcPr>
            <w:gridSpan w:val="4"/>
            <w:shd w:val="clear" w:color="auto" w:fill="auto"/>
            <w:tcW w:w="9019" w:type="dxa"/>
            <w:vAlign w:val="top"/>
            <w:textDirection w:val="lrTb"/>
            <w:noWrap w:val="false"/>
          </w:tcPr>
          <w:p>
            <w:pPr>
              <w:ind w:left="2804"/>
              <w:spacing w:before="267" w:line="240"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共分   期（段</w:t>
            </w:r>
            <w:r>
              <w:rPr>
                <w:rFonts w:hint="default" w:ascii="宋体" w:hAnsi="宋体" w:cs="宋体"/>
                <w:spacing w:val="6"/>
                <w:position w:val="1"/>
                <w:sz w:val="18"/>
                <w:szCs w:val="18"/>
                <w:highlight w:val="none"/>
              </w:rPr>
              <w:t xml:space="preserve">），</w:t>
            </w:r>
            <w:r>
              <w:rPr>
                <w:rFonts w:hint="default" w:ascii="宋体" w:hAnsi="宋体" w:cs="宋体"/>
                <w:spacing w:val="-1"/>
                <w:position w:val="1"/>
                <w:sz w:val="18"/>
                <w:szCs w:val="18"/>
                <w:highlight w:val="none"/>
              </w:rPr>
              <w:t xml:space="preserve">此为第   期（段）验收</w:t>
            </w:r>
            <w:r/>
          </w:p>
        </w:tc>
      </w:tr>
      <w:tr>
        <w:trPr>
          <w:trHeight w:val="1679"/>
        </w:trPr>
        <w:tc>
          <w:tcPr>
            <w:shd w:val="clear" w:color="auto" w:fill="auto"/>
            <w:tcW w:w="1625" w:type="dxa"/>
            <w:vAlign w:val="top"/>
            <w:textDirection w:val="lrTb"/>
            <w:noWrap w:val="false"/>
          </w:tcPr>
          <w:p>
            <w:pPr>
              <w:spacing w:line="264"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64"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6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454"/>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验收时间</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550"/>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验收地点</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1459"/>
              <w:spacing w:before="59"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验收组织形式</w:t>
            </w:r>
            <w:r/>
          </w:p>
        </w:tc>
        <w:tc>
          <w:tcPr>
            <w:shd w:val="clear" w:color="auto" w:fill="auto"/>
            <w:tcW w:w="2556" w:type="dxa"/>
            <w:vAlign w:val="top"/>
            <w:textDirection w:val="lrTb"/>
            <w:noWrap w:val="false"/>
          </w:tcPr>
          <w:p>
            <w:pPr>
              <w:ind w:left="673"/>
              <w:spacing w:before="267" w:line="239" w:lineRule="exact"/>
              <w:rPr>
                <w:rFonts w:hint="eastAsia" w:ascii="宋体" w:hAnsi="宋体" w:cs="宋体"/>
                <w:sz w:val="18"/>
                <w:szCs w:val="18"/>
                <w:highlight w:val="none"/>
              </w:rPr>
            </w:pPr>
            <w:r>
              <w:rPr>
                <w:rFonts w:hint="default" w:ascii="宋体" w:hAnsi="宋体" w:cs="宋体"/>
                <w:spacing w:val="-4"/>
                <w:position w:val="1"/>
                <w:sz w:val="18"/>
                <w:szCs w:val="18"/>
                <w:highlight w:val="none"/>
              </w:rPr>
              <w:t xml:space="preserve">□自行简易验收</w:t>
            </w:r>
            <w:r/>
          </w:p>
          <w:p>
            <w:pPr>
              <w:spacing w:line="260"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673"/>
              <w:spacing w:before="58" w:line="240" w:lineRule="exact"/>
              <w:rPr>
                <w:rFonts w:hint="eastAsia" w:ascii="宋体" w:hAnsi="宋体" w:cs="宋体"/>
                <w:sz w:val="18"/>
                <w:szCs w:val="18"/>
                <w:highlight w:val="none"/>
              </w:rPr>
            </w:pPr>
            <w:r>
              <w:rPr>
                <w:rFonts w:hint="default" w:ascii="宋体" w:hAnsi="宋体" w:cs="宋体"/>
                <w:spacing w:val="-4"/>
                <w:position w:val="1"/>
                <w:sz w:val="18"/>
                <w:szCs w:val="18"/>
                <w:highlight w:val="none"/>
              </w:rPr>
              <w:t xml:space="preserve">□验收小组验收</w:t>
            </w:r>
            <w:r/>
          </w:p>
          <w:p>
            <w:pPr>
              <w:spacing w:line="26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582"/>
              <w:spacing w:before="58" w:line="239" w:lineRule="exact"/>
              <w:rPr>
                <w:rFonts w:hint="eastAsia" w:ascii="宋体" w:hAnsi="宋体" w:cs="宋体"/>
                <w:sz w:val="18"/>
                <w:szCs w:val="18"/>
                <w:highlight w:val="none"/>
              </w:rPr>
            </w:pPr>
            <w:r>
              <w:rPr>
                <w:rFonts w:hint="default" w:ascii="宋体" w:hAnsi="宋体" w:cs="宋体"/>
                <w:spacing w:val="-3"/>
                <w:position w:val="1"/>
                <w:sz w:val="18"/>
                <w:szCs w:val="18"/>
                <w:highlight w:val="none"/>
              </w:rPr>
              <w:t xml:space="preserve">□采购代理机构验收</w:t>
            </w:r>
            <w:r/>
          </w:p>
        </w:tc>
      </w:tr>
      <w:tr>
        <w:trPr>
          <w:trHeight w:val="560"/>
        </w:trPr>
        <w:tc>
          <w:tcPr>
            <w:shd w:val="clear" w:color="auto" w:fill="auto"/>
            <w:tcW w:w="1625" w:type="dxa"/>
            <w:vAlign w:val="top"/>
            <w:vMerge w:val="restart"/>
            <w:textDirection w:val="lrTb"/>
            <w:noWrap w:val="false"/>
          </w:tcPr>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6"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54"/>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验收内容</w:t>
            </w:r>
            <w:r/>
          </w:p>
        </w:tc>
        <w:tc>
          <w:tcPr>
            <w:shd w:val="clear" w:color="auto" w:fill="auto"/>
            <w:tcW w:w="1714" w:type="dxa"/>
            <w:vAlign w:val="top"/>
            <w:textDirection w:val="lrTb"/>
            <w:noWrap w:val="false"/>
          </w:tcPr>
          <w:p>
            <w:pPr>
              <w:ind w:left="498"/>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服务质量</w:t>
            </w:r>
            <w:r/>
          </w:p>
        </w:tc>
        <w:tc>
          <w:tcPr>
            <w:shd w:val="clear" w:color="auto" w:fill="auto"/>
            <w:tcW w:w="1816" w:type="dxa"/>
            <w:vAlign w:val="top"/>
            <w:textDirection w:val="lrTb"/>
            <w:noWrap w:val="false"/>
          </w:tcPr>
          <w:p>
            <w:pPr>
              <w:ind w:left="551"/>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服务进度</w:t>
            </w:r>
            <w:r/>
          </w:p>
        </w:tc>
        <w:tc>
          <w:tcPr>
            <w:shd w:val="clear" w:color="auto" w:fill="auto"/>
            <w:tcW w:w="2476" w:type="dxa"/>
            <w:vAlign w:val="top"/>
            <w:textDirection w:val="lrTb"/>
            <w:noWrap w:val="false"/>
          </w:tcPr>
          <w:p>
            <w:pPr>
              <w:ind w:left="387"/>
              <w:spacing w:before="298" w:line="207"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人员、设备 配备情况</w:t>
            </w:r>
            <w:r/>
          </w:p>
        </w:tc>
        <w:tc>
          <w:tcPr>
            <w:shd w:val="clear" w:color="auto" w:fill="auto"/>
            <w:tcW w:w="1705" w:type="dxa"/>
            <w:vAlign w:val="top"/>
            <w:textDirection w:val="lrTb"/>
            <w:noWrap w:val="false"/>
          </w:tcPr>
          <w:p>
            <w:pPr>
              <w:ind w:left="231"/>
              <w:spacing w:before="297" w:line="209"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行业、安全标准</w:t>
            </w:r>
            <w:r/>
          </w:p>
        </w:tc>
        <w:tc>
          <w:tcPr>
            <w:shd w:val="clear" w:color="auto" w:fill="auto"/>
            <w:tcW w:w="2282" w:type="dxa"/>
            <w:vAlign w:val="top"/>
            <w:textDirection w:val="lrTb"/>
            <w:noWrap w:val="false"/>
          </w:tcPr>
          <w:p>
            <w:pPr>
              <w:ind w:left="340"/>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项目需求、服务承诺</w:t>
            </w:r>
            <w:r/>
          </w:p>
        </w:tc>
        <w:tc>
          <w:tcPr>
            <w:shd w:val="clear" w:color="auto" w:fill="auto"/>
            <w:tcW w:w="2556" w:type="dxa"/>
            <w:vAlign w:val="top"/>
            <w:textDirection w:val="lrTb"/>
            <w:noWrap w:val="false"/>
          </w:tcPr>
          <w:p>
            <w:pPr>
              <w:ind w:left="159"/>
              <w:spacing w:before="299" w:line="208"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合同履约时间、 地点、方式</w:t>
            </w:r>
            <w:r/>
          </w:p>
        </w:tc>
      </w:tr>
      <w:tr>
        <w:trPr>
          <w:trHeight w:val="1119"/>
        </w:trPr>
        <w:tc>
          <w:tcPr>
            <w:shd w:val="clear" w:color="auto" w:fill="auto"/>
            <w:tcW w:w="1625" w:type="dxa"/>
            <w:vAlign w:val="top"/>
            <w:vMerge w:val="continue"/>
            <w:textDirection w:val="lrTb"/>
            <w:noWrap w:val="false"/>
          </w:tcPr>
          <w:p>
            <w:pPr>
              <w:rPr>
                <w:rFonts w:hint="default" w:ascii="Arial" w:hAnsi="Arial" w:eastAsia="Arial" w:cs="Arial"/>
                <w:sz w:val="21"/>
                <w:szCs w:val="21"/>
                <w:highlight w:val="none"/>
              </w:rPr>
            </w:pPr>
            <w:r>
              <w:rPr>
                <w:rFonts w:hint="default" w:ascii="Arial" w:hAnsi="Arial" w:eastAsia="Arial" w:cs="Arial"/>
                <w:sz w:val="21"/>
                <w:szCs w:val="21"/>
                <w:highlight w:val="none"/>
              </w:rPr>
            </w:r>
            <w:r/>
          </w:p>
        </w:tc>
        <w:tc>
          <w:tcPr>
            <w:shd w:val="clear" w:color="auto" w:fill="auto"/>
            <w:tcW w:w="1714" w:type="dxa"/>
            <w:vAlign w:val="top"/>
            <w:textDirection w:val="lrTb"/>
            <w:noWrap w:val="false"/>
          </w:tcPr>
          <w:p>
            <w:pPr>
              <w:ind w:left="501" w:right="497"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1816" w:type="dxa"/>
            <w:vAlign w:val="top"/>
            <w:textDirection w:val="lrTb"/>
            <w:noWrap w:val="false"/>
          </w:tcPr>
          <w:p>
            <w:pPr>
              <w:ind w:left="553" w:right="547" w:hanging="1"/>
              <w:spacing w:before="270" w:line="430" w:lineRule="auto"/>
              <w:rPr>
                <w:rFonts w:hint="eastAsia" w:ascii="宋体" w:hAnsi="宋体" w:cs="宋体"/>
                <w:sz w:val="18"/>
                <w:szCs w:val="18"/>
                <w:highlight w:val="none"/>
              </w:rPr>
            </w:pPr>
            <w:r>
              <w:rPr>
                <w:rFonts w:hint="default" w:ascii="宋体" w:hAnsi="宋体" w:cs="宋体"/>
                <w:spacing w:val="-8"/>
                <w:sz w:val="18"/>
                <w:szCs w:val="18"/>
                <w:highlight w:val="none"/>
              </w:rPr>
              <w:t xml:space="preserve">按</w:t>
            </w:r>
            <w:r>
              <w:rPr>
                <w:rFonts w:hint="default" w:ascii="宋体" w:hAnsi="宋体" w:cs="宋体"/>
                <w:spacing w:val="7"/>
                <w:sz w:val="18"/>
                <w:szCs w:val="18"/>
                <w:highlight w:val="none"/>
              </w:rPr>
              <w:t xml:space="preserve">  </w:t>
            </w:r>
            <w:r>
              <w:rPr>
                <w:rFonts w:hint="default" w:ascii="宋体" w:hAnsi="宋体" w:cs="宋体"/>
                <w:spacing w:val="-8"/>
                <w:sz w:val="18"/>
                <w:szCs w:val="18"/>
                <w:highlight w:val="none"/>
              </w:rPr>
              <w:t xml:space="preserve">时□</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不按时□</w:t>
            </w:r>
            <w:r/>
          </w:p>
        </w:tc>
        <w:tc>
          <w:tcPr>
            <w:shd w:val="clear" w:color="auto" w:fill="auto"/>
            <w:tcW w:w="2476" w:type="dxa"/>
            <w:vAlign w:val="top"/>
            <w:textDirection w:val="lrTb"/>
            <w:noWrap w:val="false"/>
          </w:tcPr>
          <w:p>
            <w:pPr>
              <w:ind w:left="885" w:right="875"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1705" w:type="dxa"/>
            <w:vAlign w:val="top"/>
            <w:textDirection w:val="lrTb"/>
            <w:noWrap w:val="false"/>
          </w:tcPr>
          <w:p>
            <w:pPr>
              <w:ind w:left="500" w:right="489"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2282" w:type="dxa"/>
            <w:vAlign w:val="top"/>
            <w:textDirection w:val="lrTb"/>
            <w:noWrap w:val="false"/>
          </w:tcPr>
          <w:p>
            <w:pPr>
              <w:ind w:left="789" w:right="777"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2556" w:type="dxa"/>
            <w:vAlign w:val="top"/>
            <w:textDirection w:val="lrTb"/>
            <w:noWrap w:val="false"/>
          </w:tcPr>
          <w:p>
            <w:pPr>
              <w:ind w:left="926" w:right="914"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r>
      <w:tr>
        <w:trPr>
          <w:trHeight w:val="1119"/>
        </w:trPr>
        <w:tc>
          <w:tcPr>
            <w:shd w:val="clear" w:color="auto" w:fill="auto"/>
            <w:tcW w:w="1625" w:type="dxa"/>
            <w:vAlign w:val="top"/>
            <w:textDirection w:val="lrTb"/>
            <w:noWrap w:val="false"/>
          </w:tcPr>
          <w:p>
            <w:pPr>
              <w:ind w:left="185"/>
              <w:spacing w:before="299"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专业检测机构情</w:t>
            </w:r>
            <w:r/>
          </w:p>
          <w:p>
            <w:pPr>
              <w:spacing w:line="298"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545"/>
              <w:spacing w:before="59"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况说明</w:t>
            </w:r>
            <w:r/>
          </w:p>
        </w:tc>
        <w:tc>
          <w:tcPr>
            <w:gridSpan w:val="6"/>
            <w:shd w:val="clear" w:color="auto" w:fill="auto"/>
            <w:tcW w:w="12549" w:type="dxa"/>
            <w:vAlign w:val="top"/>
            <w:textDirection w:val="lrTb"/>
            <w:noWrap w:val="false"/>
          </w:tcPr>
          <w:p>
            <w:pPr>
              <w:rPr>
                <w:rFonts w:hint="default" w:ascii="Arial" w:hAnsi="Arial" w:eastAsia="Arial" w:cs="Arial"/>
                <w:sz w:val="21"/>
                <w:szCs w:val="21"/>
                <w:highlight w:val="none"/>
              </w:rPr>
            </w:pPr>
            <w:r>
              <w:rPr>
                <w:rFonts w:hint="default" w:ascii="Arial" w:hAnsi="Arial" w:eastAsia="Arial" w:cs="Arial"/>
                <w:sz w:val="21"/>
                <w:szCs w:val="21"/>
                <w:highlight w:val="none"/>
              </w:rPr>
            </w:r>
            <w:r/>
          </w:p>
        </w:tc>
      </w:tr>
      <w:tr>
        <w:trPr>
          <w:trHeight w:val="1120"/>
        </w:trPr>
        <w:tc>
          <w:tcPr>
            <w:shd w:val="clear" w:color="auto" w:fill="auto"/>
            <w:tcW w:w="1625" w:type="dxa"/>
            <w:vAlign w:val="top"/>
            <w:textDirection w:val="lrTb"/>
            <w:noWrap w:val="false"/>
          </w:tcPr>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454"/>
              <w:spacing w:before="5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存在问题</w:t>
            </w:r>
            <w:r/>
          </w:p>
          <w:p>
            <w:pPr>
              <w:spacing w:line="297"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365"/>
              <w:spacing w:before="5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和改进意见</w:t>
            </w:r>
            <w:r/>
          </w:p>
        </w:tc>
        <w:tc>
          <w:tcPr>
            <w:gridSpan w:val="6"/>
            <w:shd w:val="clear" w:color="auto" w:fill="auto"/>
            <w:tcW w:w="12549"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bl>
    <w:p>
      <w:pPr>
        <w:rPr>
          <w:rFonts w:hint="default" w:ascii="Arial" w:hAnsi="Times New Roman"/>
          <w:sz w:val="21"/>
          <w:szCs w:val="24"/>
          <w:highlight w:val="none"/>
        </w:rPr>
      </w:pPr>
      <w:r>
        <w:rPr>
          <w:rFonts w:hint="default" w:ascii="Arial" w:hAnsi="Times New Roman"/>
          <w:sz w:val="21"/>
          <w:szCs w:val="24"/>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sectPr>
          <w:footerReference w:type="default" r:id="rId14"/>
          <w:footnotePr/>
          <w:endnotePr/>
          <w:type w:val="nextPage"/>
          <w:pgSz w:w="16838" w:h="11906" w:orient="landscape"/>
          <w:pgMar w:top="1011" w:right="956" w:bottom="1380" w:left="1459" w:header="0" w:footer="1162" w:gutter="0"/>
          <w:cols w:num="1" w:sep="0" w:space="1701" w:equalWidth="1"/>
          <w:docGrid w:linePitch="360"/>
        </w:sect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tbl>
      <w:tblPr>
        <w:tblStyle w:val="1115"/>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shd w:val="clear" w:color="auto" w:fill="auto"/>
            <w:tcW w:w="1624" w:type="dxa"/>
            <w:vAlign w:val="top"/>
            <w:textDirection w:val="lrTb"/>
            <w:noWrap w:val="false"/>
          </w:tcPr>
          <w:p>
            <w:pPr>
              <w:spacing w:line="301"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57"/>
              <w:spacing w:before="5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最终结论</w:t>
            </w:r>
            <w:r/>
          </w:p>
        </w:tc>
        <w:tc>
          <w:tcPr>
            <w:gridSpan w:val="2"/>
            <w:shd w:val="clear" w:color="auto" w:fill="auto"/>
            <w:tcW w:w="12550" w:type="dxa"/>
            <w:vAlign w:val="top"/>
            <w:textDirection w:val="lrTb"/>
            <w:noWrap w:val="false"/>
          </w:tcPr>
          <w:p>
            <w:pPr>
              <w:spacing w:line="271"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210"/>
              <w:spacing w:before="58"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合  格□</w:t>
            </w:r>
            <w:r>
              <w:rPr>
                <w:rFonts w:hint="default" w:ascii="宋体" w:hAnsi="宋体" w:cs="宋体"/>
                <w:position w:val="1"/>
                <w:sz w:val="18"/>
                <w:szCs w:val="18"/>
                <w:highlight w:val="none"/>
              </w:rPr>
              <w:t xml:space="preserve">                              </w:t>
            </w:r>
            <w:r>
              <w:rPr>
                <w:rFonts w:hint="default" w:ascii="宋体" w:hAnsi="宋体" w:cs="宋体"/>
                <w:spacing w:val="-2"/>
                <w:position w:val="1"/>
                <w:sz w:val="18"/>
                <w:szCs w:val="18"/>
                <w:highlight w:val="none"/>
              </w:rPr>
              <w:t xml:space="preserve">不合格□</w:t>
            </w:r>
            <w:r/>
          </w:p>
        </w:tc>
      </w:tr>
      <w:tr>
        <w:trPr>
          <w:trHeight w:val="1119"/>
        </w:trPr>
        <w:tc>
          <w:tcPr>
            <w:shd w:val="clear" w:color="auto" w:fill="auto"/>
            <w:tcW w:w="1624" w:type="dxa"/>
            <w:vAlign w:val="top"/>
            <w:textDirection w:val="lrTb"/>
            <w:noWrap w:val="false"/>
          </w:tcPr>
          <w:p>
            <w:pPr>
              <w:ind w:left="274"/>
              <w:spacing w:before="295"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验收小组成员</w:t>
            </w:r>
            <w:r/>
          </w:p>
          <w:p>
            <w:pPr>
              <w:spacing w:line="298"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635"/>
              <w:spacing w:before="58" w:line="208" w:lineRule="auto"/>
              <w:rPr>
                <w:rFonts w:hint="eastAsia" w:ascii="宋体" w:hAnsi="宋体" w:cs="宋体"/>
                <w:sz w:val="18"/>
                <w:szCs w:val="18"/>
                <w:highlight w:val="none"/>
              </w:rPr>
            </w:pPr>
            <w:r>
              <w:rPr>
                <w:rFonts w:hint="default" w:ascii="宋体" w:hAnsi="宋体" w:cs="宋体"/>
                <w:spacing w:val="-4"/>
                <w:sz w:val="18"/>
                <w:szCs w:val="18"/>
                <w:highlight w:val="none"/>
              </w:rPr>
              <w:t xml:space="preserve">签字</w:t>
            </w:r>
            <w:r/>
          </w:p>
        </w:tc>
        <w:tc>
          <w:tcPr>
            <w:gridSpan w:val="2"/>
            <w:shd w:val="clear" w:color="auto" w:fill="auto"/>
            <w:tcW w:w="12550"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gridSpan w:val="2"/>
            <w:shd w:val="clear" w:color="auto" w:fill="auto"/>
            <w:tcW w:w="7059" w:type="dxa"/>
            <w:vAlign w:val="top"/>
            <w:textDirection w:val="lrTb"/>
            <w:noWrap w:val="false"/>
          </w:tcPr>
          <w:p>
            <w:pPr>
              <w:ind w:left="2814"/>
              <w:spacing w:before="297" w:line="208"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采购代理机构意见</w:t>
            </w:r>
            <w:r/>
          </w:p>
        </w:tc>
        <w:tc>
          <w:tcPr>
            <w:shd w:val="clear" w:color="auto" w:fill="auto"/>
            <w:tcW w:w="7115" w:type="dxa"/>
            <w:vAlign w:val="top"/>
            <w:textDirection w:val="lrTb"/>
            <w:noWrap w:val="false"/>
          </w:tcPr>
          <w:p>
            <w:pPr>
              <w:ind w:left="3111"/>
              <w:spacing w:before="297"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采购人意见</w:t>
            </w:r>
            <w:r/>
          </w:p>
        </w:tc>
      </w:tr>
      <w:tr>
        <w:trPr>
          <w:trHeight w:val="1119"/>
        </w:trPr>
        <w:tc>
          <w:tcPr>
            <w:gridSpan w:val="2"/>
            <w:shd w:val="clear" w:color="auto" w:fill="auto"/>
            <w:tcW w:w="7059" w:type="dxa"/>
            <w:vAlign w:val="top"/>
            <w:textDirection w:val="lrTb"/>
            <w:noWrap w:val="false"/>
          </w:tcPr>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3"/>
              <w:spacing w:before="59" w:line="238"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经办人：         负责人</w:t>
            </w:r>
            <w:r>
              <w:rPr>
                <w:rFonts w:hint="default" w:ascii="宋体" w:hAnsi="宋体" w:cs="宋体"/>
                <w:spacing w:val="-18"/>
                <w:position w:val="1"/>
                <w:sz w:val="18"/>
                <w:szCs w:val="18"/>
                <w:highlight w:val="none"/>
              </w:rPr>
              <w:t xml:space="preserve">：</w:t>
            </w:r>
            <w:r>
              <w:rPr>
                <w:rFonts w:hint="default" w:ascii="宋体" w:hAnsi="宋体" w:cs="宋体"/>
                <w:position w:val="1"/>
                <w:sz w:val="18"/>
                <w:szCs w:val="18"/>
                <w:highlight w:val="none"/>
              </w:rPr>
              <w:t xml:space="preserve">           </w:t>
            </w:r>
            <w:r>
              <w:rPr>
                <w:rFonts w:hint="default" w:ascii="宋体" w:hAnsi="宋体" w:cs="宋体"/>
                <w:spacing w:val="-18"/>
                <w:position w:val="1"/>
                <w:sz w:val="18"/>
                <w:szCs w:val="18"/>
                <w:highlight w:val="none"/>
              </w:rPr>
              <w:t xml:space="preserve">（</w:t>
            </w:r>
            <w:r>
              <w:rPr>
                <w:rFonts w:hint="default" w:ascii="宋体" w:hAnsi="宋体" w:cs="宋体"/>
                <w:spacing w:val="1"/>
                <w:position w:val="1"/>
                <w:sz w:val="18"/>
                <w:szCs w:val="18"/>
                <w:highlight w:val="none"/>
              </w:rPr>
              <w:t xml:space="preserve">采购代理机构公章）</w:t>
            </w:r>
            <w:r/>
          </w:p>
        </w:tc>
        <w:tc>
          <w:tcPr>
            <w:shd w:val="clear" w:color="auto" w:fill="auto"/>
            <w:tcW w:w="7115" w:type="dxa"/>
            <w:vAlign w:val="top"/>
            <w:textDirection w:val="lrTb"/>
            <w:noWrap w:val="false"/>
          </w:tcPr>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5"/>
              <w:spacing w:before="59" w:line="238"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经办人：         负责人</w:t>
            </w:r>
            <w:r>
              <w:rPr>
                <w:rFonts w:hint="default" w:ascii="宋体" w:hAnsi="宋体" w:cs="宋体"/>
                <w:spacing w:val="-17"/>
                <w:position w:val="1"/>
                <w:sz w:val="18"/>
                <w:szCs w:val="18"/>
                <w:highlight w:val="none"/>
              </w:rPr>
              <w:t xml:space="preserve">：</w:t>
            </w:r>
            <w:r>
              <w:rPr>
                <w:rFonts w:hint="default" w:ascii="宋体" w:hAnsi="宋体" w:cs="宋体"/>
                <w:position w:val="1"/>
                <w:sz w:val="18"/>
                <w:szCs w:val="18"/>
                <w:highlight w:val="none"/>
              </w:rPr>
              <w:t xml:space="preserve">               </w:t>
            </w:r>
            <w:r>
              <w:rPr>
                <w:rFonts w:hint="default" w:ascii="宋体" w:hAnsi="宋体" w:cs="宋体"/>
                <w:spacing w:val="-17"/>
                <w:position w:val="1"/>
                <w:sz w:val="18"/>
                <w:szCs w:val="18"/>
                <w:highlight w:val="none"/>
              </w:rPr>
              <w:t xml:space="preserve">（</w:t>
            </w:r>
            <w:r>
              <w:rPr>
                <w:rFonts w:hint="default" w:ascii="宋体" w:hAnsi="宋体" w:cs="宋体"/>
                <w:spacing w:val="1"/>
                <w:position w:val="1"/>
                <w:sz w:val="18"/>
                <w:szCs w:val="18"/>
                <w:highlight w:val="none"/>
              </w:rPr>
              <w:t xml:space="preserve">采购人公章）</w:t>
            </w:r>
            <w:r/>
          </w:p>
        </w:tc>
      </w:tr>
      <w:tr>
        <w:trPr>
          <w:trHeight w:val="1681"/>
        </w:trPr>
        <w:tc>
          <w:tcPr>
            <w:gridSpan w:val="3"/>
            <w:shd w:val="clear" w:color="auto" w:fill="auto"/>
            <w:tcW w:w="14174" w:type="dxa"/>
            <w:vAlign w:val="top"/>
            <w:textDirection w:val="lrTb"/>
            <w:noWrap w:val="false"/>
          </w:tcPr>
          <w:p>
            <w:pPr>
              <w:ind w:left="112"/>
              <w:spacing w:before="299"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供应商确认：</w:t>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7"/>
              <w:spacing w:before="58" w:line="239"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（单位公章或授权代表签字）</w:t>
            </w:r>
            <w:r/>
          </w:p>
        </w:tc>
      </w:tr>
    </w:tbl>
    <w:p>
      <w:pPr>
        <w:ind w:left="85"/>
        <w:spacing w:before="296" w:line="211" w:lineRule="auto"/>
        <w:rPr>
          <w:rFonts w:hint="eastAsia" w:ascii="宋体" w:hAnsi="宋体" w:cs="宋体"/>
          <w:sz w:val="18"/>
          <w:szCs w:val="18"/>
          <w:highlight w:val="none"/>
        </w:rPr>
      </w:pPr>
      <w:r>
        <w:rPr>
          <w:rFonts w:hint="default" w:ascii="宋体" w:hAnsi="宋体" w:cs="宋体"/>
          <w:sz w:val="18"/>
          <w:szCs w:val="18"/>
          <w:highlight w:val="none"/>
        </w:rPr>
        <w:t xml:space="preserve">说明：1.该表为服务类项目履约验收的参考样表，采购人或采购代理机构可以</w:t>
      </w:r>
      <w:r>
        <w:rPr>
          <w:rFonts w:hint="default" w:ascii="宋体" w:hAnsi="宋体" w:cs="宋体"/>
          <w:spacing w:val="-1"/>
          <w:sz w:val="18"/>
          <w:szCs w:val="18"/>
          <w:highlight w:val="none"/>
        </w:rPr>
        <w:t xml:space="preserve">根据工作实际进行调整。</w:t>
      </w:r>
      <w:r/>
    </w:p>
    <w:p>
      <w:pPr>
        <w:contextualSpacing/>
        <w:ind w:firstLine="360"/>
        <w:spacing w:line="360" w:lineRule="auto"/>
        <w:rPr>
          <w:rFonts w:hint="eastAsia" w:ascii="宋体" w:hAnsi="宋体" w:cs="宋体"/>
          <w:sz w:val="21"/>
          <w:szCs w:val="21"/>
          <w:highlight w:val="none"/>
          <w:lang w:val="zh-CN"/>
        </w:rPr>
      </w:pPr>
      <w:r>
        <w:rPr>
          <w:rFonts w:hint="default" w:ascii="宋体" w:hAnsi="宋体" w:cs="宋体"/>
          <w:sz w:val="18"/>
          <w:szCs w:val="18"/>
          <w:highlight w:val="none"/>
        </w:rPr>
        <w:t xml:space="preserve">2.未委托采购代理机构开展履约验收工作的，无需填写“</w:t>
      </w:r>
      <w:r>
        <w:rPr>
          <w:rFonts w:hint="default" w:ascii="宋体" w:hAnsi="宋体" w:cs="宋体"/>
          <w:spacing w:val="-1"/>
          <w:sz w:val="18"/>
          <w:szCs w:val="18"/>
          <w:highlight w:val="none"/>
        </w:rPr>
        <w:t xml:space="preserve">采购代理机构意见</w:t>
      </w:r>
      <w:r>
        <w:rPr>
          <w:rFonts w:hint="default" w:ascii="宋体" w:hAnsi="宋体" w:cs="宋体"/>
          <w:spacing w:val="-66"/>
          <w:sz w:val="18"/>
          <w:szCs w:val="18"/>
          <w:highlight w:val="none"/>
        </w:rPr>
        <w:t xml:space="preserve"> </w:t>
      </w:r>
      <w:r>
        <w:rPr>
          <w:rFonts w:hint="default" w:ascii="宋体" w:hAnsi="宋体" w:cs="宋体"/>
          <w:spacing w:val="-1"/>
          <w:sz w:val="18"/>
          <w:szCs w:val="18"/>
          <w:highlight w:val="none"/>
        </w:rPr>
        <w:t xml:space="preserve">”。</w:t>
      </w:r>
      <w:r/>
    </w:p>
    <w:p>
      <w:pPr>
        <w:rPr>
          <w:rFonts w:ascii="Arial" w:hAnsi="Arial" w:eastAsia="Arial" w:cs="Arial"/>
          <w:sz w:val="21"/>
          <w:szCs w:val="21"/>
          <w:highlight w:val="none"/>
        </w:rPr>
        <w:sectPr>
          <w:footerReference w:type="default" r:id="rId15"/>
          <w:footnotePr/>
          <w:endnotePr/>
          <w:type w:val="nextPage"/>
          <w:pgSz w:w="16838" w:h="11906" w:orient="landscape"/>
          <w:pgMar w:top="1011" w:right="956" w:bottom="1380" w:left="1459" w:header="0" w:footer="1162" w:gutter="0"/>
          <w:cols w:num="1" w:sep="0" w:space="1701" w:equalWidth="1"/>
          <w:docGrid w:linePitch="360"/>
        </w:sectPr>
      </w:pPr>
      <w:r>
        <w:rPr>
          <w:rFonts w:ascii="Arial" w:hAnsi="Arial" w:eastAsia="Arial" w:cs="Arial"/>
          <w:sz w:val="21"/>
          <w:szCs w:val="21"/>
          <w:highlight w:val="none"/>
        </w:rPr>
      </w:r>
      <w:r/>
    </w:p>
    <w:p>
      <w:pPr>
        <w:jc w:val="center"/>
        <w:spacing w:line="360" w:lineRule="auto"/>
        <w:rPr>
          <w:rFonts w:hint="eastAsia" w:ascii="宋体"/>
          <w:b/>
          <w:color w:val="auto"/>
          <w:sz w:val="44"/>
          <w:szCs w:val="44"/>
          <w:highlight w:val="none"/>
        </w:rPr>
        <w:outlineLvl w:val="0"/>
      </w:pPr>
      <w:r>
        <w:rPr>
          <w:rFonts w:hint="eastAsia" w:ascii="宋体"/>
          <w:b/>
          <w:color w:val="auto"/>
          <w:sz w:val="44"/>
          <w:szCs w:val="44"/>
          <w:highlight w:val="none"/>
        </w:rPr>
        <w:t xml:space="preserve">第四部分 投标文件格式</w:t>
      </w:r>
      <w:bookmarkEnd w:id="28"/>
      <w:r/>
      <w:r/>
    </w:p>
    <w:p>
      <w:pPr>
        <w:jc w:val="center"/>
        <w:spacing w:line="380" w:lineRule="exact"/>
        <w:rPr>
          <w:rFonts w:eastAsia="黑体"/>
          <w:b/>
          <w:color w:val="auto"/>
          <w:sz w:val="32"/>
          <w:highlight w:val="none"/>
        </w:rPr>
      </w:pPr>
      <w:r>
        <w:rPr>
          <w:rFonts w:eastAsia="黑体"/>
          <w:b/>
          <w:color w:val="auto"/>
          <w:sz w:val="32"/>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23"/>
      <w:r/>
      <w:r/>
    </w:p>
    <w:p>
      <w:pPr>
        <w:pStyle w:val="1372"/>
        <w:rPr>
          <w:rFonts w:hint="eastAsia"/>
          <w:color w:val="auto"/>
          <w:highlight w:val="none"/>
        </w:rPr>
      </w:pPr>
      <w:r>
        <w:rPr>
          <w:rFonts w:hint="eastAsia"/>
          <w:color w:val="auto"/>
          <w:highlight w:val="none"/>
        </w:rPr>
      </w:r>
      <w:r/>
    </w:p>
    <w:p>
      <w:pPr>
        <w:rPr>
          <w:rFonts w:hint="eastAsia"/>
          <w:b/>
          <w:color w:val="auto"/>
          <w:sz w:val="44"/>
          <w:szCs w:val="44"/>
          <w:highlight w:val="none"/>
        </w:rPr>
      </w:pPr>
      <w:r>
        <w:rPr>
          <w:rFonts w:hint="eastAsia"/>
          <w:b/>
          <w:color w:val="auto"/>
          <w:sz w:val="44"/>
          <w:szCs w:val="44"/>
          <w:highlight w:val="none"/>
        </w:rPr>
      </w:r>
      <w:r/>
    </w:p>
    <w:p>
      <w:pPr>
        <w:rPr>
          <w:b/>
          <w:color w:val="auto"/>
          <w:sz w:val="44"/>
          <w:szCs w:val="44"/>
          <w:highlight w:val="none"/>
        </w:rPr>
      </w:pPr>
      <w:r>
        <w:rPr>
          <w:b/>
          <w:color w:val="auto"/>
          <w:sz w:val="44"/>
          <w:szCs w:val="44"/>
          <w:highlight w:val="none"/>
        </w:rPr>
        <w:br w:type="page" w:clear="all"/>
      </w:r>
      <w:r>
        <w:rPr>
          <w:b/>
          <w:color w:val="auto"/>
          <w:sz w:val="44"/>
          <w:szCs w:val="44"/>
          <w:highlight w:val="none"/>
        </w:rPr>
        <w:t xml:space="preserve">封面：</w:t>
      </w:r>
      <w:r/>
    </w:p>
    <w:p>
      <w:pPr>
        <w:jc w:val="center"/>
        <w:rPr>
          <w:rFonts w:hint="eastAsia" w:ascii="黑体" w:hAnsi="宋体" w:eastAsia="黑体"/>
          <w:color w:val="auto"/>
          <w:sz w:val="36"/>
          <w:highlight w:val="none"/>
        </w:rPr>
      </w:pPr>
      <w:r>
        <w:rPr>
          <w:rFonts w:hint="eastAsia"/>
          <w:b/>
          <w:color w:val="auto"/>
          <w:sz w:val="72"/>
          <w:szCs w:val="72"/>
          <w:highlight w:val="none"/>
        </w:rPr>
        <w:t xml:space="preserve">             </w:t>
      </w:r>
      <w:r/>
    </w:p>
    <w:p>
      <w:pPr>
        <w:pStyle w:val="1309"/>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w:t>
      </w:r>
      <w:r>
        <w:rPr>
          <w:rFonts w:hint="eastAsia"/>
          <w:b/>
          <w:color w:val="auto"/>
          <w:sz w:val="72"/>
          <w:szCs w:val="72"/>
          <w:highlight w:val="none"/>
        </w:rPr>
        <w:t xml:space="preserve"> </w:t>
      </w:r>
      <w:r>
        <w:rPr>
          <w:b/>
          <w:color w:val="auto"/>
          <w:sz w:val="72"/>
          <w:szCs w:val="72"/>
          <w:highlight w:val="none"/>
        </w:rPr>
        <w:t xml:space="preserve">标</w:t>
      </w:r>
      <w:r>
        <w:rPr>
          <w:rFonts w:hint="eastAsia"/>
          <w:b/>
          <w:color w:val="auto"/>
          <w:sz w:val="72"/>
          <w:szCs w:val="72"/>
          <w:highlight w:val="none"/>
        </w:rPr>
        <w:t xml:space="preserve"> </w:t>
      </w:r>
      <w:r>
        <w:rPr>
          <w:b/>
          <w:color w:val="auto"/>
          <w:sz w:val="72"/>
          <w:szCs w:val="72"/>
          <w:highlight w:val="none"/>
        </w:rPr>
        <w:t xml:space="preserve">文</w:t>
      </w:r>
      <w:r>
        <w:rPr>
          <w:rFonts w:hint="eastAsia"/>
          <w:b/>
          <w:color w:val="auto"/>
          <w:sz w:val="72"/>
          <w:szCs w:val="72"/>
          <w:highlight w:val="none"/>
        </w:rPr>
        <w:t xml:space="preserve"> </w:t>
      </w:r>
      <w:r>
        <w:rPr>
          <w:b/>
          <w:color w:val="auto"/>
          <w:sz w:val="72"/>
          <w:szCs w:val="72"/>
          <w:highlight w:val="none"/>
        </w:rPr>
        <w:t xml:space="preserve">件</w:t>
      </w:r>
      <w:r/>
    </w:p>
    <w:p>
      <w:pPr>
        <w:rPr>
          <w:b/>
          <w:color w:val="auto"/>
          <w:sz w:val="36"/>
          <w:szCs w:val="36"/>
          <w:highlight w:val="none"/>
        </w:rPr>
      </w:pPr>
      <w:r>
        <w:rPr>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采购单位：</w:t>
      </w:r>
      <w:r>
        <w:rPr>
          <w:rFonts w:hint="eastAsia"/>
          <w:b/>
          <w:color w:val="auto"/>
          <w:sz w:val="36"/>
          <w:szCs w:val="36"/>
          <w:highlight w:val="none"/>
          <w:lang w:eastAsia="zh-CN"/>
        </w:rPr>
        <w:t xml:space="preserve">江苏省太仓高新技术产业开发区管理委员会</w:t>
      </w:r>
      <w:r/>
    </w:p>
    <w:p>
      <w:pPr>
        <w:ind w:left="2349" w:hanging="1807"/>
        <w:rPr>
          <w:rFonts w:hint="eastAsia" w:eastAsia="宋体"/>
          <w:b/>
          <w:color w:val="auto"/>
          <w:sz w:val="36"/>
          <w:szCs w:val="36"/>
          <w:highlight w:val="none"/>
          <w:lang w:eastAsia="zh-CN"/>
        </w:rPr>
      </w:pPr>
      <w:r>
        <w:rPr>
          <w:b/>
          <w:color w:val="auto"/>
          <w:sz w:val="36"/>
          <w:szCs w:val="36"/>
          <w:highlight w:val="none"/>
        </w:rPr>
        <w:t xml:space="preserve">项目名称：</w:t>
      </w:r>
      <w:r>
        <w:rPr>
          <w:rFonts w:hint="eastAsia"/>
          <w:b/>
          <w:color w:val="auto"/>
          <w:sz w:val="36"/>
          <w:szCs w:val="36"/>
          <w:highlight w:val="none"/>
          <w:lang w:eastAsia="zh-CN"/>
        </w:rPr>
        <w:t xml:space="preserve">太仓高新区食堂运营服务</w:t>
      </w:r>
      <w:r/>
    </w:p>
    <w:p>
      <w:pPr>
        <w:ind w:firstLine="542"/>
        <w:rPr>
          <w:rFonts w:hint="eastAsia"/>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val="en-US" w:eastAsia="zh-CN"/>
        </w:rPr>
        <w:t xml:space="preserve">JSZC-320585-XYCH-G2026-0001</w:t>
      </w:r>
      <w:r/>
    </w:p>
    <w:p>
      <w:pPr>
        <w:ind w:firstLine="542"/>
        <w:rPr>
          <w:rFonts w:hint="eastAsia"/>
          <w:b/>
          <w:color w:val="auto"/>
          <w:sz w:val="36"/>
          <w:szCs w:val="36"/>
          <w:highlight w:val="none"/>
          <w:lang w:eastAsia="zh-CN"/>
        </w:rPr>
      </w:pPr>
      <w:r>
        <w:rPr>
          <w:rFonts w:hint="eastAsia"/>
          <w:b/>
          <w:color w:val="auto"/>
          <w:sz w:val="36"/>
          <w:szCs w:val="36"/>
          <w:highlight w:val="none"/>
          <w:lang w:eastAsia="zh-CN"/>
        </w:rPr>
        <w:t xml:space="preserve"> </w:t>
      </w:r>
      <w:r/>
    </w:p>
    <w:p>
      <w:pPr>
        <w:rPr>
          <w:color w:val="auto"/>
          <w:sz w:val="36"/>
          <w:szCs w:val="36"/>
          <w:highlight w:val="none"/>
        </w:rPr>
      </w:pPr>
      <w:r>
        <w:rPr>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left="540"/>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rFonts w:hint="default" w:eastAsia="宋体"/>
          <w:b/>
          <w:color w:val="auto"/>
          <w:sz w:val="36"/>
          <w:szCs w:val="36"/>
          <w:highlight w:val="none"/>
          <w:lang w:val="en-US" w:eastAsia="zh-CN"/>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lang w:val="en-US" w:eastAsia="zh-CN"/>
        </w:rPr>
        <w:t xml:space="preserve">   日</w:t>
      </w:r>
      <w:r/>
    </w:p>
    <w:p>
      <w:pPr>
        <w:pStyle w:val="1326"/>
        <w:ind w:firstLine="0"/>
        <w:spacing w:line="360" w:lineRule="auto"/>
        <w:rPr>
          <w:rFonts w:ascii="宋体" w:hAnsi="宋体"/>
          <w:b/>
          <w:color w:val="auto"/>
          <w:sz w:val="28"/>
          <w:szCs w:val="28"/>
          <w:highlight w:val="none"/>
        </w:rPr>
      </w:pPr>
      <w:r>
        <w:rPr>
          <w:b/>
          <w:color w:val="auto"/>
          <w:sz w:val="36"/>
          <w:szCs w:val="36"/>
          <w:highlight w:val="none"/>
        </w:rPr>
        <w:br w:type="page" w:clear="all"/>
      </w:r>
      <w:bookmarkStart w:id="29" w:name="_Toc467507044"/>
      <w:r/>
      <w:bookmarkStart w:id="30" w:name="_Toc467507054"/>
      <w:r/>
      <w:bookmarkStart w:id="31" w:name="_Toc430265233"/>
      <w:r/>
      <w:bookmarkStart w:id="32" w:name="_Toc405288080"/>
      <w:r/>
      <w:bookmarkStart w:id="33" w:name="_Toc322442932"/>
      <w:r>
        <w:rPr>
          <w:rFonts w:hint="eastAsia" w:ascii="宋体" w:hAnsi="宋体"/>
          <w:b/>
          <w:color w:val="auto"/>
          <w:sz w:val="32"/>
          <w:szCs w:val="32"/>
          <w:highlight w:val="none"/>
        </w:rPr>
        <w:t xml:space="preserve">1、</w:t>
      </w:r>
      <w:r>
        <w:rPr>
          <w:rFonts w:hint="eastAsia" w:ascii="宋体" w:hAnsi="宋体"/>
          <w:b/>
          <w:color w:val="auto"/>
          <w:sz w:val="28"/>
          <w:szCs w:val="28"/>
          <w:highlight w:val="none"/>
        </w:rPr>
        <w:t xml:space="preserve">关于资格文件的声明函</w:t>
      </w:r>
      <w:r/>
    </w:p>
    <w:p>
      <w:pPr>
        <w:pStyle w:val="1326"/>
        <w:ind w:left="1260"/>
        <w:rPr>
          <w:rFonts w:ascii="宋体" w:hAnsi="宋体"/>
          <w:color w:val="auto"/>
          <w:sz w:val="30"/>
          <w:szCs w:val="30"/>
          <w:highlight w:val="none"/>
        </w:rPr>
      </w:pPr>
      <w:r>
        <w:rPr>
          <w:rFonts w:ascii="宋体" w:hAnsi="宋体"/>
          <w:color w:val="auto"/>
          <w:sz w:val="30"/>
          <w:szCs w:val="30"/>
          <w:highlight w:val="none"/>
        </w:rPr>
      </w:r>
      <w:r/>
    </w:p>
    <w:p>
      <w:pPr>
        <w:pStyle w:val="1326"/>
        <w:ind w:left="1260"/>
        <w:rPr>
          <w:rFonts w:ascii="宋体" w:hAnsi="宋体"/>
          <w:color w:val="auto"/>
          <w:sz w:val="30"/>
          <w:szCs w:val="30"/>
          <w:highlight w:val="none"/>
        </w:rPr>
      </w:pPr>
      <w:r>
        <w:rPr>
          <w:rFonts w:ascii="宋体" w:hAnsi="宋体"/>
          <w:color w:val="auto"/>
          <w:sz w:val="30"/>
          <w:szCs w:val="30"/>
          <w:highlight w:val="none"/>
        </w:rPr>
      </w:r>
      <w:r/>
    </w:p>
    <w:p>
      <w:pPr>
        <w:pStyle w:val="1326"/>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1326"/>
        <w:ind w:left="1260"/>
        <w:jc w:val="center"/>
        <w:rPr>
          <w:rFonts w:ascii="宋体" w:hAnsi="宋体"/>
          <w:color w:val="auto"/>
          <w:sz w:val="24"/>
          <w:szCs w:val="24"/>
          <w:highlight w:val="none"/>
        </w:rPr>
      </w:pPr>
      <w:r>
        <w:rPr>
          <w:rFonts w:ascii="宋体" w:hAnsi="宋体"/>
          <w:color w:val="auto"/>
          <w:sz w:val="24"/>
          <w:szCs w:val="24"/>
          <w:highlight w:val="none"/>
        </w:rPr>
      </w:r>
      <w:r/>
    </w:p>
    <w:p>
      <w:pPr>
        <w:pStyle w:val="1326"/>
        <w:ind w:firstLine="0"/>
        <w:spacing w:line="500" w:lineRule="exact"/>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苏州星宇测绘科技有限公司</w:t>
      </w:r>
      <w:r>
        <w:rPr>
          <w:rFonts w:hint="eastAsia" w:ascii="宋体" w:hAnsi="宋体"/>
          <w:color w:val="auto"/>
          <w:sz w:val="24"/>
          <w:szCs w:val="24"/>
          <w:highlight w:val="none"/>
        </w:rPr>
        <w:t xml:space="preserve">：</w:t>
      </w:r>
      <w:r/>
    </w:p>
    <w:p>
      <w:pPr>
        <w:pStyle w:val="1326"/>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326"/>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326"/>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326"/>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1326"/>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1122"/>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pStyle w:val="1129"/>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2、投标承诺函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lang w:eastAsia="zh-CN"/>
        </w:rPr>
        <w:t xml:space="preserve">苏州星宇测绘科技有限公司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eastAsia" w:ascii="宋体" w:hAnsi="宋体"/>
          <w:b/>
          <w:color w:val="auto"/>
          <w:sz w:val="24"/>
          <w:highlight w:val="none"/>
          <w:u w:val="single"/>
          <w:lang w:eastAsia="zh-CN"/>
        </w:rPr>
        <w:t xml:space="preserve">太仓高新区食堂运营服务</w:t>
      </w:r>
      <w:r>
        <w:rPr>
          <w:rFonts w:hint="eastAsia" w:ascii="宋体" w:hAnsi="宋体"/>
          <w:color w:val="auto"/>
          <w:sz w:val="24"/>
          <w:highlight w:val="none"/>
        </w:rPr>
        <w:t xml:space="preserve">招标文件（项目编号：</w:t>
      </w:r>
      <w:r>
        <w:rPr>
          <w:rFonts w:hint="eastAsia" w:ascii="宋体" w:hAnsi="宋体"/>
          <w:b/>
          <w:color w:val="auto"/>
          <w:sz w:val="24"/>
          <w:szCs w:val="24"/>
          <w:highlight w:val="none"/>
          <w:u w:val="single"/>
          <w:lang w:val="en-US" w:eastAsia="zh-CN"/>
        </w:rPr>
        <w:t xml:space="preserve">           </w:t>
      </w:r>
      <w:r>
        <w:rPr>
          <w:rFonts w:hint="eastAsia" w:ascii="宋体" w:hAnsi="宋体"/>
          <w:color w:val="auto"/>
          <w:sz w:val="24"/>
          <w:highlight w:val="none"/>
        </w:rPr>
        <w:t xml:space="preserve"> ），经仔细阅读和研究，我们决定参加投标。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hint="eastAsia"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苏州星宇测绘科技有限公司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投标单位（单位公章）：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1122"/>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pStyle w:val="1129"/>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1326"/>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4、投标单位情况表</w:t>
      </w:r>
      <w:r/>
    </w:p>
    <w:p>
      <w:pPr>
        <w:pStyle w:val="1326"/>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1326"/>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1115"/>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法定代表人</w:t>
            </w:r>
            <w:r/>
          </w:p>
        </w:tc>
        <w:tc>
          <w:tcPr>
            <w:tcW w:w="1845"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成立日期</w:t>
            </w:r>
            <w:r/>
          </w:p>
        </w:tc>
        <w:tc>
          <w:tcPr>
            <w:gridSpan w:val="2"/>
            <w:tcW w:w="3030"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企业地址</w:t>
            </w:r>
            <w:r/>
          </w:p>
        </w:tc>
        <w:tc>
          <w:tcPr>
            <w:tcW w:w="1845"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注册资本</w:t>
            </w:r>
            <w:r/>
          </w:p>
        </w:tc>
        <w:tc>
          <w:tcPr>
            <w:gridSpan w:val="2"/>
            <w:tcW w:w="3030"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经营范围</w:t>
            </w:r>
            <w:r/>
          </w:p>
        </w:tc>
        <w:tc>
          <w:tcPr>
            <w:gridSpan w:val="4"/>
            <w:tcW w:w="6219"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职工人数</w:t>
            </w:r>
            <w:r/>
          </w:p>
        </w:tc>
        <w:tc>
          <w:tcPr>
            <w:tcW w:w="1845" w:type="dxa"/>
            <w:vAlign w:val="top"/>
            <w:textDirection w:val="lrTb"/>
            <w:noWrap w:val="false"/>
          </w:tcPr>
          <w:p>
            <w:pPr>
              <w:pStyle w:val="1326"/>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236"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其中：有中高级以上职称的人数</w:t>
            </w:r>
            <w:r/>
          </w:p>
        </w:tc>
        <w:tc>
          <w:tcPr>
            <w:tcW w:w="1138"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center"/>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资产总计</w:t>
            </w:r>
            <w:r/>
          </w:p>
        </w:tc>
        <w:tc>
          <w:tcPr>
            <w:tcW w:w="1845" w:type="dxa"/>
            <w:vAlign w:val="center"/>
            <w:textDirection w:val="lrTb"/>
            <w:noWrap w:val="false"/>
          </w:tcPr>
          <w:p>
            <w:pPr>
              <w:pStyle w:val="1326"/>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c>
          <w:tcPr>
            <w:tcW w:w="1344" w:type="dxa"/>
            <w:vAlign w:val="center"/>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净资产</w:t>
            </w:r>
            <w:r/>
          </w:p>
        </w:tc>
        <w:tc>
          <w:tcPr>
            <w:gridSpan w:val="2"/>
            <w:tcW w:w="3030" w:type="dxa"/>
            <w:vAlign w:val="center"/>
            <w:textDirection w:val="lrTb"/>
            <w:noWrap w:val="false"/>
          </w:tcPr>
          <w:p>
            <w:pPr>
              <w:pStyle w:val="1326"/>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center"/>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股东权益</w:t>
            </w:r>
            <w:r/>
          </w:p>
        </w:tc>
        <w:tc>
          <w:tcPr>
            <w:tcW w:w="1845" w:type="dxa"/>
            <w:vAlign w:val="center"/>
            <w:textDirection w:val="lrTb"/>
            <w:noWrap w:val="false"/>
          </w:tcPr>
          <w:p>
            <w:pPr>
              <w:pStyle w:val="1326"/>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万元</w:t>
            </w:r>
            <w:r/>
          </w:p>
        </w:tc>
        <w:tc>
          <w:tcPr>
            <w:tcW w:w="1344" w:type="dxa"/>
            <w:vAlign w:val="center"/>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销售收入</w:t>
            </w:r>
            <w:r/>
          </w:p>
        </w:tc>
        <w:tc>
          <w:tcPr>
            <w:gridSpan w:val="2"/>
            <w:tcW w:w="3030" w:type="dxa"/>
            <w:vAlign w:val="center"/>
            <w:textDirection w:val="lrTb"/>
            <w:noWrap w:val="false"/>
          </w:tcPr>
          <w:p>
            <w:pPr>
              <w:pStyle w:val="1326"/>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万元</w:t>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实现利润</w:t>
            </w:r>
            <w:r/>
          </w:p>
        </w:tc>
        <w:tc>
          <w:tcPr>
            <w:tcW w:w="1845" w:type="dxa"/>
            <w:vAlign w:val="top"/>
            <w:textDirection w:val="lrTb"/>
            <w:noWrap w:val="false"/>
          </w:tcPr>
          <w:p>
            <w:pPr>
              <w:pStyle w:val="1326"/>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r/>
          </w:p>
        </w:tc>
        <w:tc>
          <w:tcPr>
            <w:tcW w:w="1344"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030"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营业面积（含厂房面积）</w:t>
            </w:r>
            <w:r/>
          </w:p>
        </w:tc>
        <w:tc>
          <w:tcPr>
            <w:tcW w:w="1845" w:type="dxa"/>
            <w:vAlign w:val="center"/>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r/>
          </w:p>
        </w:tc>
        <w:tc>
          <w:tcPr>
            <w:tcW w:w="1344"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w:t>
            </w:r>
            <w:r/>
          </w:p>
        </w:tc>
        <w:tc>
          <w:tcPr>
            <w:gridSpan w:val="2"/>
            <w:tcW w:w="3030"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单位简历及内设机构情况</w:t>
            </w:r>
            <w:r/>
          </w:p>
        </w:tc>
        <w:tc>
          <w:tcPr>
            <w:gridSpan w:val="4"/>
            <w:tcW w:w="6219" w:type="dxa"/>
            <w:vAlign w:val="top"/>
            <w:textDirection w:val="lrTb"/>
            <w:noWrap w:val="false"/>
          </w:tcPr>
          <w:p>
            <w:pPr>
              <w:pStyle w:val="1326"/>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668"/>
        </w:trPr>
        <w:tc>
          <w:tcPr>
            <w:tcW w:w="2551" w:type="dxa"/>
            <w:vAlign w:val="center"/>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单位优势及特长</w:t>
            </w:r>
            <w:r/>
          </w:p>
        </w:tc>
        <w:tc>
          <w:tcPr>
            <w:gridSpan w:val="4"/>
            <w:tcW w:w="6219"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0"/>
        </w:trPr>
        <w:tc>
          <w:tcPr>
            <w:tcW w:w="2551" w:type="dxa"/>
            <w:vAlign w:val="top"/>
            <w:textDirection w:val="lrTb"/>
            <w:noWrap w:val="false"/>
          </w:tcPr>
          <w:p>
            <w:pPr>
              <w:pStyle w:val="1326"/>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其他需要说明的情况</w:t>
            </w:r>
            <w:r/>
          </w:p>
        </w:tc>
        <w:tc>
          <w:tcPr>
            <w:gridSpan w:val="4"/>
            <w:tcW w:w="6219" w:type="dxa"/>
            <w:vAlign w:val="top"/>
            <w:textDirection w:val="lrTb"/>
            <w:noWrap w:val="false"/>
          </w:tcPr>
          <w:p>
            <w:pPr>
              <w:pStyle w:val="1326"/>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5、法定代表人授权委托书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 xml:space="preserve">苏州星宇测绘科技有限公司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hint="eastAsia"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137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6、开标一览表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开标一览表</w:t>
      </w:r>
      <w:r/>
    </w:p>
    <w:p>
      <w:pPr>
        <w:jc w:val="center"/>
        <w:rPr>
          <w:rFonts w:ascii="宋体" w:hAnsi="宋体"/>
          <w:color w:val="auto"/>
          <w:sz w:val="24"/>
          <w:szCs w:val="22"/>
          <w:highlight w:val="none"/>
        </w:rPr>
      </w:pPr>
      <w:r>
        <w:rPr>
          <w:rFonts w:hint="eastAsia" w:ascii="宋体" w:hAnsi="宋体"/>
          <w:color w:val="auto"/>
          <w:sz w:val="24"/>
          <w:szCs w:val="22"/>
          <w:highlight w:val="none"/>
        </w:rPr>
        <w:t xml:space="preserve">                                                 </w:t>
      </w:r>
      <w:r/>
    </w:p>
    <w:tbl>
      <w:tblPr>
        <w:tblStyle w:val="11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项目名称</w:t>
            </w:r>
            <w:r/>
          </w:p>
        </w:tc>
        <w:tc>
          <w:tcPr>
            <w:tcW w:w="6632"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 </w:t>
            </w:r>
            <w:r/>
          </w:p>
        </w:tc>
      </w:tr>
      <w:tr>
        <w:trPr>
          <w:trHeight w:val="737"/>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项目编号</w:t>
            </w:r>
            <w:r/>
          </w:p>
        </w:tc>
        <w:tc>
          <w:tcPr>
            <w:tcW w:w="6632"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 </w:t>
            </w:r>
            <w:r/>
          </w:p>
        </w:tc>
      </w:tr>
      <w:tr>
        <w:trPr>
          <w:trHeight w:val="737"/>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项目服务期限</w:t>
            </w:r>
            <w:r/>
          </w:p>
        </w:tc>
        <w:tc>
          <w:tcPr>
            <w:tcW w:w="6632"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r>
            <w:r/>
          </w:p>
        </w:tc>
      </w:tr>
      <w:tr>
        <w:trPr>
          <w:trHeight w:val="2306"/>
        </w:trPr>
        <w:tc>
          <w:tcPr>
            <w:tcW w:w="3028"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投标总价</w:t>
            </w:r>
            <w:r/>
          </w:p>
        </w:tc>
        <w:tc>
          <w:tcPr>
            <w:tcW w:w="6632" w:type="dxa"/>
            <w:vAlign w:val="center"/>
            <w:textDirection w:val="lrTb"/>
            <w:noWrap w:val="false"/>
          </w:tcPr>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小写：￥                              </w:t>
            </w:r>
            <w:r/>
          </w:p>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r>
            <w:r/>
          </w:p>
          <w:p>
            <w:pPr>
              <w:jc w:val="left"/>
              <w:widowControl/>
              <w:rPr>
                <w:rFonts w:hint="eastAsia" w:ascii="宋体" w:hAnsi="宋体" w:eastAsia="宋体" w:cs="Times New Roman"/>
                <w:bCs/>
                <w:color w:val="auto"/>
                <w:highlight w:val="none"/>
                <w:lang w:val="zh-CN"/>
              </w:rPr>
            </w:pPr>
            <w:r>
              <w:rPr>
                <w:rFonts w:hint="eastAsia" w:ascii="宋体" w:hAnsi="宋体" w:eastAsia="宋体" w:cs="Times New Roman"/>
                <w:bCs/>
                <w:color w:val="auto"/>
                <w:highlight w:val="none"/>
                <w:lang w:val="zh-CN"/>
              </w:rPr>
              <w:t xml:space="preserve">大写：人民币                          </w:t>
            </w:r>
            <w:r/>
          </w:p>
        </w:tc>
      </w:tr>
    </w:tbl>
    <w:p>
      <w:pPr>
        <w:ind w:firstLine="632"/>
        <w:rPr>
          <w:rFonts w:ascii="宋体" w:hAnsi="宋体"/>
          <w:b/>
          <w:color w:val="auto"/>
          <w:highlight w:val="none"/>
        </w:rPr>
      </w:pPr>
      <w:r>
        <w:rPr>
          <w:rFonts w:ascii="宋体" w:hAnsi="宋体"/>
          <w:b/>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spacing w:line="460" w:lineRule="exact"/>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hint="eastAsia"/>
          <w:color w:val="auto"/>
          <w:sz w:val="24"/>
          <w:szCs w:val="22"/>
          <w:highlight w:val="none"/>
        </w:rPr>
      </w:pPr>
      <w:r>
        <w:rPr>
          <w:rFonts w:hint="eastAsia"/>
          <w:color w:val="auto"/>
          <w:sz w:val="24"/>
          <w:szCs w:val="22"/>
          <w:highlight w:val="none"/>
        </w:rPr>
      </w:r>
      <w:r/>
    </w:p>
    <w:p>
      <w:pPr>
        <w:rPr>
          <w:color w:val="auto"/>
          <w:highlight w:val="none"/>
        </w:rPr>
        <w:sectPr>
          <w:footerReference w:type="default" r:id="rId16"/>
          <w:footerReference w:type="first" r:id="rId17"/>
          <w:footnotePr/>
          <w:endnotePr/>
          <w:type w:val="nextPage"/>
          <w:pgSz w:w="11907" w:h="16840" w:orient="portrait"/>
          <w:pgMar w:top="1134" w:right="885" w:bottom="1134" w:left="1576" w:header="567" w:footer="794" w:gutter="0"/>
          <w:cols w:num="1" w:sep="0" w:space="1701" w:equalWidth="1"/>
          <w:docGrid w:linePitch="360"/>
          <w:titlePg/>
        </w:sectPr>
      </w:pPr>
      <w:r>
        <w:rPr>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7、投标报价分项明细表</w:t>
      </w:r>
      <w:r/>
    </w:p>
    <w:p>
      <w:pPr>
        <w:ind w:firstLine="3213"/>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（一）投标报价分项明细表</w:t>
      </w:r>
      <w:r/>
    </w:p>
    <w:p>
      <w:pPr>
        <w:pStyle w:val="1381"/>
        <w:ind w:firstLine="560"/>
        <w:rPr>
          <w:rFonts w:hint="eastAsia"/>
          <w:color w:val="auto"/>
          <w:highlight w:val="none"/>
        </w:rPr>
      </w:pPr>
      <w:r>
        <w:rPr>
          <w:rFonts w:hint="eastAsia"/>
          <w:color w:val="auto"/>
          <w:highlight w:val="none"/>
        </w:rPr>
      </w:r>
      <w:r/>
    </w:p>
    <w:tbl>
      <w:tblPr>
        <w:tblStyle w:val="1115"/>
        <w:tblW w:w="861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1898"/>
        <w:gridCol w:w="3666"/>
        <w:gridCol w:w="2268"/>
      </w:tblGrid>
      <w:tr>
        <w:trPr>
          <w:trHeight w:val="1134"/>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3666"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trHeight w:val="1134"/>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餐费（</w:t>
            </w:r>
            <w:r>
              <w:rPr>
                <w:rFonts w:hint="eastAsia" w:ascii="宋体" w:hAnsi="宋体" w:eastAsia="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rPr>
              <w:t xml:space="preserve">元/人/天）</w:t>
            </w:r>
            <w:r/>
          </w:p>
        </w:tc>
        <w:tc>
          <w:tcPr>
            <w:tcBorders>
              <w:top w:val="single" w:color="auto" w:sz="4" w:space="0"/>
              <w:left w:val="single" w:color="auto" w:sz="4" w:space="0"/>
              <w:bottom w:val="single" w:color="auto" w:sz="4" w:space="0"/>
              <w:right w:val="single" w:color="auto" w:sz="4" w:space="0"/>
            </w:tcBorders>
            <w:tcW w:w="366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计划约300人（因离职调动等原因人数会有变动）*30元/人/工作日*</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年用餐天数</w:t>
            </w:r>
            <w:r/>
          </w:p>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4"/>
                <w:szCs w:val="24"/>
                <w:highlight w:val="none"/>
                <w:lang w:val="en-US" w:eastAsia="zh-CN"/>
              </w:rPr>
              <w:t xml:space="preserve">（约</w:t>
            </w:r>
            <w:r>
              <w:rPr>
                <w:rFonts w:hint="eastAsia" w:ascii="宋体" w:hAnsi="宋体" w:cs="宋体"/>
                <w:color w:val="auto"/>
                <w:sz w:val="24"/>
                <w:szCs w:val="24"/>
                <w:highlight w:val="none"/>
                <w:lang w:val="en-US" w:eastAsia="zh-CN"/>
              </w:rPr>
              <w:t xml:space="preserve">4833000</w:t>
            </w:r>
            <w:r>
              <w:rPr>
                <w:rFonts w:hint="eastAsia" w:ascii="宋体" w:hAnsi="宋体" w:eastAsia="宋体" w:cs="宋体"/>
                <w:color w:val="auto"/>
                <w:sz w:val="24"/>
                <w:szCs w:val="24"/>
                <w:highlight w:val="none"/>
                <w:lang w:val="en-US" w:eastAsia="zh-CN"/>
              </w:rPr>
              <w:t xml:space="preserve">.00）</w:t>
            </w:r>
            <w:r>
              <w:rPr>
                <w:rFonts w:hint="eastAsia" w:ascii="宋体" w:hAnsi="宋体" w:cs="宋体"/>
                <w:color w:val="auto"/>
                <w:sz w:val="24"/>
                <w:szCs w:val="24"/>
                <w:highlight w:val="none"/>
                <w:lang w:val="en-US" w:eastAsia="zh-CN"/>
              </w:rPr>
              <w:t xml:space="preserve">，因该笔餐费是以员工刷卡金额结算，所以此</w:t>
            </w:r>
            <w:r>
              <w:rPr>
                <w:rFonts w:hint="eastAsia" w:ascii="宋体" w:hAnsi="宋体" w:eastAsia="宋体" w:cs="宋体"/>
                <w:color w:val="auto"/>
                <w:sz w:val="24"/>
                <w:szCs w:val="24"/>
                <w:highlight w:val="none"/>
                <w:lang w:val="en-US" w:eastAsia="zh-CN"/>
              </w:rPr>
              <w:t xml:space="preserve">价格不得竞</w:t>
            </w:r>
            <w:r>
              <w:rPr>
                <w:rFonts w:hint="eastAsia" w:ascii="宋体" w:hAnsi="宋体" w:cs="宋体"/>
                <w:color w:val="auto"/>
                <w:sz w:val="24"/>
                <w:szCs w:val="24"/>
                <w:highlight w:val="none"/>
                <w:lang w:val="en-US" w:eastAsia="zh-CN"/>
              </w:rPr>
              <w:t xml:space="preserve">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按</w:t>
            </w:r>
            <w:r>
              <w:rPr>
                <w:rFonts w:hint="eastAsia" w:ascii="宋体" w:hAnsi="宋体" w:eastAsia="宋体" w:cs="宋体"/>
                <w:bCs/>
                <w:color w:val="auto"/>
                <w:sz w:val="21"/>
                <w:szCs w:val="21"/>
                <w:highlight w:val="none"/>
                <w:lang w:val="en-US" w:eastAsia="zh-CN"/>
              </w:rPr>
              <w:t xml:space="preserve">300</w:t>
            </w:r>
            <w:r>
              <w:rPr>
                <w:rFonts w:hint="eastAsia" w:ascii="宋体" w:hAnsi="宋体" w:eastAsia="宋体" w:cs="宋体"/>
                <w:bCs/>
                <w:color w:val="auto"/>
                <w:sz w:val="21"/>
                <w:szCs w:val="21"/>
                <w:highlight w:val="none"/>
              </w:rPr>
              <w:t xml:space="preserve">人计</w:t>
            </w:r>
            <w:r>
              <w:rPr>
                <w:rFonts w:hint="eastAsia" w:ascii="宋体" w:hAnsi="宋体" w:eastAsia="宋体" w:cs="宋体"/>
                <w:bCs/>
                <w:color w:val="auto"/>
                <w:sz w:val="21"/>
                <w:szCs w:val="21"/>
                <w:highlight w:val="none"/>
                <w:lang w:eastAsia="zh-CN"/>
              </w:rPr>
              <w:t xml:space="preserve">，用餐天数按</w:t>
            </w:r>
            <w:r>
              <w:rPr>
                <w:rFonts w:hint="eastAsia" w:ascii="宋体" w:hAnsi="宋体" w:cs="宋体"/>
                <w:bCs/>
                <w:color w:val="auto"/>
                <w:sz w:val="21"/>
                <w:szCs w:val="21"/>
                <w:highlight w:val="none"/>
                <w:lang w:val="en-US" w:eastAsia="zh-CN"/>
              </w:rPr>
              <w:t xml:space="preserve">537</w:t>
            </w:r>
            <w:r>
              <w:rPr>
                <w:rFonts w:hint="eastAsia" w:ascii="宋体" w:hAnsi="宋体" w:eastAsia="宋体" w:cs="宋体"/>
                <w:bCs/>
                <w:color w:val="auto"/>
                <w:sz w:val="21"/>
                <w:szCs w:val="21"/>
                <w:highlight w:val="none"/>
                <w:lang w:val="en-US" w:eastAsia="zh-CN"/>
              </w:rPr>
              <w:t xml:space="preserve">日计</w:t>
            </w:r>
            <w:r/>
          </w:p>
        </w:tc>
      </w:tr>
      <w:tr>
        <w:trPr>
          <w:trHeight w:val="762"/>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运营服务费</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食堂耗材、清洁易耗品、食堂用杂品（餐巾纸、牙签等）及卫生用品</w:t>
            </w:r>
            <w:r>
              <w:rPr>
                <w:rFonts w:hint="eastAsia" w:ascii="宋体" w:hAnsi="宋体" w:eastAsia="宋体" w:cs="宋体"/>
                <w:bCs/>
                <w:color w:val="auto"/>
                <w:sz w:val="21"/>
                <w:szCs w:val="21"/>
                <w:highlight w:val="none"/>
                <w:lang w:val="en-US" w:eastAsia="zh-CN"/>
              </w:rPr>
              <w:t xml:space="preserve">等</w:t>
            </w:r>
            <w:r/>
          </w:p>
        </w:tc>
        <w:tc>
          <w:tcPr>
            <w:tcBorders>
              <w:top w:val="single" w:color="auto" w:sz="4" w:space="0"/>
              <w:left w:val="single" w:color="auto" w:sz="4" w:space="0"/>
              <w:bottom w:val="single" w:color="auto" w:sz="4" w:space="0"/>
              <w:right w:val="single" w:color="auto" w:sz="4" w:space="0"/>
            </w:tcBorders>
            <w:tcW w:w="3666"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both"/>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限价</w:t>
            </w:r>
            <w:r>
              <w:rPr>
                <w:rFonts w:hint="eastAsia" w:ascii="宋体" w:hAnsi="宋体" w:cs="宋体"/>
                <w:bCs/>
                <w:color w:val="auto"/>
                <w:sz w:val="21"/>
                <w:szCs w:val="21"/>
                <w:highlight w:val="none"/>
                <w:lang w:val="en-US" w:eastAsia="zh-CN"/>
              </w:rPr>
              <w:t xml:space="preserve">2797</w:t>
            </w:r>
            <w:r>
              <w:rPr>
                <w:rFonts w:hint="eastAsia" w:ascii="宋体" w:hAnsi="宋体" w:eastAsia="宋体" w:cs="宋体"/>
                <w:bCs/>
                <w:color w:val="auto"/>
                <w:sz w:val="21"/>
                <w:szCs w:val="21"/>
                <w:highlight w:val="none"/>
                <w:lang w:val="en-US" w:eastAsia="zh-CN"/>
              </w:rPr>
              <w:t xml:space="preserve">000元，自主报价</w:t>
            </w:r>
            <w:r/>
          </w:p>
        </w:tc>
      </w:tr>
      <w:tr>
        <w:trPr>
          <w:trHeight w:val="1134"/>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3666"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bl>
    <w:p>
      <w:pPr>
        <w:spacing w:line="420" w:lineRule="exact"/>
        <w:rPr>
          <w:rFonts w:ascii="宋体" w:hAnsi="宋体"/>
          <w:color w:val="auto"/>
          <w:sz w:val="24"/>
          <w:highlight w:val="none"/>
        </w:rPr>
      </w:pPr>
      <w:r>
        <w:rPr>
          <w:rFonts w:hint="eastAsia" w:ascii="宋体" w:hAnsi="宋体"/>
          <w:color w:val="auto"/>
          <w:sz w:val="24"/>
          <w:highlight w:val="none"/>
        </w:rPr>
        <w:t xml:space="preserve">注：本表由投标人自行填写，但本表应与开标一览表中的一致，否则以开标一览表为准。</w:t>
      </w:r>
      <w:r/>
    </w:p>
    <w:p>
      <w:pPr>
        <w:pStyle w:val="1309"/>
        <w:rPr>
          <w:color w:val="auto"/>
          <w:highlight w:val="none"/>
        </w:rPr>
      </w:pPr>
      <w:r>
        <w:rPr>
          <w:color w:val="auto"/>
          <w:highlight w:val="none"/>
        </w:rPr>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投标单位：（公章）</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r/>
    </w:p>
    <w:p>
      <w:pPr>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（二）投标报价合理性说明（如有）</w:t>
      </w:r>
      <w:r/>
    </w:p>
    <w:p>
      <w:pPr>
        <w:spacing w:line="420" w:lineRule="exact"/>
        <w:rPr>
          <w:rFonts w:ascii="宋体" w:hAnsi="宋体"/>
          <w:b/>
          <w:color w:val="auto"/>
          <w:sz w:val="24"/>
          <w:highlight w:val="none"/>
        </w:rPr>
      </w:pPr>
      <w:r>
        <w:rPr>
          <w:rFonts w:ascii="宋体" w:hAnsi="宋体"/>
          <w:b/>
          <w:color w:val="auto"/>
          <w:sz w:val="24"/>
          <w:highlight w:val="none"/>
        </w:rPr>
      </w:r>
      <w:r/>
    </w:p>
    <w:p>
      <w:pPr>
        <w:spacing w:line="420" w:lineRule="exact"/>
        <w:rPr>
          <w:rFonts w:ascii="宋体" w:hAnsi="宋体"/>
          <w:color w:val="auto"/>
          <w:sz w:val="24"/>
          <w:highlight w:val="none"/>
        </w:rPr>
      </w:pPr>
      <w:r>
        <w:rPr>
          <w:rFonts w:hint="eastAsia" w:ascii="宋体" w:hAnsi="宋体"/>
          <w:color w:val="auto"/>
          <w:sz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1326"/>
        <w:rPr>
          <w:color w:val="auto"/>
          <w:highlight w:val="none"/>
        </w:rPr>
      </w:pPr>
      <w:r>
        <w:rPr>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pStyle w:val="1442"/>
        <w:ind w:firstLine="420"/>
        <w:rPr>
          <w:rFonts w:hint="eastAsia"/>
          <w:color w:val="auto"/>
          <w:highlight w:val="none"/>
        </w:rPr>
      </w:pPr>
      <w:r>
        <w:rPr>
          <w:rFonts w:hint="eastAsia"/>
          <w:color w:val="auto"/>
          <w:highlight w:val="none"/>
        </w:rPr>
      </w:r>
      <w:r/>
    </w:p>
    <w:p>
      <w:pPr>
        <w:pStyle w:val="1125"/>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25"/>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1125"/>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8</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11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hint="eastAsia" w:ascii="宋体" w:hAnsi="宋体"/>
          <w:color w:val="auto"/>
          <w:sz w:val="24"/>
          <w:highlight w:val="none"/>
        </w:rPr>
      </w:pPr>
      <w:r>
        <w:rPr>
          <w:rFonts w:hint="eastAsia" w:hAnsi="宋体"/>
          <w:color w:val="auto"/>
          <w:sz w:val="24"/>
          <w:szCs w:val="24"/>
          <w:highlight w:val="none"/>
        </w:rPr>
        <w:t xml:space="preserve">日期：   年   月   日</w:t>
      </w:r>
      <w:r/>
    </w:p>
    <w:p>
      <w:pPr>
        <w:pStyle w:val="1326"/>
        <w:ind w:firstLine="0"/>
        <w:spacing w:line="360" w:lineRule="auto"/>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 xml:space="preserve">9、商务偏离表</w:t>
      </w:r>
      <w:r/>
    </w:p>
    <w:p>
      <w:pPr>
        <w:jc w:val="center"/>
        <w:spacing w:line="360" w:lineRule="auto"/>
        <w:rPr>
          <w:rFonts w:ascii="宋体" w:hAnsi="宋体"/>
          <w:b/>
          <w:color w:val="auto"/>
          <w:spacing w:val="20"/>
          <w:sz w:val="30"/>
          <w:szCs w:val="30"/>
          <w:highlight w:val="none"/>
        </w:rPr>
      </w:pPr>
      <w:r>
        <w:rPr>
          <w:rFonts w:hint="eastAsia" w:ascii="宋体" w:hAnsi="宋体"/>
          <w:b/>
          <w:color w:val="auto"/>
          <w:spacing w:val="20"/>
          <w:sz w:val="30"/>
          <w:szCs w:val="30"/>
          <w:highlight w:val="none"/>
        </w:rPr>
        <w:t xml:space="preserve">商务条款偏离表</w:t>
      </w:r>
      <w:r/>
    </w:p>
    <w:tbl>
      <w:tblPr>
        <w:tblStyle w:val="1115"/>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服务期限</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w:t>
            </w:r>
            <w:r>
              <w:rPr>
                <w:rFonts w:hint="eastAsia" w:ascii="宋体" w:hAnsi="宋体" w:cs="仿宋_GB2312"/>
                <w:color w:val="auto"/>
                <w:sz w:val="24"/>
                <w:highlight w:val="none"/>
                <w:lang w:val="zh-CN"/>
              </w:rPr>
              <w:t xml:space="preserve">地点</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 xml:space="preserve">付款方式</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2213" w:type="dxa"/>
            <w:vAlign w:val="center"/>
            <w:textDirection w:val="lrTb"/>
            <w:noWrap w:val="false"/>
          </w:tcPr>
          <w:p>
            <w:pPr>
              <w:rPr>
                <w:rFonts w:ascii="宋体" w:hAnsi="宋体"/>
                <w:bCs/>
                <w:color w:val="auto"/>
                <w:sz w:val="24"/>
                <w:szCs w:val="24"/>
                <w:highlight w:val="none"/>
              </w:rPr>
            </w:pPr>
            <w:r>
              <w:rPr>
                <w:rFonts w:hint="eastAsia" w:ascii="宋体" w:hAnsi="宋体" w:cs="仿宋_GB2312"/>
                <w:color w:val="auto"/>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213" w:type="dxa"/>
            <w:vAlign w:val="top"/>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1326"/>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pStyle w:val="1381"/>
        <w:ind w:firstLine="0"/>
        <w:rPr>
          <w:rFonts w:hint="eastAsia"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格式可按照采购需求自拟。</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日期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年</w:t>
      </w:r>
      <w:r>
        <w:rPr>
          <w:rFonts w:hint="eastAsia" w:ascii="宋体" w:hAnsi="宋体"/>
          <w:bCs/>
          <w:color w:val="auto"/>
          <w:sz w:val="24"/>
          <w:szCs w:val="24"/>
          <w:highlight w:val="none"/>
        </w:rPr>
        <w:t xml:space="preserve">  月   日</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09"/>
        <w:rPr>
          <w:rFonts w:hint="eastAsia"/>
          <w:color w:val="auto"/>
          <w:highlight w:val="none"/>
        </w:rPr>
      </w:pPr>
      <w:r>
        <w:rPr>
          <w:rFonts w:hint="eastAsia"/>
          <w:color w:val="auto"/>
          <w:highlight w:val="none"/>
        </w:rPr>
      </w:r>
      <w:r/>
    </w:p>
    <w:p>
      <w:pPr>
        <w:pStyle w:val="1326"/>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26"/>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326"/>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10</w:t>
      </w:r>
      <w:r>
        <w:rPr>
          <w:rFonts w:hint="eastAsia" w:ascii="宋体" w:hAnsi="宋体"/>
          <w:b/>
          <w:color w:val="auto"/>
          <w:sz w:val="32"/>
          <w:szCs w:val="32"/>
          <w:highlight w:val="none"/>
        </w:rPr>
        <w:t xml:space="preserve">、针对本项目的设备配备情况表</w:t>
      </w:r>
      <w:r/>
    </w:p>
    <w:p>
      <w:pPr>
        <w:jc w:val="center"/>
        <w:spacing w:line="360" w:lineRule="auto"/>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针对本项目的设备配备情况表</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1115"/>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134"/>
        <w:gridCol w:w="2552"/>
        <w:gridCol w:w="2126"/>
        <w:gridCol w:w="1276"/>
      </w:tblGrid>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规格、功能</w:t>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4"/>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注：1、本表格式仅供参考，投标人可根据自身情况自行增减；</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2、如采购文件有要求，投标人应按采购文件要求提供相关证明材料。权属证明为购置发票、车辆登记证等证明材料。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326"/>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4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4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4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4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4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41"/>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26"/>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26"/>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1115"/>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服务期</w:t>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rFonts w:hint="eastAsia"/>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442"/>
        <w:ind w:firstLine="420"/>
        <w:rPr>
          <w:rFonts w:hint="eastAsia"/>
          <w:color w:val="auto"/>
          <w:highlight w:val="none"/>
        </w:rPr>
      </w:pPr>
      <w:r>
        <w:rPr>
          <w:rFonts w:hint="eastAsia"/>
          <w:color w:val="auto"/>
          <w:highlight w:val="none"/>
        </w:rPr>
      </w:r>
      <w:r/>
    </w:p>
    <w:p>
      <w:pPr>
        <w:pStyle w:val="1381"/>
        <w:ind w:firstLine="643"/>
        <w:rPr>
          <w:rFonts w:hint="eastAsia" w:hAnsi="宋体"/>
          <w:b/>
          <w:color w:val="auto"/>
          <w:sz w:val="32"/>
          <w:szCs w:val="32"/>
          <w:highlight w:val="none"/>
        </w:rPr>
      </w:pPr>
      <w:r>
        <w:rPr>
          <w:rFonts w:hint="eastAsia" w:hAnsi="宋体"/>
          <w:b/>
          <w:color w:val="auto"/>
          <w:sz w:val="32"/>
          <w:szCs w:val="32"/>
          <w:highlight w:val="none"/>
        </w:rPr>
      </w:r>
      <w:r/>
    </w:p>
    <w:p>
      <w:pPr>
        <w:pStyle w:val="1381"/>
        <w:ind w:firstLine="643"/>
        <w:rPr>
          <w:rFonts w:hint="eastAsia" w:hAnsi="宋体"/>
          <w:b/>
          <w:color w:val="auto"/>
          <w:sz w:val="32"/>
          <w:szCs w:val="32"/>
          <w:highlight w:val="none"/>
        </w:rPr>
      </w:pPr>
      <w:r>
        <w:rPr>
          <w:rFonts w:hint="eastAsia" w:hAnsi="宋体"/>
          <w:b/>
          <w:color w:val="auto"/>
          <w:sz w:val="32"/>
          <w:szCs w:val="32"/>
          <w:highlight w:val="none"/>
        </w:rPr>
      </w:r>
      <w:r/>
    </w:p>
    <w:p>
      <w:pPr>
        <w:pStyle w:val="1381"/>
        <w:ind w:firstLine="643"/>
        <w:rPr>
          <w:rFonts w:hint="eastAsia" w:hAnsi="宋体"/>
          <w:b/>
          <w:color w:val="auto"/>
          <w:sz w:val="32"/>
          <w:szCs w:val="32"/>
          <w:highlight w:val="none"/>
        </w:rPr>
      </w:pPr>
      <w:r>
        <w:rPr>
          <w:rFonts w:hint="eastAsia" w:hAnsi="宋体"/>
          <w:b/>
          <w:color w:val="auto"/>
          <w:sz w:val="32"/>
          <w:szCs w:val="32"/>
          <w:highlight w:val="none"/>
        </w:rPr>
      </w:r>
      <w:r/>
    </w:p>
    <w:p>
      <w:pPr>
        <w:pStyle w:val="1381"/>
        <w:ind w:firstLine="643"/>
        <w:rPr>
          <w:rFonts w:hint="eastAsia" w:hAnsi="宋体"/>
          <w:b/>
          <w:color w:val="auto"/>
          <w:sz w:val="32"/>
          <w:szCs w:val="32"/>
          <w:highlight w:val="none"/>
        </w:rPr>
      </w:pPr>
      <w:r>
        <w:rPr>
          <w:rFonts w:hint="eastAsia" w:hAnsi="宋体"/>
          <w:b/>
          <w:color w:val="auto"/>
          <w:sz w:val="32"/>
          <w:szCs w:val="32"/>
          <w:highlight w:val="none"/>
        </w:rPr>
      </w:r>
      <w:r/>
    </w:p>
    <w:p>
      <w:pPr>
        <w:pStyle w:val="1381"/>
        <w:ind w:firstLine="643"/>
        <w:rPr>
          <w:rFonts w:hint="eastAsia" w:hAnsi="宋体"/>
          <w:b/>
          <w:color w:val="auto"/>
          <w:sz w:val="32"/>
          <w:szCs w:val="32"/>
          <w:highlight w:val="none"/>
        </w:rPr>
      </w:pPr>
      <w:r>
        <w:rPr>
          <w:rFonts w:hint="eastAsia" w:hAnsi="宋体"/>
          <w:b/>
          <w:color w:val="auto"/>
          <w:sz w:val="32"/>
          <w:szCs w:val="32"/>
          <w:highlight w:val="none"/>
        </w:rPr>
      </w:r>
      <w:r/>
    </w:p>
    <w:p>
      <w:pPr>
        <w:pStyle w:val="131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310"/>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326"/>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26"/>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、拟投入本项目的服务人员情况一览表</w:t>
      </w:r>
      <w:r/>
    </w:p>
    <w:p>
      <w:pPr>
        <w:jc w:val="center"/>
        <w:spacing w:before="152" w:after="152"/>
        <w:rPr>
          <w:rFonts w:hint="eastAsia" w:ascii="宋体" w:hAnsi="宋体"/>
          <w:b/>
          <w:color w:val="auto"/>
          <w:sz w:val="28"/>
          <w:szCs w:val="28"/>
          <w:highlight w:val="none"/>
        </w:rPr>
        <w:outlineLvl w:val="1"/>
      </w:pPr>
      <w:r/>
      <w:bookmarkStart w:id="34" w:name="_Toc129003586"/>
      <w:r/>
      <w:bookmarkStart w:id="35" w:name="_Toc128126586"/>
      <w:r>
        <w:rPr>
          <w:rFonts w:hint="eastAsia" w:ascii="宋体" w:hAnsi="宋体"/>
          <w:b/>
          <w:color w:val="auto"/>
          <w:sz w:val="28"/>
          <w:szCs w:val="28"/>
          <w:highlight w:val="none"/>
        </w:rPr>
        <w:t xml:space="preserve">拟投入本项目的服务人员情况一览表</w:t>
      </w:r>
      <w:bookmarkEnd w:id="34"/>
      <w:r/>
      <w:bookmarkEnd w:id="35"/>
      <w:r/>
      <w:r/>
    </w:p>
    <w:tbl>
      <w:tblPr>
        <w:tblStyle w:val="1115"/>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42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职务</w:t>
            </w:r>
            <w:r/>
          </w:p>
        </w:tc>
        <w:tc>
          <w:tcPr>
            <w:tcW w:w="141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姓名</w:t>
            </w:r>
            <w:r/>
          </w:p>
        </w:tc>
        <w:tc>
          <w:tcPr>
            <w:tcW w:w="78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性别</w:t>
            </w:r>
            <w:r/>
          </w:p>
        </w:tc>
        <w:tc>
          <w:tcPr>
            <w:tcW w:w="96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年龄</w:t>
            </w:r>
            <w:r/>
          </w:p>
        </w:tc>
        <w:tc>
          <w:tcPr>
            <w:tcW w:w="169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相关证书</w:t>
            </w:r>
            <w:r/>
          </w:p>
        </w:tc>
        <w:tc>
          <w:tcPr>
            <w:tcW w:w="189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从事本工作时间</w:t>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gridSpan w:val="4"/>
            <w:tcW w:w="44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平均</w:t>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10"/>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10"/>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1310"/>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1310"/>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1309"/>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09"/>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309"/>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ascii="宋体" w:hAnsi="宋体"/>
          <w:b/>
          <w:color w:val="auto"/>
          <w:highlight w:val="none"/>
        </w:rPr>
      </w:pPr>
      <w:r>
        <w:rPr>
          <w:rFonts w:hint="eastAsia" w:ascii="宋体" w:hAnsi="宋体"/>
          <w:b/>
          <w:color w:val="auto"/>
          <w:highlight w:val="none"/>
        </w:rPr>
        <w:t xml:space="preserve">                        </w:t>
      </w:r>
      <w:r/>
    </w:p>
    <w:p>
      <w:pPr>
        <w:ind w:firstLine="562"/>
        <w:jc w:val="center"/>
        <w:spacing w:line="480" w:lineRule="auto"/>
        <w:rPr>
          <w:rFonts w:ascii="宋体" w:hAnsi="宋体"/>
          <w:b/>
          <w:color w:val="auto"/>
          <w:sz w:val="28"/>
          <w:szCs w:val="24"/>
          <w:highlight w:val="none"/>
        </w:rPr>
      </w:pPr>
      <w:r>
        <w:rPr>
          <w:rFonts w:ascii="宋体" w:hAnsi="宋体"/>
          <w:b/>
          <w:color w:val="auto"/>
          <w:sz w:val="28"/>
          <w:szCs w:val="24"/>
          <w:highlight w:val="none"/>
        </w:rPr>
        <w:t xml:space="preserve">中小企业声明函（</w:t>
      </w:r>
      <w:r>
        <w:rPr>
          <w:rFonts w:hint="eastAsia" w:ascii="宋体" w:hAnsi="宋体"/>
          <w:b/>
          <w:color w:val="auto"/>
          <w:sz w:val="28"/>
          <w:szCs w:val="24"/>
          <w:highlight w:val="none"/>
        </w:rPr>
        <w:t xml:space="preserve">服务</w:t>
      </w:r>
      <w:r>
        <w:rPr>
          <w:rFonts w:ascii="宋体" w:hAnsi="宋体"/>
          <w:b/>
          <w:color w:val="auto"/>
          <w:sz w:val="28"/>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采购活动，服务全部由符合政策要求的中小企业承接。相关企业的具体情况如下：</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仿宋"/>
          <w:color w:val="auto"/>
          <w:sz w:val="24"/>
          <w:szCs w:val="24"/>
          <w:highlight w:val="none"/>
          <w:u w:val="single"/>
        </w:rPr>
        <w:t xml:space="preserve">（标的名称）</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rPr>
        <w:t xml:space="preserve">（十）</w:t>
      </w:r>
      <w:r>
        <w:rPr>
          <w:rFonts w:hint="eastAsia" w:ascii="宋体" w:hAnsi="宋体" w:cs="仿宋"/>
          <w:color w:val="auto"/>
          <w:sz w:val="24"/>
          <w:szCs w:val="24"/>
          <w:highlight w:val="none"/>
          <w:u w:val="single"/>
          <w:lang w:val="en-US" w:eastAsia="zh-CN"/>
        </w:rPr>
        <w:t xml:space="preserve">餐饮</w:t>
      </w:r>
      <w:r>
        <w:rPr>
          <w:rFonts w:hint="eastAsia" w:ascii="宋体" w:hAnsi="宋体" w:cs="仿宋"/>
          <w:color w:val="auto"/>
          <w:sz w:val="24"/>
          <w:szCs w:val="24"/>
          <w:highlight w:val="none"/>
          <w:u w:val="single"/>
        </w:rPr>
        <w:t xml:space="preserve">业</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u w:val="single"/>
          <w:lang w:eastAsia="zh-CN"/>
        </w:rPr>
        <w:t xml:space="preserve">，</w:t>
      </w:r>
      <w:r>
        <w:rPr>
          <w:rFonts w:hint="eastAsia" w:ascii="宋体" w:hAnsi="宋体" w:cs="仿宋"/>
          <w:color w:val="auto"/>
          <w:sz w:val="24"/>
          <w:szCs w:val="24"/>
          <w:highlight w:val="none"/>
          <w:u w:val="single"/>
          <w:lang w:val="en-US" w:eastAsia="zh-CN"/>
        </w:rPr>
        <w:t xml:space="preserve">三选一</w:t>
      </w:r>
      <w:r>
        <w:rPr>
          <w:rFonts w:hint="eastAsia" w:ascii="宋体" w:hAnsi="宋体" w:cs="仿宋"/>
          <w:color w:val="auto"/>
          <w:sz w:val="24"/>
          <w:szCs w:val="24"/>
          <w:highlight w:val="none"/>
          <w:u w:val="single"/>
        </w:rPr>
        <w:t xml:space="preserve">）</w:t>
      </w:r>
      <w:r>
        <w:rPr>
          <w:rFonts w:hint="eastAsia" w:ascii="宋体" w:hAnsi="宋体" w:cs="仿宋"/>
          <w:color w:val="auto"/>
          <w:sz w:val="24"/>
          <w:szCs w:val="24"/>
          <w:highlight w:val="none"/>
        </w:rPr>
        <w:t xml:space="preserve">；</w:t>
      </w:r>
      <w:r/>
    </w:p>
    <w:p>
      <w:pPr>
        <w:ind w:firstLine="600"/>
        <w:jc w:val="left"/>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1"/>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5001"/>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4、中标、成交供应商享受规定的中小企业扶持政策的应当随中标、成交结果公开中标、成交供应商的《中小企业声明函》</w:t>
      </w:r>
      <w:r/>
    </w:p>
    <w:p>
      <w:pPr>
        <w:pStyle w:val="1374"/>
        <w:spacing w:before="0" w:beforeAutospacing="0" w:after="0" w:afterAutospacing="0" w:line="480" w:lineRule="atLeast"/>
        <w:rPr>
          <w:rFonts w:hint="eastAsia"/>
          <w:b/>
          <w:color w:val="auto"/>
          <w:sz w:val="32"/>
          <w:szCs w:val="32"/>
          <w:highlight w:val="none"/>
        </w:rPr>
      </w:pPr>
      <w:r>
        <w:rPr>
          <w:rFonts w:hint="eastAsia"/>
          <w:b/>
          <w:color w:val="auto"/>
          <w:sz w:val="32"/>
          <w:szCs w:val="32"/>
          <w:highlight w:val="none"/>
        </w:rPr>
      </w:r>
      <w:r/>
    </w:p>
    <w:p>
      <w:pPr>
        <w:pStyle w:val="1374"/>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 xml:space="preserve">1</w:t>
      </w:r>
      <w:r>
        <w:rPr>
          <w:rFonts w:hint="eastAsia"/>
          <w:b/>
          <w:color w:val="auto"/>
          <w:sz w:val="32"/>
          <w:szCs w:val="32"/>
          <w:highlight w:val="none"/>
          <w:lang w:val="en-US" w:eastAsia="zh-CN"/>
        </w:rPr>
        <w:t xml:space="preserve">4</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tLeast"/>
        <w:widowControl/>
        <w:rPr>
          <w:rFonts w:hint="eastAsia" w:ascii="宋体" w:hAnsi="宋体"/>
          <w:b/>
          <w:color w:val="auto"/>
          <w:sz w:val="28"/>
          <w:szCs w:val="32"/>
          <w:highlight w:val="none"/>
        </w:rPr>
      </w:pPr>
      <w:r>
        <w:rPr>
          <w:rFonts w:ascii="宋体" w:hAnsi="宋体"/>
          <w:b/>
          <w:color w:val="auto"/>
          <w:sz w:val="28"/>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pStyle w:val="1380"/>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380"/>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380"/>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380"/>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380"/>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380"/>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380"/>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380"/>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374"/>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374"/>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374"/>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374"/>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374"/>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374"/>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374"/>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bookmarkEnd w:id="29"/>
      <w:r/>
      <w:bookmarkEnd w:id="30"/>
      <w:r/>
      <w:bookmarkEnd w:id="31"/>
      <w:r/>
      <w:bookmarkEnd w:id="32"/>
      <w:r/>
      <w:bookmarkEnd w:id="33"/>
      <w:r/>
      <w:r/>
    </w:p>
    <w:p>
      <w:pPr>
        <w:pStyle w:val="1380"/>
        <w:ind w:firstLine="240"/>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hint="eastAsia" w:hAnsi="宋体"/>
          <w:b/>
          <w:color w:val="auto"/>
          <w:sz w:val="44"/>
          <w:szCs w:val="44"/>
          <w:highlight w:val="none"/>
        </w:rPr>
        <w:outlineLvl w:val="0"/>
      </w:pPr>
      <w:r/>
      <w:bookmarkStart w:id="36" w:name="_Toc129003587"/>
      <w:r/>
      <w:r/>
    </w:p>
    <w:p>
      <w:pPr>
        <w:jc w:val="center"/>
        <w:widowControl/>
        <w:rPr>
          <w:rFonts w:hAnsi="宋体"/>
          <w:b/>
          <w:color w:val="auto"/>
          <w:sz w:val="44"/>
          <w:szCs w:val="44"/>
          <w:highlight w:val="none"/>
        </w:rPr>
        <w:outlineLvl w:val="0"/>
      </w:pPr>
      <w:r>
        <w:rPr>
          <w:rFonts w:hint="eastAsia" w:hAnsi="宋体"/>
          <w:b/>
          <w:color w:val="auto"/>
          <w:sz w:val="44"/>
          <w:szCs w:val="44"/>
          <w:highlight w:val="none"/>
        </w:rPr>
        <w:t xml:space="preserve">第五部分评标方法与评</w:t>
      </w:r>
      <w:r>
        <w:rPr>
          <w:rFonts w:hint="eastAsia" w:hAnsi="宋体"/>
          <w:b/>
          <w:color w:val="auto"/>
          <w:sz w:val="44"/>
          <w:szCs w:val="44"/>
          <w:highlight w:val="none"/>
          <w:lang w:val="en-US" w:eastAsia="zh-CN"/>
        </w:rPr>
        <w:t xml:space="preserve">分</w:t>
      </w:r>
      <w:r>
        <w:rPr>
          <w:rFonts w:hint="eastAsia" w:hAnsi="宋体"/>
          <w:b/>
          <w:color w:val="auto"/>
          <w:sz w:val="44"/>
          <w:szCs w:val="44"/>
          <w:highlight w:val="none"/>
        </w:rPr>
        <w:t xml:space="preserve">标准</w:t>
      </w:r>
      <w:bookmarkEnd w:id="36"/>
      <w:r/>
      <w:r/>
    </w:p>
    <w:p>
      <w:pPr>
        <w:ind w:firstLine="422"/>
        <w:spacing w:line="360" w:lineRule="auto"/>
        <w:rPr>
          <w:rFonts w:ascii="宋体" w:hAnsi="宋体" w:cs="宋体"/>
          <w:b/>
          <w:color w:val="auto"/>
          <w:szCs w:val="21"/>
          <w:highlight w:val="none"/>
        </w:rPr>
      </w:pPr>
      <w:r/>
      <w:bookmarkStart w:id="37" w:name="_Toc80626341"/>
      <w:r>
        <w:rPr>
          <w:rFonts w:hint="eastAsia" w:ascii="宋体" w:hAnsi="宋体" w:cs="宋体"/>
          <w:b/>
          <w:color w:val="auto"/>
          <w:szCs w:val="21"/>
          <w:highlight w:val="none"/>
        </w:rPr>
        <w:t xml:space="preserve">一、评标办法：</w:t>
      </w:r>
      <w:bookmarkEnd w:id="37"/>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w:t>
      </w:r>
      <w:r/>
    </w:p>
    <w:p>
      <w:pPr>
        <w:ind w:firstLine="420"/>
        <w:spacing w:line="360" w:lineRule="auto"/>
        <w:rPr>
          <w:rFonts w:hint="eastAsia" w:ascii="宋体" w:hAnsi="宋体" w:eastAsia="宋体" w:cs="Times New Roman"/>
          <w:color w:val="auto"/>
          <w:szCs w:val="21"/>
          <w:highlight w:val="none"/>
        </w:rPr>
      </w:pPr>
      <w:r>
        <w:rPr>
          <w:rFonts w:hint="eastAsia" w:ascii="宋体" w:hAnsi="宋体"/>
          <w:color w:val="auto"/>
          <w:szCs w:val="21"/>
          <w:highlight w:val="none"/>
        </w:rPr>
        <w:t xml:space="preserve">3、如出现评标总得分最高的投标人有两个或两个以上的，以投标报价较低者优先作为中标候选人，如果投标报价也相</w:t>
      </w:r>
      <w:r>
        <w:rPr>
          <w:rFonts w:hint="eastAsia" w:ascii="宋体" w:hAnsi="宋体" w:eastAsia="宋体" w:cs="Times New Roman"/>
          <w:color w:val="auto"/>
          <w:szCs w:val="21"/>
          <w:highlight w:val="none"/>
        </w:rPr>
        <w:t xml:space="preserve">同的，则由评标委员会组织以抽签方式确定中标候选人。</w:t>
      </w:r>
      <w:r/>
    </w:p>
    <w:p>
      <w:pPr>
        <w:ind w:firstLine="422"/>
        <w:spacing w:line="360" w:lineRule="auto"/>
        <w:rPr>
          <w:rFonts w:ascii="宋体" w:hAnsi="宋体" w:cs="宋体"/>
          <w:b/>
          <w:color w:val="auto"/>
          <w:szCs w:val="21"/>
          <w:highlight w:val="none"/>
        </w:rPr>
      </w:pPr>
      <w:r/>
      <w:bookmarkStart w:id="38" w:name="_Toc80626342"/>
      <w:r>
        <w:rPr>
          <w:rFonts w:hint="eastAsia" w:ascii="宋体" w:hAnsi="宋体" w:cs="宋体"/>
          <w:b/>
          <w:color w:val="auto"/>
          <w:szCs w:val="21"/>
          <w:highlight w:val="none"/>
        </w:rPr>
        <w:t xml:space="preserve">二、评分标准：</w:t>
      </w:r>
      <w:bookmarkEnd w:id="38"/>
      <w:r/>
      <w:r/>
    </w:p>
    <w:p>
      <w:pPr>
        <w:ind w:firstLine="422"/>
        <w:spacing w:line="360" w:lineRule="auto"/>
        <w:rPr>
          <w:rFonts w:ascii="宋体" w:hAnsi="宋体" w:eastAsia="宋体" w:cs="宋体"/>
          <w:color w:val="auto"/>
          <w:szCs w:val="21"/>
          <w:highlight w:val="none"/>
        </w:rPr>
      </w:pPr>
      <w:r>
        <w:rPr>
          <w:rFonts w:hint="eastAsia" w:ascii="宋体" w:hAnsi="宋体" w:eastAsia="宋体" w:cs="宋体"/>
          <w:b/>
          <w:color w:val="auto"/>
          <w:szCs w:val="21"/>
          <w:highlight w:val="none"/>
        </w:rPr>
        <w:t xml:space="preserve">（一）投标报价（</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0分）</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第一步：投标报价低于或等于</w:t>
      </w:r>
      <w:r>
        <w:rPr>
          <w:rFonts w:hint="eastAsia" w:ascii="宋体" w:hAnsi="宋体" w:cs="宋体"/>
          <w:color w:val="auto"/>
          <w:szCs w:val="21"/>
          <w:highlight w:val="none"/>
          <w:lang w:val="en-US" w:eastAsia="zh-CN"/>
        </w:rPr>
        <w:t xml:space="preserve">最高限价</w:t>
      </w:r>
      <w:r>
        <w:rPr>
          <w:rFonts w:hint="eastAsia" w:ascii="宋体" w:hAnsi="宋体" w:eastAsia="宋体" w:cs="宋体"/>
          <w:color w:val="auto"/>
          <w:szCs w:val="21"/>
          <w:highlight w:val="none"/>
        </w:rPr>
        <w:t xml:space="preserve">的，为有效投标报价。超</w:t>
      </w:r>
      <w:r>
        <w:rPr>
          <w:rFonts w:hint="eastAsia" w:ascii="宋体" w:hAnsi="宋体" w:cs="宋体"/>
          <w:color w:val="auto"/>
          <w:szCs w:val="21"/>
          <w:highlight w:val="none"/>
          <w:lang w:val="en-US" w:eastAsia="zh-CN"/>
        </w:rPr>
        <w:t xml:space="preserve">最高限价</w:t>
      </w:r>
      <w:r>
        <w:rPr>
          <w:rFonts w:hint="eastAsia" w:ascii="宋体" w:hAnsi="宋体" w:eastAsia="宋体" w:cs="宋体"/>
          <w:color w:val="auto"/>
          <w:szCs w:val="21"/>
          <w:highlight w:val="none"/>
        </w:rPr>
        <w:t xml:space="preserve">的投标报价或招标文件规定的报价为无效投标报价。无效投标报价的投标文件不进行评审，也不得标。</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第二步：满足招标文件要求且投标报价最低为评标基准价，其价格分为满分。其他投标人的价格分统一按照下列公式计算：</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投标报价得分=（评标基准价／投标报价）×</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0%×100</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（二）实施方案（47分）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1、总体食堂运营方案（8分）</w:t>
      </w:r>
      <w:r/>
    </w:p>
    <w:p>
      <w:pPr>
        <w:ind w:firstLine="48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根据投标人针对本项目所提供的总体食堂运营方案进行评分，方案内容至少包括：①顾客需求分析；②成本控制措施；③对食堂的理解和定位；④信息技术的运用。</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上述每个单项进行了描述且满足采购需求并且不存在瑕疵的得2分；单项存在1处瑕疵得1分；单项存在2处瑕疵得0.5分；单项存在3处及以上瑕疵或未提供描述或虽提供但不满足采购需求得0分。</w:t>
      </w:r>
      <w:r/>
    </w:p>
    <w:p>
      <w:pPr>
        <w:ind w:firstLine="48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2、原料采购方案（9分）</w:t>
      </w:r>
      <w:r/>
    </w:p>
    <w:p>
      <w:pPr>
        <w:ind w:firstLine="48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根据投标人针对本项目所提供的原料采购方案进行评分，方案内容至少包括：①原料采购的管理办法；②对供货商的管理措施；③食品储存安全管理措施。</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上述每个单项进行了描述且满足采购需求并且不存在瑕疵的得3分；单项存在1处瑕疵得2分；单项存在2处瑕疵得1分；单项存在3处及以上瑕疵或未提供描述或虽提供但不满足采购需求得0分。</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3、食堂安全卫生管理措施（9分）</w:t>
      </w:r>
      <w:r/>
    </w:p>
    <w:p>
      <w:pPr>
        <w:ind w:firstLine="48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根据投标人针对本项目所提供的食堂安全卫生管理措施进行评分，方案内容至少包括：①人员卫生管理措施；②环境卫生管理措施；③消防安全管理措施。</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上述每个单项进行了描述且满足采购需求并且不存在瑕疵的得3分；单项存在1处瑕疵得2分；单项存在2处瑕疵得1分；单项存在3处及以上瑕疵或未提供描述或虽提供但不满足采购需求得0分。</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4、内部管理措施（9分）</w:t>
      </w:r>
      <w:r/>
    </w:p>
    <w:p>
      <w:pPr>
        <w:ind w:firstLine="48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根据投标人针对本项目所提供的内部管理措施进行评分，方案内容至少包括：①内部管理制度；②工作人员工作标准；③奖惩制度。</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上述每个单项进行了描述且满足采购需求并且不存在瑕疵的得3分；单项存在1处瑕疵得2分；单项存在2处瑕疵得1分；单项存在3处及以上瑕疵或未提供描述或虽提供但不满足采购需求得0分。</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5、食堂节能节约计划和管理措施（6分）</w:t>
      </w:r>
      <w:r/>
    </w:p>
    <w:p>
      <w:pPr>
        <w:ind w:firstLine="48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根据投标人针对本项目所提供的食堂节能节约计划和管理措施进行评分，方案内容至少包括：①节能环保计划的推广与实施；②节水管理措施；③节电管理措施。</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上述每个单项进行了描述且满足采购需求并且不存在瑕疵的得2分；单项存在1处瑕疵得1分；单项存在2处瑕疵得0.5分；单项存在3处及以上瑕疵或未提供描述或虽提供但不满足采购需求得0分。</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6、突发事件应急预案（6分）</w:t>
      </w:r>
      <w:r/>
    </w:p>
    <w:p>
      <w:pPr>
        <w:ind w:firstLine="48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根据投标人针对本项提供的突发事件应急预案进行评分，方案内容至少包括：①食物中毒应急预案；②自然灾害类应急预案；③突发性事件应急预案。</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上述每个单项进行了描述且满足采购需求并且不存在瑕疵的得2分；单项存在1处瑕疵得1分；单项存在2处瑕疵得0.5分；单项存在3处及以上瑕疵或未提供描述或虽提供但不满足采购需求得0分。</w:t>
      </w:r>
      <w:r/>
    </w:p>
    <w:p>
      <w:pPr>
        <w:ind w:firstLine="480"/>
        <w:spacing w:line="46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以上</w:t>
      </w:r>
      <w:r>
        <w:rPr>
          <w:rFonts w:hint="eastAsia" w:ascii="宋体" w:hAnsi="宋体" w:eastAsia="宋体" w:cs="宋体"/>
          <w:color w:val="auto"/>
          <w:szCs w:val="21"/>
          <w:highlight w:val="none"/>
          <w:lang w:val="en-US" w:eastAsia="zh-CN"/>
        </w:rPr>
        <w:t xml:space="preserve">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cs="宋体"/>
          <w:color w:val="auto"/>
          <w:szCs w:val="21"/>
          <w:highlight w:val="none"/>
          <w:lang w:val="en-US" w:eastAsia="zh-CN"/>
        </w:rPr>
        <w:t xml:space="preserve">。</w:t>
      </w:r>
      <w:r/>
    </w:p>
    <w:p>
      <w:pPr>
        <w:pStyle w:val="1456"/>
        <w:ind w:firstLine="422"/>
        <w:jc w:val="left"/>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r>
      <w:r/>
    </w:p>
    <w:p>
      <w:pPr>
        <w:pStyle w:val="1456"/>
        <w:ind w:firstLine="422"/>
        <w:jc w:val="left"/>
        <w:spacing w:line="360" w:lineRule="auto"/>
        <w:rPr>
          <w:rFonts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（三）针对本项目人员配备人员实力比较（</w:t>
      </w:r>
      <w:r>
        <w:rPr>
          <w:rFonts w:hint="eastAsia" w:cs="宋体"/>
          <w:b/>
          <w:bCs/>
          <w:color w:val="auto"/>
          <w:sz w:val="21"/>
          <w:szCs w:val="21"/>
          <w:highlight w:val="none"/>
          <w:lang w:val="en-US" w:eastAsia="zh-CN"/>
        </w:rPr>
        <w:t xml:space="preserve">24</w:t>
      </w:r>
      <w:r>
        <w:rPr>
          <w:rFonts w:hint="eastAsia" w:ascii="宋体" w:hAnsi="宋体" w:eastAsia="宋体" w:cs="宋体"/>
          <w:b/>
          <w:bCs/>
          <w:color w:val="auto"/>
          <w:sz w:val="21"/>
          <w:szCs w:val="21"/>
          <w:highlight w:val="none"/>
          <w:lang w:val="en-US"/>
        </w:rPr>
        <w:t xml:space="preserve">分）</w:t>
      </w:r>
      <w:r/>
    </w:p>
    <w:p>
      <w:pPr>
        <w:ind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1、拟派厨师</w:t>
      </w:r>
      <w:r>
        <w:rPr>
          <w:rFonts w:hint="eastAsia" w:ascii="宋体" w:hAnsi="宋体" w:eastAsia="宋体" w:cs="宋体"/>
          <w:color w:val="auto"/>
          <w:szCs w:val="21"/>
          <w:highlight w:val="none"/>
          <w:lang w:val="en-US" w:eastAsia="zh-CN"/>
        </w:rPr>
        <w:t xml:space="preserve">长</w:t>
      </w:r>
      <w:r>
        <w:rPr>
          <w:rFonts w:hint="eastAsia" w:ascii="宋体" w:hAnsi="宋体" w:eastAsia="宋体" w:cs="宋体"/>
          <w:color w:val="auto"/>
          <w:szCs w:val="21"/>
          <w:highlight w:val="none"/>
          <w:lang w:val="en-US"/>
        </w:rPr>
        <w:t xml:space="preserve">具有相关餐饮高级职业经理人证书的得3分。</w:t>
      </w:r>
      <w:r/>
    </w:p>
    <w:p>
      <w:pPr>
        <w:ind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2、拟派厨师</w:t>
      </w:r>
      <w:r>
        <w:rPr>
          <w:rFonts w:hint="eastAsia" w:ascii="宋体" w:hAnsi="宋体" w:eastAsia="宋体" w:cs="宋体"/>
          <w:color w:val="auto"/>
          <w:szCs w:val="21"/>
          <w:highlight w:val="none"/>
          <w:lang w:val="en-US" w:eastAsia="zh-CN"/>
        </w:rPr>
        <w:t xml:space="preserve">长</w:t>
      </w:r>
      <w:r>
        <w:rPr>
          <w:rFonts w:hint="eastAsia" w:ascii="宋体" w:hAnsi="宋体" w:eastAsia="宋体" w:cs="宋体"/>
          <w:color w:val="auto"/>
          <w:szCs w:val="21"/>
          <w:highlight w:val="none"/>
          <w:lang w:val="en-US"/>
        </w:rPr>
        <w:t xml:space="preserve">具有二级/技师（中式烹调师）证书及以上的得3分。</w:t>
      </w:r>
      <w:r/>
    </w:p>
    <w:p>
      <w:pPr>
        <w:ind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3、拟派</w:t>
      </w:r>
      <w:r>
        <w:rPr>
          <w:rFonts w:hint="eastAsia" w:ascii="宋体" w:hAnsi="宋体" w:eastAsia="宋体" w:cs="宋体"/>
          <w:color w:val="auto"/>
          <w:szCs w:val="21"/>
          <w:highlight w:val="none"/>
          <w:lang w:val="en-US" w:eastAsia="zh-CN"/>
        </w:rPr>
        <w:t xml:space="preserve">主厨</w:t>
      </w:r>
      <w:r>
        <w:rPr>
          <w:rFonts w:hint="eastAsia" w:ascii="宋体" w:hAnsi="宋体" w:eastAsia="宋体" w:cs="宋体"/>
          <w:color w:val="auto"/>
          <w:szCs w:val="21"/>
          <w:highlight w:val="none"/>
          <w:lang w:val="en-US"/>
        </w:rPr>
        <w:t xml:space="preserve">具有三级/高级技能（中式烹调师）证书及以上的得</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lang w:val="en-US"/>
        </w:rPr>
        <w:t xml:space="preserve">分，最高</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en-US"/>
        </w:rPr>
        <w:t xml:space="preserve">分。</w:t>
      </w:r>
      <w:r/>
    </w:p>
    <w:p>
      <w:pPr>
        <w:ind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4、拟派</w:t>
      </w:r>
      <w:r>
        <w:rPr>
          <w:rFonts w:hint="eastAsia" w:ascii="宋体" w:hAnsi="宋体" w:eastAsia="宋体" w:cs="宋体"/>
          <w:color w:val="auto"/>
          <w:szCs w:val="21"/>
          <w:highlight w:val="none"/>
          <w:lang w:val="en-US" w:eastAsia="zh-CN"/>
        </w:rPr>
        <w:t xml:space="preserve">点心师</w:t>
      </w:r>
      <w:r>
        <w:rPr>
          <w:rFonts w:hint="eastAsia" w:ascii="宋体" w:hAnsi="宋体" w:eastAsia="宋体" w:cs="宋体"/>
          <w:color w:val="auto"/>
          <w:szCs w:val="21"/>
          <w:highlight w:val="none"/>
          <w:lang w:val="en-US"/>
        </w:rPr>
        <w:t xml:space="preserve">具有中式面点师证书的</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有一位得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分，最高</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val="en-US"/>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5、拟投入项目组人员具有食品安全管理员证的，有一位得2分，最高6分。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6、拟投入项目组人员具有健康管理师证的，有一位得2分，最高4分。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1456"/>
        <w:ind w:firstLine="422"/>
        <w:jc w:val="left"/>
        <w:spacing w:line="360" w:lineRule="auto"/>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 xml:space="preserve">（四）类似业绩（9分）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投标单位近三年（2023年6月1日至今）承担过类似餐厅或食堂经营服务项目的，有一个得3分，限评3项，最多得9分。（投标文件中须提供业绩合同扫描件，上述资料不全或无法证明的不得分）。</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pStyle w:val="1456"/>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注：（1）针对评分标准中评分的每一条，投标人在投标文件中均应提供清晰明了的相关资料并做出相应说明供评委评判，不提供相关资料的视为不具备该项得分的条件。</w:t>
      </w:r>
      <w:r/>
    </w:p>
    <w:p>
      <w:pPr>
        <w:pStyle w:val="1456"/>
        <w:ind w:firstLine="420"/>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（2）所有复印件、扫描件需清晰可见真实可查，字迹不清晰、图片模糊的视为未提供。</w:t>
      </w:r>
      <w:r/>
    </w:p>
    <w:p>
      <w:pPr>
        <w:pStyle w:val="1456"/>
        <w:ind w:firstLine="420"/>
        <w:jc w:val="left"/>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color w:val="auto"/>
          <w:highlight w:val="none"/>
        </w:rPr>
      </w:pPr>
      <w:r>
        <w:rPr>
          <w:color w:val="auto"/>
          <w:highlight w:val="none"/>
        </w:rPr>
      </w:r>
      <w:r/>
    </w:p>
    <w:p>
      <w:pPr>
        <w:jc w:val="center"/>
        <w:widowControl/>
        <w:rPr>
          <w:rFonts w:hint="eastAsia" w:hAnsi="宋体" w:eastAsia="宋体"/>
          <w:b/>
          <w:color w:val="auto"/>
          <w:sz w:val="44"/>
          <w:szCs w:val="44"/>
          <w:highlight w:val="none"/>
          <w:lang w:eastAsia="zh-CN"/>
        </w:rPr>
        <w:outlineLvl w:val="0"/>
      </w:pPr>
      <w:r>
        <w:rPr>
          <w:rFonts w:hint="eastAsia"/>
          <w:color w:val="auto"/>
          <w:highlight w:val="none"/>
        </w:rPr>
        <w:br w:type="page" w:clear="all"/>
      </w:r>
      <w:bookmarkStart w:id="39" w:name="_Toc129003588"/>
      <w:r>
        <w:rPr>
          <w:rFonts w:hint="eastAsia" w:hAnsi="宋体"/>
          <w:b/>
          <w:color w:val="auto"/>
          <w:sz w:val="44"/>
          <w:szCs w:val="44"/>
          <w:highlight w:val="none"/>
        </w:rPr>
        <w:t xml:space="preserve">第六部分 </w:t>
      </w:r>
      <w:r>
        <w:rPr>
          <w:rFonts w:hAnsi="宋体"/>
          <w:b/>
          <w:color w:val="auto"/>
          <w:sz w:val="44"/>
          <w:szCs w:val="44"/>
          <w:highlight w:val="none"/>
        </w:rPr>
        <w:t xml:space="preserve">合同</w:t>
      </w:r>
      <w:r>
        <w:rPr>
          <w:rFonts w:hint="eastAsia" w:hAnsi="宋体"/>
          <w:b/>
          <w:color w:val="auto"/>
          <w:sz w:val="44"/>
          <w:szCs w:val="44"/>
          <w:highlight w:val="none"/>
        </w:rPr>
        <w:t xml:space="preserve">格式</w:t>
      </w:r>
      <w:bookmarkEnd w:id="39"/>
      <w:r>
        <w:rPr>
          <w:rFonts w:hint="eastAsia" w:hAnsi="宋体"/>
          <w:b/>
          <w:color w:val="auto"/>
          <w:sz w:val="44"/>
          <w:szCs w:val="44"/>
          <w:highlight w:val="none"/>
          <w:lang w:eastAsia="zh-CN"/>
        </w:rPr>
        <w:t xml:space="preserve">（</w:t>
      </w:r>
      <w:r>
        <w:rPr>
          <w:rFonts w:hint="eastAsia" w:hAnsi="宋体"/>
          <w:b/>
          <w:color w:val="auto"/>
          <w:sz w:val="44"/>
          <w:szCs w:val="44"/>
          <w:highlight w:val="none"/>
          <w:lang w:val="en-US" w:eastAsia="zh-CN"/>
        </w:rPr>
        <w:t xml:space="preserve">参考</w:t>
      </w:r>
      <w:r>
        <w:rPr>
          <w:rFonts w:hint="eastAsia" w:hAnsi="宋体"/>
          <w:b/>
          <w:color w:val="auto"/>
          <w:sz w:val="44"/>
          <w:szCs w:val="44"/>
          <w:highlight w:val="none"/>
          <w:lang w:eastAsia="zh-CN"/>
        </w:rPr>
        <w:t xml:space="preserve">）</w:t>
      </w:r>
      <w:bookmarkEnd w:id="24"/>
      <w:r/>
      <w:bookmarkEnd w:id="25"/>
      <w:r/>
      <w:bookmarkEnd w:id="26"/>
      <w:r/>
      <w:bookmarkEnd w:id="27"/>
      <w:r/>
      <w:r/>
    </w:p>
    <w:p>
      <w:pPr>
        <w:jc w:val="center"/>
        <w:spacing w:line="360" w:lineRule="auto"/>
        <w:rPr>
          <w:b/>
          <w:bCs/>
          <w:iCs/>
          <w:color w:val="auto"/>
          <w:sz w:val="32"/>
          <w:szCs w:val="32"/>
          <w:highlight w:val="none"/>
        </w:rPr>
      </w:pPr>
      <w:r>
        <w:rPr>
          <w:b/>
          <w:bCs/>
          <w:iCs/>
          <w:color w:val="auto"/>
          <w:sz w:val="32"/>
          <w:szCs w:val="32"/>
          <w:highlight w:val="none"/>
        </w:rPr>
      </w:r>
      <w:r/>
    </w:p>
    <w:tbl>
      <w:tblPr>
        <w:tblStyle w:val="1115"/>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spacing w:line="360" w:lineRule="auto"/>
              <w:rPr>
                <w:rFonts w:hint="eastAsia" w:ascii="宋体" w:hAnsi="宋体" w:cs="宋体"/>
                <w:color w:val="auto"/>
                <w:szCs w:val="21"/>
                <w:highlight w:val="none"/>
              </w:rPr>
            </w:pPr>
            <w:r/>
            <w:bookmarkStart w:id="40" w:name="_Hlt16619350"/>
            <w:r/>
            <w:bookmarkStart w:id="41" w:name="_Toc120614244"/>
            <w:r/>
            <w:bookmarkStart w:id="42" w:name="_Toc16938590"/>
            <w:r/>
            <w:bookmarkStart w:id="43" w:name="_Toc20823346"/>
            <w:r>
              <w:rPr>
                <w:rFonts w:hint="eastAsia" w:ascii="宋体" w:hAnsi="宋体" w:cs="宋体"/>
                <w:color w:val="auto"/>
                <w:szCs w:val="21"/>
                <w:highlight w:val="none"/>
              </w:rPr>
              <w:t xml:space="preserve">甲方（采购人）： </w:t>
            </w:r>
            <w:r/>
          </w:p>
        </w:tc>
        <w:tc>
          <w:tcPr>
            <w:tcW w:w="492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 </w:t>
            </w:r>
            <w:r/>
          </w:p>
        </w:tc>
      </w:tr>
      <w:tr>
        <w:trPr>
          <w:jc w:val="center"/>
        </w:trPr>
        <w:tc>
          <w:tcPr>
            <w:tcW w:w="47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乙方（供应商）：</w:t>
            </w:r>
            <w:r/>
          </w:p>
        </w:tc>
        <w:tc>
          <w:tcPr>
            <w:tcW w:w="492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Pr>
        <w:tc>
          <w:tcPr>
            <w:tcW w:w="47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tc>
        <w:tc>
          <w:tcPr>
            <w:tcW w:w="492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签订地点：太仓市</w:t>
            </w:r>
            <w:bookmarkEnd w:id="40"/>
            <w:r/>
            <w:bookmarkEnd w:id="41"/>
            <w:r/>
            <w:bookmarkEnd w:id="42"/>
            <w:r/>
            <w:bookmarkEnd w:id="43"/>
            <w:r/>
            <w:r/>
          </w:p>
        </w:tc>
      </w:tr>
    </w:tbl>
    <w:p>
      <w:pPr>
        <w:ind w:firstLine="420"/>
        <w:spacing w:line="360" w:lineRule="auto"/>
        <w:tabs>
          <w:tab w:val="left" w:pos="180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color w:val="auto"/>
          <w:szCs w:val="21"/>
          <w:highlight w:val="none"/>
          <w:lang w:eastAsia="zh-CN"/>
        </w:rPr>
        <w:t xml:space="preserve">太仓高新区食堂运营服务</w:t>
      </w:r>
      <w:r>
        <w:rPr>
          <w:rFonts w:hint="eastAsia" w:ascii="宋体" w:hAnsi="宋体" w:eastAsia="宋体" w:cs="宋体"/>
          <w:color w:val="auto"/>
          <w:szCs w:val="21"/>
          <w:highlight w:val="none"/>
        </w:rPr>
        <w:t xml:space="preserve">（采购编号：</w:t>
      </w:r>
      <w:r>
        <w:rPr>
          <w:rFonts w:hint="eastAsia" w:ascii="宋体" w:hAnsi="宋体" w:eastAsia="宋体" w:cs="宋体"/>
          <w:color w:val="auto"/>
          <w:szCs w:val="21"/>
          <w:highlight w:val="none"/>
          <w:lang w:val="en-US" w:eastAsia="zh-CN"/>
        </w:rPr>
        <w:t xml:space="preserve">JSZC-320585-XYCH-G2026-0001</w:t>
      </w:r>
      <w:r>
        <w:rPr>
          <w:rFonts w:hint="eastAsia" w:ascii="宋体" w:hAnsi="宋体" w:eastAsia="宋体" w:cs="宋体"/>
          <w:color w:val="auto"/>
          <w:szCs w:val="21"/>
          <w:highlight w:val="none"/>
        </w:rPr>
        <w:t xml:space="preserve">）的招标文件、乙方的响应文件、该项目的《中标通知书》及《中华人民共和国民法典》有关规定，为明确甲方和乙方项目实施过程中的权利、义务和经济责任，经甲乙双方友好协商签订本合同书。</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一、合同内容：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1.1项目名称：</w:t>
      </w:r>
      <w:r>
        <w:rPr>
          <w:rFonts w:hint="eastAsia" w:ascii="宋体" w:hAnsi="宋体"/>
          <w:color w:val="auto"/>
          <w:szCs w:val="21"/>
          <w:highlight w:val="none"/>
          <w:lang w:eastAsia="zh-CN"/>
        </w:rPr>
        <w:t xml:space="preserve">太仓高新区食堂运营服务</w:t>
      </w:r>
      <w:r/>
    </w:p>
    <w:p>
      <w:pPr>
        <w:ind w:firstLine="420"/>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1.2采购编号：</w:t>
      </w:r>
      <w:r>
        <w:rPr>
          <w:rFonts w:hint="eastAsia" w:ascii="宋体" w:hAnsi="宋体"/>
          <w:color w:val="auto"/>
          <w:szCs w:val="21"/>
          <w:highlight w:val="none"/>
          <w:lang w:val="en-US" w:eastAsia="zh-CN"/>
        </w:rPr>
        <w:t xml:space="preserve">JSZC-320585-XYCH-G2026-0001</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1.3项目概况、服务内容、要求、时间进度：详见采购文件。</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1.4合同履行期限：详见采购文件。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1.5下列文件为本合同不可分割部分：</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（2）乙方的响应文件；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（3）采购文件；</w:t>
      </w:r>
      <w:r/>
    </w:p>
    <w:p>
      <w:pPr>
        <w:ind w:firstLine="420"/>
        <w:spacing w:line="360" w:lineRule="auto"/>
        <w:tabs>
          <w:tab w:val="left" w:pos="7686"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（4）乙方在投标过程中所作的其它承诺、声明、书面澄清等。</w:t>
      </w:r>
      <w:r>
        <w:rPr>
          <w:rFonts w:hint="eastAsia" w:ascii="宋体" w:hAnsi="宋体" w:eastAsia="宋体" w:cs="宋体"/>
          <w:color w:val="auto"/>
          <w:szCs w:val="21"/>
          <w:highlight w:val="none"/>
        </w:rPr>
        <w:tab/>
      </w:r>
      <w:r/>
    </w:p>
    <w:p>
      <w:pPr>
        <w:pStyle w:val="1121"/>
        <w:ind w:firstLine="422"/>
        <w:spacing w:before="0" w:line="360" w:lineRule="auto"/>
        <w:tabs>
          <w:tab w:val="left" w:pos="567" w:leader="none"/>
        </w:tabs>
        <w:rPr>
          <w:rFonts w:eastAsia="宋体" w:cs="宋体"/>
          <w:b/>
          <w:bCs/>
          <w:color w:val="auto"/>
          <w:sz w:val="21"/>
          <w:szCs w:val="21"/>
          <w:highlight w:val="none"/>
        </w:rPr>
      </w:pPr>
      <w:r>
        <w:rPr>
          <w:rFonts w:hint="eastAsia" w:eastAsia="宋体" w:cs="宋体"/>
          <w:b/>
          <w:bCs/>
          <w:color w:val="auto"/>
          <w:sz w:val="21"/>
          <w:szCs w:val="21"/>
          <w:highlight w:val="none"/>
        </w:rPr>
        <w:t xml:space="preserve">二、合同的价格与支付：</w:t>
      </w:r>
      <w:r/>
    </w:p>
    <w:p>
      <w:pPr>
        <w:pStyle w:val="1456"/>
        <w:ind w:firstLine="420"/>
        <w:jc w:val="left"/>
        <w:spacing w:line="360" w:lineRule="auto"/>
        <w:rPr>
          <w:rFonts w:eastAsia="宋体" w:cs="宋体"/>
          <w:color w:val="auto"/>
          <w:szCs w:val="21"/>
          <w:highlight w:val="none"/>
        </w:rPr>
      </w:pPr>
      <w:r>
        <w:rPr>
          <w:rFonts w:hint="eastAsia" w:eastAsia="宋体" w:cs="宋体"/>
          <w:color w:val="auto"/>
          <w:sz w:val="21"/>
          <w:szCs w:val="21"/>
          <w:highlight w:val="none"/>
          <w:lang w:val="en-US"/>
        </w:rPr>
        <w:t xml:space="preserve">2.1合同金额按此次中标金额执行：人民币大写</w:t>
      </w:r>
      <w:r>
        <w:rPr>
          <w:rFonts w:hint="eastAsia" w:eastAsia="宋体" w:cs="宋体"/>
          <w:color w:val="auto"/>
          <w:sz w:val="21"/>
          <w:szCs w:val="21"/>
          <w:highlight w:val="none"/>
          <w:u w:val="single"/>
          <w:lang w:val="en-US"/>
        </w:rPr>
        <w:t xml:space="preserve">             </w:t>
      </w:r>
      <w:r>
        <w:rPr>
          <w:rFonts w:hint="eastAsia" w:eastAsia="宋体" w:cs="宋体"/>
          <w:color w:val="auto"/>
          <w:sz w:val="21"/>
          <w:szCs w:val="21"/>
          <w:highlight w:val="none"/>
          <w:lang w:val="en-US"/>
        </w:rPr>
        <w:t xml:space="preserve">（小写：</w:t>
      </w:r>
      <w:r>
        <w:rPr>
          <w:rFonts w:hint="eastAsia" w:eastAsia="宋体" w:cs="宋体"/>
          <w:color w:val="auto"/>
          <w:sz w:val="21"/>
          <w:szCs w:val="21"/>
          <w:highlight w:val="none"/>
          <w:u w:val="single"/>
          <w:lang w:val="en-US"/>
        </w:rPr>
        <w:t xml:space="preserve">             </w:t>
      </w:r>
      <w:r>
        <w:rPr>
          <w:rFonts w:hint="eastAsia" w:eastAsia="宋体" w:cs="宋体"/>
          <w:color w:val="auto"/>
          <w:sz w:val="21"/>
          <w:szCs w:val="21"/>
          <w:highlight w:val="none"/>
          <w:lang w:val="en-US"/>
        </w:rPr>
        <w:t xml:space="preserve">）。合同金额包括</w:t>
      </w:r>
      <w:r>
        <w:rPr>
          <w:rFonts w:hint="eastAsia" w:cs="宋体"/>
          <w:color w:val="auto"/>
          <w:sz w:val="21"/>
          <w:szCs w:val="21"/>
          <w:highlight w:val="none"/>
          <w:lang w:val="en-US" w:eastAsia="zh-CN"/>
        </w:rPr>
        <w:t xml:space="preserve">：①餐费暂计</w:t>
      </w:r>
      <w:r>
        <w:rPr>
          <w:rFonts w:hint="eastAsia" w:eastAsia="宋体" w:cs="宋体"/>
          <w:color w:val="auto"/>
          <w:sz w:val="21"/>
          <w:szCs w:val="21"/>
          <w:highlight w:val="none"/>
          <w:u w:val="single"/>
          <w:lang w:val="en-US"/>
        </w:rPr>
        <w:t xml:space="preserve">             </w:t>
      </w:r>
      <w:r>
        <w:rPr>
          <w:rFonts w:hint="eastAsia" w:cs="宋体"/>
          <w:color w:val="auto"/>
          <w:sz w:val="21"/>
          <w:szCs w:val="21"/>
          <w:highlight w:val="none"/>
          <w:u w:val="none"/>
          <w:lang w:val="en-US" w:eastAsia="zh-CN"/>
        </w:rPr>
        <w:t xml:space="preserve">元，按实际就餐人数计算，早餐10元/人，午餐20元/人；②</w:t>
      </w:r>
      <w:r>
        <w:rPr>
          <w:rFonts w:hint="eastAsia" w:cs="宋体"/>
          <w:sz w:val="21"/>
          <w:szCs w:val="21"/>
        </w:rPr>
        <w:t xml:space="preserve">运营服务及耗材费用共计</w:t>
      </w:r>
      <w:r>
        <w:rPr>
          <w:rFonts w:hint="eastAsia" w:eastAsia="宋体" w:cs="宋体"/>
          <w:color w:val="auto"/>
          <w:sz w:val="21"/>
          <w:szCs w:val="21"/>
          <w:highlight w:val="none"/>
          <w:u w:val="single"/>
          <w:lang w:val="en-US"/>
        </w:rPr>
        <w:t xml:space="preserve">             </w:t>
      </w:r>
      <w:r>
        <w:rPr>
          <w:rFonts w:hint="eastAsia" w:cs="宋体"/>
          <w:sz w:val="21"/>
          <w:szCs w:val="21"/>
        </w:rPr>
        <w:t xml:space="preserve">元</w:t>
      </w:r>
      <w:r>
        <w:rPr>
          <w:rFonts w:hint="eastAsia" w:cs="宋体"/>
          <w:sz w:val="21"/>
          <w:szCs w:val="21"/>
          <w:lang w:eastAsia="zh-CN"/>
        </w:rPr>
        <w:t xml:space="preserve">。</w:t>
      </w:r>
      <w:r>
        <w:rPr>
          <w:rFonts w:hint="eastAsia" w:cs="宋体"/>
          <w:color w:val="auto"/>
          <w:sz w:val="21"/>
          <w:szCs w:val="21"/>
          <w:highlight w:val="none"/>
          <w:lang w:val="en-US" w:eastAsia="zh-CN"/>
        </w:rPr>
        <w:t xml:space="preserve">上述金额包括</w:t>
      </w:r>
      <w:r>
        <w:rPr>
          <w:rFonts w:hint="eastAsia" w:eastAsia="宋体" w:cs="宋体"/>
          <w:color w:val="auto"/>
          <w:sz w:val="21"/>
          <w:szCs w:val="21"/>
          <w:highlight w:val="none"/>
          <w:lang w:val="en-US"/>
        </w:rPr>
        <w:t xml:space="preserve">承包期内所有工作人员餐费、服务费和管理费、各种食堂耗材、食材、调味品、一次性打包盒、餐具、餐巾纸、洗涤用品、利润、工资、税金、风险及政策性文件规定等的各项费用。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2.2付款步骤及方式：</w:t>
      </w:r>
      <w:r/>
    </w:p>
    <w:p>
      <w:pPr>
        <w:pStyle w:val="1456"/>
        <w:ind w:firstLine="420"/>
        <w:jc w:val="left"/>
        <w:spacing w:line="360" w:lineRule="auto"/>
        <w:rPr>
          <w:rFonts w:hint="eastAsia"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eastAsia="宋体" w:cs="宋体"/>
          <w:color w:val="auto"/>
          <w:sz w:val="21"/>
          <w:szCs w:val="21"/>
          <w:highlight w:val="none"/>
          <w:lang w:val="en-US" w:eastAsia="zh-CN"/>
        </w:rPr>
        <w:t xml:space="preserve">付款方式由乙方自行在以下两种方式中选择。</w:t>
      </w:r>
      <w:r/>
    </w:p>
    <w:p>
      <w:pPr>
        <w:ind w:firstLine="420"/>
        <w:jc w:val="both"/>
        <w:spacing w:line="360" w:lineRule="auto"/>
        <w:rPr>
          <w:rFonts w:hAnsi="宋体"/>
          <w:b w:val="0"/>
          <w:bCs/>
          <w:sz w:val="21"/>
          <w:szCs w:val="21"/>
          <w:highlight w:val="none"/>
        </w:rPr>
      </w:pPr>
      <w:r>
        <w:rPr>
          <w:rFonts w:ascii="Wingdings 2" w:hAnsi="Wingdings 2" w:eastAsia="Wingdings 2" w:cs="Wingdings 2"/>
          <w:b w:val="0"/>
          <w:bCs/>
          <w:sz w:val="21"/>
          <w:szCs w:val="21"/>
          <w:highlight w:val="none"/>
        </w:rPr>
        <w:t xml:space="preserve">£</w:t>
      </w:r>
      <w:r>
        <w:rPr>
          <w:rFonts w:hint="eastAsia" w:hAnsi="宋体"/>
          <w:b w:val="0"/>
          <w:bCs/>
          <w:sz w:val="21"/>
          <w:szCs w:val="21"/>
          <w:highlight w:val="none"/>
        </w:rPr>
        <w:t xml:space="preserve">第一种：</w:t>
      </w:r>
      <w:r/>
    </w:p>
    <w:p>
      <w:pPr>
        <w:pStyle w:val="1471"/>
        <w:ind w:firstLine="420"/>
        <w:spacing w:line="360" w:lineRule="auto"/>
        <w:rPr>
          <w:rFonts w:hint="eastAsia" w:ascii="宋体" w:hAnsi="宋体" w:cs="宋体"/>
          <w:szCs w:val="21"/>
          <w:highlight w:val="none"/>
          <w:lang w:val="en-US"/>
        </w:rPr>
      </w:pPr>
      <w:r>
        <w:rPr>
          <w:rFonts w:hint="eastAsia" w:ascii="宋体" w:hAnsi="宋体" w:eastAsia="宋体" w:cs="宋体"/>
          <w:color w:val="auto"/>
          <w:sz w:val="21"/>
          <w:szCs w:val="21"/>
          <w:highlight w:val="none"/>
          <w:lang w:val="en-US" w:eastAsia="zh-CN" w:bidi="ar-SA"/>
        </w:rPr>
        <w:t xml:space="preserve">合同签订且乙方进场开始服务后，根据考核情况，</w:t>
      </w:r>
      <w:r>
        <w:rPr>
          <w:rFonts w:hint="eastAsia" w:ascii="宋体" w:hAnsi="宋体" w:cs="宋体"/>
          <w:szCs w:val="21"/>
          <w:highlight w:val="none"/>
          <w:lang w:val="en-US"/>
        </w:rPr>
        <w:t xml:space="preserve">经甲方审核确认后，每两个月支付一次费用。</w:t>
      </w:r>
      <w:r/>
    </w:p>
    <w:p>
      <w:pPr>
        <w:ind w:firstLine="420"/>
        <w:jc w:val="left"/>
        <w:keepLines w:val="0"/>
        <w:keepNext w:val="0"/>
        <w:widowControl/>
        <w:rPr>
          <w:rFonts w:hint="eastAsia" w:ascii="宋体" w:hAnsi="宋体" w:cs="宋体"/>
          <w:szCs w:val="21"/>
          <w:highlight w:val="none"/>
          <w:lang w:val="en-US"/>
        </w:rPr>
        <w:suppressLineNumbers w:val="0"/>
      </w:pPr>
      <w:r>
        <w:rPr>
          <w:rFonts w:hint="eastAsia" w:ascii="宋体" w:hAnsi="宋体" w:cs="宋体"/>
          <w:szCs w:val="21"/>
          <w:highlight w:val="none"/>
          <w:lang w:val="en-US"/>
        </w:rPr>
        <w:t xml:space="preserve">实际结算费用=</w:t>
      </w:r>
      <w:r>
        <w:rPr>
          <w:rFonts w:hint="eastAsia" w:ascii="宋体" w:hAnsi="宋体" w:cs="宋体"/>
          <w:szCs w:val="21"/>
          <w:highlight w:val="none"/>
          <w:lang w:val="en-US" w:eastAsia="zh-CN"/>
        </w:rPr>
        <w:t xml:space="preserve">实际刷卡费用</w:t>
      </w:r>
      <w:r>
        <w:rPr>
          <w:rFonts w:hint="eastAsia" w:ascii="宋体" w:hAnsi="宋体" w:cs="宋体"/>
          <w:szCs w:val="21"/>
          <w:highlight w:val="none"/>
          <w:lang w:val="en-US"/>
        </w:rPr>
        <w:t xml:space="preserve">+</w:t>
      </w:r>
      <w:r>
        <w:rPr>
          <w:rFonts w:hint="default" w:ascii="宋体" w:hAnsi="宋体" w:cs="宋体"/>
          <w:szCs w:val="21"/>
          <w:highlight w:val="none"/>
          <w:lang w:val="en-US" w:eastAsia="zh-CN"/>
        </w:rPr>
        <w:t xml:space="preserve">中标月度</w:t>
      </w:r>
      <w:r>
        <w:rPr>
          <w:rFonts w:hint="eastAsia" w:ascii="宋体" w:hAnsi="宋体" w:cs="宋体"/>
          <w:szCs w:val="21"/>
          <w:highlight w:val="none"/>
          <w:lang w:val="en-US"/>
        </w:rPr>
        <w:t xml:space="preserve">运营服务费及食堂耗材等零星费用-考核扣款费用-责任处罚费用。</w:t>
      </w:r>
      <w:r/>
    </w:p>
    <w:p>
      <w:pPr>
        <w:ind w:firstLine="420"/>
        <w:jc w:val="both"/>
        <w:spacing w:line="360" w:lineRule="auto"/>
        <w:rPr>
          <w:rFonts w:hAnsi="宋体"/>
          <w:b w:val="0"/>
          <w:bCs/>
          <w:sz w:val="21"/>
          <w:szCs w:val="21"/>
          <w:highlight w:val="none"/>
        </w:rPr>
      </w:pPr>
      <w:r>
        <w:rPr>
          <w:rFonts w:ascii="Wingdings 2" w:hAnsi="Wingdings 2" w:eastAsia="Wingdings 2" w:cs="Wingdings 2"/>
          <w:b w:val="0"/>
          <w:bCs/>
          <w:sz w:val="21"/>
          <w:szCs w:val="21"/>
          <w:highlight w:val="none"/>
        </w:rPr>
        <w:t xml:space="preserve">£</w:t>
      </w:r>
      <w:r>
        <w:rPr>
          <w:rFonts w:hint="eastAsia" w:hAnsi="宋体"/>
          <w:b w:val="0"/>
          <w:bCs/>
          <w:sz w:val="21"/>
          <w:szCs w:val="21"/>
          <w:highlight w:val="none"/>
        </w:rPr>
        <w:t xml:space="preserve">第二种：</w:t>
      </w:r>
      <w:r/>
    </w:p>
    <w:p>
      <w:pPr>
        <w:pStyle w:val="1471"/>
        <w:ind w:left="0" w:firstLine="420"/>
        <w:spacing w:line="360" w:lineRule="auto"/>
        <w:rPr>
          <w:rFonts w:hint="eastAsia" w:ascii="宋体" w:hAnsi="宋体" w:cs="宋体"/>
          <w:szCs w:val="21"/>
          <w:highlight w:val="none"/>
          <w:lang w:val="en-US"/>
        </w:rPr>
      </w:pPr>
      <w:r>
        <w:rPr>
          <w:rFonts w:hint="eastAsia" w:ascii="宋体" w:hAnsi="宋体" w:eastAsia="宋体" w:cs="宋体"/>
          <w:color w:val="auto"/>
          <w:sz w:val="21"/>
          <w:szCs w:val="21"/>
          <w:highlight w:val="none"/>
          <w:lang w:val="en-US" w:eastAsia="zh-CN" w:bidi="ar-SA"/>
        </w:rPr>
        <w:t xml:space="preserve">合同签订后甲方支付</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合同</w:t>
      </w:r>
      <w:r>
        <w:rPr>
          <w:rFonts w:hint="eastAsia" w:ascii="宋体" w:hAnsi="宋体" w:cs="宋体"/>
          <w:color w:val="auto"/>
          <w:sz w:val="21"/>
          <w:szCs w:val="21"/>
          <w:highlight w:val="none"/>
          <w:lang w:val="en-US" w:eastAsia="zh-CN" w:bidi="ar-SA"/>
        </w:rPr>
        <w:t xml:space="preserve">中的</w:t>
      </w:r>
      <w:r>
        <w:rPr>
          <w:rFonts w:hint="eastAsia" w:ascii="宋体" w:hAnsi="宋体" w:eastAsia="宋体" w:cs="宋体"/>
          <w:bCs/>
          <w:color w:val="auto"/>
          <w:sz w:val="21"/>
          <w:szCs w:val="21"/>
          <w:highlight w:val="none"/>
        </w:rPr>
        <w:t xml:space="preserve">运营服务费</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食堂耗材、清洁易耗品、食堂用杂品（餐巾纸、牙签等）及卫生用品</w:t>
      </w:r>
      <w:r>
        <w:rPr>
          <w:rFonts w:hint="eastAsia" w:ascii="宋体" w:hAnsi="宋体" w:eastAsia="宋体" w:cs="宋体"/>
          <w:bCs/>
          <w:color w:val="auto"/>
          <w:sz w:val="21"/>
          <w:szCs w:val="21"/>
          <w:highlight w:val="none"/>
          <w:lang w:val="en-US" w:eastAsia="zh-CN"/>
        </w:rPr>
        <w:t xml:space="preserve">等</w:t>
      </w:r>
      <w:r>
        <w:rPr>
          <w:rFonts w:hint="eastAsia" w:ascii="宋体" w:hAnsi="宋体" w:cs="宋体"/>
          <w:bCs/>
          <w:color w:val="auto"/>
          <w:sz w:val="21"/>
          <w:szCs w:val="21"/>
          <w:highlight w:val="none"/>
          <w:lang w:val="en-US" w:eastAsia="zh-CN"/>
        </w:rPr>
        <w:t xml:space="preserve">金额</w:t>
      </w:r>
      <w:r>
        <w:rPr>
          <w:rFonts w:hint="eastAsia" w:ascii="宋体" w:hAnsi="宋体" w:eastAsia="宋体" w:cs="宋体"/>
          <w:color w:val="auto"/>
          <w:sz w:val="21"/>
          <w:szCs w:val="21"/>
          <w:highlight w:val="none"/>
          <w:lang w:val="en-US" w:eastAsia="zh-CN" w:bidi="ar-SA"/>
        </w:rPr>
        <w:t xml:space="preserve">的10%作为预付款，乙方进场开始服务后，根据考核情况，</w:t>
      </w:r>
      <w:r>
        <w:rPr>
          <w:rFonts w:hint="eastAsia" w:ascii="宋体" w:hAnsi="宋体" w:cs="宋体"/>
          <w:szCs w:val="21"/>
          <w:highlight w:val="none"/>
          <w:lang w:val="en-US"/>
        </w:rPr>
        <w:t xml:space="preserve">经甲方审核确认后，每两个月支付一次费用。</w:t>
      </w:r>
      <w:r/>
    </w:p>
    <w:p>
      <w:pPr>
        <w:pStyle w:val="1471"/>
        <w:ind w:firstLine="420"/>
        <w:spacing w:line="360" w:lineRule="auto"/>
        <w:rPr>
          <w:rFonts w:hint="eastAsia"/>
          <w:highlight w:val="none"/>
          <w:lang w:val="en-US"/>
        </w:rPr>
      </w:pPr>
      <w:r>
        <w:rPr>
          <w:rFonts w:hint="eastAsia" w:ascii="宋体" w:hAnsi="宋体" w:cs="宋体"/>
          <w:szCs w:val="21"/>
          <w:highlight w:val="none"/>
          <w:lang w:val="en-US"/>
        </w:rPr>
        <w:t xml:space="preserve">实际结算费用=</w:t>
      </w:r>
      <w:r>
        <w:rPr>
          <w:rFonts w:hint="eastAsia" w:ascii="宋体" w:hAnsi="宋体" w:cs="宋体"/>
          <w:szCs w:val="21"/>
          <w:highlight w:val="none"/>
          <w:lang w:val="en-US" w:eastAsia="zh-CN"/>
        </w:rPr>
        <w:t xml:space="preserve">实际刷卡费用</w:t>
      </w:r>
      <w:r>
        <w:rPr>
          <w:rFonts w:hint="eastAsia" w:ascii="宋体" w:hAnsi="宋体" w:cs="宋体"/>
          <w:szCs w:val="21"/>
          <w:highlight w:val="none"/>
          <w:lang w:val="en-US"/>
        </w:rPr>
        <w:t xml:space="preserve">+</w:t>
      </w:r>
      <w:r>
        <w:rPr>
          <w:rFonts w:hint="default" w:ascii="宋体" w:hAnsi="宋体" w:cs="宋体"/>
          <w:szCs w:val="21"/>
          <w:highlight w:val="none"/>
          <w:lang w:val="en-US" w:eastAsia="zh-CN"/>
        </w:rPr>
        <w:t xml:space="preserve">中标月度</w:t>
      </w:r>
      <w:r>
        <w:rPr>
          <w:rFonts w:hint="eastAsia" w:ascii="宋体" w:hAnsi="宋体" w:cs="宋体"/>
          <w:szCs w:val="21"/>
          <w:highlight w:val="none"/>
          <w:lang w:val="en-US"/>
        </w:rPr>
        <w:t xml:space="preserve">运营服务费及食堂耗材等零星费用-考核扣款费用-责任处罚费用。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）付款方式：</w:t>
      </w:r>
      <w:r>
        <w:rPr>
          <w:rFonts w:hint="eastAsia"/>
          <w:color w:val="auto"/>
          <w:highlight w:val="none"/>
        </w:rPr>
        <w:t xml:space="preserve">付款根据实际情况，将使用数字人民币、转账等形式支付，并优先使用数字人民币支付。</w:t>
      </w:r>
      <w:r>
        <w:rPr>
          <w:rFonts w:hint="eastAsia" w:ascii="宋体" w:hAnsi="宋体" w:eastAsia="宋体" w:cs="宋体"/>
          <w:color w:val="auto"/>
          <w:szCs w:val="21"/>
          <w:highlight w:val="none"/>
        </w:rPr>
        <w:t xml:space="preserve">以转帐方式直接转入中标单位的账户。</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）甲方每次付款前，乙方须提供</w:t>
      </w:r>
      <w:r>
        <w:rPr>
          <w:rFonts w:hint="eastAsia" w:ascii="宋体" w:hAnsi="宋体" w:eastAsia="宋体" w:cs="宋体"/>
          <w:color w:val="auto"/>
          <w:szCs w:val="21"/>
          <w:highlight w:val="none"/>
          <w:lang w:val="en-US" w:eastAsia="zh-CN"/>
        </w:rPr>
        <w:t xml:space="preserve">甲方所在地税务部门出具</w:t>
      </w:r>
      <w:r>
        <w:rPr>
          <w:rFonts w:hint="eastAsia" w:ascii="宋体" w:hAnsi="宋体" w:eastAsia="宋体" w:cs="宋体"/>
          <w:color w:val="auto"/>
          <w:szCs w:val="21"/>
          <w:highlight w:val="none"/>
        </w:rPr>
        <w:t xml:space="preserve">的发票等甲方要求的结算凭据。乙方未按要求提供的，甲方有权拒绝付款</w:t>
      </w:r>
      <w:r>
        <w:rPr>
          <w:rFonts w:hint="eastAsia" w:ascii="宋体" w:hAnsi="宋体" w:cs="宋体"/>
          <w:szCs w:val="21"/>
          <w:highlight w:val="none"/>
        </w:rPr>
        <w:t xml:space="preserve">，且不承担逾期付款违约责任</w:t>
      </w:r>
      <w:r>
        <w:rPr>
          <w:rFonts w:hint="eastAsia" w:ascii="宋体" w:hAnsi="宋体" w:eastAsia="宋体" w:cs="宋体"/>
          <w:color w:val="auto"/>
          <w:szCs w:val="21"/>
          <w:highlight w:val="none"/>
        </w:rPr>
        <w:t xml:space="preserve">。</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三、甲方、乙方责任与义务：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3.1甲方的责任与义务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（1）按照合同规定拨付项目费用。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（2）提供服务要求及规范。</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（3）审定乙方服务方案及履行合同情况。</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（4）对乙方承担的项目进行考核，考核标准详见附件。</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（5）协助处理与各部门的关系，以便于服务工作的顺利进行。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3.2乙方的责任与义务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（1）乙方应自己负责实施合同期间其工作人员的包括但不限于通讯、差旅、交通、水电、资料收集以及用工器具的搬迁等一切费用。</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（2）乙方投标文件中明确的人员、设备与进场人员、设备应该一致，乙方不得随意更换，如未经甲方许可随意更换人员及设备，视为乙方违约，甲方有权解除合同。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（3）乙方应根据甲方的要求，以及规范、规程等进行项目的实施。</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（4）验收费用包含在合同总价之内。</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乙方应对员工进行岗位职责和安全教育，加强岗位责任考核，在从事服务工作中应当做到文明工作，采取必要的安全防范措施，合同期内若发生消防事故、安全事故、治安案件、刑事案件及其人身财产损害的，乙方应承担全部责任，并负责赔偿由此造成的损失，与甲方无关。</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zh-CN"/>
        </w:rPr>
        <w:t xml:space="preserve">）乙方应对接受其服务的被服务对象的人身安全负责，严禁出现严重伤害被照料对象情形发生；若服务对象在参与活动时发生意外或纠纷，由乙方负责协调解决，与</w:t>
      </w:r>
      <w:r>
        <w:rPr>
          <w:rFonts w:hint="eastAsia" w:ascii="宋体" w:hAnsi="宋体" w:eastAsia="宋体" w:cs="宋体"/>
          <w:color w:val="auto"/>
          <w:szCs w:val="21"/>
          <w:highlight w:val="none"/>
        </w:rPr>
        <w:t xml:space="preserve">甲方无关。</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（7）乙方应建立完整工作台账，每季度</w:t>
      </w:r>
      <w:r>
        <w:rPr>
          <w:rFonts w:hint="eastAsia" w:ascii="宋体" w:hAnsi="宋体" w:eastAsia="宋体" w:cs="宋体"/>
          <w:color w:val="auto"/>
          <w:szCs w:val="21"/>
          <w:highlight w:val="none"/>
          <w:lang w:val="zh-CN"/>
        </w:rPr>
        <w:t xml:space="preserve">乙方应向甲方移交全部工作台账及其他全部档案资料。</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四、服务要求：</w:t>
      </w:r>
      <w:r/>
    </w:p>
    <w:p>
      <w:pPr>
        <w:ind w:firstLine="420"/>
        <w:spacing w:line="360" w:lineRule="auto"/>
        <w:tabs>
          <w:tab w:val="left" w:pos="360" w:leader="none"/>
        </w:tabs>
        <w:rPr>
          <w:rFonts w:hint="eastAsia" w:ascii="宋体" w:hAnsi="宋体" w:eastAsia="宋体" w:cs="宋体"/>
          <w:color w:val="auto"/>
          <w:sz w:val="21"/>
          <w:szCs w:val="21"/>
          <w:highlight w:val="none"/>
          <w:lang w:val="en-US"/>
        </w:rPr>
      </w:pPr>
      <w:r>
        <w:rPr>
          <w:rFonts w:hint="eastAsia" w:ascii="宋体" w:hAnsi="宋体" w:eastAsia="宋体" w:cs="宋体"/>
          <w:color w:val="auto"/>
          <w:szCs w:val="21"/>
          <w:highlight w:val="none"/>
        </w:rPr>
        <w:t xml:space="preserve">4.1在项目服务期间，项目人员不得随意变更，如确需调整须经甲方书面同意。对于乙方工作人员确因患病、与乙方解除或终止劳动关系、工伤等乙方不可控原因更换乙方人员的，甲方应当同意更换。</w:t>
      </w:r>
      <w:r/>
    </w:p>
    <w:p>
      <w:pPr>
        <w:ind w:firstLine="420"/>
        <w:spacing w:line="360" w:lineRule="auto"/>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4.2乙方应严格按照招标文件的有关规定提供服务，满足招标文件中所列全部要求和乙方承诺的其它指标，并由甲方按照具体项目要求进行考核。对未按规定提供服务或者部分服务不合格的，视具体情况按比例扣除</w:t>
      </w:r>
      <w:r>
        <w:rPr>
          <w:rFonts w:ascii="宋体" w:hAnsi="宋体" w:eastAsia="宋体" w:cs="宋体"/>
          <w:color w:val="auto"/>
          <w:szCs w:val="21"/>
          <w:highlight w:val="none"/>
          <w:lang w:val="zh-CN"/>
        </w:rPr>
        <w:t xml:space="preserve">。</w:t>
      </w:r>
      <w:r/>
    </w:p>
    <w:p>
      <w:pPr>
        <w:pStyle w:val="1121"/>
        <w:ind w:firstLine="422"/>
        <w:spacing w:before="0" w:line="360" w:lineRule="auto"/>
        <w:tabs>
          <w:tab w:val="left" w:pos="567" w:leader="none"/>
        </w:tabs>
        <w:rPr>
          <w:rFonts w:eastAsia="宋体" w:cs="宋体"/>
          <w:b/>
          <w:bCs/>
          <w:color w:val="auto"/>
          <w:sz w:val="21"/>
          <w:szCs w:val="21"/>
          <w:highlight w:val="none"/>
        </w:rPr>
      </w:pPr>
      <w:r>
        <w:rPr>
          <w:rFonts w:hint="eastAsia" w:eastAsia="宋体" w:cs="宋体"/>
          <w:b/>
          <w:bCs/>
          <w:color w:val="auto"/>
          <w:sz w:val="21"/>
          <w:szCs w:val="21"/>
          <w:highlight w:val="none"/>
        </w:rPr>
        <w:t xml:space="preserve">五、违约责任：</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5.1甲方的违约</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（1）甲方未按合同的约定支付服务费给乙方的，承担违约责任。</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5.2乙方的违约</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乙方应采取一切措施防范及避免其工作人员或外来第三人发生其他任何故意或重大过失伤害被服务对象的行为，否则除应向受害方承担相应法律责任外，还应向甲方承担合同总价款10%的违约金，甲方有权暂停支付季度服务费，直至乙方妥善解决伤害事件等。</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（2）乙方需保证按甲方通知时间进场提供服务，由于乙方原因而导致逾期进场的，每逾期一日，应当支付合同总价万分之四的违约金。逾期超过30天的，甲方有权解除合同，并要求乙方支付合同总价</w:t>
      </w:r>
      <w:r>
        <w:rPr>
          <w:rFonts w:eastAsia="宋体" w:cs="宋体"/>
          <w:color w:val="auto"/>
          <w:sz w:val="21"/>
          <w:szCs w:val="21"/>
          <w:highlight w:val="none"/>
        </w:rPr>
        <w:t xml:space="preserve">10%</w:t>
      </w:r>
      <w:r>
        <w:rPr>
          <w:rFonts w:hint="eastAsia" w:eastAsia="宋体" w:cs="宋体"/>
          <w:color w:val="auto"/>
          <w:sz w:val="21"/>
          <w:szCs w:val="21"/>
          <w:highlight w:val="none"/>
        </w:rPr>
        <w:t xml:space="preserve">的违约金。</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3）乙方必须保证实际进场的人员与响应文件一致；未经甲方同意，人员不得更换；乙方擅自更换的，甲方有权解除合同，同时乙方应按本合同总价的10%支付违约金。但乙方人员确因患病、与乙方解除或终止劳动人事关系、工伤等乙方不可控原因确需更换的，甲方应当同意更换，不视为乙方违约。</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（4）甲方认为乙方人员无法胜任所在岗位，有权要求乙方在合理期限内更换，乙方逾期未更换的，视为违约，甲方有权解除合同，同时乙方应按本合同总价的10%支付违约金。</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（5）乙方在季度考核中累计两次不合格的，甲方有权解除合同，同时乙方应按本合同总价的10%支付违约金。</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5.3如果发生了第5.1款或第5.2款所述的情况，则利益受到损害的一方同时有权向另一方提出索赔，但赔偿应限于下列情况：</w:t>
      </w:r>
      <w:r/>
    </w:p>
    <w:p>
      <w:pPr>
        <w:pStyle w:val="1121"/>
        <w:ind w:firstLine="420"/>
        <w:spacing w:before="0" w:line="360" w:lineRule="auto"/>
        <w:tabs>
          <w:tab w:val="left" w:pos="567" w:leader="none"/>
        </w:tabs>
        <w:rPr>
          <w:rFonts w:eastAsia="宋体" w:cs="宋体"/>
          <w:color w:val="auto"/>
          <w:sz w:val="21"/>
          <w:szCs w:val="21"/>
          <w:highlight w:val="none"/>
        </w:rPr>
      </w:pPr>
      <w:r>
        <w:rPr>
          <w:rFonts w:hint="eastAsia" w:eastAsia="宋体" w:cs="宋体"/>
          <w:color w:val="auto"/>
          <w:sz w:val="21"/>
          <w:szCs w:val="21"/>
          <w:highlight w:val="none"/>
        </w:rPr>
        <w:t xml:space="preserve">赔偿应是因违约或侵权所造成的可合理预见的损失或损害的数额（包括但不限于诉讼费、违约金、损害赔偿金以及为追偿损失所支出的诉讼费用、诉责险费用、律师费等）；</w:t>
      </w:r>
      <w:r/>
    </w:p>
    <w:p>
      <w:pPr>
        <w:pStyle w:val="1121"/>
        <w:ind w:firstLine="422"/>
        <w:spacing w:before="0" w:line="360" w:lineRule="auto"/>
        <w:tabs>
          <w:tab w:val="left" w:pos="567" w:leader="none"/>
        </w:tabs>
        <w:rPr>
          <w:rFonts w:eastAsia="宋体" w:cs="宋体"/>
          <w:b/>
          <w:color w:val="auto"/>
          <w:sz w:val="21"/>
          <w:szCs w:val="21"/>
          <w:highlight w:val="none"/>
        </w:rPr>
      </w:pPr>
      <w:r>
        <w:rPr>
          <w:rFonts w:hint="eastAsia" w:eastAsia="宋体" w:cs="宋体"/>
          <w:b/>
          <w:color w:val="auto"/>
          <w:sz w:val="21"/>
          <w:szCs w:val="21"/>
          <w:highlight w:val="none"/>
        </w:rPr>
        <w:t xml:space="preserve">六、其它：</w:t>
      </w:r>
      <w:r/>
    </w:p>
    <w:p>
      <w:pPr>
        <w:pStyle w:val="1121"/>
        <w:ind w:firstLine="420"/>
        <w:spacing w:before="0" w:line="360" w:lineRule="auto"/>
        <w:tabs>
          <w:tab w:val="left" w:pos="567" w:leader="none"/>
        </w:tabs>
        <w:rPr>
          <w:rFonts w:eastAsia="宋体" w:cs="宋体"/>
          <w:bCs/>
          <w:color w:val="auto"/>
          <w:sz w:val="21"/>
          <w:szCs w:val="21"/>
          <w:highlight w:val="none"/>
        </w:rPr>
      </w:pPr>
      <w:r>
        <w:rPr>
          <w:rFonts w:hint="eastAsia" w:eastAsia="宋体" w:cs="宋体"/>
          <w:bCs/>
          <w:color w:val="auto"/>
          <w:sz w:val="21"/>
          <w:szCs w:val="21"/>
          <w:highlight w:val="none"/>
        </w:rPr>
        <w:t xml:space="preserve">6.1法律和法规：本合同必须服从国家的现行法律和法规，对合同的解释应以国家的现行法律和法规为准。</w:t>
      </w:r>
      <w:r/>
    </w:p>
    <w:p>
      <w:pPr>
        <w:pStyle w:val="1121"/>
        <w:ind w:firstLine="420"/>
        <w:spacing w:before="0" w:line="360" w:lineRule="auto"/>
        <w:tabs>
          <w:tab w:val="left" w:pos="567" w:leader="none"/>
        </w:tabs>
        <w:rPr>
          <w:rFonts w:eastAsia="宋体" w:cs="宋体"/>
          <w:bCs/>
          <w:color w:val="auto"/>
          <w:sz w:val="21"/>
          <w:szCs w:val="21"/>
          <w:highlight w:val="none"/>
        </w:rPr>
      </w:pPr>
      <w:r>
        <w:rPr>
          <w:rFonts w:hint="eastAsia" w:eastAsia="宋体" w:cs="宋体"/>
          <w:bCs/>
          <w:color w:val="auto"/>
          <w:sz w:val="21"/>
          <w:szCs w:val="21"/>
          <w:highlight w:val="none"/>
        </w:rPr>
        <w:t xml:space="preserve">6.2转让和分包</w:t>
      </w:r>
      <w:r/>
    </w:p>
    <w:p>
      <w:pPr>
        <w:pStyle w:val="1121"/>
        <w:ind w:firstLine="210"/>
        <w:spacing w:before="0" w:line="360" w:lineRule="auto"/>
        <w:tabs>
          <w:tab w:val="left" w:pos="567" w:leader="none"/>
        </w:tabs>
        <w:rPr>
          <w:rFonts w:eastAsia="宋体" w:cs="宋体"/>
          <w:bCs/>
          <w:color w:val="auto"/>
          <w:sz w:val="21"/>
          <w:szCs w:val="21"/>
          <w:highlight w:val="none"/>
        </w:rPr>
      </w:pPr>
      <w:r>
        <w:rPr>
          <w:rFonts w:hint="eastAsia" w:eastAsia="宋体" w:cs="宋体"/>
          <w:bCs/>
          <w:color w:val="auto"/>
          <w:sz w:val="21"/>
          <w:szCs w:val="21"/>
          <w:highlight w:val="none"/>
        </w:rPr>
        <w:t xml:space="preserve">（1）禁止乙方将本合同规定的任务转让给第三方。</w:t>
      </w:r>
      <w:r/>
    </w:p>
    <w:p>
      <w:pPr>
        <w:pStyle w:val="1121"/>
        <w:ind w:firstLine="210"/>
        <w:spacing w:before="0" w:line="360" w:lineRule="auto"/>
        <w:tabs>
          <w:tab w:val="left" w:pos="567" w:leader="none"/>
        </w:tabs>
        <w:rPr>
          <w:rFonts w:eastAsia="宋体" w:cs="宋体"/>
          <w:bCs/>
          <w:color w:val="auto"/>
          <w:sz w:val="21"/>
          <w:szCs w:val="21"/>
          <w:highlight w:val="none"/>
        </w:rPr>
      </w:pPr>
      <w:r>
        <w:rPr>
          <w:rFonts w:hint="eastAsia" w:eastAsia="宋体" w:cs="宋体"/>
          <w:bCs/>
          <w:color w:val="auto"/>
          <w:sz w:val="21"/>
          <w:szCs w:val="21"/>
          <w:highlight w:val="none"/>
        </w:rPr>
        <w:t xml:space="preserve">（2）禁止乙方将本合同规定的任务分包给第三方。</w:t>
      </w:r>
      <w:r/>
    </w:p>
    <w:p>
      <w:pPr>
        <w:pStyle w:val="1121"/>
        <w:ind w:firstLine="420"/>
        <w:spacing w:before="0" w:line="360" w:lineRule="auto"/>
        <w:tabs>
          <w:tab w:val="left" w:pos="567" w:leader="none"/>
        </w:tabs>
        <w:rPr>
          <w:rFonts w:eastAsia="宋体" w:cs="宋体"/>
          <w:bCs/>
          <w:color w:val="auto"/>
          <w:sz w:val="21"/>
          <w:szCs w:val="21"/>
          <w:highlight w:val="none"/>
        </w:rPr>
      </w:pPr>
      <w:r>
        <w:rPr>
          <w:rFonts w:hint="eastAsia" w:eastAsia="宋体" w:cs="宋体"/>
          <w:bCs/>
          <w:color w:val="auto"/>
          <w:sz w:val="21"/>
          <w:szCs w:val="21"/>
          <w:highlight w:val="none"/>
        </w:rPr>
        <w:t xml:space="preserve">6.3争端的解决</w:t>
      </w:r>
      <w:r/>
    </w:p>
    <w:p>
      <w:pPr>
        <w:pStyle w:val="1121"/>
        <w:ind w:firstLine="420"/>
        <w:spacing w:before="0" w:line="360" w:lineRule="auto"/>
        <w:tabs>
          <w:tab w:val="left" w:pos="567" w:leader="none"/>
        </w:tabs>
        <w:rPr>
          <w:highlight w:val="none"/>
        </w:rPr>
      </w:pPr>
      <w:r>
        <w:rPr>
          <w:rFonts w:hint="eastAsia" w:eastAsia="宋体" w:cs="宋体"/>
          <w:color w:val="auto"/>
          <w:sz w:val="21"/>
          <w:szCs w:val="21"/>
          <w:highlight w:val="none"/>
        </w:rPr>
        <w:t xml:space="preserve">因本合同或与本合同有关的一切事项发生争议，由双方友好协商解决。</w:t>
      </w:r>
      <w:r>
        <w:rPr>
          <w:rFonts w:hint="eastAsia" w:eastAsia="宋体" w:cs="宋体"/>
          <w:bCs/>
          <w:color w:val="auto"/>
          <w:sz w:val="21"/>
          <w:szCs w:val="21"/>
          <w:highlight w:val="none"/>
        </w:rPr>
        <w:t xml:space="preserve">协商不成时可提交甲方所在地人民法院起诉，</w:t>
      </w:r>
      <w:r>
        <w:rPr>
          <w:rFonts w:hint="eastAsia" w:eastAsia="宋体"/>
          <w:bCs/>
          <w:sz w:val="21"/>
          <w:szCs w:val="21"/>
          <w:highlight w:val="none"/>
        </w:rPr>
        <w:t xml:space="preserve">若提起诉讼，违约方应承担守约方因维权而产生的诉讼费、律师费、保全费、保全保险费、交通费、鉴定费、评估费等相关费用。</w:t>
      </w:r>
      <w:r/>
    </w:p>
    <w:p>
      <w:pPr>
        <w:pStyle w:val="1121"/>
        <w:ind w:firstLine="420"/>
        <w:spacing w:before="0" w:line="360" w:lineRule="auto"/>
        <w:tabs>
          <w:tab w:val="left" w:pos="567" w:leader="none"/>
        </w:tabs>
        <w:rPr>
          <w:rFonts w:eastAsia="宋体" w:cs="宋体"/>
          <w:bCs/>
          <w:color w:val="auto"/>
          <w:sz w:val="21"/>
          <w:szCs w:val="21"/>
          <w:highlight w:val="none"/>
        </w:rPr>
      </w:pPr>
      <w:r>
        <w:rPr>
          <w:rFonts w:hint="eastAsia" w:eastAsia="宋体" w:cs="宋体"/>
          <w:bCs/>
          <w:color w:val="auto"/>
          <w:sz w:val="21"/>
          <w:szCs w:val="21"/>
          <w:highlight w:val="none"/>
        </w:rPr>
        <w:t xml:space="preserve">6.4保密性</w:t>
      </w:r>
      <w:r/>
    </w:p>
    <w:p>
      <w:pPr>
        <w:pStyle w:val="1121"/>
        <w:ind w:firstLine="420"/>
        <w:spacing w:before="0" w:line="360" w:lineRule="auto"/>
        <w:tabs>
          <w:tab w:val="left" w:pos="567" w:leader="none"/>
        </w:tabs>
        <w:rPr>
          <w:rFonts w:hint="default"/>
          <w:color w:val="auto"/>
          <w:highlight w:val="none"/>
          <w:lang w:val="en-US" w:eastAsia="zh-CN"/>
        </w:rPr>
      </w:pPr>
      <w:r>
        <w:rPr>
          <w:rFonts w:hint="eastAsia" w:eastAsia="宋体" w:cs="宋体"/>
          <w:bCs/>
          <w:color w:val="auto"/>
          <w:sz w:val="21"/>
          <w:szCs w:val="21"/>
          <w:highlight w:val="none"/>
        </w:rPr>
        <w:t xml:space="preserve">除了根据合同履行义务和遵守适用法律以外，双方应将合同的详情视为秘密，规划编制单位应对业主提供的基础资料负保密责任。没有甲方事先同意，不得在任何商业或技术论文或其它场合发表或允许发表、或透露项目的任何细节。</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七、不可抗力：</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7.1 因不可抗力不能履行合同的，根据不可抗力的影响，部分或者全部免除责任。但合同一方延迟履行后发生不可抗力的，不能免除责任。</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 合同一方因不可抗力不能履行合同的，应当及时通知对方，以减轻可能给对方造成的损失，并应当在合理期限内提供证明。</w:t>
      </w:r>
      <w:r/>
    </w:p>
    <w:p>
      <w:pPr>
        <w:ind w:firstLine="422"/>
        <w:spacing w:line="360"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八、合同的解除和转让：</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8.1 甲方和乙方协商一致，可以解除合同。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 有下列情形之一，合同一方可以解除合同：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8.2.1 因不可抗力致使不能实现合同目的，未受不可抗力影响的一方有权解除合同；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8.2.2 因合同一方违约导致合同不能履行，另一方有权解除合同</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8.2.3 有权解除合同的一方，应当在违约事实或不可抗力发生之后三十天内书面通知对方以主张解除合同，合同在书面通知到达对方时解除。</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8.3 合同的部分和全部都不得转让。</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九、合同的生效：</w:t>
      </w:r>
      <w:r/>
    </w:p>
    <w:p>
      <w:pPr>
        <w:ind w:firstLine="420"/>
        <w:spacing w:line="360" w:lineRule="auto"/>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lang w:val="en-US" w:eastAsia="zh-CN"/>
        </w:rPr>
        <w:t xml:space="preserve">9.1合同履行期限：</w:t>
      </w:r>
      <w:r>
        <w:rPr>
          <w:rFonts w:hint="eastAsia" w:ascii="宋体" w:hAnsi="宋体" w:cs="宋体"/>
          <w:color w:val="auto"/>
          <w:szCs w:val="21"/>
          <w:highlight w:val="none"/>
          <w:u w:val="single"/>
          <w:lang w:val="en-US" w:eastAsia="zh-CN"/>
        </w:rPr>
        <w:t xml:space="preserve">2026</w:t>
      </w:r>
      <w:r>
        <w:rPr>
          <w:rFonts w:hint="eastAsia" w:ascii="宋体" w:hAnsi="宋体" w:cs="宋体"/>
          <w:color w:val="auto"/>
          <w:szCs w:val="21"/>
          <w:highlight w:val="none"/>
          <w:lang w:val="en-US" w:eastAsia="zh-CN"/>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日至</w:t>
      </w:r>
      <w:r>
        <w:rPr>
          <w:rFonts w:hint="eastAsia" w:ascii="宋体" w:hAnsi="宋体" w:cs="宋体"/>
          <w:color w:val="auto"/>
          <w:szCs w:val="21"/>
          <w:highlight w:val="none"/>
          <w:u w:val="single"/>
          <w:lang w:val="en-US" w:eastAsia="zh-CN"/>
        </w:rPr>
        <w:t xml:space="preserve">2028</w:t>
      </w:r>
      <w:r>
        <w:rPr>
          <w:rFonts w:hint="eastAsia" w:ascii="宋体" w:hAnsi="宋体" w:cs="宋体"/>
          <w:color w:val="auto"/>
          <w:szCs w:val="21"/>
          <w:highlight w:val="none"/>
          <w:lang w:val="en-US" w:eastAsia="zh-CN"/>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日</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9.2</w:t>
      </w:r>
      <w:r>
        <w:rPr>
          <w:rFonts w:hint="eastAsia" w:ascii="宋体" w:hAnsi="宋体" w:eastAsia="宋体" w:cs="宋体"/>
          <w:color w:val="auto"/>
          <w:szCs w:val="21"/>
          <w:highlight w:val="none"/>
        </w:rPr>
        <w:t xml:space="preserve">本合同经双方法定（授权）代表人签字（或盖章）并盖单位公章后生效</w:t>
      </w:r>
      <w:r>
        <w:rPr>
          <w:rFonts w:hint="eastAsia" w:ascii="宋体" w:hAnsi="宋体" w:cs="宋体"/>
          <w:color w:val="auto"/>
          <w:szCs w:val="21"/>
          <w:highlight w:val="none"/>
          <w:lang w:eastAsia="zh-CN"/>
        </w:rPr>
        <w:t xml:space="preserve">。</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十、附则：</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10.1 合同份数：本合同一式陆份，甲方贰份、乙方贰份、采购代理机构壹份、政府采购管理机构备案壹份。具有同等法律效力。</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本合同文件使用中文书写、解释和说明。</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10.3 本合同履行过程中产生的纪要、协议以及中标通知书、采购响应文件和采购文件为本合同的附件，与合同具有同等效力。</w:t>
      </w:r>
      <w:r/>
    </w:p>
    <w:p>
      <w:pPr>
        <w:ind w:firstLine="422"/>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十一、未尽事宜</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本合同未尽事宜应按《中华人民共和国民法典》、《中华人民共和国政府采购法》等规定解释。</w:t>
      </w:r>
      <w:r/>
    </w:p>
    <w:p>
      <w:pPr>
        <w:rPr>
          <w:color w:val="auto"/>
          <w:highlight w:val="none"/>
        </w:rPr>
      </w:pPr>
      <w:r>
        <w:rPr>
          <w:color w:val="auto"/>
          <w:highlight w:val="none"/>
        </w:rPr>
      </w:r>
      <w:r/>
    </w:p>
    <w:p>
      <w:pPr>
        <w:rPr>
          <w:color w:val="auto"/>
          <w:highlight w:val="none"/>
        </w:rPr>
      </w:pPr>
      <w:r>
        <w:rPr>
          <w:color w:val="auto"/>
          <w:highlight w:val="none"/>
        </w:rPr>
      </w:r>
      <w:r/>
    </w:p>
    <w:tbl>
      <w:tblPr>
        <w:tblStyle w:val="1115"/>
        <w:tblW w:w="9616" w:type="dxa"/>
        <w:jc w:val="center"/>
        <w:tblLayout w:type="fixed"/>
        <w:tblCellMar>
          <w:left w:w="108" w:type="dxa"/>
          <w:top w:w="0" w:type="dxa"/>
          <w:right w:w="108" w:type="dxa"/>
          <w:bottom w:w="0" w:type="dxa"/>
        </w:tblCellMar>
        <w:tblLook w:val="04A0" w:firstRow="1" w:lastRow="0" w:firstColumn="1" w:lastColumn="0" w:noHBand="0" w:noVBand="1"/>
      </w:tblPr>
      <w:tblGrid>
        <w:gridCol w:w="4872"/>
        <w:gridCol w:w="4744"/>
      </w:tblGrid>
      <w:tr>
        <w:trPr>
          <w:jc w:val="center"/>
          <w:trHeight w:val="23"/>
        </w:trPr>
        <w:tc>
          <w:tcPr>
            <w:tcW w:w="4872" w:type="dxa"/>
            <w:vAlign w:val="center"/>
            <w:textDirection w:val="lrTb"/>
            <w:noWrap w:val="false"/>
          </w:tcPr>
          <w:p>
            <w:pPr>
              <w:spacing w:line="480" w:lineRule="auto"/>
              <w:tabs>
                <w:tab w:val="left" w:pos="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744" w:type="dxa"/>
            <w:vAlign w:val="center"/>
            <w:textDirection w:val="lrTb"/>
            <w:noWrap w:val="false"/>
          </w:tcPr>
          <w:p>
            <w:pPr>
              <w:spacing w:line="480" w:lineRule="auto"/>
              <w:tabs>
                <w:tab w:val="left" w:pos="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23"/>
        </w:trPr>
        <w:tc>
          <w:tcPr>
            <w:tcW w:w="4872" w:type="dxa"/>
            <w:vAlign w:val="center"/>
            <w:textDirection w:val="lrTb"/>
            <w:noWrap w:val="false"/>
          </w:tcPr>
          <w:p>
            <w:pPr>
              <w:spacing w:line="480" w:lineRule="auto"/>
              <w:tabs>
                <w:tab w:val="left" w:pos="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法定（授权）代表人（签字）：</w:t>
            </w:r>
            <w:r/>
          </w:p>
        </w:tc>
        <w:tc>
          <w:tcPr>
            <w:tcW w:w="4744" w:type="dxa"/>
            <w:vAlign w:val="center"/>
            <w:textDirection w:val="lrTb"/>
            <w:noWrap w:val="false"/>
          </w:tcPr>
          <w:p>
            <w:pPr>
              <w:spacing w:line="480" w:lineRule="auto"/>
              <w:tabs>
                <w:tab w:val="left" w:pos="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法定（授权）代表人（签字）：     </w:t>
            </w:r>
            <w:r/>
          </w:p>
        </w:tc>
      </w:tr>
      <w:tr>
        <w:trPr>
          <w:jc w:val="center"/>
          <w:trHeight w:val="23"/>
        </w:trPr>
        <w:tc>
          <w:tcPr>
            <w:tcW w:w="4872" w:type="dxa"/>
            <w:vAlign w:val="center"/>
            <w:textDirection w:val="lrTb"/>
            <w:noWrap w:val="false"/>
          </w:tcPr>
          <w:p>
            <w:pPr>
              <w:spacing w:line="480" w:lineRule="auto"/>
              <w:tabs>
                <w:tab w:val="left" w:pos="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744" w:type="dxa"/>
            <w:vAlign w:val="center"/>
            <w:textDirection w:val="lrTb"/>
            <w:noWrap w:val="false"/>
          </w:tcPr>
          <w:p>
            <w:pPr>
              <w:spacing w:line="480" w:lineRule="auto"/>
              <w:tabs>
                <w:tab w:val="left" w:pos="0" w:leader="none"/>
              </w:tabs>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bl>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jc w:val="center"/>
        <w:spacing w:line="360" w:lineRule="auto"/>
        <w:tabs>
          <w:tab w:val="left" w:pos="572" w:leader="none"/>
        </w:tabs>
        <w:rPr>
          <w:rFonts w:ascii="宋体" w:hAnsi="宋体" w:eastAsia="宋体" w:cs="楷体"/>
          <w:b/>
          <w:color w:val="auto"/>
          <w:szCs w:val="21"/>
          <w:highlight w:val="none"/>
        </w:rPr>
      </w:pPr>
      <w:r>
        <w:rPr>
          <w:rFonts w:hint="eastAsia" w:ascii="宋体" w:hAnsi="宋体" w:eastAsia="宋体" w:cs="楷体"/>
          <w:b/>
          <w:color w:val="auto"/>
          <w:szCs w:val="21"/>
          <w:highlight w:val="none"/>
        </w:rPr>
        <w:t xml:space="preserve">附件一：《考核标准》</w:t>
      </w:r>
      <w:r/>
    </w:p>
    <w:tbl>
      <w:tblPr>
        <w:tblStyle w:val="1115"/>
        <w:tblW w:w="8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4280"/>
        <w:gridCol w:w="2409"/>
        <w:gridCol w:w="851"/>
      </w:tblGrid>
      <w:tr>
        <w:trPr>
          <w:jc w:val="center"/>
          <w:trHeight w:val="454"/>
          <w:tblHeader/>
        </w:trPr>
        <w:tc>
          <w:tcPr>
            <w:gridSpan w:val="2"/>
            <w:tcW w:w="5273"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检查考核项目</w:t>
            </w:r>
            <w:r/>
          </w:p>
        </w:tc>
        <w:tc>
          <w:tcPr>
            <w:tcW w:w="2409"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扣分标准（扣分累计）</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基本分</w:t>
            </w:r>
            <w:r/>
          </w:p>
        </w:tc>
      </w:tr>
      <w:tr>
        <w:trPr>
          <w:jc w:val="center"/>
          <w:trHeight w:val="454"/>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厨房间环境卫生</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1、地面、下水道、明沟积有污水、污物</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2、墙壁、门窗、天花板有积尘、油污、蜘蛛网和涂层脱落</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3、有关设备、设施、用具没有保持卫生清洁</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4、厨房内垃圾桶没有及时加盖</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5、地面、灶台、厨具卫生保洁没有按规定每天定时清洗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6、冷库没有按要求做到专人负责保管、使用及定时清洗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7、无关人员进入厨房间</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粗加工、配菜、烹调卫生</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1、荤、素食品没有按要求做到分池（定位）清洗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2、清洗后的食品接触地面</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3、加工生、熟食品的刀、砧板及盛器没有分开</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4、配菜没有做到科学合理色、香、味俱全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5、食物加工未熟的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6、菜肴里或汤里、米饭里发现有杂物</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7、各种盛调味品的容器没有按要求做到及时定期清洗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8、每天配菜的数量不满足就餐人数需求</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9、要提倡节约不浪费，发现无故浪费</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10、食堂没有按规定要求建立卫生台帐</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个人卫生及要求</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1、员工的健康证和卫生知识培训合格证没有在有效期内，发现过期还在使用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989"/>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2、要求定期对员工进行培训，新上岗的员工要求做到先培训后上岗，发现未经培训直接上岗</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3、员工上班时间不能留长指甲、涂指甲油、戴戒指，经检查发现存在问题</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4、员工上班时间没有按要求穿戴工作服、衣帽、穿戴不整洁或穿拖鞋上班</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5、员工戴的工作帽没有按要求遮盖全部头发</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6、发现上班时间工作人员在工作区内吸烟、吃零食</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7、售饭菜时员工未按要求戴一次性手套及一次性口罩的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8、当班时串岗或擅自离岗的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9、工作时间看小说、杂志、打电话聊天，擅自换班、调班</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10、检查发现人数未按投标书承诺到岗的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11、食堂工作人员将就餐人员遗失在餐厅的物品占为己有的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12、主管及员工的职责、制度没有上墙，没有严格按照职责、制度规定办事</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13、违反操作规程，故意损坏公共财物设备、工具造成经济损失的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服务以及菜肴质量</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1、服务人员未能做到热情周到，微笑服务，语言规范，文明礼貌</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2、餐台没有保持整洁卫生，饭菜供应、碗筷补充不及时</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3分</w:t>
            </w:r>
            <w:r/>
          </w:p>
        </w:tc>
      </w:tr>
      <w:tr>
        <w:trPr>
          <w:jc w:val="center"/>
          <w:trHeight w:val="91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jc w:val="left"/>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3、就餐期间服务人员没有做好巡查，没有及时打扫餐桌和补充桌上调料、牙签、餐巾纸等</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4、没有全程控制菜肴主、辅料及制作过程安全卫生，因食物引起不良反应</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5、菜肴不新鲜，色泽、口味不好，有过期及腐烂变质的食物</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947"/>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6、菜肴花色没有及时更新，一周内出现3次以上完全相同品种菜肴；没有根据季节调整菜肴</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食品贮存</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1、食品出入库未按要求由专人负责验收、登记的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2、如验收时发现食品质量有问题或超过保质期，没有及时反映或隐瞒</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3、使用超过保质期的食品的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4、库房内食品没有做到分类、分架、离地、离墙整齐堆放</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5、将食品与有毒有害物品存放在同一场所的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6、冰箱、冰柜内食品生熟混放</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7、冰箱、冰柜没有正常运转，造成食品腐烂，造成损失的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8、仓库、原材料、食材未按规定专人负责保管，建立台帐报表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餐具、餐厅卫生</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1、餐具使用前没有做好清洗、消毒工作，直接使用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2、清洗、消毒餐具的水及水池与其它混用的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3、消毒后的餐饮具没按要求存放在保洁柜里的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4、保洁柜没有保持清洁，或堆放其它杂物</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5、放餐饮具的保洁柜没有及时关门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6、用餐环境没有保持清洁、卫生，有异味、苍蝇、蚊虫，天花板有蜘蛛网</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7、餐桌上摆放的餐饮用具不清洁光亮，有污迹</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8、餐桌没有随时打扫、清理</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454"/>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9、备餐柜内不卫生，有异味、有杂物的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10、餐桌上摆放的调味品没有根据用量要求定期更换、清理</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11、盛放筷子、汤勺的容器不清洁卫生，有油污</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12、发现快餐盘、碗、筷子、汤勺等上面有油污、杂物的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发现一次扣0.2分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restart"/>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节能管理</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1、完成所承担服务区域的全年节电、节水、节气等节能指标</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一项未达标扣1分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2、制订年度工作目标，工作计划、具体实施方案</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缺一项扣0.5分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1分</w:t>
            </w:r>
            <w:r/>
          </w:p>
        </w:tc>
      </w:tr>
      <w:tr>
        <w:trPr>
          <w:jc w:val="center"/>
          <w:trHeight w:val="1003"/>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3、加强节能管理，制定实施切实可行的节能措施，提高用能效率，促进节能规定落到实处</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措施落实不到位酌情况予以扣分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989"/>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4、提出技改方案，协助采购单位做好各项节能项目的改造，并完成技改前后能耗对比图表</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缺一项扣0.5分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680"/>
        </w:trPr>
        <w:tc>
          <w:tcPr>
            <w:tcW w:w="993" w:type="dxa"/>
            <w:vAlign w:val="center"/>
            <w:vMerge w:val="continue"/>
            <w:textDirection w:val="lrTb"/>
            <w:noWrap w:val="false"/>
          </w:tcPr>
          <w:p>
            <w:pPr>
              <w:rPr>
                <w:rFonts w:ascii="宋体" w:hAnsi="宋体" w:eastAsia="宋体" w:cs="楷体"/>
                <w:color w:val="auto"/>
                <w:szCs w:val="21"/>
                <w:highlight w:val="none"/>
              </w:rPr>
            </w:pPr>
            <w:r>
              <w:rPr>
                <w:rFonts w:ascii="宋体" w:hAnsi="宋体" w:eastAsia="宋体" w:cs="楷体"/>
                <w:color w:val="auto"/>
                <w:szCs w:val="21"/>
                <w:highlight w:val="none"/>
              </w:rPr>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5、每周不少于4次的节能巡查，及时做好巡查记录；不定期抽查</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缺一次扣0.2分</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2分</w:t>
            </w:r>
            <w:r/>
          </w:p>
        </w:tc>
      </w:tr>
      <w:tr>
        <w:trPr>
          <w:jc w:val="center"/>
          <w:trHeight w:val="3962"/>
        </w:trPr>
        <w:tc>
          <w:tcPr>
            <w:tcW w:w="993"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其他</w:t>
            </w:r>
            <w:r/>
          </w:p>
        </w:tc>
        <w:tc>
          <w:tcPr>
            <w:tcW w:w="4280"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认真做好食品卫生保障工作，确保早餐、中餐、接待餐等的安全卫生。</w:t>
            </w:r>
            <w:r/>
          </w:p>
        </w:tc>
        <w:tc>
          <w:tcPr>
            <w:tcW w:w="2409" w:type="dxa"/>
            <w:vAlign w:val="center"/>
            <w:textDirection w:val="lrTb"/>
            <w:noWrap w:val="false"/>
          </w:tcPr>
          <w:p>
            <w:pP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如出现食品安全卫生问题的，情节轻微的按每起5000元承担违约责任，并扣3分；出现食品中毒等严重食品安全卫生问题的按20万元的标准承担违约责任，造成严重后果及社会影响的，采购单位有权无条件解除与中标单位所签订的服务合同。（上述承担违约责任的费用采购单位直接从服务费中扣除）</w:t>
            </w:r>
            <w:r/>
          </w:p>
        </w:tc>
        <w:tc>
          <w:tcPr>
            <w:tcW w:w="851" w:type="dxa"/>
            <w:vAlign w:val="center"/>
            <w:textDirection w:val="lrTb"/>
            <w:noWrap w:val="false"/>
          </w:tcPr>
          <w:p>
            <w:pPr>
              <w:jc w:val="center"/>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无</w:t>
            </w:r>
            <w:r/>
          </w:p>
        </w:tc>
      </w:tr>
    </w:tbl>
    <w:p>
      <w:pPr>
        <w:rPr>
          <w:rFonts w:hint="eastAsia"/>
          <w:color w:val="auto"/>
          <w:highlight w:val="none"/>
        </w:rPr>
      </w:pPr>
      <w:r>
        <w:rPr>
          <w:rFonts w:hint="eastAsia"/>
          <w:color w:val="auto"/>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hint="eastAsia" w:ascii="宋体" w:hAnsi="宋体" w:eastAsia="宋体" w:cs="楷体"/>
          <w:b/>
          <w:bCs/>
          <w:color w:val="auto"/>
          <w:szCs w:val="21"/>
          <w:highlight w:val="none"/>
        </w:rPr>
      </w:pPr>
      <w:r>
        <w:rPr>
          <w:rFonts w:hint="eastAsia" w:ascii="宋体" w:hAnsi="宋体" w:eastAsia="宋体" w:cs="楷体"/>
          <w:b/>
          <w:bCs/>
          <w:color w:val="auto"/>
          <w:szCs w:val="21"/>
          <w:highlight w:val="none"/>
        </w:rPr>
      </w:r>
      <w:r/>
    </w:p>
    <w:p>
      <w:pPr>
        <w:jc w:val="center"/>
        <w:spacing w:line="360" w:lineRule="auto"/>
        <w:tabs>
          <w:tab w:val="left" w:pos="572" w:leader="none"/>
        </w:tabs>
        <w:rPr>
          <w:rFonts w:ascii="宋体" w:hAnsi="宋体" w:eastAsia="宋体" w:cs="楷体"/>
          <w:b/>
          <w:color w:val="auto"/>
          <w:szCs w:val="21"/>
          <w:highlight w:val="none"/>
        </w:rPr>
      </w:pPr>
      <w:r>
        <w:rPr>
          <w:rFonts w:hint="eastAsia" w:ascii="宋体" w:hAnsi="宋体" w:eastAsia="宋体" w:cs="楷体"/>
          <w:b/>
          <w:bCs/>
          <w:color w:val="auto"/>
          <w:szCs w:val="21"/>
          <w:highlight w:val="none"/>
        </w:rPr>
        <w:t xml:space="preserve">附件二：</w:t>
      </w:r>
      <w:r>
        <w:rPr>
          <w:rFonts w:hint="eastAsia" w:ascii="宋体" w:hAnsi="宋体" w:eastAsia="宋体" w:cs="楷体"/>
          <w:b/>
          <w:color w:val="auto"/>
          <w:szCs w:val="21"/>
          <w:highlight w:val="none"/>
        </w:rPr>
        <w:t xml:space="preserve">食品安全要求</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所有主副食品和材料均由经营者自行采购，但必须确保质量，批量物品诸如食用油、食盐、鸡、肉、蛋、鱼、冷冻食品等必须提供供货商三证复印件（即营业执照、卫生许可证、法定代表人身份证）并交由采购方备案。</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1、猪肉类：要求必须是放心肉，交货时需配有动物卫生检疫及屠宰证明，去除筋杂物，肉质鲜嫩，不注水，符合食品卫生要求；</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2、牛肉类：要求有动物卫生检疫及屠宰证明，去除牛筋杂物，肉质鲜嫩，不注水。</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3、鸡鸭类：需配有动物卫生检疫证明，表皮光滑，新鲜肥嫩，无内脏，不打水。</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4、冷冻品类：需有出厂日期、保质期，品质要优良，包装过关，无掺假。</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5、禽蛋类：要新鲜，符合食品卫生要求。</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6、蔬菜类：新鲜嫩绿，无黄叶，无菜虫，必须通过农药残留成分测试，蔬菜不带根，不带泥。</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7、油类：不得采购来源不明和周转桶装植物油。</w:t>
      </w:r>
      <w:r/>
    </w:p>
    <w:p>
      <w:pPr>
        <w:ind w:firstLine="420"/>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8、米面制品：需有商标牌号，厂家三证、检验报告、生产日期。保证大米质量，无砂石，无虫，无黑色杂物的品种；</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9、早点类：新鲜，保温，单个品种规格相同，数量充足。</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10、鲜鱼类：必须生猛鲜活，过称后杀鱼,鱼鳞刮净,去除内脏、鱼腮，肉质新鲜。</w:t>
      </w:r>
      <w:r/>
    </w:p>
    <w:p>
      <w:pPr>
        <w:ind w:firstLine="315"/>
        <w:spacing w:line="360" w:lineRule="auto"/>
        <w:tabs>
          <w:tab w:val="left" w:pos="572" w:leader="none"/>
        </w:tabs>
        <w:rPr>
          <w:rFonts w:hint="eastAsia" w:ascii="宋体" w:hAnsi="宋体" w:eastAsia="宋体" w:cs="楷体"/>
          <w:color w:val="auto"/>
          <w:szCs w:val="21"/>
          <w:highlight w:val="none"/>
          <w:lang w:eastAsia="zh-CN"/>
        </w:rPr>
      </w:pPr>
      <w:r>
        <w:rPr>
          <w:rFonts w:hint="eastAsia" w:ascii="宋体" w:hAnsi="宋体" w:eastAsia="宋体" w:cs="楷体"/>
          <w:color w:val="auto"/>
          <w:szCs w:val="21"/>
          <w:highlight w:val="none"/>
        </w:rPr>
        <w:t xml:space="preserve"> 11、半成品：需提供可靠来源，并必须持有卫生许可证、营业执照等合法证。</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12、副食酱料：正规知名厂家或其代理商，需有商标牌号，需注明生产日期、产地、保质期，包装规格等。</w:t>
      </w:r>
      <w:r/>
    </w:p>
    <w:p>
      <w:pPr>
        <w:ind w:firstLine="315"/>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 13、箱装货：要新鲜，符合食品卫生要求。 </w:t>
      </w:r>
      <w:r/>
    </w:p>
    <w:p>
      <w:pPr>
        <w:jc w:val="left"/>
        <w:widowControl/>
        <w:rPr>
          <w:rFonts w:ascii="宋体" w:hAnsi="宋体" w:eastAsia="宋体" w:cs="楷体"/>
          <w:b/>
          <w:color w:val="auto"/>
          <w:szCs w:val="21"/>
          <w:highlight w:val="none"/>
        </w:rPr>
      </w:pPr>
      <w:r>
        <w:rPr>
          <w:rFonts w:ascii="宋体" w:hAnsi="宋体" w:eastAsia="宋体" w:cs="楷体"/>
          <w:b/>
          <w:color w:val="auto"/>
          <w:szCs w:val="21"/>
          <w:highlight w:val="none"/>
        </w:rPr>
        <w:br w:type="page" w:clear="all"/>
      </w:r>
      <w:r/>
    </w:p>
    <w:p>
      <w:pPr>
        <w:jc w:val="center"/>
        <w:spacing w:line="360" w:lineRule="auto"/>
        <w:tabs>
          <w:tab w:val="left" w:pos="572" w:leader="none"/>
        </w:tabs>
        <w:rPr>
          <w:rFonts w:ascii="宋体" w:hAnsi="宋体" w:eastAsia="宋体" w:cs="楷体"/>
          <w:b/>
          <w:color w:val="auto"/>
          <w:szCs w:val="21"/>
          <w:highlight w:val="none"/>
        </w:rPr>
      </w:pPr>
      <w:r>
        <w:rPr>
          <w:rFonts w:hint="eastAsia" w:ascii="宋体" w:hAnsi="宋体" w:eastAsia="宋体" w:cs="楷体"/>
          <w:b/>
          <w:color w:val="auto"/>
          <w:szCs w:val="21"/>
          <w:highlight w:val="none"/>
        </w:rPr>
        <w:t xml:space="preserve">附件三</w:t>
      </w:r>
      <w:r>
        <w:rPr>
          <w:rFonts w:hint="eastAsia" w:ascii="宋体" w:hAnsi="宋体" w:eastAsia="宋体" w:cs="楷体"/>
          <w:bCs/>
          <w:color w:val="auto"/>
          <w:szCs w:val="21"/>
          <w:highlight w:val="none"/>
        </w:rPr>
        <w:t xml:space="preserve">：</w:t>
      </w:r>
      <w:r>
        <w:rPr>
          <w:rFonts w:hint="eastAsia" w:ascii="宋体" w:hAnsi="宋体" w:eastAsia="宋体" w:cs="楷体"/>
          <w:b/>
          <w:color w:val="auto"/>
          <w:szCs w:val="21"/>
          <w:highlight w:val="none"/>
        </w:rPr>
        <w:t xml:space="preserve">责任处罚</w:t>
      </w:r>
      <w:r/>
    </w:p>
    <w:p>
      <w:pPr>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（一）卫生方面</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1、无证（健康证、工作牌）上岗每人次处罚500元；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2、使用三无包装产品</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购进每次处罚500元；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加工使用每次处罚500元；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向客户销售每次处罚500元；以上均并处没收或销毁该产品。</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3、过期或变质产品</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购进每次处罚500元；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保管过程中造成，但没有及时销毁每次处罚500元；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加工使用每次处罚500元；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向客户销售每次处罚500元，以上均并处没收或销毁该产品。</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4、除采购方管理人员外，进入食品加工、销售区域人员不穿戴工作衣帽、口罩或不正确穿戴的，每次处罚500元。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5、生熟食品盛装器皿不分开，食品混放每次处罚500元。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6、前餐剩余的食品必须按照要求妥善保管，加盖加罩必须使用保鲜膜，否则每次处罚500元。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7、前餐剩余的食品必须彻底加热，凡不加热或加热不彻底销售的每次处罚500元。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8、凡荤菜类或清洗完毕的菜肴放置于地面及菜肴没有清洗干净的每次处罚500元；因菜肴未洗干净造成严重后果的，视情节严重给予处罚。</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9加工、制作、销售的小包装食品必须加贴生产日期，并且全部当天销售完毕或未售的进行销毁，否则每次处罚500元。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10、加工成熟的热菜不加盖任何隔离，直接敞口存放的每次处罚500元。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11、违法使用色素等添加剂加工食品每次处罚1000元。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12、食品及原材料应使用无色食品袋盛装，凡使用有色食品袋盛放食品，每次处罚500元。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13、凡发现餐具没洗干净，或餐具有异味、霉斑每次处罚500元，餐具未按照规定消毒或没有消毒记录每次处罚500元。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14、食品中发现有头发、苍蝇等异物的，经确认是操作过程中造成的，每次处罚500元。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15、在食品加工或销售间吸烟（发现烟头视为吸烟）每次处罚500元；边操作边吸烟每次处罚1000元。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16、禁止销售夹生饭每次处罚500元。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17、食品加工或销售间物品摆放整齐，无私人物品。操作台及地面干净整齐，否则每次处罚500元。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18、凡造成食物中毒事故的服务单位除承担一切民事（含经济赔偿）、刑事责任外，还</w:t>
      </w:r>
      <w:r>
        <w:rPr>
          <w:rFonts w:hint="eastAsia" w:ascii="宋体" w:hAnsi="宋体" w:eastAsia="宋体" w:cs="楷体"/>
          <w:color w:val="auto"/>
          <w:szCs w:val="21"/>
          <w:highlight w:val="none"/>
          <w:lang w:val="en-US" w:eastAsia="zh-CN"/>
        </w:rPr>
        <w:t xml:space="preserve">将</w:t>
      </w:r>
      <w:r>
        <w:rPr>
          <w:rFonts w:hint="eastAsia" w:ascii="宋体" w:hAnsi="宋体" w:eastAsia="宋体" w:cs="楷体"/>
          <w:color w:val="auto"/>
          <w:szCs w:val="21"/>
          <w:highlight w:val="none"/>
        </w:rPr>
        <w:t xml:space="preserve">终止协议。</w:t>
      </w:r>
      <w:r/>
    </w:p>
    <w:p>
      <w:pPr>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（二）价格方面</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1、严格执行采购方的菜品价格指导意见，未经允许擅自涨价行为的，发现一次处罚1000-3000元，并限令立即整改，拒不改正的将被扣除</w:t>
      </w:r>
      <w:r>
        <w:rPr>
          <w:rFonts w:hint="eastAsia" w:ascii="宋体" w:hAnsi="宋体" w:eastAsia="宋体" w:cs="楷体"/>
          <w:color w:val="auto"/>
          <w:szCs w:val="21"/>
          <w:highlight w:val="none"/>
          <w:lang w:val="en-US" w:eastAsia="zh-CN"/>
        </w:rPr>
        <w:t xml:space="preserve">应付未付款项</w:t>
      </w:r>
      <w:r>
        <w:rPr>
          <w:rFonts w:hint="eastAsia" w:ascii="宋体" w:hAnsi="宋体" w:eastAsia="宋体" w:cs="楷体"/>
          <w:color w:val="auto"/>
          <w:szCs w:val="21"/>
          <w:highlight w:val="none"/>
        </w:rPr>
        <w:t xml:space="preserve">，并终止协议。</w:t>
      </w:r>
      <w:bookmarkStart w:id="44" w:name="_GoBack"/>
      <w:r/>
      <w:bookmarkEnd w:id="44"/>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2、每日菜价必须放在醒目位置张贴公示，否则每次处罚1000元。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3、严禁现金经营，并进行处罚，第一次处罚1000元，第二次处罚2000元，第三次处罚4000元，3次以上视为违约，甲方可终止协议。</w:t>
      </w:r>
      <w:r/>
    </w:p>
    <w:p>
      <w:pPr>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（三）安全方面</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1、非食堂工作人员不得进入食堂食品加工和销售间（采购方相关管理人员除外），维修人员以及上级着便装检查必须在食堂负责人的许可后方可进入，否则每次处罚500元。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2、食堂后门在非进出货品时必须上锁或反锁，否则每次处罚500元。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3、中午和餐休息时大厅必须安排专人值班并不得串岗，售餐门窗必须关闭，确保外人不得进入食堂后场，否则每次处罚500元。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4、水、电、燃气、蒸汽必须规范操作，安全使用，否则每次处罚1000元；凡是违规操作导致一切后果均由使用单位负责，私拆电源控制开关每次处罚1000元。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5、食堂经营方要对经营场所的消防负责，擅自挪用、移动、损坏设施及违反其他消防安全规定的，处于500-2000元的罚款，造成严重后果的按照相关法律追究相应责任。</w:t>
      </w:r>
      <w:r/>
    </w:p>
    <w:p>
      <w:pPr>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（四）经营服务方面</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1、经营者在食品质量、卫生、安全、经营方向上要严格服从采购方统一要求，对违法、违反规定行为予以处罚1000-5000元，如经营者不配合检查的以及整改不力的视情节严重，采购方有权终止协议。</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2、食堂服务人员必须礼貌待人，被客户投诉一次处罚1000元，同一人员被举报/投诉两次的处罚2000元，三次责令经营单位将该员工调离现岗位。</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3、食堂内部包干区的卫生，须保持整洁、干净，否则每次处罚1000-2000元。</w:t>
      </w:r>
      <w:r/>
    </w:p>
    <w:p>
      <w:pPr>
        <w:ind w:firstLine="420"/>
        <w:jc w:val="left"/>
        <w:spacing w:line="360" w:lineRule="auto"/>
        <w:tabs>
          <w:tab w:val="left" w:pos="572" w:leader="none"/>
        </w:tabs>
        <w:rPr>
          <w:rFonts w:ascii="宋体" w:hAnsi="宋体" w:eastAsia="宋体" w:cs="楷体"/>
          <w:color w:val="auto"/>
          <w:szCs w:val="21"/>
          <w:highlight w:val="none"/>
        </w:rPr>
      </w:pPr>
      <w:r>
        <w:rPr>
          <w:rFonts w:hint="eastAsia" w:ascii="宋体" w:hAnsi="宋体" w:eastAsia="宋体" w:cs="楷体"/>
          <w:color w:val="auto"/>
          <w:szCs w:val="21"/>
          <w:highlight w:val="none"/>
        </w:rPr>
        <w:t xml:space="preserve">4、服从采购方管理，对采购方的相关制度、决定必须认真贯彻执行，凡不配合、不执行的每次处罚1000元。</w:t>
      </w:r>
      <w:r/>
    </w:p>
    <w:p>
      <w:pPr>
        <w:ind w:firstLine="420"/>
        <w:jc w:val="left"/>
        <w:spacing w:line="360" w:lineRule="auto"/>
        <w:tabs>
          <w:tab w:val="left" w:pos="572" w:leader="none"/>
        </w:tabs>
        <w:rPr>
          <w:rFonts w:ascii="宋体" w:hAnsi="宋体" w:eastAsia="宋体" w:cs="楷体"/>
          <w:b/>
          <w:bCs/>
          <w:color w:val="auto"/>
          <w:szCs w:val="21"/>
          <w:highlight w:val="none"/>
        </w:rPr>
      </w:pPr>
      <w:r>
        <w:rPr>
          <w:rFonts w:hint="eastAsia" w:ascii="宋体" w:hAnsi="宋体" w:eastAsia="宋体" w:cs="楷体"/>
          <w:color w:val="auto"/>
          <w:szCs w:val="21"/>
          <w:highlight w:val="none"/>
        </w:rPr>
        <w:t xml:space="preserve">以上涉及到罚款不需经营方签字，直接由采购方开处罚单，并从合同总价中扣除。</w:t>
      </w:r>
      <w:r/>
    </w:p>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t xml:space="preserve">（全文完）</w:t>
      </w:r>
      <w:r/>
    </w:p>
    <w:p>
      <w:pPr>
        <w:pStyle w:val="1309"/>
        <w:jc w:val="right"/>
        <w:rPr>
          <w:rFonts w:hint="eastAsia"/>
          <w:color w:val="auto"/>
          <w:sz w:val="24"/>
          <w:szCs w:val="22"/>
          <w:highlight w:val="none"/>
        </w:rPr>
      </w:pPr>
      <w:r>
        <w:rPr>
          <w:rFonts w:hint="eastAsia"/>
          <w:color w:val="auto"/>
          <w:sz w:val="24"/>
          <w:szCs w:val="22"/>
          <w:highlight w:val="none"/>
        </w:rPr>
      </w:r>
      <w:r/>
    </w:p>
    <w:sectPr>
      <w:footerReference w:type="default" r:id="rId18"/>
      <w:footerReference w:type="first" r:id="rId19"/>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仿宋">
    <w:panose1 w:val="02010609060101010101"/>
  </w:font>
  <w:font w:name="方正楷体_GB2312">
    <w:panose1 w:val="020B0503020202020204"/>
  </w:font>
  <w:font w:name="等线">
    <w:panose1 w:val="02010600030101010101"/>
  </w:font>
  <w:font w:name="?|??????">
    <w:panose1 w:val="020B0503020202020204"/>
  </w:font>
  <w:font w:name="Courier New">
    <w:panose1 w:val="02070309020205020404"/>
  </w:font>
  <w:font w:name="楷体_GB2312">
    <w:panose1 w:val="02010609060101010101"/>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widowControl w:val="off"/>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1145"/>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1145"/>
        <w:rFonts w:ascii="宋体" w:hAnsi="宋体" w:eastAsia="宋体" w:cs="Times New Roman"/>
        <w:sz w:val="24"/>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8"/>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8"/>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8"/>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8"/>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8"/>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jc w:val="center"/>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jc w:val="center"/>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jc w:val="center"/>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jc w:val="center"/>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jc w:val="center"/>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jc w:val="center"/>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jc w:val="center"/>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jc w:val="center"/>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4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427"/>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1303"/>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5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465"/>
      <w:isLgl w:val="false"/>
      <w:suff w:val="space"/>
      <w:lvlText w:val="第%1章"/>
      <w:lvlJc w:val="left"/>
      <w:pPr>
        <w:ind w:left="5807" w:hanging="420"/>
      </w:pPr>
      <w:rPr>
        <w:rFonts w:hint="eastAsia"/>
      </w:rPr>
    </w:lvl>
    <w:lvl w:ilvl="1">
      <w:start w:val="1"/>
      <w:numFmt w:val="decimal"/>
      <w:pStyle w:val="1467"/>
      <w:isLgl w:val="false"/>
      <w:suff w:val="space"/>
      <w:lvlText w:val="%1.%2"/>
      <w:lvlJc w:val="left"/>
      <w:pPr>
        <w:ind w:left="840" w:hanging="840"/>
      </w:pPr>
      <w:rPr>
        <w:rFonts w:hint="eastAsia"/>
      </w:rPr>
    </w:lvl>
    <w:lvl w:ilvl="2">
      <w:start w:val="1"/>
      <w:numFmt w:val="decimal"/>
      <w:pStyle w:val="1439"/>
      <w:isLgl w:val="false"/>
      <w:suff w:val="space"/>
      <w:lvlText w:val="%1.%2.%3"/>
      <w:lvlJc w:val="left"/>
      <w:pPr>
        <w:ind w:left="2948" w:hanging="680"/>
      </w:pPr>
      <w:rPr>
        <w:rFonts w:ascii="宋体" w:hAnsi="宋体" w:eastAsia="宋体" w:cs="Times New Roman"/>
        <w:b w:val="0"/>
      </w:rPr>
    </w:lvl>
    <w:lvl w:ilvl="3">
      <w:start w:val="1"/>
      <w:numFmt w:val="decimal"/>
      <w:pStyle w:val="1448"/>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9">
    <w:multiLevelType w:val="hybridMultilevel"/>
    <w:lvl w:ilvl="0">
      <w:start w:val="5"/>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7"/>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4" w:default="1">
    <w:name w:val="Normal"/>
    <w:link w:val="1424"/>
    <w:uiPriority w:val="0"/>
    <w:qFormat/>
    <w:pPr>
      <w:jc w:val="both"/>
      <w:widowControl w:val="off"/>
    </w:pPr>
    <w:rPr>
      <w:rFonts w:hint="default" w:ascii="Times New Roman" w:hAnsi="Times New Roman" w:eastAsia="宋体" w:cs="Times New Roman"/>
      <w:sz w:val="21"/>
      <w:lang w:val="en-US" w:eastAsia="zh-CN" w:bidi="ar-SA"/>
    </w:rPr>
  </w:style>
  <w:style w:type="paragraph" w:styleId="1105">
    <w:name w:val="Heading 1"/>
    <w:basedOn w:val="1104"/>
    <w:next w:val="1104"/>
    <w:link w:val="1150"/>
    <w:uiPriority w:val="9"/>
    <w:qFormat/>
    <w:pPr>
      <w:keepLines/>
      <w:keepNext/>
      <w:spacing w:before="480" w:after="200"/>
      <w:outlineLvl w:val="0"/>
    </w:pPr>
    <w:rPr>
      <w:rFonts w:ascii="Arial" w:hAnsi="Arial" w:eastAsia="Arial" w:cs="Arial"/>
      <w:sz w:val="40"/>
      <w:szCs w:val="40"/>
    </w:rPr>
  </w:style>
  <w:style w:type="paragraph" w:styleId="1106">
    <w:name w:val="Heading 2"/>
    <w:basedOn w:val="1104"/>
    <w:next w:val="1104"/>
    <w:link w:val="1151"/>
    <w:uiPriority w:val="9"/>
    <w:unhideWhenUsed/>
    <w:qFormat/>
    <w:pPr>
      <w:keepLines/>
      <w:keepNext/>
      <w:spacing w:before="360" w:after="200"/>
      <w:outlineLvl w:val="1"/>
    </w:pPr>
    <w:rPr>
      <w:rFonts w:ascii="Arial" w:hAnsi="Arial" w:eastAsia="Arial" w:cs="Arial"/>
      <w:sz w:val="34"/>
    </w:rPr>
  </w:style>
  <w:style w:type="paragraph" w:styleId="1107">
    <w:name w:val="Heading 3"/>
    <w:basedOn w:val="1104"/>
    <w:next w:val="1104"/>
    <w:link w:val="1152"/>
    <w:uiPriority w:val="9"/>
    <w:unhideWhenUsed/>
    <w:qFormat/>
    <w:pPr>
      <w:keepLines/>
      <w:keepNext/>
      <w:spacing w:before="320" w:after="200"/>
      <w:outlineLvl w:val="2"/>
    </w:pPr>
    <w:rPr>
      <w:rFonts w:ascii="Arial" w:hAnsi="Arial" w:eastAsia="Arial" w:cs="Arial"/>
      <w:sz w:val="30"/>
      <w:szCs w:val="30"/>
    </w:rPr>
  </w:style>
  <w:style w:type="paragraph" w:styleId="1108">
    <w:name w:val="Heading 4"/>
    <w:basedOn w:val="1104"/>
    <w:next w:val="1104"/>
    <w:link w:val="1153"/>
    <w:uiPriority w:val="9"/>
    <w:unhideWhenUsed/>
    <w:qFormat/>
    <w:pPr>
      <w:keepLines/>
      <w:keepNext/>
      <w:spacing w:before="320" w:after="200"/>
      <w:outlineLvl w:val="3"/>
    </w:pPr>
    <w:rPr>
      <w:rFonts w:ascii="Arial" w:hAnsi="Arial" w:eastAsia="Arial" w:cs="Arial"/>
      <w:b/>
      <w:bCs/>
      <w:sz w:val="26"/>
      <w:szCs w:val="26"/>
    </w:rPr>
  </w:style>
  <w:style w:type="paragraph" w:styleId="1109">
    <w:name w:val="Heading 5"/>
    <w:basedOn w:val="1104"/>
    <w:next w:val="1104"/>
    <w:link w:val="1154"/>
    <w:uiPriority w:val="9"/>
    <w:unhideWhenUsed/>
    <w:qFormat/>
    <w:pPr>
      <w:keepLines/>
      <w:keepNext/>
      <w:spacing w:before="320" w:after="200"/>
      <w:outlineLvl w:val="4"/>
    </w:pPr>
    <w:rPr>
      <w:rFonts w:ascii="Arial" w:hAnsi="Arial" w:eastAsia="Arial" w:cs="Arial"/>
      <w:b/>
      <w:bCs/>
      <w:sz w:val="24"/>
      <w:szCs w:val="24"/>
    </w:rPr>
  </w:style>
  <w:style w:type="paragraph" w:styleId="1110">
    <w:name w:val="Heading 6"/>
    <w:basedOn w:val="1104"/>
    <w:next w:val="1104"/>
    <w:link w:val="1155"/>
    <w:uiPriority w:val="9"/>
    <w:unhideWhenUsed/>
    <w:qFormat/>
    <w:pPr>
      <w:keepLines/>
      <w:keepNext/>
      <w:spacing w:before="320" w:after="200"/>
      <w:outlineLvl w:val="5"/>
    </w:pPr>
    <w:rPr>
      <w:rFonts w:ascii="Arial" w:hAnsi="Arial" w:eastAsia="Arial" w:cs="Arial"/>
      <w:b/>
      <w:bCs/>
      <w:sz w:val="22"/>
      <w:szCs w:val="22"/>
    </w:rPr>
  </w:style>
  <w:style w:type="paragraph" w:styleId="1111">
    <w:name w:val="Heading 7"/>
    <w:basedOn w:val="1104"/>
    <w:next w:val="1104"/>
    <w:link w:val="1156"/>
    <w:uiPriority w:val="9"/>
    <w:unhideWhenUsed/>
    <w:qFormat/>
    <w:pPr>
      <w:keepLines/>
      <w:keepNext/>
      <w:spacing w:before="320" w:after="200"/>
      <w:outlineLvl w:val="6"/>
    </w:pPr>
    <w:rPr>
      <w:rFonts w:ascii="Arial" w:hAnsi="Arial" w:eastAsia="Arial" w:cs="Arial"/>
      <w:b/>
      <w:bCs/>
      <w:i/>
      <w:iCs/>
      <w:sz w:val="22"/>
      <w:szCs w:val="22"/>
    </w:rPr>
  </w:style>
  <w:style w:type="paragraph" w:styleId="1112">
    <w:name w:val="Heading 8"/>
    <w:basedOn w:val="1104"/>
    <w:next w:val="1104"/>
    <w:link w:val="1157"/>
    <w:uiPriority w:val="9"/>
    <w:unhideWhenUsed/>
    <w:qFormat/>
    <w:pPr>
      <w:keepLines/>
      <w:keepNext/>
      <w:spacing w:before="320" w:after="200"/>
      <w:outlineLvl w:val="7"/>
    </w:pPr>
    <w:rPr>
      <w:rFonts w:ascii="Arial" w:hAnsi="Arial" w:eastAsia="Arial" w:cs="Arial"/>
      <w:i/>
      <w:iCs/>
      <w:sz w:val="22"/>
      <w:szCs w:val="22"/>
    </w:rPr>
  </w:style>
  <w:style w:type="paragraph" w:styleId="1113">
    <w:name w:val="Heading 9"/>
    <w:basedOn w:val="1104"/>
    <w:next w:val="1104"/>
    <w:link w:val="1158"/>
    <w:uiPriority w:val="9"/>
    <w:unhideWhenUsed/>
    <w:qFormat/>
    <w:pPr>
      <w:keepLines/>
      <w:keepNext/>
      <w:spacing w:before="320" w:after="200"/>
      <w:outlineLvl w:val="8"/>
    </w:pPr>
    <w:rPr>
      <w:rFonts w:ascii="Arial" w:hAnsi="Arial" w:eastAsia="Arial" w:cs="Arial"/>
      <w:i/>
      <w:iCs/>
      <w:sz w:val="21"/>
      <w:szCs w:val="21"/>
    </w:rPr>
  </w:style>
  <w:style w:type="character" w:styleId="1114" w:default="1">
    <w:name w:val="Default Paragraph Font"/>
    <w:uiPriority w:val="1"/>
    <w:semiHidden/>
    <w:unhideWhenUsed/>
    <w:qFormat/>
  </w:style>
  <w:style w:type="table" w:styleId="1115" w:default="1">
    <w:name w:val="Normal Table"/>
    <w:uiPriority w:val="99"/>
    <w:semiHidden/>
    <w:unhideWhenUsed/>
    <w:qFormat/>
    <w:tblPr>
      <w:tblCellMar>
        <w:left w:w="108" w:type="dxa"/>
        <w:top w:w="0" w:type="dxa"/>
        <w:right w:w="108" w:type="dxa"/>
        <w:bottom w:w="0" w:type="dxa"/>
      </w:tblCellMar>
    </w:tblPr>
  </w:style>
  <w:style w:type="paragraph" w:styleId="1116">
    <w:name w:val="toc 7"/>
    <w:basedOn w:val="1104"/>
    <w:next w:val="1104"/>
    <w:uiPriority w:val="39"/>
    <w:unhideWhenUsed/>
    <w:qFormat/>
    <w:pPr>
      <w:ind w:left="1701" w:right="0" w:firstLine="0"/>
      <w:spacing w:after="57"/>
    </w:pPr>
  </w:style>
  <w:style w:type="paragraph" w:styleId="1117">
    <w:name w:val="Normal Indent"/>
    <w:basedOn w:val="1104"/>
    <w:next w:val="1104"/>
    <w:uiPriority w:val="0"/>
    <w:qFormat/>
    <w:pPr>
      <w:ind w:firstLine="420"/>
    </w:pPr>
    <w:rPr>
      <w:szCs w:val="21"/>
    </w:rPr>
  </w:style>
  <w:style w:type="paragraph" w:styleId="1118">
    <w:name w:val="Caption"/>
    <w:basedOn w:val="1104"/>
    <w:next w:val="11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19">
    <w:name w:val="Document Map"/>
    <w:basedOn w:val="1104"/>
    <w:uiPriority w:val="0"/>
    <w:qFormat/>
    <w:pPr>
      <w:shd w:val="clear" w:color="auto" w:fill="000080"/>
    </w:pPr>
    <w:rPr>
      <w:rFonts w:asciiTheme="minorHAnsi" w:hAnsiTheme="minorHAnsi" w:eastAsiaTheme="minorEastAsia" w:cstheme="minorBidi"/>
    </w:rPr>
  </w:style>
  <w:style w:type="paragraph" w:styleId="1120">
    <w:name w:val="annotation text"/>
    <w:basedOn w:val="1104"/>
    <w:uiPriority w:val="99"/>
    <w:semiHidden/>
    <w:unhideWhenUsed/>
    <w:qFormat/>
    <w:pPr>
      <w:jc w:val="left"/>
    </w:pPr>
  </w:style>
  <w:style w:type="paragraph" w:styleId="1121">
    <w:name w:val="Body Text"/>
    <w:basedOn w:val="1104"/>
    <w:next w:val="1117"/>
    <w:uiPriority w:val="0"/>
    <w:qFormat/>
    <w:rPr>
      <w:rFonts w:ascii="楷体_GB2312" w:hAnsi="宋体" w:eastAsia="楷体_GB2312" w:cs="宋体"/>
      <w:sz w:val="28"/>
      <w:szCs w:val="28"/>
    </w:rPr>
  </w:style>
  <w:style w:type="paragraph" w:styleId="1122">
    <w:name w:val="Body Text Indent"/>
    <w:basedOn w:val="1104"/>
    <w:uiPriority w:val="0"/>
    <w:qFormat/>
    <w:pPr>
      <w:ind w:firstLine="574"/>
      <w:spacing w:line="312" w:lineRule="atLeast"/>
    </w:pPr>
    <w:rPr>
      <w:rFonts w:ascii="宋体"/>
      <w:sz w:val="28"/>
    </w:rPr>
  </w:style>
  <w:style w:type="paragraph" w:styleId="1123">
    <w:name w:val="toc 5"/>
    <w:basedOn w:val="1104"/>
    <w:next w:val="1104"/>
    <w:uiPriority w:val="39"/>
    <w:unhideWhenUsed/>
    <w:qFormat/>
    <w:pPr>
      <w:ind w:left="1134" w:right="0" w:firstLine="0"/>
      <w:spacing w:after="57"/>
    </w:pPr>
  </w:style>
  <w:style w:type="paragraph" w:styleId="1124">
    <w:name w:val="toc 3"/>
    <w:basedOn w:val="1104"/>
    <w:next w:val="1104"/>
    <w:uiPriority w:val="39"/>
    <w:unhideWhenUsed/>
    <w:qFormat/>
    <w:pPr>
      <w:ind w:left="567" w:right="0" w:firstLine="0"/>
      <w:spacing w:after="57"/>
    </w:pPr>
  </w:style>
  <w:style w:type="paragraph" w:styleId="1125">
    <w:name w:val="Plain Text"/>
    <w:basedOn w:val="1104"/>
    <w:link w:val="1407"/>
    <w:uiPriority w:val="0"/>
    <w:qFormat/>
    <w:rPr>
      <w:rFonts w:ascii="宋体" w:hAnsi="Courier New" w:eastAsia="楷体_GB2312"/>
      <w:sz w:val="26"/>
    </w:rPr>
  </w:style>
  <w:style w:type="paragraph" w:styleId="1126">
    <w:name w:val="toc 8"/>
    <w:basedOn w:val="1104"/>
    <w:next w:val="1104"/>
    <w:uiPriority w:val="39"/>
    <w:unhideWhenUsed/>
    <w:qFormat/>
    <w:pPr>
      <w:ind w:left="1984" w:right="0" w:firstLine="0"/>
      <w:spacing w:after="57"/>
    </w:pPr>
  </w:style>
  <w:style w:type="paragraph" w:styleId="1127">
    <w:name w:val="endnote text"/>
    <w:basedOn w:val="1104"/>
    <w:link w:val="1296"/>
    <w:uiPriority w:val="99"/>
    <w:semiHidden/>
    <w:unhideWhenUsed/>
    <w:qFormat/>
    <w:pPr>
      <w:spacing w:after="0" w:line="240" w:lineRule="auto"/>
    </w:pPr>
    <w:rPr>
      <w:sz w:val="20"/>
    </w:rPr>
  </w:style>
  <w:style w:type="paragraph" w:styleId="1128">
    <w:name w:val="Footer"/>
    <w:basedOn w:val="1104"/>
    <w:link w:val="1169"/>
    <w:uiPriority w:val="99"/>
    <w:unhideWhenUsed/>
    <w:qFormat/>
    <w:pPr>
      <w:spacing w:after="0" w:line="240" w:lineRule="auto"/>
      <w:tabs>
        <w:tab w:val="center" w:pos="7143" w:leader="none"/>
        <w:tab w:val="right" w:pos="14287" w:leader="none"/>
      </w:tabs>
    </w:pPr>
  </w:style>
  <w:style w:type="paragraph" w:styleId="1129">
    <w:name w:val="envelope return"/>
    <w:basedOn w:val="1104"/>
    <w:uiPriority w:val="0"/>
    <w:qFormat/>
    <w:rPr>
      <w:rFonts w:ascii="Arial" w:hAnsi="Arial" w:eastAsia="楷体_GB2312"/>
      <w:sz w:val="26"/>
    </w:rPr>
  </w:style>
  <w:style w:type="paragraph" w:styleId="1130">
    <w:name w:val="Header"/>
    <w:basedOn w:val="1104"/>
    <w:link w:val="1167"/>
    <w:uiPriority w:val="99"/>
    <w:unhideWhenUsed/>
    <w:qFormat/>
    <w:pPr>
      <w:spacing w:after="0" w:line="240" w:lineRule="auto"/>
      <w:tabs>
        <w:tab w:val="center" w:pos="7143" w:leader="none"/>
        <w:tab w:val="right" w:pos="14287" w:leader="none"/>
      </w:tabs>
    </w:pPr>
  </w:style>
  <w:style w:type="paragraph" w:styleId="1131">
    <w:name w:val="toc 1"/>
    <w:basedOn w:val="1104"/>
    <w:next w:val="1104"/>
    <w:uiPriority w:val="39"/>
    <w:unhideWhenUsed/>
    <w:qFormat/>
    <w:pPr>
      <w:ind w:left="0" w:right="0" w:firstLine="0"/>
      <w:spacing w:after="57"/>
    </w:pPr>
  </w:style>
  <w:style w:type="paragraph" w:styleId="1132">
    <w:name w:val="toc 4"/>
    <w:basedOn w:val="1104"/>
    <w:next w:val="1104"/>
    <w:uiPriority w:val="39"/>
    <w:unhideWhenUsed/>
    <w:qFormat/>
    <w:pPr>
      <w:ind w:left="850" w:right="0" w:firstLine="0"/>
      <w:spacing w:after="57"/>
    </w:pPr>
  </w:style>
  <w:style w:type="paragraph" w:styleId="1133">
    <w:name w:val="Subtitle"/>
    <w:basedOn w:val="1104"/>
    <w:next w:val="1104"/>
    <w:link w:val="1162"/>
    <w:uiPriority w:val="11"/>
    <w:qFormat/>
    <w:pPr>
      <w:spacing w:before="200" w:after="200"/>
    </w:pPr>
    <w:rPr>
      <w:sz w:val="24"/>
      <w:szCs w:val="24"/>
    </w:rPr>
  </w:style>
  <w:style w:type="paragraph" w:styleId="1134">
    <w:name w:val="footnote text"/>
    <w:basedOn w:val="1104"/>
    <w:link w:val="1295"/>
    <w:uiPriority w:val="99"/>
    <w:semiHidden/>
    <w:unhideWhenUsed/>
    <w:qFormat/>
    <w:pPr>
      <w:spacing w:after="40" w:line="240" w:lineRule="auto"/>
    </w:pPr>
    <w:rPr>
      <w:sz w:val="18"/>
    </w:rPr>
  </w:style>
  <w:style w:type="paragraph" w:styleId="1135">
    <w:name w:val="toc 6"/>
    <w:basedOn w:val="1104"/>
    <w:next w:val="1104"/>
    <w:uiPriority w:val="39"/>
    <w:unhideWhenUsed/>
    <w:qFormat/>
    <w:pPr>
      <w:ind w:left="1417" w:right="0" w:firstLine="0"/>
      <w:spacing w:after="57"/>
    </w:pPr>
  </w:style>
  <w:style w:type="paragraph" w:styleId="1136">
    <w:name w:val="table of figures"/>
    <w:basedOn w:val="1104"/>
    <w:next w:val="1104"/>
    <w:uiPriority w:val="99"/>
    <w:unhideWhenUsed/>
    <w:qFormat/>
    <w:pPr>
      <w:spacing w:after="0" w:afterAutospacing="0"/>
    </w:pPr>
  </w:style>
  <w:style w:type="paragraph" w:styleId="1137">
    <w:name w:val="toc 2"/>
    <w:basedOn w:val="1104"/>
    <w:next w:val="1104"/>
    <w:uiPriority w:val="39"/>
    <w:unhideWhenUsed/>
    <w:qFormat/>
    <w:pPr>
      <w:ind w:left="283" w:right="0" w:firstLine="0"/>
      <w:spacing w:after="57"/>
    </w:pPr>
  </w:style>
  <w:style w:type="paragraph" w:styleId="1138">
    <w:name w:val="toc 9"/>
    <w:basedOn w:val="1104"/>
    <w:next w:val="1104"/>
    <w:uiPriority w:val="39"/>
    <w:unhideWhenUsed/>
    <w:qFormat/>
    <w:pPr>
      <w:ind w:left="2268" w:right="0" w:firstLine="0"/>
      <w:spacing w:after="57"/>
    </w:pPr>
  </w:style>
  <w:style w:type="paragraph" w:styleId="1139">
    <w:name w:val="Normal (Web)"/>
    <w:basedOn w:val="1104"/>
    <w:uiPriority w:val="0"/>
    <w:unhideWhenUsed/>
    <w:qFormat/>
    <w:pPr>
      <w:jc w:val="left"/>
      <w:spacing w:before="100" w:beforeAutospacing="1" w:after="100" w:afterAutospacing="1"/>
      <w:widowControl/>
    </w:pPr>
    <w:rPr>
      <w:rFonts w:ascii="宋体" w:hAnsi="宋体" w:eastAsia="楷体_GB2312" w:cs="宋体"/>
      <w:sz w:val="24"/>
    </w:rPr>
  </w:style>
  <w:style w:type="paragraph" w:styleId="1140">
    <w:name w:val="Title"/>
    <w:basedOn w:val="1104"/>
    <w:next w:val="1104"/>
    <w:link w:val="1161"/>
    <w:uiPriority w:val="10"/>
    <w:qFormat/>
    <w:pPr>
      <w:contextualSpacing/>
      <w:spacing w:before="300" w:after="200"/>
    </w:pPr>
    <w:rPr>
      <w:sz w:val="48"/>
      <w:szCs w:val="48"/>
    </w:rPr>
  </w:style>
  <w:style w:type="paragraph" w:styleId="1141">
    <w:name w:val="Body Text First Indent 2"/>
    <w:basedOn w:val="1122"/>
    <w:uiPriority w:val="99"/>
    <w:unhideWhenUsed/>
    <w:qFormat/>
    <w:pPr>
      <w:ind w:firstLine="420"/>
    </w:pPr>
  </w:style>
  <w:style w:type="table" w:styleId="11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3">
    <w:name w:val="Strong"/>
    <w:basedOn w:val="1114"/>
    <w:uiPriority w:val="22"/>
    <w:qFormat/>
    <w:rPr>
      <w:b/>
    </w:rPr>
  </w:style>
  <w:style w:type="character" w:styleId="1144">
    <w:name w:val="endnote reference"/>
    <w:uiPriority w:val="99"/>
    <w:semiHidden/>
    <w:unhideWhenUsed/>
    <w:qFormat/>
    <w:rPr>
      <w:vertAlign w:val="superscript"/>
    </w:rPr>
  </w:style>
  <w:style w:type="character" w:styleId="1145">
    <w:name w:val="page number"/>
    <w:uiPriority w:val="0"/>
    <w:qFormat/>
  </w:style>
  <w:style w:type="character" w:styleId="1146">
    <w:name w:val="Hyperlink"/>
    <w:uiPriority w:val="99"/>
    <w:unhideWhenUsed/>
    <w:qFormat/>
    <w:rPr>
      <w:color w:val="0000ff" w:themeColor="hyperlink"/>
      <w:u w:val="single"/>
      <w14:textFill>
        <w14:solidFill>
          <w14:schemeClr w14:val="hlink"/>
        </w14:solidFill>
      </w14:textFill>
    </w:rPr>
  </w:style>
  <w:style w:type="character" w:styleId="1147">
    <w:name w:val="footnote reference"/>
    <w:uiPriority w:val="99"/>
    <w:unhideWhenUsed/>
    <w:qFormat/>
    <w:rPr>
      <w:vertAlign w:val="superscript"/>
    </w:rPr>
  </w:style>
  <w:style w:type="paragraph" w:styleId="1148" w:customStyle="1">
    <w:name w:val="正文文本11"/>
    <w:basedOn w:val="1104"/>
    <w:next w:val="1104"/>
    <w:uiPriority w:val="0"/>
    <w:qFormat/>
    <w:rPr>
      <w:rFonts w:ascii="方正楷体_GB2312" w:hAnsi="Arial" w:eastAsia="方正楷体_GB2312"/>
      <w:sz w:val="28"/>
    </w:rPr>
  </w:style>
  <w:style w:type="paragraph" w:styleId="1149" w:customStyle="1">
    <w:name w:val="正文文本缩进1"/>
    <w:basedOn w:val="1104"/>
    <w:link w:val="1338"/>
    <w:uiPriority w:val="99"/>
    <w:qFormat/>
    <w:pPr>
      <w:ind w:firstLine="574"/>
      <w:spacing w:line="312" w:lineRule="atLeast"/>
    </w:pPr>
    <w:rPr>
      <w:rFonts w:ascii="宋体"/>
      <w:sz w:val="28"/>
    </w:rPr>
  </w:style>
  <w:style w:type="character" w:styleId="1150" w:customStyle="1">
    <w:name w:val="Heading 1 Char"/>
    <w:link w:val="1105"/>
    <w:uiPriority w:val="9"/>
    <w:qFormat/>
    <w:rPr>
      <w:rFonts w:ascii="Arial" w:hAnsi="Arial" w:eastAsia="Arial" w:cs="Arial"/>
      <w:sz w:val="40"/>
      <w:szCs w:val="40"/>
    </w:rPr>
  </w:style>
  <w:style w:type="character" w:styleId="1151" w:customStyle="1">
    <w:name w:val="Heading 2 Char"/>
    <w:link w:val="1106"/>
    <w:uiPriority w:val="9"/>
    <w:qFormat/>
    <w:rPr>
      <w:rFonts w:ascii="Arial" w:hAnsi="Arial" w:eastAsia="Arial" w:cs="Arial"/>
      <w:sz w:val="34"/>
    </w:rPr>
  </w:style>
  <w:style w:type="character" w:styleId="1152" w:customStyle="1">
    <w:name w:val="Heading 3 Char"/>
    <w:link w:val="1107"/>
    <w:uiPriority w:val="9"/>
    <w:qFormat/>
    <w:rPr>
      <w:rFonts w:ascii="Arial" w:hAnsi="Arial" w:eastAsia="Arial" w:cs="Arial"/>
      <w:sz w:val="30"/>
      <w:szCs w:val="30"/>
    </w:rPr>
  </w:style>
  <w:style w:type="character" w:styleId="1153" w:customStyle="1">
    <w:name w:val="Heading 4 Char"/>
    <w:link w:val="1108"/>
    <w:uiPriority w:val="9"/>
    <w:qFormat/>
    <w:rPr>
      <w:rFonts w:ascii="Arial" w:hAnsi="Arial" w:eastAsia="Arial" w:cs="Arial"/>
      <w:b/>
      <w:bCs/>
      <w:sz w:val="26"/>
      <w:szCs w:val="26"/>
    </w:rPr>
  </w:style>
  <w:style w:type="character" w:styleId="1154" w:customStyle="1">
    <w:name w:val="Heading 5 Char"/>
    <w:link w:val="1109"/>
    <w:uiPriority w:val="9"/>
    <w:qFormat/>
    <w:rPr>
      <w:rFonts w:ascii="Arial" w:hAnsi="Arial" w:eastAsia="Arial" w:cs="Arial"/>
      <w:b/>
      <w:bCs/>
      <w:sz w:val="24"/>
      <w:szCs w:val="24"/>
    </w:rPr>
  </w:style>
  <w:style w:type="character" w:styleId="1155" w:customStyle="1">
    <w:name w:val="Heading 6 Char"/>
    <w:link w:val="1110"/>
    <w:uiPriority w:val="9"/>
    <w:qFormat/>
    <w:rPr>
      <w:rFonts w:ascii="Arial" w:hAnsi="Arial" w:eastAsia="Arial" w:cs="Arial"/>
      <w:b/>
      <w:bCs/>
      <w:sz w:val="22"/>
      <w:szCs w:val="22"/>
    </w:rPr>
  </w:style>
  <w:style w:type="character" w:styleId="1156" w:customStyle="1">
    <w:name w:val="Heading 7 Char"/>
    <w:link w:val="1111"/>
    <w:uiPriority w:val="9"/>
    <w:qFormat/>
    <w:rPr>
      <w:rFonts w:ascii="Arial" w:hAnsi="Arial" w:eastAsia="Arial" w:cs="Arial"/>
      <w:b/>
      <w:bCs/>
      <w:i/>
      <w:iCs/>
      <w:sz w:val="22"/>
      <w:szCs w:val="22"/>
    </w:rPr>
  </w:style>
  <w:style w:type="character" w:styleId="1157" w:customStyle="1">
    <w:name w:val="Heading 8 Char"/>
    <w:link w:val="1112"/>
    <w:uiPriority w:val="9"/>
    <w:qFormat/>
    <w:rPr>
      <w:rFonts w:ascii="Arial" w:hAnsi="Arial" w:eastAsia="Arial" w:cs="Arial"/>
      <w:i/>
      <w:iCs/>
      <w:sz w:val="22"/>
      <w:szCs w:val="22"/>
    </w:rPr>
  </w:style>
  <w:style w:type="character" w:styleId="1158" w:customStyle="1">
    <w:name w:val="Heading 9 Char"/>
    <w:link w:val="1113"/>
    <w:uiPriority w:val="9"/>
    <w:qFormat/>
    <w:rPr>
      <w:rFonts w:ascii="Arial" w:hAnsi="Arial" w:eastAsia="Arial" w:cs="Arial"/>
      <w:i/>
      <w:iCs/>
      <w:sz w:val="21"/>
      <w:szCs w:val="21"/>
    </w:rPr>
  </w:style>
  <w:style w:type="paragraph" w:styleId="1159">
    <w:name w:val="List Paragraph"/>
    <w:basedOn w:val="1104"/>
    <w:uiPriority w:val="34"/>
    <w:qFormat/>
    <w:pPr>
      <w:contextualSpacing/>
      <w:ind w:left="720"/>
    </w:pPr>
  </w:style>
  <w:style w:type="paragraph" w:styleId="1160">
    <w:name w:val="No Spacing"/>
    <w:basedOn w:val="1104"/>
    <w:uiPriority w:val="1"/>
    <w:qFormat/>
    <w:pPr>
      <w:spacing w:before="0" w:after="0" w:line="240" w:lineRule="auto"/>
    </w:pPr>
    <w:rPr>
      <w:rFonts w:hint="default" w:ascii="Times New Roman" w:hAnsi="Times New Roman" w:eastAsia="宋体" w:cs="Times New Roman"/>
    </w:rPr>
  </w:style>
  <w:style w:type="character" w:styleId="1161" w:customStyle="1">
    <w:name w:val="Title Char"/>
    <w:link w:val="1140"/>
    <w:uiPriority w:val="10"/>
    <w:qFormat/>
    <w:rPr>
      <w:sz w:val="48"/>
      <w:szCs w:val="48"/>
    </w:rPr>
  </w:style>
  <w:style w:type="character" w:styleId="1162" w:customStyle="1">
    <w:name w:val="Subtitle Char"/>
    <w:link w:val="1133"/>
    <w:uiPriority w:val="11"/>
    <w:qFormat/>
    <w:rPr>
      <w:sz w:val="24"/>
      <w:szCs w:val="24"/>
    </w:rPr>
  </w:style>
  <w:style w:type="paragraph" w:styleId="1163">
    <w:name w:val="Quote"/>
    <w:basedOn w:val="1104"/>
    <w:next w:val="1104"/>
    <w:link w:val="1164"/>
    <w:uiPriority w:val="29"/>
    <w:qFormat/>
    <w:pPr>
      <w:ind w:left="720" w:right="720"/>
    </w:pPr>
    <w:rPr>
      <w:i/>
    </w:rPr>
  </w:style>
  <w:style w:type="character" w:styleId="1164" w:customStyle="1">
    <w:name w:val="Quote Char"/>
    <w:link w:val="1163"/>
    <w:uiPriority w:val="29"/>
    <w:qFormat/>
    <w:rPr>
      <w:i/>
    </w:rPr>
  </w:style>
  <w:style w:type="paragraph" w:styleId="1165">
    <w:name w:val="Intense Quote"/>
    <w:basedOn w:val="1104"/>
    <w:next w:val="1104"/>
    <w:link w:val="11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6" w:customStyle="1">
    <w:name w:val="Intense Quote Char"/>
    <w:link w:val="1165"/>
    <w:uiPriority w:val="30"/>
    <w:qFormat/>
    <w:rPr>
      <w:i/>
    </w:rPr>
  </w:style>
  <w:style w:type="character" w:styleId="1167" w:customStyle="1">
    <w:name w:val="Header Char"/>
    <w:link w:val="1130"/>
    <w:uiPriority w:val="99"/>
    <w:qFormat/>
  </w:style>
  <w:style w:type="character" w:styleId="1168" w:customStyle="1">
    <w:name w:val="Footer Char"/>
    <w:link w:val="1128"/>
    <w:uiPriority w:val="99"/>
    <w:qFormat/>
  </w:style>
  <w:style w:type="character" w:styleId="1169" w:customStyle="1">
    <w:name w:val="Caption Char"/>
    <w:link w:val="1128"/>
    <w:uiPriority w:val="99"/>
    <w:qFormat/>
  </w:style>
  <w:style w:type="table" w:styleId="11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95" w:customStyle="1">
    <w:name w:val="Footnote Text Char"/>
    <w:link w:val="1134"/>
    <w:uiPriority w:val="99"/>
    <w:qFormat/>
    <w:rPr>
      <w:sz w:val="18"/>
    </w:rPr>
  </w:style>
  <w:style w:type="character" w:styleId="1296" w:customStyle="1">
    <w:name w:val="Endnote Text Char"/>
    <w:link w:val="1127"/>
    <w:uiPriority w:val="99"/>
    <w:qFormat/>
    <w:rPr>
      <w:sz w:val="20"/>
    </w:rPr>
  </w:style>
  <w:style w:type="paragraph" w:styleId="1297" w:customStyle="1">
    <w:name w:val="TOC Heading"/>
    <w:uiPriority w:val="39"/>
    <w:unhideWhenUsed/>
    <w:qFormat/>
    <w:rPr>
      <w:rFonts w:hint="default" w:ascii="Times New Roman" w:hAnsi="Times New Roman" w:eastAsia="宋体" w:cs="Times New Roman"/>
    </w:rPr>
  </w:style>
  <w:style w:type="paragraph" w:styleId="1298" w:customStyle="1">
    <w:name w:val="标题 11"/>
    <w:basedOn w:val="1104"/>
    <w:next w:val="1104"/>
    <w:link w:val="1314"/>
    <w:uiPriority w:val="9"/>
    <w:qFormat/>
    <w:pPr>
      <w:jc w:val="center"/>
      <w:keepNext/>
      <w:tabs>
        <w:tab w:val="left" w:pos="200" w:leader="none"/>
      </w:tabs>
      <w:outlineLvl w:val="0"/>
    </w:pPr>
    <w:rPr>
      <w:rFonts w:ascii="宋体" w:hAnsi="宋体"/>
      <w:b/>
      <w:sz w:val="36"/>
    </w:rPr>
  </w:style>
  <w:style w:type="paragraph" w:styleId="1299" w:customStyle="1">
    <w:name w:val="标题 21"/>
    <w:basedOn w:val="1104"/>
    <w:next w:val="1104"/>
    <w:link w:val="1315"/>
    <w:uiPriority w:val="9"/>
    <w:qFormat/>
    <w:pPr>
      <w:jc w:val="center"/>
      <w:keepNext/>
      <w:outlineLvl w:val="1"/>
    </w:pPr>
    <w:rPr>
      <w:rFonts w:ascii="宋体" w:hAnsi="宋体"/>
      <w:b/>
      <w:bCs/>
      <w:sz w:val="28"/>
      <w:szCs w:val="28"/>
    </w:rPr>
  </w:style>
  <w:style w:type="paragraph" w:styleId="1300" w:customStyle="1">
    <w:name w:val="标题 31"/>
    <w:basedOn w:val="1104"/>
    <w:next w:val="1104"/>
    <w:link w:val="1316"/>
    <w:uiPriority w:val="9"/>
    <w:qFormat/>
    <w:pPr>
      <w:jc w:val="center"/>
      <w:keepNext/>
      <w:outlineLvl w:val="2"/>
    </w:pPr>
    <w:rPr>
      <w:rFonts w:ascii="宋体" w:hAnsi="宋体"/>
      <w:sz w:val="28"/>
    </w:rPr>
  </w:style>
  <w:style w:type="paragraph" w:styleId="1301" w:customStyle="1">
    <w:name w:val="标题 41"/>
    <w:basedOn w:val="1104"/>
    <w:next w:val="1104"/>
    <w:link w:val="1317"/>
    <w:uiPriority w:val="0"/>
    <w:qFormat/>
    <w:pPr>
      <w:keepNext/>
      <w:outlineLvl w:val="3"/>
    </w:pPr>
    <w:rPr>
      <w:b/>
      <w:bCs/>
      <w:sz w:val="18"/>
    </w:rPr>
  </w:style>
  <w:style w:type="paragraph" w:styleId="1302" w:customStyle="1">
    <w:name w:val="标题 51"/>
    <w:basedOn w:val="1104"/>
    <w:next w:val="1104"/>
    <w:link w:val="1318"/>
    <w:uiPriority w:val="0"/>
    <w:qFormat/>
    <w:pPr>
      <w:jc w:val="center"/>
      <w:keepNext/>
      <w:outlineLvl w:val="4"/>
    </w:pPr>
    <w:rPr>
      <w:b/>
      <w:bCs/>
      <w:sz w:val="18"/>
    </w:rPr>
  </w:style>
  <w:style w:type="paragraph" w:styleId="1303" w:customStyle="1">
    <w:name w:val="标题 61"/>
    <w:basedOn w:val="1104"/>
    <w:next w:val="1104"/>
    <w:link w:val="1319"/>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1304" w:customStyle="1">
    <w:name w:val="标题 71"/>
    <w:basedOn w:val="1104"/>
    <w:next w:val="1104"/>
    <w:link w:val="1320"/>
    <w:uiPriority w:val="0"/>
    <w:qFormat/>
    <w:pPr>
      <w:keepNext/>
      <w:outlineLvl w:val="6"/>
    </w:pPr>
    <w:rPr>
      <w:rFonts w:ascii="Arial" w:hAnsi="Arial"/>
      <w:b/>
      <w:bCs/>
      <w:sz w:val="16"/>
      <w:szCs w:val="16"/>
    </w:rPr>
  </w:style>
  <w:style w:type="paragraph" w:styleId="1305" w:customStyle="1">
    <w:name w:val="标题 81"/>
    <w:basedOn w:val="1104"/>
    <w:next w:val="1104"/>
    <w:link w:val="1321"/>
    <w:uiPriority w:val="0"/>
    <w:qFormat/>
    <w:pPr>
      <w:keepNext/>
      <w:outlineLvl w:val="7"/>
    </w:pPr>
    <w:rPr>
      <w:b/>
      <w:bCs/>
      <w:sz w:val="24"/>
      <w:szCs w:val="24"/>
    </w:rPr>
  </w:style>
  <w:style w:type="paragraph" w:styleId="1306" w:customStyle="1">
    <w:name w:val="标题 91"/>
    <w:basedOn w:val="1104"/>
    <w:next w:val="1104"/>
    <w:link w:val="1322"/>
    <w:uiPriority w:val="0"/>
    <w:qFormat/>
    <w:pPr>
      <w:jc w:val="center"/>
      <w:keepNext/>
      <w:outlineLvl w:val="8"/>
    </w:pPr>
    <w:rPr>
      <w:b/>
      <w:bCs/>
      <w:szCs w:val="24"/>
    </w:rPr>
  </w:style>
  <w:style w:type="character" w:styleId="1307" w:customStyle="1">
    <w:name w:val="默认段落字体1"/>
    <w:link w:val="1104"/>
    <w:uiPriority w:val="0"/>
    <w:semiHidden/>
    <w:qFormat/>
  </w:style>
  <w:style w:type="table" w:styleId="1308" w:customStyle="1">
    <w:name w:val="普通表格1"/>
    <w:uiPriority w:val="0"/>
    <w:semiHidden/>
    <w:qFormat/>
    <w:tblPr/>
  </w:style>
  <w:style w:type="paragraph" w:styleId="1309" w:customStyle="1">
    <w:name w:val="文档结构图1"/>
    <w:basedOn w:val="1104"/>
    <w:next w:val="1310"/>
    <w:uiPriority w:val="0"/>
    <w:semiHidden/>
    <w:qFormat/>
    <w:pPr>
      <w:shd w:val="clear" w:color="auto" w:fill="auto"/>
    </w:pPr>
    <w:rPr>
      <w:rFonts w:ascii="Times New Roman" w:hAnsi="Times New Roman" w:eastAsia="宋体"/>
    </w:rPr>
  </w:style>
  <w:style w:type="paragraph" w:styleId="1310" w:customStyle="1">
    <w:name w:val="纯文本13"/>
    <w:basedOn w:val="1104"/>
    <w:next w:val="1311"/>
    <w:link w:val="1312"/>
    <w:uiPriority w:val="0"/>
    <w:qFormat/>
    <w:rPr>
      <w:rFonts w:ascii="宋体" w:hAnsi="Courier New"/>
    </w:rPr>
  </w:style>
  <w:style w:type="paragraph" w:styleId="1311" w:customStyle="1">
    <w:name w:val="页眉1"/>
    <w:basedOn w:val="1104"/>
    <w:next w:val="1104"/>
    <w:link w:val="1313"/>
    <w:uiPriority w:val="99"/>
    <w:qFormat/>
    <w:pPr>
      <w:jc w:val="center"/>
      <w:tabs>
        <w:tab w:val="center" w:pos="4153" w:leader="none"/>
        <w:tab w:val="right" w:pos="8306" w:leader="none"/>
      </w:tabs>
      <w:pBdr>
        <w:bottom w:val="single" w:color="000000" w:sz="6" w:space="1"/>
      </w:pBdr>
    </w:pPr>
    <w:rPr>
      <w:sz w:val="18"/>
    </w:rPr>
  </w:style>
  <w:style w:type="character" w:styleId="1312" w:customStyle="1">
    <w:name w:val="纯文本 Char1"/>
    <w:link w:val="1310"/>
    <w:uiPriority w:val="0"/>
    <w:qFormat/>
    <w:rPr>
      <w:rFonts w:ascii="宋体" w:hAnsi="Courier New" w:eastAsia="宋体"/>
      <w:sz w:val="21"/>
      <w:lang w:val="en-US" w:eastAsia="zh-CN" w:bidi="ar-SA"/>
    </w:rPr>
  </w:style>
  <w:style w:type="character" w:styleId="1313" w:customStyle="1">
    <w:name w:val="页眉 Char"/>
    <w:link w:val="1311"/>
    <w:uiPriority w:val="99"/>
    <w:qFormat/>
    <w:rPr>
      <w:rFonts w:eastAsia="宋体"/>
      <w:sz w:val="18"/>
      <w:lang w:val="en-US" w:eastAsia="zh-CN" w:bidi="ar-SA"/>
    </w:rPr>
  </w:style>
  <w:style w:type="character" w:styleId="1314" w:customStyle="1">
    <w:name w:val="标题 1 Char"/>
    <w:link w:val="1298"/>
    <w:uiPriority w:val="9"/>
    <w:qFormat/>
    <w:rPr>
      <w:rFonts w:ascii="宋体" w:hAnsi="宋体"/>
      <w:b/>
      <w:sz w:val="36"/>
    </w:rPr>
  </w:style>
  <w:style w:type="character" w:styleId="1315" w:customStyle="1">
    <w:name w:val="标题 2 Char"/>
    <w:link w:val="1299"/>
    <w:uiPriority w:val="9"/>
    <w:qFormat/>
    <w:rPr>
      <w:rFonts w:ascii="宋体" w:hAnsi="宋体"/>
      <w:b/>
      <w:bCs/>
      <w:sz w:val="28"/>
      <w:szCs w:val="28"/>
    </w:rPr>
  </w:style>
  <w:style w:type="character" w:styleId="1316" w:customStyle="1">
    <w:name w:val="标题 3 Char"/>
    <w:link w:val="1300"/>
    <w:uiPriority w:val="9"/>
    <w:qFormat/>
    <w:rPr>
      <w:rFonts w:ascii="宋体" w:hAnsi="宋体" w:eastAsia="宋体"/>
      <w:sz w:val="28"/>
      <w:lang w:val="en-US" w:eastAsia="zh-CN" w:bidi="ar-SA"/>
    </w:rPr>
  </w:style>
  <w:style w:type="character" w:styleId="1317" w:customStyle="1">
    <w:name w:val="标题 4 Char"/>
    <w:link w:val="1301"/>
    <w:uiPriority w:val="0"/>
    <w:qFormat/>
    <w:rPr>
      <w:b/>
      <w:bCs/>
      <w:sz w:val="18"/>
    </w:rPr>
  </w:style>
  <w:style w:type="character" w:styleId="1318" w:customStyle="1">
    <w:name w:val="标题 5 Char"/>
    <w:link w:val="1302"/>
    <w:uiPriority w:val="0"/>
    <w:qFormat/>
    <w:rPr>
      <w:rFonts w:eastAsia="宋体"/>
      <w:b/>
      <w:bCs/>
      <w:sz w:val="18"/>
      <w:lang w:val="en-US" w:eastAsia="zh-CN" w:bidi="ar-SA"/>
    </w:rPr>
  </w:style>
  <w:style w:type="character" w:styleId="1319" w:customStyle="1">
    <w:name w:val="标题 6 Char"/>
    <w:link w:val="1303"/>
    <w:uiPriority w:val="0"/>
    <w:qFormat/>
    <w:rPr>
      <w:rFonts w:ascii="Cambria" w:hAnsi="Cambria" w:eastAsia="黑体"/>
      <w:b/>
      <w:bCs/>
      <w:sz w:val="28"/>
      <w:szCs w:val="24"/>
    </w:rPr>
  </w:style>
  <w:style w:type="character" w:styleId="1320" w:customStyle="1">
    <w:name w:val="标题 7 Char"/>
    <w:link w:val="1304"/>
    <w:uiPriority w:val="0"/>
    <w:qFormat/>
    <w:rPr>
      <w:rFonts w:ascii="Arial" w:hAnsi="Arial" w:cs="Arial"/>
      <w:b/>
      <w:bCs/>
      <w:sz w:val="16"/>
      <w:szCs w:val="16"/>
    </w:rPr>
  </w:style>
  <w:style w:type="character" w:styleId="1321" w:customStyle="1">
    <w:name w:val="标题 8 Char"/>
    <w:link w:val="1305"/>
    <w:uiPriority w:val="0"/>
    <w:qFormat/>
    <w:rPr>
      <w:b/>
      <w:bCs/>
      <w:sz w:val="24"/>
      <w:szCs w:val="24"/>
    </w:rPr>
  </w:style>
  <w:style w:type="character" w:styleId="1322" w:customStyle="1">
    <w:name w:val="标题 9 Char"/>
    <w:link w:val="1306"/>
    <w:uiPriority w:val="0"/>
    <w:qFormat/>
    <w:rPr>
      <w:b/>
      <w:bCs/>
      <w:sz w:val="21"/>
      <w:szCs w:val="24"/>
    </w:rPr>
  </w:style>
  <w:style w:type="paragraph" w:styleId="1323" w:customStyle="1">
    <w:name w:val="目录 71"/>
    <w:basedOn w:val="1104"/>
    <w:next w:val="1104"/>
    <w:uiPriority w:val="39"/>
    <w:qFormat/>
    <w:pPr>
      <w:ind w:left="1260"/>
      <w:jc w:val="left"/>
    </w:pPr>
    <w:rPr>
      <w:szCs w:val="21"/>
    </w:rPr>
  </w:style>
  <w:style w:type="paragraph" w:styleId="1324" w:customStyle="1">
    <w:name w:val="注释标题1"/>
    <w:basedOn w:val="1104"/>
    <w:next w:val="1104"/>
    <w:uiPriority w:val="99"/>
    <w:qFormat/>
    <w:pPr>
      <w:jc w:val="center"/>
      <w:spacing w:line="360" w:lineRule="auto"/>
    </w:pPr>
    <w:rPr>
      <w:sz w:val="24"/>
      <w:szCs w:val="24"/>
    </w:rPr>
  </w:style>
  <w:style w:type="paragraph" w:styleId="1325" w:customStyle="1">
    <w:name w:val="索引 81"/>
    <w:basedOn w:val="1104"/>
    <w:next w:val="1104"/>
    <w:uiPriority w:val="0"/>
    <w:semiHidden/>
    <w:qFormat/>
    <w:pPr>
      <w:ind w:left="1400"/>
    </w:pPr>
  </w:style>
  <w:style w:type="paragraph" w:styleId="1326" w:customStyle="1">
    <w:name w:val="正文缩进1"/>
    <w:basedOn w:val="1104"/>
    <w:next w:val="1104"/>
    <w:link w:val="1327"/>
    <w:uiPriority w:val="0"/>
    <w:qFormat/>
    <w:pPr>
      <w:ind w:firstLine="420"/>
    </w:pPr>
  </w:style>
  <w:style w:type="character" w:styleId="1327" w:customStyle="1">
    <w:name w:val="正文缩进 Char"/>
    <w:link w:val="1326"/>
    <w:uiPriority w:val="0"/>
    <w:qFormat/>
    <w:rPr>
      <w:sz w:val="21"/>
    </w:rPr>
  </w:style>
  <w:style w:type="paragraph" w:styleId="1328" w:customStyle="1">
    <w:name w:val="题注1"/>
    <w:basedOn w:val="1104"/>
    <w:next w:val="1104"/>
    <w:link w:val="1329"/>
    <w:uiPriority w:val="0"/>
    <w:qFormat/>
    <w:rPr>
      <w:rFonts w:ascii="Arial" w:hAnsi="Arial" w:eastAsia="黑体"/>
      <w:sz w:val="20"/>
    </w:rPr>
  </w:style>
  <w:style w:type="character" w:styleId="1329" w:customStyle="1">
    <w:name w:val="题注 Char"/>
    <w:link w:val="1328"/>
    <w:uiPriority w:val="0"/>
    <w:qFormat/>
    <w:rPr>
      <w:rFonts w:ascii="Arial" w:hAnsi="Arial" w:eastAsia="黑体"/>
    </w:rPr>
  </w:style>
  <w:style w:type="paragraph" w:styleId="1330" w:customStyle="1">
    <w:name w:val="索引 51"/>
    <w:basedOn w:val="1104"/>
    <w:next w:val="1104"/>
    <w:uiPriority w:val="0"/>
    <w:semiHidden/>
    <w:qFormat/>
    <w:pPr>
      <w:ind w:left="800"/>
    </w:pPr>
  </w:style>
  <w:style w:type="paragraph" w:styleId="1331" w:customStyle="1">
    <w:name w:val="批注文字1"/>
    <w:basedOn w:val="1104"/>
    <w:link w:val="1332"/>
    <w:uiPriority w:val="99"/>
    <w:qFormat/>
    <w:pPr>
      <w:jc w:val="left"/>
    </w:pPr>
    <w:rPr>
      <w:rFonts w:ascii="Calibri" w:hAnsi="Calibri"/>
      <w:szCs w:val="22"/>
    </w:rPr>
  </w:style>
  <w:style w:type="character" w:styleId="1332" w:customStyle="1">
    <w:name w:val="批注文字 Char"/>
    <w:link w:val="1331"/>
    <w:uiPriority w:val="99"/>
    <w:qFormat/>
    <w:rPr>
      <w:rFonts w:ascii="Calibri" w:hAnsi="Calibri"/>
      <w:sz w:val="21"/>
      <w:szCs w:val="22"/>
    </w:rPr>
  </w:style>
  <w:style w:type="paragraph" w:styleId="1333" w:customStyle="1">
    <w:name w:val="索引 61"/>
    <w:basedOn w:val="1104"/>
    <w:next w:val="1104"/>
    <w:uiPriority w:val="0"/>
    <w:semiHidden/>
    <w:qFormat/>
    <w:pPr>
      <w:ind w:left="1000"/>
    </w:pPr>
  </w:style>
  <w:style w:type="paragraph" w:styleId="1334" w:customStyle="1">
    <w:name w:val="正文文本 31"/>
    <w:basedOn w:val="1104"/>
    <w:link w:val="1335"/>
    <w:uiPriority w:val="99"/>
    <w:unhideWhenUsed/>
    <w:qFormat/>
    <w:pPr>
      <w:jc w:val="center"/>
    </w:pPr>
    <w:rPr>
      <w:rFonts w:ascii="宋体" w:hAnsi="宋体" w:eastAsia="楷体_GB2312"/>
      <w:sz w:val="26"/>
    </w:rPr>
  </w:style>
  <w:style w:type="character" w:styleId="1335" w:customStyle="1">
    <w:name w:val="正文文本 3 Char"/>
    <w:link w:val="1334"/>
    <w:uiPriority w:val="99"/>
    <w:qFormat/>
    <w:rPr>
      <w:rFonts w:ascii="宋体" w:hAnsi="宋体" w:eastAsia="楷体_GB2312"/>
      <w:sz w:val="26"/>
    </w:rPr>
  </w:style>
  <w:style w:type="paragraph" w:styleId="1336" w:customStyle="1">
    <w:name w:val="正文文本1"/>
    <w:basedOn w:val="1104"/>
    <w:next w:val="1326"/>
    <w:link w:val="1337"/>
    <w:uiPriority w:val="0"/>
    <w:qFormat/>
    <w:rPr>
      <w:rFonts w:ascii="楷体_GB2312" w:hAnsi="Arial" w:eastAsia="楷体_GB2312"/>
      <w:sz w:val="28"/>
    </w:rPr>
  </w:style>
  <w:style w:type="character" w:styleId="1337" w:customStyle="1">
    <w:name w:val="正文文本 Char"/>
    <w:link w:val="1336"/>
    <w:uiPriority w:val="0"/>
    <w:qFormat/>
    <w:rPr>
      <w:rFonts w:ascii="楷体_GB2312" w:hAnsi="Arial" w:eastAsia="楷体_GB2312"/>
      <w:sz w:val="28"/>
    </w:rPr>
  </w:style>
  <w:style w:type="character" w:styleId="1338" w:customStyle="1">
    <w:name w:val="正文文本缩进 Char"/>
    <w:link w:val="1149"/>
    <w:uiPriority w:val="99"/>
    <w:qFormat/>
    <w:rPr>
      <w:rFonts w:ascii="宋体" w:eastAsia="宋体"/>
      <w:sz w:val="28"/>
      <w:lang w:val="en-US" w:eastAsia="zh-CN" w:bidi="ar-SA"/>
    </w:rPr>
  </w:style>
  <w:style w:type="paragraph" w:styleId="1339" w:customStyle="1">
    <w:name w:val="文本块1"/>
    <w:basedOn w:val="1104"/>
    <w:uiPriority w:val="0"/>
    <w:qFormat/>
    <w:pPr>
      <w:ind w:left="1890" w:right="11" w:hanging="1409"/>
      <w:spacing w:before="89"/>
      <w:tabs>
        <w:tab w:val="left" w:pos="822" w:leader="none"/>
        <w:tab w:val="left" w:pos="2205" w:leader="none"/>
        <w:tab w:val="left" w:pos="9000" w:leader="none"/>
      </w:tabs>
    </w:pPr>
    <w:rPr>
      <w:sz w:val="24"/>
    </w:rPr>
  </w:style>
  <w:style w:type="paragraph" w:styleId="1340" w:customStyle="1">
    <w:name w:val="索引 41"/>
    <w:basedOn w:val="1104"/>
    <w:next w:val="1104"/>
    <w:uiPriority w:val="0"/>
    <w:semiHidden/>
    <w:qFormat/>
    <w:pPr>
      <w:ind w:left="600"/>
    </w:pPr>
  </w:style>
  <w:style w:type="paragraph" w:styleId="1341" w:customStyle="1">
    <w:name w:val="目录 51"/>
    <w:basedOn w:val="1104"/>
    <w:next w:val="1104"/>
    <w:uiPriority w:val="39"/>
    <w:qFormat/>
    <w:pPr>
      <w:ind w:left="840"/>
      <w:jc w:val="left"/>
    </w:pPr>
    <w:rPr>
      <w:szCs w:val="21"/>
    </w:rPr>
  </w:style>
  <w:style w:type="paragraph" w:styleId="1342" w:customStyle="1">
    <w:name w:val="目录 31"/>
    <w:basedOn w:val="1104"/>
    <w:next w:val="1104"/>
    <w:uiPriority w:val="39"/>
    <w:qFormat/>
    <w:pPr>
      <w:ind w:left="420"/>
      <w:jc w:val="left"/>
    </w:pPr>
    <w:rPr>
      <w:i/>
      <w:iCs/>
      <w:szCs w:val="24"/>
    </w:rPr>
  </w:style>
  <w:style w:type="paragraph" w:styleId="1343" w:customStyle="1">
    <w:name w:val="目录 81"/>
    <w:basedOn w:val="1104"/>
    <w:next w:val="1104"/>
    <w:uiPriority w:val="39"/>
    <w:qFormat/>
    <w:pPr>
      <w:ind w:left="1470"/>
      <w:jc w:val="left"/>
    </w:pPr>
    <w:rPr>
      <w:szCs w:val="21"/>
    </w:rPr>
  </w:style>
  <w:style w:type="paragraph" w:styleId="1344" w:customStyle="1">
    <w:name w:val="索引 31"/>
    <w:basedOn w:val="1104"/>
    <w:next w:val="1104"/>
    <w:uiPriority w:val="0"/>
    <w:semiHidden/>
    <w:qFormat/>
    <w:pPr>
      <w:ind w:left="400"/>
    </w:pPr>
  </w:style>
  <w:style w:type="paragraph" w:styleId="1345" w:customStyle="1">
    <w:name w:val="日期1"/>
    <w:basedOn w:val="1104"/>
    <w:next w:val="1104"/>
    <w:link w:val="1346"/>
    <w:uiPriority w:val="0"/>
    <w:qFormat/>
    <w:pPr>
      <w:spacing w:line="312" w:lineRule="atLeast"/>
    </w:pPr>
    <w:rPr>
      <w:rFonts w:ascii="宋体"/>
      <w:sz w:val="28"/>
    </w:rPr>
  </w:style>
  <w:style w:type="character" w:styleId="1346" w:customStyle="1">
    <w:name w:val="日期 Char"/>
    <w:link w:val="1345"/>
    <w:uiPriority w:val="0"/>
    <w:qFormat/>
    <w:rPr>
      <w:rFonts w:ascii="宋体"/>
      <w:sz w:val="28"/>
    </w:rPr>
  </w:style>
  <w:style w:type="paragraph" w:styleId="1347" w:customStyle="1">
    <w:name w:val="正文文本缩进 211"/>
    <w:basedOn w:val="1104"/>
    <w:link w:val="1348"/>
    <w:uiPriority w:val="99"/>
    <w:qFormat/>
    <w:pPr>
      <w:ind w:left="1890" w:hanging="1409"/>
      <w:tabs>
        <w:tab w:val="left" w:pos="1785" w:leader="none"/>
        <w:tab w:val="left" w:pos="1887" w:leader="none"/>
        <w:tab w:val="left" w:pos="2112" w:leader="none"/>
        <w:tab w:val="left" w:pos="9000" w:leader="none"/>
      </w:tabs>
    </w:pPr>
    <w:rPr>
      <w:sz w:val="24"/>
    </w:rPr>
  </w:style>
  <w:style w:type="character" w:styleId="1348" w:customStyle="1">
    <w:name w:val="正文文本缩进 2 Char"/>
    <w:link w:val="1347"/>
    <w:uiPriority w:val="99"/>
    <w:qFormat/>
    <w:rPr>
      <w:sz w:val="24"/>
    </w:rPr>
  </w:style>
  <w:style w:type="paragraph" w:styleId="1349" w:customStyle="1">
    <w:name w:val="批注框文本1"/>
    <w:basedOn w:val="1104"/>
    <w:link w:val="1350"/>
    <w:uiPriority w:val="0"/>
    <w:unhideWhenUsed/>
    <w:qFormat/>
    <w:rPr>
      <w:rFonts w:ascii="Calibri" w:hAnsi="Calibri"/>
      <w:sz w:val="18"/>
      <w:szCs w:val="18"/>
    </w:rPr>
  </w:style>
  <w:style w:type="character" w:styleId="1350" w:customStyle="1">
    <w:name w:val="批注框文本 Char"/>
    <w:link w:val="1349"/>
    <w:uiPriority w:val="0"/>
    <w:qFormat/>
    <w:rPr>
      <w:rFonts w:ascii="Calibri" w:hAnsi="Calibri" w:eastAsia="宋体"/>
      <w:sz w:val="18"/>
      <w:szCs w:val="18"/>
      <w:lang w:val="en-US" w:eastAsia="zh-CN" w:bidi="ar-SA"/>
    </w:rPr>
  </w:style>
  <w:style w:type="paragraph" w:styleId="1351" w:customStyle="1">
    <w:name w:val="页脚1"/>
    <w:basedOn w:val="1104"/>
    <w:link w:val="1352"/>
    <w:uiPriority w:val="99"/>
    <w:qFormat/>
    <w:pPr>
      <w:jc w:val="left"/>
      <w:tabs>
        <w:tab w:val="center" w:pos="4153" w:leader="none"/>
        <w:tab w:val="right" w:pos="8306" w:leader="none"/>
      </w:tabs>
    </w:pPr>
    <w:rPr>
      <w:sz w:val="18"/>
    </w:rPr>
  </w:style>
  <w:style w:type="character" w:styleId="1352" w:customStyle="1">
    <w:name w:val="页脚 Char1"/>
    <w:link w:val="1351"/>
    <w:uiPriority w:val="99"/>
    <w:qFormat/>
    <w:rPr>
      <w:rFonts w:eastAsia="宋体"/>
      <w:sz w:val="18"/>
      <w:lang w:val="en-US" w:eastAsia="zh-CN" w:bidi="ar-SA"/>
    </w:rPr>
  </w:style>
  <w:style w:type="paragraph" w:styleId="1353" w:customStyle="1">
    <w:name w:val="签名1"/>
    <w:basedOn w:val="1104"/>
    <w:link w:val="1354"/>
    <w:uiPriority w:val="0"/>
    <w:qFormat/>
    <w:pPr>
      <w:jc w:val="center"/>
      <w:spacing w:after="600" w:line="312" w:lineRule="atLeast"/>
    </w:pPr>
    <w:rPr>
      <w:rFonts w:eastAsia="仿宋_GB2312"/>
      <w:sz w:val="24"/>
    </w:rPr>
  </w:style>
  <w:style w:type="character" w:styleId="1354" w:customStyle="1">
    <w:name w:val="签名 Char"/>
    <w:link w:val="1353"/>
    <w:uiPriority w:val="0"/>
    <w:qFormat/>
    <w:rPr>
      <w:rFonts w:eastAsia="仿宋_GB2312"/>
      <w:sz w:val="24"/>
    </w:rPr>
  </w:style>
  <w:style w:type="paragraph" w:styleId="1355" w:customStyle="1">
    <w:name w:val="目录 11"/>
    <w:basedOn w:val="1104"/>
    <w:next w:val="1104"/>
    <w:uiPriority w:val="39"/>
    <w:qFormat/>
    <w:pPr>
      <w:ind w:left="210"/>
      <w:spacing w:before="100" w:beforeAutospacing="1" w:after="100" w:afterAutospacing="1" w:line="360" w:lineRule="exact"/>
      <w:tabs>
        <w:tab w:val="right" w:pos="9450" w:leader="dot"/>
      </w:tabs>
    </w:pPr>
    <w:rPr>
      <w:b/>
      <w:bCs/>
      <w:caps/>
      <w:sz w:val="28"/>
      <w:szCs w:val="36"/>
    </w:rPr>
  </w:style>
  <w:style w:type="paragraph" w:styleId="1356" w:customStyle="1">
    <w:name w:val="目录 41"/>
    <w:basedOn w:val="1104"/>
    <w:next w:val="1104"/>
    <w:uiPriority w:val="39"/>
    <w:qFormat/>
    <w:pPr>
      <w:ind w:left="630"/>
      <w:jc w:val="left"/>
    </w:pPr>
    <w:rPr>
      <w:szCs w:val="21"/>
    </w:rPr>
  </w:style>
  <w:style w:type="paragraph" w:styleId="1357" w:customStyle="1">
    <w:name w:val="索引标题1"/>
    <w:basedOn w:val="1104"/>
    <w:next w:val="1358"/>
    <w:uiPriority w:val="0"/>
    <w:semiHidden/>
    <w:qFormat/>
  </w:style>
  <w:style w:type="paragraph" w:styleId="1358" w:customStyle="1">
    <w:name w:val="索引 11"/>
    <w:basedOn w:val="1104"/>
    <w:next w:val="1104"/>
    <w:uiPriority w:val="0"/>
    <w:semiHidden/>
    <w:qFormat/>
  </w:style>
  <w:style w:type="paragraph" w:styleId="1359" w:customStyle="1">
    <w:name w:val="副标题1"/>
    <w:basedOn w:val="1104"/>
    <w:next w:val="1104"/>
    <w:link w:val="1360"/>
    <w:uiPriority w:val="0"/>
    <w:qFormat/>
    <w:pPr>
      <w:jc w:val="center"/>
      <w:spacing w:before="240" w:after="60" w:line="312" w:lineRule="auto"/>
      <w:outlineLvl w:val="1"/>
    </w:pPr>
    <w:rPr>
      <w:rFonts w:ascii="Cambria" w:hAnsi="Cambria"/>
      <w:b/>
      <w:bCs/>
      <w:sz w:val="32"/>
      <w:szCs w:val="32"/>
    </w:rPr>
  </w:style>
  <w:style w:type="character" w:styleId="1360" w:customStyle="1">
    <w:name w:val="副标题 Char"/>
    <w:link w:val="1359"/>
    <w:uiPriority w:val="0"/>
    <w:qFormat/>
    <w:rPr>
      <w:rFonts w:ascii="Cambria" w:hAnsi="Cambria" w:eastAsia="宋体"/>
      <w:b/>
      <w:bCs/>
      <w:sz w:val="32"/>
      <w:szCs w:val="32"/>
      <w:lang w:val="en-US" w:eastAsia="zh-CN" w:bidi="ar-SA"/>
    </w:rPr>
  </w:style>
  <w:style w:type="paragraph" w:styleId="1361" w:customStyle="1">
    <w:name w:val="列表1"/>
    <w:basedOn w:val="1104"/>
    <w:uiPriority w:val="99"/>
    <w:qFormat/>
    <w:pPr>
      <w:ind w:left="200" w:hanging="200"/>
    </w:pPr>
    <w:rPr>
      <w:szCs w:val="24"/>
    </w:rPr>
  </w:style>
  <w:style w:type="paragraph" w:styleId="1362" w:customStyle="1">
    <w:name w:val="目录 61"/>
    <w:basedOn w:val="1104"/>
    <w:next w:val="1104"/>
    <w:uiPriority w:val="39"/>
    <w:qFormat/>
    <w:pPr>
      <w:ind w:left="1050"/>
      <w:jc w:val="left"/>
    </w:pPr>
    <w:rPr>
      <w:szCs w:val="21"/>
    </w:rPr>
  </w:style>
  <w:style w:type="paragraph" w:styleId="1363" w:customStyle="1">
    <w:name w:val="正文文本缩进 31"/>
    <w:basedOn w:val="1104"/>
    <w:link w:val="1364"/>
    <w:uiPriority w:val="0"/>
    <w:qFormat/>
    <w:pPr>
      <w:ind w:firstLine="555"/>
    </w:pPr>
    <w:rPr>
      <w:b/>
      <w:bCs/>
      <w:sz w:val="28"/>
      <w:u w:val="single"/>
    </w:rPr>
  </w:style>
  <w:style w:type="character" w:styleId="1364" w:customStyle="1">
    <w:name w:val="正文文本缩进 3 Char"/>
    <w:link w:val="1363"/>
    <w:uiPriority w:val="0"/>
    <w:qFormat/>
    <w:rPr>
      <w:b/>
      <w:bCs/>
      <w:sz w:val="28"/>
      <w:u w:val="single"/>
    </w:rPr>
  </w:style>
  <w:style w:type="paragraph" w:styleId="1365" w:customStyle="1">
    <w:name w:val="索引 71"/>
    <w:basedOn w:val="1104"/>
    <w:next w:val="1104"/>
    <w:uiPriority w:val="0"/>
    <w:semiHidden/>
    <w:qFormat/>
    <w:pPr>
      <w:ind w:left="1200"/>
    </w:pPr>
  </w:style>
  <w:style w:type="paragraph" w:styleId="1366" w:customStyle="1">
    <w:name w:val="索引 91"/>
    <w:basedOn w:val="1104"/>
    <w:next w:val="1104"/>
    <w:uiPriority w:val="0"/>
    <w:semiHidden/>
    <w:qFormat/>
    <w:pPr>
      <w:ind w:left="1600"/>
    </w:pPr>
  </w:style>
  <w:style w:type="paragraph" w:styleId="1367" w:customStyle="1">
    <w:name w:val="图表目录1"/>
    <w:basedOn w:val="1104"/>
    <w:next w:val="1104"/>
    <w:uiPriority w:val="0"/>
    <w:semiHidden/>
    <w:qFormat/>
    <w:pPr>
      <w:ind w:left="840" w:hanging="420"/>
    </w:pPr>
  </w:style>
  <w:style w:type="paragraph" w:styleId="1368" w:customStyle="1">
    <w:name w:val="目录 21"/>
    <w:basedOn w:val="1104"/>
    <w:next w:val="1104"/>
    <w:uiPriority w:val="39"/>
    <w:qFormat/>
    <w:pPr>
      <w:ind w:left="250"/>
      <w:jc w:val="left"/>
      <w:spacing w:line="400" w:lineRule="exact"/>
      <w:tabs>
        <w:tab w:val="right" w:pos="9450" w:leader="dot"/>
      </w:tabs>
    </w:pPr>
    <w:rPr>
      <w:bCs/>
      <w:smallCaps/>
      <w:sz w:val="24"/>
      <w:szCs w:val="24"/>
    </w:rPr>
  </w:style>
  <w:style w:type="paragraph" w:styleId="1369" w:customStyle="1">
    <w:name w:val="目录 91"/>
    <w:basedOn w:val="1104"/>
    <w:next w:val="1104"/>
    <w:uiPriority w:val="0"/>
    <w:qFormat/>
    <w:pPr>
      <w:ind w:left="1680"/>
      <w:jc w:val="left"/>
    </w:pPr>
    <w:rPr>
      <w:szCs w:val="21"/>
    </w:rPr>
  </w:style>
  <w:style w:type="paragraph" w:styleId="1370" w:customStyle="1">
    <w:name w:val="正文文本 21"/>
    <w:basedOn w:val="1104"/>
    <w:link w:val="1371"/>
    <w:uiPriority w:val="0"/>
    <w:qFormat/>
    <w:pPr>
      <w:spacing w:after="120" w:line="480" w:lineRule="auto"/>
    </w:pPr>
  </w:style>
  <w:style w:type="character" w:styleId="1371" w:customStyle="1">
    <w:name w:val="正文文本 2 Char"/>
    <w:link w:val="1370"/>
    <w:uiPriority w:val="0"/>
    <w:qFormat/>
    <w:rPr>
      <w:sz w:val="21"/>
    </w:rPr>
  </w:style>
  <w:style w:type="paragraph" w:styleId="1372" w:customStyle="1">
    <w:name w:val="HTML 预设格式1"/>
    <w:basedOn w:val="1104"/>
    <w:link w:val="13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373" w:customStyle="1">
    <w:name w:val="HTML 预设格式 Char"/>
    <w:link w:val="1372"/>
    <w:uiPriority w:val="0"/>
    <w:qFormat/>
    <w:rPr>
      <w:rFonts w:ascii="黑体" w:hAnsi="Courier New" w:eastAsia="黑体" w:cs="Times New Roman"/>
      <w:szCs w:val="24"/>
    </w:rPr>
  </w:style>
  <w:style w:type="paragraph" w:styleId="1374" w:customStyle="1">
    <w:name w:val="普通(网站)1"/>
    <w:basedOn w:val="1104"/>
    <w:uiPriority w:val="99"/>
    <w:unhideWhenUsed/>
    <w:qFormat/>
    <w:pPr>
      <w:jc w:val="left"/>
      <w:spacing w:before="100" w:beforeAutospacing="1" w:after="100" w:afterAutospacing="1"/>
      <w:widowControl/>
    </w:pPr>
    <w:rPr>
      <w:rFonts w:ascii="宋体" w:hAnsi="宋体" w:eastAsia="楷体_GB2312" w:cs="宋体"/>
      <w:sz w:val="24"/>
    </w:rPr>
  </w:style>
  <w:style w:type="paragraph" w:styleId="1375" w:customStyle="1">
    <w:name w:val="索引 21"/>
    <w:basedOn w:val="1104"/>
    <w:next w:val="1104"/>
    <w:uiPriority w:val="0"/>
    <w:semiHidden/>
    <w:qFormat/>
    <w:pPr>
      <w:ind w:left="200"/>
    </w:pPr>
  </w:style>
  <w:style w:type="paragraph" w:styleId="1376" w:customStyle="1">
    <w:name w:val="标题1"/>
    <w:basedOn w:val="1104"/>
    <w:next w:val="1104"/>
    <w:link w:val="1377"/>
    <w:uiPriority w:val="0"/>
    <w:qFormat/>
    <w:pPr>
      <w:jc w:val="center"/>
      <w:spacing w:before="240" w:after="60"/>
      <w:outlineLvl w:val="0"/>
    </w:pPr>
    <w:rPr>
      <w:rFonts w:ascii="Cambria" w:hAnsi="Cambria"/>
      <w:b/>
      <w:bCs/>
      <w:sz w:val="32"/>
      <w:szCs w:val="32"/>
    </w:rPr>
  </w:style>
  <w:style w:type="character" w:styleId="1377" w:customStyle="1">
    <w:name w:val="标题 Char"/>
    <w:link w:val="1376"/>
    <w:uiPriority w:val="0"/>
    <w:qFormat/>
    <w:rPr>
      <w:rFonts w:ascii="Cambria" w:hAnsi="Cambria" w:eastAsia="宋体"/>
      <w:b/>
      <w:bCs/>
      <w:sz w:val="32"/>
      <w:szCs w:val="32"/>
      <w:lang w:val="en-US" w:eastAsia="zh-CN" w:bidi="ar-SA"/>
    </w:rPr>
  </w:style>
  <w:style w:type="paragraph" w:styleId="1378" w:customStyle="1">
    <w:name w:val="批注主题1"/>
    <w:basedOn w:val="1331"/>
    <w:next w:val="1331"/>
    <w:link w:val="1379"/>
    <w:uiPriority w:val="0"/>
    <w:qFormat/>
    <w:rPr>
      <w:rFonts w:eastAsia="楷体_GB2312"/>
      <w:b/>
      <w:bCs/>
      <w:sz w:val="26"/>
    </w:rPr>
  </w:style>
  <w:style w:type="character" w:styleId="1379" w:customStyle="1">
    <w:name w:val="批注主题 Char"/>
    <w:link w:val="1378"/>
    <w:uiPriority w:val="0"/>
    <w:qFormat/>
    <w:rPr>
      <w:rFonts w:ascii="Calibri" w:hAnsi="Calibri" w:eastAsia="楷体_GB2312"/>
      <w:b/>
      <w:bCs/>
      <w:sz w:val="26"/>
      <w:szCs w:val="22"/>
    </w:rPr>
  </w:style>
  <w:style w:type="paragraph" w:styleId="1380" w:customStyle="1">
    <w:name w:val="正文首行缩进1"/>
    <w:basedOn w:val="1336"/>
    <w:uiPriority w:val="0"/>
    <w:qFormat/>
    <w:pPr>
      <w:ind w:firstLine="420"/>
      <w:spacing w:after="120" w:line="240" w:lineRule="auto"/>
      <w:tabs>
        <w:tab w:val="left" w:pos="5250" w:leader="none"/>
      </w:tabs>
    </w:pPr>
    <w:rPr>
      <w:sz w:val="21"/>
    </w:rPr>
  </w:style>
  <w:style w:type="paragraph" w:styleId="1381" w:customStyle="1">
    <w:name w:val="正文首行缩进 21"/>
    <w:basedOn w:val="1149"/>
    <w:uiPriority w:val="99"/>
    <w:qFormat/>
    <w:pPr>
      <w:ind w:firstLine="420"/>
    </w:pPr>
  </w:style>
  <w:style w:type="table" w:styleId="1382" w:customStyle="1">
    <w:name w:val="网格型1"/>
    <w:basedOn w:val="1308"/>
    <w:uiPriority w:val="0"/>
    <w:qFormat/>
    <w:pPr>
      <w:jc w:val="both"/>
      <w:widowControl w:val="off"/>
    </w:pPr>
    <w:tblPr/>
  </w:style>
  <w:style w:type="character" w:styleId="1383" w:customStyle="1">
    <w:name w:val="要点1"/>
    <w:link w:val="1104"/>
    <w:uiPriority w:val="0"/>
    <w:qFormat/>
    <w:rPr>
      <w:b/>
      <w:bCs/>
    </w:rPr>
  </w:style>
  <w:style w:type="character" w:styleId="1384" w:customStyle="1">
    <w:name w:val="页码1"/>
    <w:link w:val="1104"/>
    <w:uiPriority w:val="99"/>
    <w:qFormat/>
  </w:style>
  <w:style w:type="character" w:styleId="1385" w:customStyle="1">
    <w:name w:val="已访问的超链接1"/>
    <w:link w:val="1104"/>
    <w:uiPriority w:val="99"/>
    <w:qFormat/>
    <w:rPr>
      <w:color w:val="333333"/>
      <w:u w:val="none"/>
    </w:rPr>
  </w:style>
  <w:style w:type="character" w:styleId="1386" w:customStyle="1">
    <w:name w:val="强调1"/>
    <w:link w:val="1104"/>
    <w:uiPriority w:val="20"/>
    <w:qFormat/>
    <w:rPr>
      <w:i/>
      <w:iCs/>
    </w:rPr>
  </w:style>
  <w:style w:type="character" w:styleId="1387" w:customStyle="1">
    <w:name w:val="HTML 打字机1"/>
    <w:link w:val="1104"/>
    <w:uiPriority w:val="0"/>
    <w:qFormat/>
    <w:rPr>
      <w:rFonts w:ascii="黑体" w:hAnsi="Courier New" w:eastAsia="黑体"/>
      <w:sz w:val="14"/>
    </w:rPr>
  </w:style>
  <w:style w:type="character" w:styleId="1388" w:customStyle="1">
    <w:name w:val="超链接1"/>
    <w:link w:val="1104"/>
    <w:uiPriority w:val="99"/>
    <w:qFormat/>
    <w:rPr>
      <w:color w:val="333333"/>
      <w:u w:val="none"/>
    </w:rPr>
  </w:style>
  <w:style w:type="character" w:styleId="1389" w:customStyle="1">
    <w:name w:val="批注引用1"/>
    <w:link w:val="1104"/>
    <w:uiPriority w:val="0"/>
    <w:qFormat/>
    <w:rPr>
      <w:sz w:val="21"/>
      <w:szCs w:val="21"/>
    </w:rPr>
  </w:style>
  <w:style w:type="character" w:styleId="1390" w:customStyle="1">
    <w:name w:val="apple-converted-space"/>
    <w:link w:val="1104"/>
    <w:uiPriority w:val="0"/>
    <w:qFormat/>
  </w:style>
  <w:style w:type="character" w:styleId="1391" w:customStyle="1">
    <w:name w:val="font81"/>
    <w:link w:val="1104"/>
    <w:uiPriority w:val="0"/>
    <w:qFormat/>
    <w:rPr>
      <w:rFonts w:hint="eastAsia" w:ascii="宋体" w:hAnsi="宋体" w:eastAsia="宋体" w:cs="宋体"/>
      <w:b/>
      <w:color w:val="000000"/>
      <w:sz w:val="18"/>
      <w:szCs w:val="18"/>
      <w:u w:val="none"/>
    </w:rPr>
  </w:style>
  <w:style w:type="character" w:styleId="1392" w:customStyle="1">
    <w:name w:val="font41"/>
    <w:link w:val="1104"/>
    <w:uiPriority w:val="0"/>
    <w:qFormat/>
    <w:rPr>
      <w:rFonts w:hint="eastAsia" w:ascii="宋体" w:hAnsi="宋体" w:eastAsia="宋体" w:cs="宋体"/>
      <w:color w:val="000000"/>
      <w:sz w:val="24"/>
      <w:szCs w:val="24"/>
      <w:u w:val="none"/>
    </w:rPr>
  </w:style>
  <w:style w:type="character" w:styleId="1393" w:customStyle="1">
    <w:name w:val="font11"/>
    <w:link w:val="1104"/>
    <w:uiPriority w:val="0"/>
    <w:qFormat/>
    <w:rPr>
      <w:rFonts w:hint="eastAsia" w:ascii="宋体" w:hAnsi="宋体" w:eastAsia="宋体" w:cs="宋体"/>
      <w:color w:val="000000"/>
      <w:sz w:val="20"/>
      <w:szCs w:val="20"/>
      <w:u w:val="none"/>
    </w:rPr>
  </w:style>
  <w:style w:type="character" w:styleId="1394" w:customStyle="1">
    <w:name w:val="明显强调1"/>
    <w:link w:val="1104"/>
    <w:uiPriority w:val="21"/>
    <w:qFormat/>
    <w:rPr>
      <w:b/>
      <w:bCs/>
      <w:i/>
      <w:iCs/>
      <w:color w:val="4f81bd"/>
    </w:rPr>
  </w:style>
  <w:style w:type="character" w:styleId="1395" w:customStyle="1">
    <w:name w:val="_标题3 Char"/>
    <w:link w:val="1396"/>
    <w:uiPriority w:val="0"/>
    <w:qFormat/>
    <w:rPr>
      <w:rFonts w:ascii="Calibri" w:hAnsi="Calibri" w:eastAsia="宋体" w:cs="Times New Roman"/>
      <w:b/>
      <w:sz w:val="28"/>
      <w:szCs w:val="21"/>
    </w:rPr>
  </w:style>
  <w:style w:type="paragraph" w:styleId="1396" w:customStyle="1">
    <w:name w:val="_标题3"/>
    <w:basedOn w:val="1104"/>
    <w:next w:val="1104"/>
    <w:link w:val="1395"/>
    <w:uiPriority w:val="0"/>
    <w:qFormat/>
    <w:pPr>
      <w:jc w:val="left"/>
      <w:keepNext/>
      <w:spacing w:line="360" w:lineRule="auto"/>
      <w:outlineLvl w:val="2"/>
    </w:pPr>
    <w:rPr>
      <w:rFonts w:ascii="Calibri" w:hAnsi="Calibri"/>
      <w:b/>
      <w:sz w:val="28"/>
      <w:szCs w:val="21"/>
    </w:rPr>
  </w:style>
  <w:style w:type="character" w:styleId="1397" w:customStyle="1">
    <w:name w:val="font111"/>
    <w:link w:val="1104"/>
    <w:uiPriority w:val="0"/>
    <w:qFormat/>
    <w:rPr>
      <w:rFonts w:hint="eastAsia" w:ascii="宋体" w:hAnsi="宋体" w:eastAsia="宋体" w:cs="宋体"/>
      <w:color w:val="000000"/>
      <w:sz w:val="18"/>
      <w:szCs w:val="18"/>
      <w:u w:val="none"/>
    </w:rPr>
  </w:style>
  <w:style w:type="character" w:styleId="1398" w:customStyle="1">
    <w:name w:val="ih151"/>
    <w:link w:val="1104"/>
    <w:uiPriority w:val="0"/>
    <w:qFormat/>
    <w:rPr>
      <w:color w:val="666666"/>
      <w:sz w:val="18"/>
      <w:szCs w:val="18"/>
      <w:u w:val="none"/>
    </w:rPr>
  </w:style>
  <w:style w:type="character" w:styleId="1399" w:customStyle="1">
    <w:name w:val="无间隔 Char"/>
    <w:link w:val="1400"/>
    <w:uiPriority w:val="1"/>
    <w:qFormat/>
    <w:rPr>
      <w:sz w:val="22"/>
      <w:szCs w:val="22"/>
      <w:lang w:val="en-US" w:eastAsia="zh-CN" w:bidi="ar-SA"/>
    </w:rPr>
  </w:style>
  <w:style w:type="paragraph" w:styleId="1400" w:customStyle="1">
    <w:name w:val="无间隔1"/>
    <w:link w:val="1399"/>
    <w:uiPriority w:val="1"/>
    <w:qFormat/>
    <w:rPr>
      <w:rFonts w:hint="default" w:ascii="Times New Roman" w:hAnsi="Times New Roman" w:eastAsia="宋体" w:cs="Times New Roman"/>
      <w:sz w:val="22"/>
      <w:szCs w:val="22"/>
      <w:lang w:val="en-US" w:eastAsia="zh-CN" w:bidi="ar-SA"/>
    </w:rPr>
  </w:style>
  <w:style w:type="character" w:styleId="1401" w:customStyle="1">
    <w:name w:val="方案正文 Char"/>
    <w:link w:val="1402"/>
    <w:uiPriority w:val="0"/>
    <w:qFormat/>
    <w:rPr>
      <w:sz w:val="24"/>
    </w:rPr>
  </w:style>
  <w:style w:type="paragraph" w:styleId="1402" w:customStyle="1">
    <w:name w:val="方案正文"/>
    <w:basedOn w:val="1104"/>
    <w:link w:val="1401"/>
    <w:uiPriority w:val="0"/>
    <w:qFormat/>
    <w:pPr>
      <w:spacing w:line="440" w:lineRule="atLeast"/>
    </w:pPr>
    <w:rPr>
      <w:sz w:val="24"/>
    </w:rPr>
  </w:style>
  <w:style w:type="character" w:styleId="1403" w:customStyle="1">
    <w:name w:val="font31"/>
    <w:link w:val="1104"/>
    <w:uiPriority w:val="0"/>
    <w:qFormat/>
    <w:rPr>
      <w:rFonts w:hint="eastAsia" w:ascii="黑体" w:eastAsia="黑体" w:cs="黑体"/>
      <w:color w:val="000000"/>
      <w:sz w:val="20"/>
      <w:szCs w:val="20"/>
      <w:u w:val="none"/>
    </w:rPr>
  </w:style>
  <w:style w:type="character" w:styleId="1404" w:customStyle="1">
    <w:name w:val="正文2 字符"/>
    <w:link w:val="1405"/>
    <w:uiPriority w:val="0"/>
    <w:qFormat/>
    <w:rPr>
      <w:sz w:val="24"/>
      <w:szCs w:val="24"/>
    </w:rPr>
  </w:style>
  <w:style w:type="paragraph" w:styleId="1405" w:customStyle="1">
    <w:name w:val="正文2"/>
    <w:basedOn w:val="1104"/>
    <w:link w:val="1404"/>
    <w:uiPriority w:val="0"/>
    <w:qFormat/>
    <w:pPr>
      <w:ind w:firstLine="420"/>
      <w:spacing w:line="360" w:lineRule="auto"/>
    </w:pPr>
    <w:rPr>
      <w:sz w:val="24"/>
      <w:szCs w:val="24"/>
    </w:rPr>
  </w:style>
  <w:style w:type="character" w:styleId="1406" w:customStyle="1">
    <w:name w:val="纯文本 Char"/>
    <w:link w:val="1104"/>
    <w:uiPriority w:val="0"/>
    <w:qFormat/>
    <w:rPr>
      <w:rFonts w:ascii="宋体" w:hAnsi="Courier New" w:eastAsia="楷体_GB2312"/>
      <w:sz w:val="28"/>
      <w:lang w:val="en-US" w:eastAsia="zh-CN" w:bidi="ar-SA"/>
    </w:rPr>
  </w:style>
  <w:style w:type="character" w:styleId="1407" w:customStyle="1">
    <w:name w:val="Plain Text Char Char"/>
    <w:link w:val="1125"/>
    <w:uiPriority w:val="0"/>
    <w:qFormat/>
    <w:rPr>
      <w:rFonts w:ascii="宋体" w:hAnsi="Courier New" w:eastAsia="楷体_GB2312"/>
      <w:sz w:val="26"/>
    </w:rPr>
  </w:style>
  <w:style w:type="character" w:styleId="1408" w:customStyle="1">
    <w:name w:val="正文缩进 Char1"/>
    <w:link w:val="1104"/>
    <w:uiPriority w:val="0"/>
    <w:qFormat/>
    <w:rPr>
      <w:rFonts w:eastAsia="楷体_GB2312"/>
      <w:sz w:val="24"/>
    </w:rPr>
  </w:style>
  <w:style w:type="character" w:styleId="1409" w:customStyle="1">
    <w:name w:val="Body Text Char"/>
    <w:link w:val="1104"/>
    <w:uiPriority w:val="0"/>
    <w:qFormat/>
    <w:rPr>
      <w:rFonts w:ascii="楷体_GB2312" w:hAnsi="Arial" w:eastAsia="楷体_GB2312" w:cs="Times New Roman"/>
      <w:sz w:val="28"/>
      <w:szCs w:val="20"/>
    </w:rPr>
  </w:style>
  <w:style w:type="character" w:styleId="1410" w:customStyle="1">
    <w:name w:val="列出段落 Char"/>
    <w:link w:val="1411"/>
    <w:uiPriority w:val="34"/>
    <w:qFormat/>
    <w:rPr>
      <w:rFonts w:ascii="Calibri" w:hAnsi="Calibri"/>
      <w:sz w:val="24"/>
    </w:rPr>
  </w:style>
  <w:style w:type="paragraph" w:styleId="1411" w:customStyle="1">
    <w:name w:val="列出段落"/>
    <w:basedOn w:val="1104"/>
    <w:link w:val="1410"/>
    <w:uiPriority w:val="34"/>
    <w:qFormat/>
    <w:pPr>
      <w:ind w:firstLine="420"/>
      <w:spacing w:line="360" w:lineRule="auto"/>
    </w:pPr>
    <w:rPr>
      <w:rFonts w:ascii="Calibri" w:hAnsi="Calibri"/>
      <w:sz w:val="24"/>
    </w:rPr>
  </w:style>
  <w:style w:type="character" w:styleId="1412" w:customStyle="1">
    <w:name w:val="页脚 Char"/>
    <w:basedOn w:val="1307"/>
    <w:link w:val="1104"/>
    <w:uiPriority w:val="99"/>
    <w:qFormat/>
    <w:rPr>
      <w:lang w:eastAsia="zh-CN"/>
    </w:rPr>
  </w:style>
  <w:style w:type="character" w:styleId="1413" w:customStyle="1">
    <w:name w:val="Plain Text Char"/>
    <w:link w:val="1104"/>
    <w:uiPriority w:val="0"/>
    <w:qFormat/>
    <w:rPr>
      <w:rFonts w:ascii="宋体" w:hAnsi="Courier New" w:eastAsia="楷体_GB2312"/>
      <w:sz w:val="26"/>
    </w:rPr>
  </w:style>
  <w:style w:type="character" w:styleId="1414" w:customStyle="1">
    <w:name w:val="不明显强调1"/>
    <w:link w:val="1104"/>
    <w:uiPriority w:val="19"/>
    <w:qFormat/>
    <w:rPr>
      <w:i/>
      <w:iCs/>
      <w:color w:val="808080"/>
    </w:rPr>
  </w:style>
  <w:style w:type="character" w:styleId="1415" w:customStyle="1">
    <w:name w:val="王兴华的论文正文 Char"/>
    <w:link w:val="1416"/>
    <w:uiPriority w:val="0"/>
    <w:qFormat/>
    <w:rPr>
      <w:rFonts w:eastAsia="宋体"/>
      <w:sz w:val="24"/>
      <w:szCs w:val="24"/>
      <w:lang w:val="en-US" w:eastAsia="zh-CN" w:bidi="ar-SA"/>
    </w:rPr>
  </w:style>
  <w:style w:type="paragraph" w:styleId="1416" w:customStyle="1">
    <w:name w:val="王兴华的论文正文"/>
    <w:basedOn w:val="1326"/>
    <w:link w:val="1415"/>
    <w:uiPriority w:val="0"/>
    <w:qFormat/>
    <w:pPr>
      <w:ind w:firstLine="200"/>
      <w:spacing w:line="360" w:lineRule="auto"/>
    </w:pPr>
    <w:rPr>
      <w:sz w:val="24"/>
      <w:szCs w:val="24"/>
      <w:lang w:val="en-US" w:eastAsia="zh-CN"/>
    </w:rPr>
  </w:style>
  <w:style w:type="character" w:styleId="1417" w:customStyle="1">
    <w:name w:val="font161"/>
    <w:link w:val="1104"/>
    <w:uiPriority w:val="0"/>
    <w:qFormat/>
    <w:rPr>
      <w:rFonts w:hint="eastAsia" w:ascii="宋体" w:hAnsi="宋体" w:eastAsia="宋体" w:cs="宋体"/>
      <w:color w:val="000000"/>
      <w:sz w:val="20"/>
      <w:szCs w:val="20"/>
      <w:u w:val="none"/>
    </w:rPr>
  </w:style>
  <w:style w:type="character" w:styleId="1418" w:customStyle="1">
    <w:name w:val="font71"/>
    <w:link w:val="1104"/>
    <w:uiPriority w:val="0"/>
    <w:qFormat/>
    <w:rPr>
      <w:rFonts w:hint="eastAsia" w:ascii="宋体" w:hAnsi="宋体" w:eastAsia="宋体" w:cs="宋体"/>
      <w:color w:val="000000"/>
      <w:sz w:val="18"/>
      <w:szCs w:val="18"/>
      <w:u w:val="none"/>
    </w:rPr>
  </w:style>
  <w:style w:type="character" w:styleId="1419" w:customStyle="1">
    <w:name w:val="font122"/>
    <w:link w:val="1104"/>
    <w:uiPriority w:val="0"/>
    <w:qFormat/>
    <w:rPr>
      <w:rFonts w:ascii="Calibri" w:hAnsi="Calibri" w:cs="Calibri"/>
      <w:color w:val="000000"/>
      <w:sz w:val="18"/>
      <w:szCs w:val="18"/>
      <w:u w:val="none"/>
    </w:rPr>
  </w:style>
  <w:style w:type="character" w:styleId="1420" w:customStyle="1">
    <w:name w:val="font01"/>
    <w:link w:val="1104"/>
    <w:uiPriority w:val="0"/>
    <w:qFormat/>
    <w:rPr>
      <w:rFonts w:hint="eastAsia" w:ascii="宋体" w:hAnsi="宋体" w:eastAsia="宋体" w:cs="宋体"/>
      <w:color w:val="000000"/>
      <w:sz w:val="24"/>
      <w:szCs w:val="24"/>
      <w:u w:val="none"/>
    </w:rPr>
  </w:style>
  <w:style w:type="character" w:styleId="1421" w:customStyle="1">
    <w:name w:val="font22"/>
    <w:link w:val="1104"/>
    <w:uiPriority w:val="0"/>
    <w:qFormat/>
    <w:rPr>
      <w:rFonts w:hint="eastAsia" w:ascii="宋体" w:hAnsi="宋体" w:eastAsia="宋体" w:cs="宋体"/>
      <w:color w:val="000000"/>
      <w:sz w:val="21"/>
      <w:szCs w:val="21"/>
      <w:u w:val="none"/>
    </w:rPr>
  </w:style>
  <w:style w:type="character" w:styleId="1422" w:customStyle="1">
    <w:name w:val="列出段落 字符"/>
    <w:link w:val="1423"/>
    <w:uiPriority w:val="34"/>
    <w:qFormat/>
    <w:rPr>
      <w:sz w:val="21"/>
      <w:szCs w:val="24"/>
    </w:rPr>
  </w:style>
  <w:style w:type="paragraph" w:styleId="1423" w:customStyle="1">
    <w:name w:val="列出段落1"/>
    <w:basedOn w:val="1104"/>
    <w:link w:val="1422"/>
    <w:uiPriority w:val="34"/>
    <w:qFormat/>
    <w:pPr>
      <w:ind w:firstLine="420"/>
    </w:pPr>
    <w:rPr>
      <w:szCs w:val="24"/>
    </w:rPr>
  </w:style>
  <w:style w:type="character" w:styleId="1424" w:customStyle="1">
    <w:name w:val="font12"/>
    <w:link w:val="1104"/>
    <w:uiPriority w:val="0"/>
    <w:qFormat/>
    <w:rPr>
      <w:rFonts w:hint="eastAsia" w:ascii="宋体" w:hAnsi="宋体" w:eastAsia="宋体" w:cs="宋体"/>
      <w:color w:val="000000"/>
      <w:sz w:val="20"/>
      <w:szCs w:val="20"/>
      <w:u w:val="none"/>
    </w:rPr>
  </w:style>
  <w:style w:type="paragraph" w:styleId="1425" w:customStyle="1">
    <w:name w:val="正文序号 1"/>
    <w:basedOn w:val="1104"/>
    <w:uiPriority w:val="0"/>
    <w:qFormat/>
    <w:pPr>
      <w:ind w:left="839" w:hanging="419"/>
      <w:spacing w:before="60"/>
      <w:tabs>
        <w:tab w:val="left" w:pos="839" w:leader="none"/>
      </w:tabs>
    </w:pPr>
    <w:rPr>
      <w:szCs w:val="24"/>
    </w:rPr>
  </w:style>
  <w:style w:type="paragraph" w:styleId="1426" w:customStyle="1">
    <w:name w:val="表格正文"/>
    <w:basedOn w:val="1104"/>
    <w:uiPriority w:val="0"/>
    <w:qFormat/>
    <w:rPr>
      <w:rFonts w:ascii="等线" w:hAnsi="等线"/>
      <w:szCs w:val="21"/>
    </w:rPr>
  </w:style>
  <w:style w:type="paragraph" w:styleId="1427" w:customStyle="1">
    <w:name w:val="列表内容"/>
    <w:basedOn w:val="1104"/>
    <w:next w:val="1104"/>
    <w:uiPriority w:val="0"/>
    <w:qFormat/>
    <w:pPr>
      <w:numPr>
        <w:ilvl w:val="0"/>
        <w:numId w:val="2"/>
      </w:numPr>
      <w:jc w:val="left"/>
      <w:widowControl/>
    </w:pPr>
    <w:rPr>
      <w:sz w:val="18"/>
      <w:szCs w:val="24"/>
    </w:rPr>
  </w:style>
  <w:style w:type="paragraph" w:styleId="1428"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1429" w:customStyle="1">
    <w:name w:val="纯文本4"/>
    <w:basedOn w:val="1104"/>
    <w:uiPriority w:val="0"/>
    <w:qFormat/>
    <w:rPr>
      <w:rFonts w:ascii="宋体" w:hAnsi="Courier New" w:eastAsia="楷体_GB2312"/>
      <w:sz w:val="26"/>
    </w:rPr>
  </w:style>
  <w:style w:type="paragraph" w:styleId="1430" w:customStyle="1">
    <w:name w:val="正文序号 3"/>
    <w:basedOn w:val="1104"/>
    <w:uiPriority w:val="0"/>
    <w:qFormat/>
    <w:pPr>
      <w:ind w:left="1259" w:hanging="420"/>
      <w:spacing w:before="60"/>
      <w:tabs>
        <w:tab w:val="left" w:pos="1259" w:leader="none"/>
      </w:tabs>
    </w:pPr>
    <w:rPr>
      <w:szCs w:val="24"/>
    </w:rPr>
  </w:style>
  <w:style w:type="paragraph" w:styleId="1431" w:customStyle="1">
    <w:name w:val="E 正文"/>
    <w:basedOn w:val="1104"/>
    <w:uiPriority w:val="0"/>
    <w:qFormat/>
    <w:pPr>
      <w:ind w:firstLine="200"/>
      <w:jc w:val="left"/>
      <w:spacing w:line="360" w:lineRule="auto"/>
    </w:pPr>
    <w:rPr>
      <w:rFonts w:eastAsia="宋体"/>
      <w:color w:val="000000"/>
      <w:sz w:val="24"/>
    </w:rPr>
  </w:style>
  <w:style w:type="paragraph" w:styleId="1432" w:customStyle="1">
    <w:name w:val="Table Paragraph"/>
    <w:basedOn w:val="1104"/>
    <w:uiPriority w:val="1"/>
    <w:qFormat/>
    <w:rPr>
      <w:rFonts w:ascii="?|??????" w:hAnsi="?|??????" w:eastAsia="?|??????" w:cs="?|??????"/>
    </w:rPr>
  </w:style>
  <w:style w:type="paragraph" w:styleId="1433" w:customStyle="1">
    <w:name w:val="Default Paragraph Font Para Char"/>
    <w:basedOn w:val="1104"/>
    <w:uiPriority w:val="0"/>
    <w:qFormat/>
    <w:pPr>
      <w:jc w:val="left"/>
      <w:spacing w:after="160" w:line="240" w:lineRule="exact"/>
      <w:widowControl/>
    </w:pPr>
  </w:style>
  <w:style w:type="paragraph" w:styleId="1434" w:customStyle="1">
    <w:name w:val="Char"/>
    <w:basedOn w:val="1104"/>
    <w:uiPriority w:val="0"/>
    <w:qFormat/>
    <w:rPr>
      <w:rFonts w:ascii="Tahoma" w:hAnsi="Tahoma"/>
      <w:sz w:val="24"/>
    </w:rPr>
  </w:style>
  <w:style w:type="paragraph" w:styleId="1435" w:customStyle="1">
    <w:name w:val="纯文本12"/>
    <w:basedOn w:val="1104"/>
    <w:uiPriority w:val="0"/>
    <w:qFormat/>
    <w:rPr>
      <w:rFonts w:ascii="宋体" w:hAnsi="Courier New" w:eastAsia="楷体_GB2312"/>
      <w:sz w:val="26"/>
    </w:rPr>
  </w:style>
  <w:style w:type="paragraph" w:styleId="1436"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37" w:customStyle="1">
    <w:name w:val="font0"/>
    <w:basedOn w:val="1104"/>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438" w:customStyle="1">
    <w:name w:val=" Char Char1 Char Char Char Char Char Char Char"/>
    <w:basedOn w:val="1104"/>
    <w:uiPriority w:val="0"/>
    <w:qFormat/>
    <w:rPr>
      <w:rFonts w:ascii="Tahoma" w:hAnsi="Tahoma"/>
      <w:sz w:val="24"/>
    </w:rPr>
  </w:style>
  <w:style w:type="paragraph" w:styleId="1439" w:customStyle="1">
    <w:name w:val="C"/>
    <w:basedOn w:val="1104"/>
    <w:next w:val="1104"/>
    <w:uiPriority w:val="0"/>
    <w:qFormat/>
    <w:pPr>
      <w:numPr>
        <w:ilvl w:val="2"/>
        <w:numId w:val="3"/>
      </w:numPr>
      <w:jc w:val="left"/>
      <w:spacing w:line="360" w:lineRule="auto"/>
      <w:outlineLvl w:val="2"/>
    </w:pPr>
    <w:rPr>
      <w:rFonts w:eastAsia="黑体"/>
      <w:color w:val="000000"/>
      <w:sz w:val="24"/>
    </w:rPr>
  </w:style>
  <w:style w:type="paragraph" w:styleId="1440" w:customStyle="1">
    <w:name w:val="纯文本11"/>
    <w:basedOn w:val="1104"/>
    <w:uiPriority w:val="0"/>
    <w:qFormat/>
    <w:rPr>
      <w:rFonts w:ascii="宋体" w:hAnsi="Courier New" w:eastAsia="楷体_GB2312"/>
      <w:sz w:val="26"/>
    </w:rPr>
  </w:style>
  <w:style w:type="paragraph" w:styleId="1441" w:customStyle="1">
    <w:name w:val="p0"/>
    <w:basedOn w:val="1104"/>
    <w:uiPriority w:val="0"/>
    <w:qFormat/>
    <w:pPr>
      <w:jc w:val="left"/>
      <w:widowControl/>
    </w:pPr>
    <w:rPr>
      <w:rFonts w:eastAsia="宋体"/>
      <w:sz w:val="24"/>
      <w:szCs w:val="24"/>
    </w:rPr>
  </w:style>
  <w:style w:type="paragraph" w:styleId="1442" w:customStyle="1">
    <w:name w:val="段"/>
    <w:next w:val="1104"/>
    <w:uiPriority w:val="0"/>
    <w:qFormat/>
    <w:pPr>
      <w:ind w:firstLine="200"/>
      <w:jc w:val="both"/>
    </w:pPr>
    <w:rPr>
      <w:rFonts w:hint="default" w:ascii="宋体" w:hAnsi="Times New Roman" w:eastAsia="宋体" w:cs="Times New Roman"/>
      <w:sz w:val="21"/>
      <w:lang w:val="en-US" w:eastAsia="zh-CN" w:bidi="ar-SA"/>
    </w:rPr>
  </w:style>
  <w:style w:type="paragraph" w:styleId="1443" w:customStyle="1">
    <w:name w:val="样式1"/>
    <w:basedOn w:val="1104"/>
    <w:uiPriority w:val="0"/>
    <w:qFormat/>
    <w:pPr>
      <w:numPr>
        <w:ilvl w:val="0"/>
        <w:numId w:val="4"/>
      </w:numPr>
    </w:pPr>
    <w:rPr>
      <w:rFonts w:ascii="宋体" w:hAnsi="宋体"/>
      <w:szCs w:val="21"/>
    </w:rPr>
  </w:style>
  <w:style w:type="paragraph" w:styleId="1444" w:customStyle="1">
    <w:name w:val="Char1 Char Char Char"/>
    <w:basedOn w:val="1104"/>
    <w:uiPriority w:val="0"/>
    <w:qFormat/>
    <w:rPr>
      <w:rFonts w:ascii="Tahoma" w:hAnsi="Tahoma"/>
      <w:sz w:val="24"/>
    </w:rPr>
  </w:style>
  <w:style w:type="paragraph" w:styleId="1445" w:customStyle="1">
    <w:name w:val="正文序号 2"/>
    <w:basedOn w:val="1104"/>
    <w:uiPriority w:val="0"/>
    <w:qFormat/>
    <w:pPr>
      <w:ind w:left="1049" w:hanging="420"/>
      <w:spacing w:before="60"/>
      <w:tabs>
        <w:tab w:val="left" w:pos="1049" w:leader="none"/>
      </w:tabs>
    </w:pPr>
    <w:rPr>
      <w:szCs w:val="24"/>
    </w:rPr>
  </w:style>
  <w:style w:type="paragraph" w:styleId="1446" w:customStyle="1">
    <w:name w:val="Plain Text1"/>
    <w:basedOn w:val="1104"/>
    <w:uiPriority w:val="0"/>
    <w:qFormat/>
    <w:rPr>
      <w:rFonts w:ascii="宋体" w:hAnsi="Courier New" w:eastAsia="楷体_GB2312"/>
      <w:sz w:val="28"/>
    </w:rPr>
  </w:style>
  <w:style w:type="paragraph" w:styleId="1447" w:customStyle="1">
    <w:name w:val=" Char"/>
    <w:basedOn w:val="1104"/>
    <w:uiPriority w:val="0"/>
    <w:qFormat/>
    <w:pPr>
      <w:numPr>
        <w:ilvl w:val="0"/>
        <w:numId w:val="5"/>
      </w:numPr>
    </w:pPr>
    <w:rPr>
      <w:sz w:val="24"/>
      <w:szCs w:val="24"/>
    </w:rPr>
  </w:style>
  <w:style w:type="paragraph" w:styleId="1448" w:customStyle="1">
    <w:name w:val="D"/>
    <w:basedOn w:val="1104"/>
    <w:uiPriority w:val="0"/>
    <w:qFormat/>
    <w:pPr>
      <w:numPr>
        <w:ilvl w:val="3"/>
        <w:numId w:val="3"/>
      </w:numPr>
      <w:jc w:val="left"/>
      <w:spacing w:line="360" w:lineRule="auto"/>
      <w:outlineLvl w:val="3"/>
    </w:pPr>
    <w:rPr>
      <w:rFonts w:eastAsia="宋体"/>
      <w:b/>
      <w:sz w:val="22"/>
    </w:rPr>
  </w:style>
  <w:style w:type="paragraph" w:styleId="1449" w:customStyle="1">
    <w:name w:val="style1"/>
    <w:basedOn w:val="1104"/>
    <w:uiPriority w:val="0"/>
    <w:qFormat/>
    <w:pPr>
      <w:jc w:val="left"/>
      <w:spacing w:before="100" w:beforeAutospacing="1" w:after="100" w:afterAutospacing="1"/>
      <w:widowControl/>
    </w:pPr>
    <w:rPr>
      <w:rFonts w:ascii="宋体" w:hAnsi="宋体" w:cs="宋体"/>
      <w:sz w:val="24"/>
      <w:szCs w:val="24"/>
    </w:rPr>
  </w:style>
  <w:style w:type="paragraph" w:styleId="1450" w:customStyle="1">
    <w:name w:val="正文首行缩进两字符"/>
    <w:basedOn w:val="1104"/>
    <w:uiPriority w:val="0"/>
    <w:qFormat/>
    <w:pPr>
      <w:ind w:firstLine="200"/>
      <w:spacing w:line="360" w:lineRule="auto"/>
    </w:pPr>
    <w:rPr>
      <w:szCs w:val="24"/>
    </w:rPr>
  </w:style>
  <w:style w:type="paragraph" w:styleId="1451" w:customStyle="1">
    <w:name w:val="列出段落2"/>
    <w:basedOn w:val="1104"/>
    <w:uiPriority w:val="99"/>
    <w:qFormat/>
    <w:pPr>
      <w:ind w:firstLine="420"/>
    </w:pPr>
    <w:rPr>
      <w:rFonts w:ascii="Calibri" w:hAnsi="Calibri" w:eastAsia="宋体" w:cs="Times New Roman"/>
      <w:sz w:val="28"/>
      <w:szCs w:val="22"/>
    </w:rPr>
  </w:style>
  <w:style w:type="paragraph" w:styleId="1452" w:customStyle="1">
    <w:name w:val="TOC 标题"/>
    <w:basedOn w:val="1298"/>
    <w:next w:val="1104"/>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453" w:customStyle="1">
    <w:name w:val="纯文本3"/>
    <w:basedOn w:val="1104"/>
    <w:uiPriority w:val="0"/>
    <w:qFormat/>
    <w:rPr>
      <w:rFonts w:ascii="宋体" w:hAnsi="Courier New" w:eastAsia="楷体_GB2312"/>
      <w:sz w:val="26"/>
    </w:rPr>
  </w:style>
  <w:style w:type="paragraph" w:styleId="1454" w:customStyle="1">
    <w:name w:val="纯文本1"/>
    <w:basedOn w:val="1104"/>
    <w:uiPriority w:val="0"/>
    <w:qFormat/>
    <w:rPr>
      <w:rFonts w:ascii="宋体" w:hAnsi="Courier New" w:eastAsia="楷体_GB2312"/>
      <w:sz w:val="26"/>
    </w:rPr>
  </w:style>
  <w:style w:type="paragraph" w:styleId="1455"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456" w:customStyle="1">
    <w:name w:val="*正文"/>
    <w:basedOn w:val="1104"/>
    <w:uiPriority w:val="0"/>
    <w:qFormat/>
    <w:pPr>
      <w:ind w:firstLine="200"/>
    </w:pPr>
    <w:rPr>
      <w:rFonts w:ascii="宋体" w:hAnsi="宋体" w:cs="仿宋_GB2312"/>
      <w:sz w:val="22"/>
    </w:rPr>
  </w:style>
  <w:style w:type="paragraph" w:styleId="1457" w:customStyle="1">
    <w:name w:val="正文文本缩进 21"/>
    <w:basedOn w:val="1104"/>
    <w:uiPriority w:val="0"/>
    <w:qFormat/>
    <w:pPr>
      <w:ind w:left="-61" w:firstLine="458"/>
      <w:spacing w:line="360" w:lineRule="auto"/>
    </w:pPr>
    <w:rPr>
      <w:rFonts w:ascii="宋体" w:hAnsi="宋体"/>
      <w:sz w:val="20"/>
    </w:rPr>
  </w:style>
  <w:style w:type="paragraph" w:styleId="1458" w:customStyle="1">
    <w:name w:val=" Char Char Char"/>
    <w:basedOn w:val="1104"/>
    <w:uiPriority w:val="0"/>
    <w:qFormat/>
    <w:pPr>
      <w:numPr>
        <w:ilvl w:val="0"/>
        <w:numId w:val="6"/>
      </w:numPr>
      <w:tabs>
        <w:tab w:val="left" w:pos="1545" w:leader="none"/>
      </w:tabs>
    </w:pPr>
  </w:style>
  <w:style w:type="paragraph" w:styleId="1459" w:customStyle="1">
    <w:name w:val="TOC 标题1"/>
    <w:basedOn w:val="1298"/>
    <w:next w:val="1104"/>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460"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461" w:customStyle="1">
    <w:name w:val="纯文本2"/>
    <w:basedOn w:val="1104"/>
    <w:uiPriority w:val="0"/>
    <w:qFormat/>
    <w:rPr>
      <w:rFonts w:ascii="宋体" w:hAnsi="Courier New" w:eastAsia="楷体_GB2312"/>
      <w:sz w:val="26"/>
    </w:rPr>
  </w:style>
  <w:style w:type="paragraph" w:styleId="1462" w:customStyle="1">
    <w:name w:val="表格形式1"/>
    <w:basedOn w:val="1104"/>
    <w:uiPriority w:val="0"/>
    <w:qFormat/>
    <w:pPr>
      <w:jc w:val="left"/>
      <w:spacing w:line="360" w:lineRule="atLeast"/>
    </w:pPr>
    <w:rPr>
      <w:rFonts w:ascii="宋体" w:eastAsia="仿宋_GB2312"/>
      <w:sz w:val="24"/>
      <w:szCs w:val="24"/>
    </w:rPr>
  </w:style>
  <w:style w:type="paragraph" w:styleId="1463" w:customStyle="1">
    <w:name w:val="Char Char Char"/>
    <w:basedOn w:val="1104"/>
    <w:uiPriority w:val="0"/>
    <w:qFormat/>
    <w:pPr>
      <w:ind w:left="375" w:hanging="375"/>
      <w:tabs>
        <w:tab w:val="left" w:pos="375" w:leader="none"/>
        <w:tab w:val="left" w:pos="1545" w:leader="none"/>
      </w:tabs>
    </w:pPr>
  </w:style>
  <w:style w:type="paragraph" w:styleId="1464" w:customStyle="1">
    <w:name w:val="_Style 4"/>
    <w:basedOn w:val="1104"/>
    <w:uiPriority w:val="34"/>
    <w:qFormat/>
    <w:pPr>
      <w:ind w:firstLine="420"/>
    </w:pPr>
    <w:rPr>
      <w:rFonts w:ascii="Calibri" w:hAnsi="Calibri"/>
      <w:szCs w:val="22"/>
    </w:rPr>
  </w:style>
  <w:style w:type="paragraph" w:styleId="1465" w:customStyle="1">
    <w:name w:val="A"/>
    <w:basedOn w:val="1104"/>
    <w:next w:val="1431"/>
    <w:uiPriority w:val="0"/>
    <w:qFormat/>
    <w:pPr>
      <w:numPr>
        <w:ilvl w:val="0"/>
        <w:numId w:val="3"/>
      </w:numPr>
      <w:jc w:val="center"/>
      <w:spacing w:line="360" w:lineRule="auto"/>
      <w:outlineLvl w:val="0"/>
    </w:pPr>
    <w:rPr>
      <w:rFonts w:eastAsia="黑体"/>
      <w:sz w:val="32"/>
    </w:rPr>
  </w:style>
  <w:style w:type="paragraph" w:styleId="1466" w:customStyle="1">
    <w:name w:val="Char Char Char Char"/>
    <w:basedOn w:val="1309"/>
    <w:uiPriority w:val="0"/>
    <w:qFormat/>
    <w:pPr>
      <w:spacing w:line="360" w:lineRule="auto"/>
    </w:pPr>
    <w:rPr>
      <w:rFonts w:ascii="Tahoma" w:hAnsi="Tahoma"/>
      <w:sz w:val="24"/>
      <w:szCs w:val="24"/>
    </w:rPr>
  </w:style>
  <w:style w:type="paragraph" w:styleId="1467" w:customStyle="1">
    <w:name w:val="B"/>
    <w:basedOn w:val="1104"/>
    <w:next w:val="1448"/>
    <w:uiPriority w:val="0"/>
    <w:qFormat/>
    <w:pPr>
      <w:numPr>
        <w:ilvl w:val="1"/>
        <w:numId w:val="3"/>
      </w:numPr>
      <w:jc w:val="left"/>
      <w:spacing w:line="360" w:lineRule="auto"/>
      <w:outlineLvl w:val="1"/>
    </w:pPr>
    <w:rPr>
      <w:rFonts w:eastAsia="黑体"/>
      <w:sz w:val="28"/>
    </w:rPr>
  </w:style>
  <w:style w:type="paragraph" w:styleId="1468" w:customStyle="1">
    <w:name w:val="xl24"/>
    <w:basedOn w:val="1104"/>
    <w:uiPriority w:val="0"/>
    <w:qFormat/>
    <w:pPr>
      <w:jc w:val="center"/>
      <w:spacing w:before="100" w:beforeAutospacing="1" w:after="100" w:afterAutospacing="1"/>
      <w:widowControl/>
    </w:pPr>
    <w:rPr>
      <w:rFonts w:hint="eastAsia" w:ascii="宋体" w:hAnsi="宋体"/>
      <w:sz w:val="24"/>
      <w:szCs w:val="24"/>
    </w:rPr>
  </w:style>
  <w:style w:type="paragraph" w:styleId="1469"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470" w:customStyle="1">
    <w:name w:val="Plain Text2"/>
    <w:basedOn w:val="1104"/>
    <w:uiPriority w:val="0"/>
    <w:qFormat/>
    <w:rPr>
      <w:rFonts w:ascii="宋体" w:hAnsi="Courier New" w:eastAsia="楷体_GB2312"/>
      <w:sz w:val="28"/>
    </w:rPr>
  </w:style>
  <w:style w:type="paragraph" w:styleId="1471" w:customStyle="1">
    <w:name w:val="首行缩进"/>
    <w:basedOn w:val="1104"/>
    <w:next w:val="1104"/>
    <w:uiPriority w:val="0"/>
    <w:qFormat/>
    <w:pPr>
      <w:ind w:firstLine="480"/>
    </w:pPr>
    <w:rPr>
      <w:lang w:val="zh-CN"/>
    </w:rPr>
  </w:style>
  <w:style w:type="paragraph" w:styleId="1472" w:customStyle="1">
    <w:name w:val="01 章标"/>
    <w:basedOn w:val="1104"/>
    <w:uiPriority w:val="0"/>
    <w:qFormat/>
    <w:pPr>
      <w:ind w:firstLine="883"/>
      <w:jc w:val="center"/>
      <w:outlineLvl w:val="0"/>
    </w:pPr>
    <w:rPr>
      <w:rFonts w:cs="Times New Roman"/>
      <w:b/>
      <w:sz w:val="44"/>
      <w:szCs w:val="44"/>
    </w:rPr>
  </w:style>
  <w:style w:type="paragraph" w:styleId="1473" w:customStyle="1">
    <w:name w:val="NormalIndent"/>
    <w:basedOn w:val="1104"/>
    <w:uiPriority w:val="0"/>
    <w:qFormat/>
    <w:pPr>
      <w:ind w:firstLine="420"/>
      <w:jc w:val="left"/>
      <w:widowControl/>
    </w:pPr>
    <w:rPr>
      <w:rFonts w:ascii="Times New Roman" w:hAnsi="Times New Roman" w:eastAsia="楷体_GB2312" w:cs="Times New Roman"/>
      <w:sz w:val="24"/>
    </w:rPr>
  </w:style>
  <w:style w:type="character" w:styleId="1474" w:customStyle="1">
    <w:name w:val="NormalCharacter"/>
    <w:uiPriority w:val="0"/>
    <w:semiHidden/>
    <w:qFormat/>
  </w:style>
  <w:style w:type="numbering" w:styleId="14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王姝婷</cp:lastModifiedBy>
  <cp:revision>8</cp:revision>
  <dcterms:created xsi:type="dcterms:W3CDTF">2023-03-06T05:58:00Z</dcterms:created>
  <dcterms:modified xsi:type="dcterms:W3CDTF">2026-06-23T01:09:56Z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86E797D6AE794696BB5E1ECB713DB8AF_13</vt:lpwstr>
  </property>
  <property fmtid="{D5CDD505-2E9C-101B-9397-08002B2CF9AE}" pid="4" name="KSOTemplateDocerSaveRecord">
    <vt:lpwstr>eyJoZGlkIjoiZTA2Y2Q1ZWNjNTZmOTVhMDYwNjc1ZGU5YzRkZjA3M2EiLCJ1c2VySWQiOiIyODE5NzI2NzAifQ==</vt:lpwstr>
  </property>
</Properties>
</file>