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6"/>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after="0" w:line="360" w:lineRule="auto"/>
        <w:rPr>
          <w:rFonts w:hint="eastAsia" w:ascii="宋体" w:hAnsi="宋体" w:eastAsia="宋体" w:cs="宋体"/>
          <w:b/>
          <w:color w:val="auto"/>
          <w:spacing w:val="76"/>
          <w:sz w:val="52"/>
          <w:szCs w:val="52"/>
          <w:highlight w:val="none"/>
          <w:lang w:eastAsia="zh-CN"/>
        </w:rPr>
      </w:pPr>
      <w:r>
        <w:rPr>
          <w:rFonts w:hint="eastAsia" w:ascii="宋体" w:hAnsi="宋体" w:eastAsia="宋体" w:cs="宋体"/>
          <w:b/>
          <w:color w:val="auto"/>
          <w:spacing w:val="76"/>
          <w:sz w:val="52"/>
          <w:szCs w:val="52"/>
          <w:highlight w:val="none"/>
          <w:lang w:eastAsia="zh-CN"/>
        </w:rPr>
      </w:r>
      <w:r/>
    </w:p>
    <w:p>
      <w:pPr>
        <w:jc w:val="center"/>
        <w:spacing w:after="0" w:line="360" w:lineRule="auto"/>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lang w:eastAsia="zh-CN"/>
        </w:rPr>
        <w:t xml:space="preserve">招标文件</w:t>
      </w:r>
      <w:r/>
    </w:p>
    <w:p>
      <w:pPr>
        <w:spacing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4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rPr>
      </w:pPr>
      <w:r>
        <w:rPr>
          <w:rFonts w:hint="eastAsia" w:ascii="宋体" w:hAnsi="宋体" w:eastAsia="宋体" w:cs="宋体"/>
        </w:rPr>
      </w:r>
      <w:r/>
    </w:p>
    <w:p>
      <w:pPr>
        <w:ind w:firstLine="1920"/>
        <w:spacing w:after="0"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lang w:eastAsia="zh-CN"/>
        </w:rPr>
      </w:r>
      <w:r/>
    </w:p>
    <w:p>
      <w:pPr>
        <w:ind w:firstLine="1920"/>
        <w:spacing w:after="0"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lang w:eastAsia="zh-CN"/>
        </w:rPr>
        <w:t xml:space="preserve">项目编号：JSZC-320381-ZXXD-G2026-0002    </w:t>
      </w:r>
      <w:r/>
    </w:p>
    <w:p>
      <w:pPr>
        <w:ind w:firstLine="629"/>
        <w:spacing w:after="0"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eastAsia="zh-CN"/>
        </w:rPr>
        <w:t xml:space="preserve">        </w:t>
      </w:r>
      <w:r>
        <w:rPr>
          <w:rFonts w:hint="eastAsia" w:ascii="宋体" w:hAnsi="宋体" w:eastAsia="宋体" w:cs="宋体"/>
          <w:color w:val="auto"/>
          <w:sz w:val="28"/>
          <w:szCs w:val="21"/>
          <w:highlight w:val="none"/>
          <w:lang w:val="en-US" w:eastAsia="zh-CN"/>
        </w:rPr>
        <w:t xml:space="preserve"> </w:t>
      </w:r>
      <w:r/>
    </w:p>
    <w:p>
      <w:pPr>
        <w:ind w:firstLine="1915"/>
        <w:spacing w:after="0"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lang w:eastAsia="zh-CN"/>
        </w:rPr>
        <w:t xml:space="preserve">采 购 人：新沂市公安局 </w:t>
      </w:r>
      <w:r/>
    </w:p>
    <w:p>
      <w:pPr>
        <w:ind w:left="3322" w:hanging="1727"/>
        <w:spacing w:after="0" w:line="360" w:lineRule="auto"/>
        <w:rPr>
          <w:rFonts w:hint="eastAsia" w:ascii="宋体" w:hAnsi="宋体" w:eastAsia="宋体" w:cs="宋体"/>
          <w:color w:val="auto"/>
          <w:sz w:val="28"/>
          <w:szCs w:val="21"/>
          <w:highlight w:val="none"/>
          <w:lang w:val="en-US" w:eastAsia="zh-CN"/>
        </w:rPr>
      </w:pPr>
      <w:r/>
      <w:bookmarkStart w:id="0" w:name="_Toc28594"/>
      <w:r>
        <w:rPr>
          <w:rFonts w:hint="eastAsia" w:ascii="宋体" w:hAnsi="宋体" w:eastAsia="宋体" w:cs="宋体"/>
          <w:color w:val="auto"/>
          <w:sz w:val="28"/>
          <w:szCs w:val="21"/>
          <w:highlight w:val="none"/>
          <w:lang w:val="en-US" w:eastAsia="zh-CN"/>
        </w:rPr>
        <w:t xml:space="preserve"> </w:t>
      </w:r>
      <w:r/>
    </w:p>
    <w:p>
      <w:pPr>
        <w:ind w:left="3322" w:hanging="1727"/>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8"/>
          <w:szCs w:val="21"/>
          <w:highlight w:val="none"/>
          <w:lang w:val="en-US" w:eastAsia="zh-CN"/>
        </w:rPr>
        <w:t xml:space="preserve">  </w:t>
      </w:r>
      <w:r>
        <w:rPr>
          <w:rFonts w:hint="eastAsia" w:ascii="宋体" w:hAnsi="宋体" w:eastAsia="宋体" w:cs="宋体"/>
          <w:color w:val="auto"/>
          <w:sz w:val="28"/>
          <w:szCs w:val="21"/>
          <w:highlight w:val="none"/>
          <w:lang w:eastAsia="zh-CN"/>
        </w:rPr>
        <w:t xml:space="preserve">项目名称：</w:t>
      </w:r>
      <w:bookmarkEnd w:id="0"/>
      <w:r>
        <w:rPr>
          <w:rFonts w:hint="eastAsia" w:ascii="宋体" w:hAnsi="宋体" w:eastAsia="宋体" w:cs="宋体"/>
          <w:color w:val="auto"/>
          <w:sz w:val="28"/>
          <w:szCs w:val="21"/>
          <w:highlight w:val="none"/>
          <w:lang w:eastAsia="zh-CN"/>
        </w:rPr>
        <w:t xml:space="preserve">新沂市公安局图像感知网一期项目</w:t>
      </w:r>
      <w:r/>
    </w:p>
    <w:p>
      <w:pPr>
        <w:pStyle w:val="833"/>
        <w:jc w:val="center"/>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33"/>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3"/>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招标代理单位：江苏中兴迅达工程管理咨询有限公司</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二O二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月</w:t>
      </w:r>
      <w:r/>
    </w:p>
    <w:p>
      <w:pPr>
        <w:pStyle w:val="833"/>
        <w:ind w:left="0" w:firstLine="0"/>
        <w:jc w:val="both"/>
        <w:spacing w:after="0" w:line="360" w:lineRule="auto"/>
        <w:rPr>
          <w:rFonts w:hint="eastAsia" w:ascii="宋体" w:hAnsi="宋体" w:eastAsia="宋体" w:cs="宋体"/>
          <w:b/>
          <w:bCs/>
          <w:color w:val="auto"/>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36"/>
          <w:szCs w:val="36"/>
          <w:highlight w:val="none"/>
        </w:rPr>
      </w:r>
      <w:r/>
    </w:p>
    <w:sdt>
      <w:sdtPr>
        <w15:appearance w15:val="boundingBox"/>
        <w15:color w:val="dbdbdb"/>
        <w:id w:val="147453807"/>
        <w:docPartObj>
          <w:docPartGallery w:val="Table of Contents"/>
          <w:docPartUnique w:val="true"/>
        </w:docPartObj>
        <w:rPr>
          <w:rFonts w:hint="eastAsia" w:ascii="宋体" w:hAnsi="宋体" w:eastAsia="宋体" w:cs="宋体"/>
          <w:color w:val="auto"/>
          <w:sz w:val="21"/>
          <w:highlight w:val="none"/>
        </w:rPr>
      </w:sdtPr>
      <w:sdtContent>
        <w:p>
          <w:pPr>
            <w:ind w:left="0" w:firstLine="0"/>
            <w:jc w:val="center"/>
            <w:spacing w:after="0" w:line="24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目</w:t>
          </w:r>
          <w:r>
            <w:rPr>
              <w:rFonts w:hint="eastAsia" w:ascii="宋体" w:hAnsi="宋体" w:eastAsia="宋体" w:cs="宋体"/>
              <w:color w:val="auto"/>
              <w:sz w:val="44"/>
              <w:szCs w:val="44"/>
              <w:highlight w:val="none"/>
              <w:lang w:eastAsia="zh-CN"/>
            </w:rPr>
            <w:t xml:space="preserve"> </w:t>
          </w:r>
          <w:r>
            <w:rPr>
              <w:rFonts w:hint="eastAsia" w:ascii="宋体" w:hAnsi="宋体" w:eastAsia="宋体" w:cs="宋体"/>
              <w:color w:val="auto"/>
              <w:sz w:val="44"/>
              <w:szCs w:val="44"/>
              <w:highlight w:val="none"/>
            </w:rPr>
            <w:t xml:space="preserve">录</w:t>
          </w:r>
          <w:r/>
        </w:p>
        <w:p>
          <w:pPr>
            <w:ind w:left="0" w:firstLine="0"/>
            <w:jc w:val="center"/>
            <w:spacing w:after="0" w:line="240" w:lineRule="auto"/>
            <w:rPr>
              <w:rFonts w:hint="eastAsia" w:ascii="宋体" w:hAnsi="宋体" w:eastAsia="宋体" w:cs="宋体"/>
              <w:bCs/>
              <w:color w:val="auto"/>
              <w:sz w:val="22"/>
              <w:szCs w:val="28"/>
              <w:highlight w:val="none"/>
              <w:lang w:val="en-US" w:eastAsia="zh-CN" w:bidi="ar-SA"/>
            </w:rPr>
          </w:pPr>
          <w:r>
            <w:rPr>
              <w:rFonts w:hint="eastAsia" w:ascii="宋体" w:hAnsi="宋体" w:eastAsia="宋体" w:cs="宋体"/>
              <w:b/>
              <w:bCs/>
              <w:color w:val="auto"/>
              <w:sz w:val="28"/>
              <w:szCs w:val="28"/>
              <w:highlight w:val="none"/>
              <w:lang w:eastAsia="zh-CN"/>
            </w:rPr>
            <w:fldChar w:fldCharType="begin"/>
          </w:r>
          <w:r>
            <w:rPr>
              <w:rFonts w:hint="eastAsia" w:ascii="宋体" w:hAnsi="宋体" w:eastAsia="宋体" w:cs="宋体"/>
              <w:b/>
              <w:bCs/>
              <w:color w:val="auto"/>
              <w:sz w:val="28"/>
              <w:szCs w:val="28"/>
              <w:highlight w:val="none"/>
              <w:lang w:eastAsia="zh-CN"/>
            </w:rPr>
            <w:instrText xml:space="preserve">TOC \o "1-1" \h \u </w:instrText>
          </w:r>
          <w:r>
            <w:rPr>
              <w:rFonts w:hint="eastAsia" w:ascii="宋体" w:hAnsi="宋体" w:eastAsia="宋体" w:cs="宋体"/>
              <w:b/>
              <w:bCs/>
              <w:color w:val="auto"/>
              <w:sz w:val="28"/>
              <w:szCs w:val="28"/>
              <w:highlight w:val="none"/>
              <w:lang w:eastAsia="zh-CN"/>
            </w:rPr>
            <w:fldChar w:fldCharType="separate"/>
          </w:r>
          <w:r/>
        </w:p>
        <w:p>
          <w:pPr>
            <w:pStyle w:val="842"/>
            <w:keepLines w:val="0"/>
            <w:keepNext w:val="0"/>
            <w:pageBreakBefore w:val="0"/>
            <w:spacing w:line="360" w:lineRule="auto"/>
            <w:widowControl/>
            <w:tabs>
              <w:tab w:val="right" w:pos="8190" w:leader="dot"/>
              <w:tab w:val="right" w:pos="9746" w:leader="dot"/>
            </w:tabs>
            <w:rPr>
              <w:rFonts w:hint="eastAsia" w:ascii="宋体" w:hAnsi="宋体" w:eastAsia="宋体" w:cs="宋体"/>
              <w:sz w:val="28"/>
              <w:szCs w:val="28"/>
            </w:rPr>
          </w:pPr>
          <w:r>
            <w:rPr>
              <w:rFonts w:hint="eastAsia" w:ascii="宋体" w:hAnsi="宋体" w:eastAsia="宋体" w:cs="宋体"/>
              <w:bCs/>
              <w:color w:val="auto"/>
              <w:sz w:val="28"/>
              <w:szCs w:val="28"/>
              <w:highlight w:val="none"/>
              <w:lang w:eastAsia="zh-CN"/>
            </w:rPr>
            <w:fldChar w:fldCharType="begin"/>
          </w:r>
          <w:r>
            <w:rPr>
              <w:rFonts w:hint="eastAsia" w:ascii="宋体" w:hAnsi="宋体" w:eastAsia="宋体" w:cs="宋体"/>
              <w:bCs/>
              <w:sz w:val="28"/>
              <w:szCs w:val="28"/>
              <w:highlight w:val="none"/>
              <w:lang w:eastAsia="zh-CN"/>
            </w:rPr>
            <w:instrText xml:space="preserve"> HYPERLINK \l _Toc19917 </w:instrText>
          </w:r>
          <w:r>
            <w:rPr>
              <w:rFonts w:hint="eastAsia" w:ascii="宋体" w:hAnsi="宋体" w:eastAsia="宋体" w:cs="宋体"/>
              <w:bCs/>
              <w:sz w:val="28"/>
              <w:szCs w:val="28"/>
              <w:highlight w:val="none"/>
              <w:lang w:eastAsia="zh-CN"/>
            </w:rPr>
            <w:fldChar w:fldCharType="separate"/>
          </w:r>
          <w:r>
            <w:rPr>
              <w:rFonts w:hint="eastAsia" w:ascii="宋体" w:hAnsi="宋体" w:eastAsia="宋体" w:cs="宋体"/>
              <w:sz w:val="28"/>
              <w:szCs w:val="28"/>
              <w:highlight w:val="none"/>
              <w:lang w:eastAsia="zh-CN"/>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_Toc19917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lang w:eastAsia="zh-CN"/>
            </w:rPr>
            <w:fldChar w:fldCharType="end"/>
          </w:r>
          <w:r/>
        </w:p>
        <w:p>
          <w:pPr>
            <w:pStyle w:val="842"/>
            <w:keepLines w:val="0"/>
            <w:keepNext w:val="0"/>
            <w:pageBreakBefore w:val="0"/>
            <w:spacing w:line="360" w:lineRule="auto"/>
            <w:widowControl/>
            <w:tabs>
              <w:tab w:val="right" w:pos="8190" w:leader="dot"/>
              <w:tab w:val="right" w:pos="9746" w:leader="dot"/>
            </w:tabs>
            <w:rPr>
              <w:rFonts w:hint="eastAsia" w:ascii="宋体" w:hAnsi="宋体" w:eastAsia="宋体" w:cs="宋体"/>
              <w:sz w:val="28"/>
              <w:szCs w:val="28"/>
            </w:rPr>
          </w:pPr>
          <w:r>
            <w:rPr>
              <w:rFonts w:hint="eastAsia" w:ascii="宋体" w:hAnsi="宋体" w:eastAsia="宋体" w:cs="宋体"/>
              <w:bCs/>
              <w:color w:val="auto"/>
              <w:sz w:val="28"/>
              <w:szCs w:val="28"/>
              <w:highlight w:val="none"/>
              <w:lang w:eastAsia="zh-CN"/>
            </w:rPr>
            <w:fldChar w:fldCharType="begin"/>
          </w:r>
          <w:r>
            <w:rPr>
              <w:rFonts w:hint="eastAsia" w:ascii="宋体" w:hAnsi="宋体" w:eastAsia="宋体" w:cs="宋体"/>
              <w:bCs/>
              <w:sz w:val="28"/>
              <w:szCs w:val="28"/>
              <w:highlight w:val="none"/>
              <w:lang w:eastAsia="zh-CN"/>
            </w:rPr>
            <w:instrText xml:space="preserve"> HYPERLINK \l _Toc3033 </w:instrText>
          </w:r>
          <w:r>
            <w:rPr>
              <w:rFonts w:hint="eastAsia" w:ascii="宋体" w:hAnsi="宋体" w:eastAsia="宋体" w:cs="宋体"/>
              <w:bCs/>
              <w:sz w:val="28"/>
              <w:szCs w:val="28"/>
              <w:highlight w:val="none"/>
              <w:lang w:eastAsia="zh-CN"/>
            </w:rPr>
            <w:fldChar w:fldCharType="separate"/>
          </w:r>
          <w:r>
            <w:rPr>
              <w:rFonts w:hint="eastAsia" w:ascii="宋体" w:hAnsi="宋体" w:eastAsia="宋体" w:cs="宋体"/>
              <w:sz w:val="28"/>
              <w:szCs w:val="28"/>
              <w:highlight w:val="none"/>
              <w:lang w:eastAsia="zh-CN"/>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_Toc3033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lang w:eastAsia="zh-CN"/>
            </w:rPr>
            <w:fldChar w:fldCharType="end"/>
          </w:r>
          <w:r/>
        </w:p>
        <w:p>
          <w:pPr>
            <w:pStyle w:val="842"/>
            <w:keepLines w:val="0"/>
            <w:keepNext w:val="0"/>
            <w:pageBreakBefore w:val="0"/>
            <w:spacing w:line="360" w:lineRule="auto"/>
            <w:widowControl/>
            <w:tabs>
              <w:tab w:val="right" w:pos="8190" w:leader="dot"/>
              <w:tab w:val="right" w:pos="9746" w:leader="dot"/>
            </w:tabs>
            <w:rPr>
              <w:rFonts w:hint="eastAsia" w:ascii="宋体" w:hAnsi="宋体" w:eastAsia="宋体" w:cs="宋体"/>
              <w:sz w:val="28"/>
              <w:szCs w:val="28"/>
            </w:rPr>
          </w:pPr>
          <w:r>
            <w:rPr>
              <w:rFonts w:hint="eastAsia" w:ascii="宋体" w:hAnsi="宋体" w:eastAsia="宋体" w:cs="宋体"/>
              <w:bCs/>
              <w:color w:val="auto"/>
              <w:sz w:val="28"/>
              <w:szCs w:val="28"/>
              <w:highlight w:val="none"/>
              <w:lang w:eastAsia="zh-CN"/>
            </w:rPr>
            <w:fldChar w:fldCharType="begin"/>
          </w:r>
          <w:r>
            <w:rPr>
              <w:rFonts w:hint="eastAsia" w:ascii="宋体" w:hAnsi="宋体" w:eastAsia="宋体" w:cs="宋体"/>
              <w:bCs/>
              <w:sz w:val="28"/>
              <w:szCs w:val="28"/>
              <w:highlight w:val="none"/>
              <w:lang w:eastAsia="zh-CN"/>
            </w:rPr>
            <w:instrText xml:space="preserve"> HYPERLINK \l _Toc21724 </w:instrText>
          </w:r>
          <w:r>
            <w:rPr>
              <w:rFonts w:hint="eastAsia" w:ascii="宋体" w:hAnsi="宋体" w:eastAsia="宋体" w:cs="宋体"/>
              <w:bCs/>
              <w:sz w:val="28"/>
              <w:szCs w:val="28"/>
              <w:highlight w:val="none"/>
              <w:lang w:eastAsia="zh-CN"/>
            </w:rPr>
            <w:fldChar w:fldCharType="separate"/>
          </w:r>
          <w:r>
            <w:rPr>
              <w:rFonts w:hint="eastAsia" w:ascii="宋体" w:hAnsi="宋体" w:eastAsia="宋体" w:cs="宋体"/>
              <w:sz w:val="28"/>
              <w:szCs w:val="28"/>
              <w:highlight w:val="none"/>
              <w:lang w:eastAsia="zh-CN"/>
            </w:rPr>
            <w:t xml:space="preserve">第三章  投标资料表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_Toc21724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lang w:eastAsia="zh-CN"/>
            </w:rPr>
            <w:fldChar w:fldCharType="end"/>
          </w:r>
          <w:r/>
        </w:p>
        <w:p>
          <w:pPr>
            <w:pStyle w:val="842"/>
            <w:keepLines w:val="0"/>
            <w:keepNext w:val="0"/>
            <w:pageBreakBefore w:val="0"/>
            <w:spacing w:line="360" w:lineRule="auto"/>
            <w:widowControl/>
            <w:tabs>
              <w:tab w:val="right" w:pos="8190" w:leader="dot"/>
              <w:tab w:val="right" w:pos="9746" w:leader="dot"/>
            </w:tabs>
            <w:rPr>
              <w:rFonts w:hint="eastAsia" w:ascii="宋体" w:hAnsi="宋体" w:eastAsia="宋体" w:cs="宋体"/>
              <w:sz w:val="28"/>
              <w:szCs w:val="28"/>
            </w:rPr>
          </w:pPr>
          <w:r>
            <w:rPr>
              <w:rFonts w:hint="eastAsia" w:ascii="宋体" w:hAnsi="宋体" w:eastAsia="宋体" w:cs="宋体"/>
              <w:bCs/>
              <w:color w:val="auto"/>
              <w:sz w:val="28"/>
              <w:szCs w:val="28"/>
              <w:highlight w:val="none"/>
              <w:lang w:eastAsia="zh-CN"/>
            </w:rPr>
            <w:fldChar w:fldCharType="begin"/>
          </w:r>
          <w:r>
            <w:rPr>
              <w:rFonts w:hint="eastAsia" w:ascii="宋体" w:hAnsi="宋体" w:eastAsia="宋体" w:cs="宋体"/>
              <w:bCs/>
              <w:sz w:val="28"/>
              <w:szCs w:val="28"/>
              <w:highlight w:val="none"/>
              <w:lang w:eastAsia="zh-CN"/>
            </w:rPr>
            <w:instrText xml:space="preserve"> HYPERLINK \l _Toc30224 </w:instrText>
          </w:r>
          <w:r>
            <w:rPr>
              <w:rFonts w:hint="eastAsia" w:ascii="宋体" w:hAnsi="宋体" w:eastAsia="宋体" w:cs="宋体"/>
              <w:bCs/>
              <w:sz w:val="28"/>
              <w:szCs w:val="28"/>
              <w:highlight w:val="none"/>
              <w:lang w:eastAsia="zh-CN"/>
            </w:rPr>
            <w:fldChar w:fldCharType="separate"/>
          </w:r>
          <w:r>
            <w:rPr>
              <w:rFonts w:hint="eastAsia" w:ascii="宋体" w:hAnsi="宋体" w:eastAsia="宋体" w:cs="宋体"/>
              <w:sz w:val="28"/>
              <w:szCs w:val="28"/>
              <w:highlight w:val="none"/>
            </w:rPr>
            <w:t xml:space="preserve">第四章</w:t>
          </w:r>
          <w:r>
            <w:rPr>
              <w:rFonts w:hint="eastAsia" w:ascii="宋体" w:hAnsi="宋体" w:eastAsia="宋体" w:cs="宋体"/>
              <w:sz w:val="28"/>
              <w:szCs w:val="28"/>
              <w:highlight w:val="none"/>
              <w:lang w:eastAsia="zh-CN"/>
            </w:rPr>
            <w:t xml:space="preserve">  </w:t>
          </w:r>
          <w:r>
            <w:rPr>
              <w:rFonts w:hint="eastAsia" w:ascii="宋体" w:hAnsi="宋体" w:eastAsia="宋体" w:cs="宋体"/>
              <w:sz w:val="28"/>
              <w:szCs w:val="28"/>
              <w:highlight w:val="none"/>
            </w:rPr>
            <w:t xml:space="preserve">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_Toc30224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lang w:eastAsia="zh-CN"/>
            </w:rPr>
            <w:fldChar w:fldCharType="end"/>
          </w:r>
          <w:r/>
        </w:p>
        <w:p>
          <w:pPr>
            <w:pStyle w:val="842"/>
            <w:keepLines w:val="0"/>
            <w:keepNext w:val="0"/>
            <w:pageBreakBefore w:val="0"/>
            <w:spacing w:line="360" w:lineRule="auto"/>
            <w:widowControl/>
            <w:tabs>
              <w:tab w:val="right" w:pos="8190" w:leader="dot"/>
              <w:tab w:val="right" w:pos="9746" w:leader="dot"/>
            </w:tabs>
            <w:rPr>
              <w:rFonts w:hint="eastAsia" w:ascii="宋体" w:hAnsi="宋体" w:eastAsia="宋体" w:cs="宋体"/>
              <w:sz w:val="28"/>
              <w:szCs w:val="28"/>
            </w:rPr>
          </w:pPr>
          <w:r>
            <w:rPr>
              <w:rFonts w:hint="eastAsia" w:ascii="宋体" w:hAnsi="宋体" w:eastAsia="宋体" w:cs="宋体"/>
              <w:bCs/>
              <w:color w:val="auto"/>
              <w:sz w:val="28"/>
              <w:szCs w:val="28"/>
              <w:highlight w:val="none"/>
              <w:lang w:eastAsia="zh-CN"/>
            </w:rPr>
            <w:fldChar w:fldCharType="begin"/>
          </w:r>
          <w:r>
            <w:rPr>
              <w:rFonts w:hint="eastAsia" w:ascii="宋体" w:hAnsi="宋体" w:eastAsia="宋体" w:cs="宋体"/>
              <w:bCs/>
              <w:sz w:val="28"/>
              <w:szCs w:val="28"/>
              <w:highlight w:val="none"/>
              <w:lang w:eastAsia="zh-CN"/>
            </w:rPr>
            <w:instrText xml:space="preserve"> HYPERLINK \l _Toc19623 </w:instrText>
          </w:r>
          <w:r>
            <w:rPr>
              <w:rFonts w:hint="eastAsia" w:ascii="宋体" w:hAnsi="宋体" w:eastAsia="宋体" w:cs="宋体"/>
              <w:bCs/>
              <w:sz w:val="28"/>
              <w:szCs w:val="28"/>
              <w:highlight w:val="none"/>
              <w:lang w:eastAsia="zh-CN"/>
            </w:rPr>
            <w:fldChar w:fldCharType="separate"/>
          </w:r>
          <w:r>
            <w:rPr>
              <w:rFonts w:hint="eastAsia" w:ascii="宋体" w:hAnsi="宋体" w:eastAsia="宋体" w:cs="宋体"/>
              <w:bCs/>
              <w:sz w:val="28"/>
              <w:szCs w:val="28"/>
              <w:highlight w:val="none"/>
            </w:rPr>
            <w:t xml:space="preserve">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_Toc19623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30</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lang w:eastAsia="zh-CN"/>
            </w:rPr>
            <w:fldChar w:fldCharType="end"/>
          </w:r>
          <w:r/>
        </w:p>
        <w:p>
          <w:pPr>
            <w:pStyle w:val="842"/>
            <w:keepLines w:val="0"/>
            <w:keepNext w:val="0"/>
            <w:pageBreakBefore w:val="0"/>
            <w:spacing w:line="360" w:lineRule="auto"/>
            <w:widowControl/>
            <w:tabs>
              <w:tab w:val="right" w:pos="8190" w:leader="dot"/>
              <w:tab w:val="right" w:pos="9746" w:leader="dot"/>
            </w:tabs>
            <w:rPr>
              <w:rFonts w:hint="eastAsia" w:ascii="宋体" w:hAnsi="宋体" w:eastAsia="宋体" w:cs="宋体"/>
              <w:sz w:val="28"/>
              <w:szCs w:val="28"/>
            </w:rPr>
          </w:pPr>
          <w:r>
            <w:rPr>
              <w:rFonts w:hint="eastAsia" w:ascii="宋体" w:hAnsi="宋体" w:eastAsia="宋体" w:cs="宋体"/>
              <w:bCs/>
              <w:color w:val="auto"/>
              <w:sz w:val="28"/>
              <w:szCs w:val="28"/>
              <w:highlight w:val="none"/>
              <w:lang w:eastAsia="zh-CN"/>
            </w:rPr>
            <w:fldChar w:fldCharType="begin"/>
          </w:r>
          <w:r>
            <w:rPr>
              <w:rFonts w:hint="eastAsia" w:ascii="宋体" w:hAnsi="宋体" w:eastAsia="宋体" w:cs="宋体"/>
              <w:bCs/>
              <w:sz w:val="28"/>
              <w:szCs w:val="28"/>
              <w:highlight w:val="none"/>
              <w:lang w:eastAsia="zh-CN"/>
            </w:rPr>
            <w:instrText xml:space="preserve"> HYPERLINK \l _Toc19833 </w:instrText>
          </w:r>
          <w:r>
            <w:rPr>
              <w:rFonts w:hint="eastAsia" w:ascii="宋体" w:hAnsi="宋体" w:eastAsia="宋体" w:cs="宋体"/>
              <w:bCs/>
              <w:sz w:val="28"/>
              <w:szCs w:val="28"/>
              <w:highlight w:val="none"/>
              <w:lang w:eastAsia="zh-CN"/>
            </w:rPr>
            <w:fldChar w:fldCharType="separate"/>
          </w:r>
          <w:r>
            <w:rPr>
              <w:rFonts w:hint="eastAsia" w:ascii="宋体" w:hAnsi="宋体" w:eastAsia="宋体" w:cs="宋体"/>
              <w:sz w:val="28"/>
              <w:szCs w:val="28"/>
              <w:lang w:eastAsia="zh-CN"/>
            </w:rPr>
            <w:t xml:space="preserve">第六章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_Toc19833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47</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lang w:eastAsia="zh-CN"/>
            </w:rPr>
            <w:fldChar w:fldCharType="end"/>
          </w:r>
          <w:r/>
        </w:p>
        <w:p>
          <w:pPr>
            <w:pStyle w:val="842"/>
            <w:keepLines w:val="0"/>
            <w:keepNext w:val="0"/>
            <w:pageBreakBefore w:val="0"/>
            <w:spacing w:line="360" w:lineRule="auto"/>
            <w:widowControl/>
            <w:tabs>
              <w:tab w:val="right" w:pos="8190" w:leader="dot"/>
              <w:tab w:val="right" w:pos="9746" w:leader="dot"/>
            </w:tabs>
            <w:rPr>
              <w:rFonts w:hint="eastAsia" w:ascii="宋体" w:hAnsi="宋体" w:eastAsia="宋体" w:cs="宋体"/>
              <w:sz w:val="28"/>
              <w:szCs w:val="28"/>
            </w:rPr>
          </w:pPr>
          <w:r>
            <w:rPr>
              <w:rFonts w:hint="eastAsia" w:ascii="宋体" w:hAnsi="宋体" w:eastAsia="宋体" w:cs="宋体"/>
              <w:bCs/>
              <w:color w:val="auto"/>
              <w:sz w:val="28"/>
              <w:szCs w:val="28"/>
              <w:highlight w:val="none"/>
              <w:lang w:eastAsia="zh-CN"/>
            </w:rPr>
            <w:fldChar w:fldCharType="begin"/>
          </w:r>
          <w:r>
            <w:rPr>
              <w:rFonts w:hint="eastAsia" w:ascii="宋体" w:hAnsi="宋体" w:eastAsia="宋体" w:cs="宋体"/>
              <w:bCs/>
              <w:sz w:val="28"/>
              <w:szCs w:val="28"/>
              <w:highlight w:val="none"/>
              <w:lang w:eastAsia="zh-CN"/>
            </w:rPr>
            <w:instrText xml:space="preserve"> HYPERLINK \l _Toc25520 </w:instrText>
          </w:r>
          <w:r>
            <w:rPr>
              <w:rFonts w:hint="eastAsia" w:ascii="宋体" w:hAnsi="宋体" w:eastAsia="宋体" w:cs="宋体"/>
              <w:bCs/>
              <w:sz w:val="28"/>
              <w:szCs w:val="28"/>
              <w:highlight w:val="none"/>
              <w:lang w:eastAsia="zh-CN"/>
            </w:rPr>
            <w:fldChar w:fldCharType="separate"/>
          </w:r>
          <w:r>
            <w:rPr>
              <w:rFonts w:hint="eastAsia" w:ascii="宋体" w:hAnsi="宋体" w:eastAsia="宋体" w:cs="宋体"/>
              <w:sz w:val="28"/>
              <w:szCs w:val="28"/>
              <w:highlight w:val="none"/>
              <w:lang w:eastAsia="zh-CN"/>
            </w:rPr>
            <w:t xml:space="preserve">第七章  投标文件相关格式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_Toc25520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63</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lang w:eastAsia="zh-CN"/>
            </w:rPr>
            <w:fldChar w:fldCharType="end"/>
          </w:r>
          <w:r/>
        </w:p>
        <w:p>
          <w:pPr>
            <w:pStyle w:val="833"/>
            <w:ind w:left="0" w:firstLine="0"/>
            <w:jc w:val="center"/>
            <w:spacing w:after="0" w:line="360" w:lineRule="auto"/>
            <w:rPr>
              <w:rFonts w:hint="eastAsia" w:ascii="宋体" w:hAnsi="宋体" w:eastAsia="宋体" w:cs="宋体"/>
              <w:b/>
              <w:bCs/>
              <w:color w:val="auto"/>
              <w:sz w:val="36"/>
              <w:szCs w:val="36"/>
              <w:highlight w:val="none"/>
            </w:rPr>
          </w:pPr>
          <w:r>
            <w:rPr>
              <w:rFonts w:hint="eastAsia" w:ascii="宋体" w:hAnsi="宋体" w:eastAsia="宋体" w:cs="宋体"/>
              <w:bCs/>
              <w:color w:val="auto"/>
              <w:szCs w:val="28"/>
              <w:highlight w:val="none"/>
              <w:lang w:eastAsia="zh-CN"/>
            </w:rPr>
            <w:fldChar w:fldCharType="end"/>
          </w:r>
          <w:r/>
        </w:p>
      </w:sdtContent>
    </w:sdt>
    <w:p>
      <w:pPr>
        <w:pStyle w:val="833"/>
        <w:ind w:left="0" w:firstLine="0"/>
        <w:jc w:val="center"/>
        <w:spacing w:after="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33"/>
        <w:ind w:left="0" w:firstLine="0"/>
        <w:jc w:val="center"/>
        <w:spacing w:after="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33"/>
        <w:ind w:left="0" w:firstLine="0"/>
        <w:jc w:val="center"/>
        <w:spacing w:after="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33"/>
        <w:ind w:left="0" w:firstLine="0"/>
        <w:jc w:val="center"/>
        <w:spacing w:after="0" w:line="360" w:lineRule="auto"/>
        <w:rPr>
          <w:rFonts w:hint="eastAsia" w:ascii="宋体" w:hAnsi="宋体" w:eastAsia="宋体" w:cs="宋体"/>
          <w:b/>
          <w:bCs/>
          <w:color w:val="auto"/>
          <w:sz w:val="36"/>
          <w:szCs w:val="36"/>
          <w:highlight w:val="none"/>
          <w:lang w:eastAsia="zh-CN"/>
        </w:rPr>
        <w:sectPr>
          <w:headerReference w:type="default" r:id="rId9"/>
          <w:footerReference w:type="default" r:id="rId12"/>
          <w:footnotePr/>
          <w:endnotePr/>
          <w:type w:val="nextPage"/>
          <w:pgSz w:w="11906" w:h="16838" w:orient="portrait"/>
          <w:pgMar w:top="1440" w:right="1800" w:bottom="1440" w:left="1800" w:header="709" w:footer="709" w:gutter="0"/>
          <w:cols w:num="1" w:sep="0" w:space="708" w:equalWidth="1"/>
          <w:docGrid w:linePitch="360"/>
        </w:sectPr>
        <w:outlineLvl w:val="0"/>
      </w:pPr>
      <w:r>
        <w:rPr>
          <w:rFonts w:hint="eastAsia" w:ascii="宋体" w:hAnsi="宋体" w:eastAsia="宋体" w:cs="宋体"/>
          <w:b/>
          <w:bCs/>
          <w:color w:val="auto"/>
          <w:sz w:val="36"/>
          <w:szCs w:val="36"/>
          <w:highlight w:val="none"/>
          <w:lang w:eastAsia="zh-CN"/>
        </w:rPr>
      </w:r>
      <w:r/>
    </w:p>
    <w:p>
      <w:pPr>
        <w:pStyle w:val="833"/>
        <w:ind w:left="0" w:right="6" w:firstLine="0"/>
        <w:jc w:val="center"/>
        <w:keepLines w:val="0"/>
        <w:keepNext w:val="0"/>
        <w:pageBreakBefore w:val="0"/>
        <w:spacing w:after="0" w:line="360" w:lineRule="auto"/>
        <w:widowControl/>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lang w:eastAsia="zh-CN"/>
        </w:rPr>
        <w:t xml:space="preserve">新沂市公安局图像感知网一期项目</w:t>
      </w:r>
      <w:r/>
    </w:p>
    <w:p>
      <w:pPr>
        <w:ind w:firstLine="60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jc w:val="center"/>
        <w:spacing w:after="0"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1" w:name="_Toc19917"/>
      <w:r/>
      <w:bookmarkStart w:id="2" w:name="_Toc5067"/>
      <w:r>
        <w:rPr>
          <w:rFonts w:hint="eastAsia" w:ascii="宋体" w:hAnsi="宋体" w:eastAsia="宋体" w:cs="宋体"/>
          <w:b/>
          <w:color w:val="auto"/>
          <w:sz w:val="32"/>
          <w:szCs w:val="32"/>
          <w:highlight w:val="none"/>
          <w:lang w:eastAsia="zh-CN"/>
        </w:rPr>
        <w:t xml:space="preserve">第一章  投标邀请</w:t>
      </w:r>
      <w:bookmarkEnd w:id="1"/>
      <w:r/>
      <w:bookmarkEnd w:id="2"/>
      <w:r/>
      <w:r/>
    </w:p>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江苏中兴迅达工程管理咨询有限公司受新沂市公安局委托对“新沂市公安局图像感知网一期项目”进行公开招标采购，现邀请符合相关条件的投标人投标。</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一、项目名称和项目编号</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(一)项目名称：新沂市公安局图像感知网一期项目</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yellow"/>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(二)项目编号：JSZC-320381-ZXXD-G2026-0002</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二、对投标人的资格要求</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详见本项目公开招标公告。</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三、获取招标文件</w:t>
      </w:r>
      <w:r/>
    </w:p>
    <w:p>
      <w:pPr>
        <w:ind w:firstLine="621"/>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（1）潜在投标人访问电子招标投标交易平台的网络地址和方法：</w:t>
      </w:r>
      <w:r/>
    </w:p>
    <w:p>
      <w:pPr>
        <w:ind w:firstLine="621"/>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①登录 “苏采云”系统的网址：http://jszfcg.jsczt.cn/；或进入徐州政府采购网（网址：http://czj.xz.gov.cn/Home/HomeIndex）--业务工作--用户登录，点击“苏采云”进入系统。</w:t>
      </w:r>
      <w:r/>
    </w:p>
    <w:p>
      <w:pPr>
        <w:ind w:firstLine="621"/>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②“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（2）采购代理机构将数据电文形式的招标文件加载至电子招标投标交易平台，供潜在投标人下载或者查阅。</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（3）售价：免费。  </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四、投标有关信息</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（一）投标截止时间：</w:t>
      </w:r>
      <w:r>
        <w:rPr>
          <w:rFonts w:hint="eastAsia" w:ascii="宋体" w:hAnsi="宋体" w:eastAsia="宋体" w:cs="宋体"/>
          <w:color w:val="auto"/>
          <w:sz w:val="24"/>
          <w:szCs w:val="24"/>
          <w:highlight w:val="none"/>
          <w:lang w:eastAsia="zh-CN"/>
        </w:rPr>
        <w:t xml:space="preserve">2026年07月28日北京时间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0。</w:t>
      </w:r>
      <w:r>
        <w:rPr>
          <w:highlight w:val="none"/>
        </w:rP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（二）开标时间：</w:t>
      </w:r>
      <w:r>
        <w:rPr>
          <w:rFonts w:hint="eastAsia" w:ascii="宋体" w:hAnsi="宋体" w:eastAsia="宋体" w:cs="宋体"/>
          <w:color w:val="auto"/>
          <w:sz w:val="24"/>
          <w:szCs w:val="24"/>
          <w:highlight w:val="none"/>
          <w:lang w:eastAsia="zh-CN"/>
        </w:rPr>
        <w:t xml:space="preserve">2026年07月28日北京时间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eastAsia="zh-CN"/>
        </w:rPr>
        <w:t xml:space="preserve">。</w:t>
      </w:r>
      <w:r>
        <w:rPr>
          <w:highlight w:val="none"/>
        </w:rP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（三）开标地点：“苏采云”系统（网址：http://jszfcg.jsczt.cn/）“开标大厅”或进入徐州政府采购网（网址：http://czj.xz.gov.cn/Home/HomeIndex）-业务工作 -用户登录，点击“苏采云”进入系统“开标大厅”。 </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五、采购人信息</w:t>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名称：新沂市公安局</w:t>
      </w:r>
      <w:bookmarkStart w:id="24" w:name="_GoBack"/>
      <w:r/>
      <w:bookmarkEnd w:id="24"/>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地址：新沂市钟吾南路8号 </w:t>
      </w:r>
      <w:r/>
    </w:p>
    <w:p>
      <w:pPr>
        <w:ind w:firstLine="892"/>
        <w:jc w:val="both"/>
        <w:keepLines w:val="0"/>
        <w:keepNext w:val="0"/>
        <w:pageBreakBefore w:val="0"/>
        <w:spacing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采购项目联系人：纪传斌</w:t>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联系电话：13952286622 </w:t>
      </w:r>
      <w:r/>
    </w:p>
    <w:p>
      <w:pPr>
        <w:ind w:firstLine="600"/>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六、采购代理机构</w:t>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3" w:name="_Toc17489"/>
      <w:r>
        <w:rPr>
          <w:rFonts w:hint="eastAsia" w:ascii="宋体" w:hAnsi="宋体" w:eastAsia="宋体" w:cs="宋体"/>
          <w:color w:val="auto"/>
          <w:sz w:val="24"/>
          <w:szCs w:val="24"/>
          <w:highlight w:val="none"/>
          <w:lang w:eastAsia="zh-CN"/>
        </w:rPr>
        <w:t xml:space="preserve">名称：</w:t>
      </w:r>
      <w:bookmarkEnd w:id="3"/>
      <w:r>
        <w:rPr>
          <w:rFonts w:hint="eastAsia" w:ascii="宋体" w:hAnsi="宋体" w:eastAsia="宋体" w:cs="宋体"/>
          <w:color w:val="auto"/>
          <w:sz w:val="24"/>
          <w:szCs w:val="24"/>
          <w:highlight w:val="none"/>
          <w:lang w:eastAsia="zh-CN"/>
        </w:rPr>
        <w:t xml:space="preserve">江苏中兴迅达工程管理咨询有限公司</w:t>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地址：新沂市钟吾北路19号金广厦花苑商业楼三楼江苏中兴迅达  </w:t>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联系人： 庄工     </w:t>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电 话：18921756960,0516-88993998</w:t>
      </w:r>
      <w:r/>
    </w:p>
    <w:p>
      <w:pPr>
        <w:ind w:firstLine="892"/>
        <w:jc w:val="both"/>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4" w:name="_Toc2184"/>
      <w:r/>
      <w:bookmarkStart w:id="5" w:name="_Toc3033"/>
      <w:r>
        <w:rPr>
          <w:rFonts w:hint="eastAsia" w:ascii="宋体" w:hAnsi="宋体" w:eastAsia="宋体" w:cs="宋体"/>
          <w:b/>
          <w:color w:val="auto"/>
          <w:sz w:val="32"/>
          <w:szCs w:val="32"/>
          <w:highlight w:val="none"/>
          <w:lang w:eastAsia="zh-CN"/>
        </w:rPr>
        <w:t xml:space="preserve">第二章  投标人须知</w:t>
      </w:r>
      <w:bookmarkEnd w:id="4"/>
      <w:r/>
      <w:bookmarkEnd w:id="5"/>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一、总则</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（六）投标人的资格条件：</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投标人是指响应招标、参加投标竞争的法人、其他组织或者自然人。</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2.投标人授权代表系指法定代表人或受法人委托的受托人。</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二、招标</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（八）招标文件应包括以下内容：</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第一章  投标邀请；</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第二章  投标人须知；</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第三章  投标资料表；</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第四章  评标标准；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第五章  拟签订的合同文本；</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第六章  采购需求；</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第七章  投标文件相关格式。</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（九）招标文件澄清或者修改：</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2.现场考察以本文件第三章《投标资料表》中的要求为准。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三、投标</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（十二）投标文件的构成：</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2.商务条件以本文件第三章《投标资料表》中的要求为准。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（十四）投标报价要求：</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1.投标人应按照招标文件的要求报出分项价格和总价。</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3.采购人不支付报价以外的任何费用。</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（十六）投标有效期：</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（十七）投标文件的编制要求和签署要求</w:t>
      </w:r>
      <w:r/>
    </w:p>
    <w:p>
      <w:pPr>
        <w:ind w:firstLine="482"/>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（十八）投标文件的盖章要求：</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（二十二）本项目严禁转包、违法分包；中标人所有设备供货、施工、维保必须自行实施，不得交由第三方全权承接，违者取消中标资格。</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（二十四）有下列情形之一的，其投标无效。</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1.不同投标人的投标文件，由同一单位或者个人编制；</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2.不同投标人委托同一单位或者个人办理投标事宜；</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4.不同投标人的投标文件，异常一致或者投标报价呈规律性差异；</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6.电子投标文件未按规定期限投标的；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7.电子投标文件未按招标文件要求签章的；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8.投标人未在规定时间内解密电子投标文件的；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10.不具备招标文件中规定的资格要求的；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11.报价超过招标文件中规定的预算金额或者最高限价的；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12.投标文件含有采购人不能接受的附加条件的；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13.法律、法规和招标文件规定的其他无效情形。</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四、开标</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（二十五）开标：</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2.由电子招标投标交易平台主持，邀请投标人参加。</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五、评标</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1.评标工作由采购代理机构负责组织，并履行下列职责：</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（2）宣布评标纪律；</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（3）公布投标人名单，告知评审专家应当回避的情形；</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（4）组织评标委员会推选评标组长（采购人代表不得担任组长）；</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（6）根据评标委员会的要求介绍政府采购相关政策法规、招标文件；</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lang w:eastAsia="zh-CN"/>
        </w:rPr>
        <w:instrText xml:space="preserve"> HYPERLINK "http://www.caigou2003.com/" \o "http://www.caigou2003.com/"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（10）处理与评标有关的其他事项。</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2.评标委员会负责具体评标事务，并独立履行下列职责：</w:t>
      </w:r>
      <w:r/>
    </w:p>
    <w:p>
      <w:pPr>
        <w:ind w:firstLine="45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（2）要求投标人对投标文件有关事项作出澄清或者说明；</w:t>
      </w:r>
      <w:r/>
    </w:p>
    <w:p>
      <w:pPr>
        <w:ind w:firstLine="45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（3）对投标文件进行比较和评价；</w:t>
      </w:r>
      <w:r/>
    </w:p>
    <w:p>
      <w:pPr>
        <w:ind w:firstLine="45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（4）确定中标候选人名单，以及根据采购人委托直接确定中标人；</w:t>
      </w:r>
      <w:r/>
    </w:p>
    <w:p>
      <w:pPr>
        <w:ind w:firstLine="45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（二十七）评标方法分为最低评标价法和综合评分法。</w:t>
      </w:r>
      <w:r/>
    </w:p>
    <w:p>
      <w:pPr>
        <w:ind w:firstLine="45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（二十八）评标</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1.评标工作程序：</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（1）投标文件初审。</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①资格性审查。</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②符合性审查。</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（2）澄清有关问题。</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（3）比较与评价。</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（4）推荐中标候选投标人名单。</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（5）编写评审报告（评标报告）。</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lang w:eastAsia="zh-CN"/>
        </w:rPr>
        <w:instrText xml:space="preserve"> HYPERLINK "http://lilun.caigou2003.com/recijiedu/2365668.html" \o "http://lilun.caigou2003.com/recijiedu/2365668.html" </w:instrText>
      </w:r>
      <w:r>
        <w:rPr>
          <w:rFonts w:hint="eastAsia" w:ascii="宋体" w:hAnsi="宋体" w:eastAsia="宋体" w:cs="宋体"/>
          <w:color w:val="auto"/>
          <w:highlight w:val="none"/>
        </w:rPr>
        <w:fldChar w:fldCharType="separate"/>
      </w:r>
      <w:r>
        <w:rPr>
          <w:rStyle w:val="861"/>
          <w:rFonts w:hint="eastAsia" w:ascii="宋体" w:hAnsi="宋体" w:eastAsia="宋体" w:cs="宋体"/>
          <w:color w:val="auto"/>
          <w:sz w:val="24"/>
          <w:szCs w:val="24"/>
          <w:highlight w:val="none"/>
          <w:u w:val="none"/>
          <w:lang w:eastAsia="zh-CN"/>
        </w:rPr>
        <w:t xml:space="preserve">最低评标价法</w:t>
      </w:r>
      <w:r>
        <w:rPr>
          <w:rStyle w:val="861"/>
          <w:rFonts w:hint="eastAsia" w:ascii="宋体" w:hAnsi="宋体" w:eastAsia="宋体" w:cs="宋体"/>
          <w:color w:val="auto"/>
          <w:sz w:val="24"/>
          <w:szCs w:val="24"/>
          <w:highlight w:val="none"/>
          <w:u w:val="none"/>
          <w:lang w:eastAsia="zh-CN"/>
        </w:rPr>
        <w:fldChar w:fldCharType="end"/>
      </w:r>
      <w:r>
        <w:rPr>
          <w:rFonts w:hint="eastAsia" w:ascii="宋体" w:hAnsi="宋体" w:eastAsia="宋体"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\o "http://lilun.caigou2003.com/recijiedu/2365667.html" </w:instrText>
      </w:r>
      <w:r>
        <w:rPr>
          <w:rFonts w:hint="eastAsia" w:ascii="宋体" w:hAnsi="宋体" w:eastAsia="宋体" w:cs="宋体"/>
          <w:color w:val="auto"/>
          <w:highlight w:val="none"/>
        </w:rPr>
        <w:fldChar w:fldCharType="separate"/>
      </w:r>
      <w:r>
        <w:rPr>
          <w:rStyle w:val="861"/>
          <w:rFonts w:hint="eastAsia" w:ascii="宋体" w:hAnsi="宋体" w:eastAsia="宋体" w:cs="宋体"/>
          <w:color w:val="auto"/>
          <w:sz w:val="24"/>
          <w:szCs w:val="24"/>
          <w:highlight w:val="none"/>
          <w:u w:val="none"/>
          <w:lang w:eastAsia="zh-CN"/>
        </w:rPr>
        <w:t xml:space="preserve">综合评分法</w:t>
      </w:r>
      <w:r>
        <w:rPr>
          <w:rStyle w:val="861"/>
          <w:rFonts w:hint="eastAsia" w:ascii="宋体" w:hAnsi="宋体" w:eastAsia="宋体" w:cs="宋体"/>
          <w:color w:val="auto"/>
          <w:sz w:val="24"/>
          <w:szCs w:val="24"/>
          <w:highlight w:val="none"/>
          <w:u w:val="none"/>
          <w:lang w:eastAsia="zh-CN"/>
        </w:rPr>
        <w:fldChar w:fldCharType="end"/>
      </w:r>
      <w:r>
        <w:rPr>
          <w:rFonts w:hint="eastAsia" w:ascii="宋体" w:hAnsi="宋体" w:eastAsia="宋体"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（二十九）投标文件报价出现前后不一致的，按照下列规定修正：</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（三十二）废标条款：</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出现下列情形之一的，应予废标。</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1.符合专业条件的投标人或者对招标文件作实质响应的投标人不足三家的；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2.出现影响采购公正的违法、违规行为的；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3.投标人的报价均超过了采购预算，采购人不能支付的；</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4.因重大变故，采购任务取消的。</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六、定标</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七、政府采购合同</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（三十六）签订政府采购合同（合同签订方式）：</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2.中标或者成交投标人拒绝与采购人签订合同的，采购人可以按照评审报告推荐的中标或者成交候选人名单排序，确定下一个候选人为中标或者成交投标人，也可以重新开展政府采购活动。</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（三十七）采购人与中标人应当根据合同的约定依法履行合同义务。政府采购合同的履行、违约责任和解决争议的方法等，按《中华人民共和国合同法》相关条款执行。</w:t>
      </w:r>
      <w:r/>
    </w:p>
    <w:p>
      <w:pPr>
        <w:ind w:firstLine="60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（三十八）履约保证金：无</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（三十九）腐败和欺诈行为：</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（1）腐败和欺诈行为的含义：</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②“欺诈行为”系指为了影响招标、采购和合同执行等过程，隐瞒事实真象，给买方、卖方、采购代理机构及他人造成损害的行为，其中包括投标人之间的串通行为。</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（2）如果被推荐的中标人有腐败和欺诈行为，将取消其中标资格。</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（3）如果投标人在任何时候，被法院及政府有关管理部门认定为有腐败和欺诈行为，采购代理机构有权拒绝其投标、取消其中标资格和撤消其已签署的合同。</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八、询问和质疑</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（四十）询问和质疑</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九、电子招标投标交易平台</w:t>
      </w:r>
      <w:r/>
    </w:p>
    <w:p>
      <w:pPr>
        <w:ind w:firstLine="48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（四十一）电子招标投标交易平台（即“苏采云”系统，网址：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）相关要求是本招标文件的组成部分。</w:t>
      </w:r>
      <w:r/>
    </w:p>
    <w:p>
      <w:pPr>
        <w:ind w:firstLine="60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21724"/>
      <w:r/>
      <w:bookmarkStart w:id="7" w:name="_Toc18211"/>
      <w:r>
        <w:rPr>
          <w:rFonts w:hint="eastAsia" w:ascii="宋体" w:hAnsi="宋体" w:eastAsia="宋体" w:cs="宋体"/>
          <w:b/>
          <w:color w:val="auto"/>
          <w:sz w:val="32"/>
          <w:szCs w:val="32"/>
          <w:highlight w:val="none"/>
          <w:lang w:eastAsia="zh-CN"/>
        </w:rPr>
        <w:t xml:space="preserve">第三章  投标资料表</w:t>
      </w:r>
      <w:bookmarkEnd w:id="6"/>
      <w:r/>
      <w:bookmarkEnd w:id="7"/>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tbl>
      <w:tblPr>
        <w:tblStyle w:val="856"/>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7080"/>
      </w:tblGrid>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本项目采购人：新沂市公安局</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采购人确定的采购项目属性：货物</w:t>
            </w:r>
            <w:r/>
          </w:p>
        </w:tc>
      </w:tr>
      <w:tr>
        <w:trPr>
          <w:jc w:val="center"/>
          <w:trHeight w:val="4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本项目采购代理机构：江苏中兴迅达工程管理咨询有限公司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投标人的资格条件：</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一、符合《中华人民共和国政府采购法》第二十二条的规定；</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二、落实政府采购政策需满足的资格要求：</w:t>
            </w:r>
            <w:r/>
          </w:p>
          <w:p>
            <w:pPr>
              <w:jc w:val="both"/>
              <w:spacing w:after="0" w:line="360" w:lineRule="auto"/>
              <w:rPr>
                <w:rFonts w:hint="eastAsia" w:ascii="宋体" w:hAnsi="宋体" w:eastAsia="宋体" w:cs="宋体"/>
                <w:b/>
                <w:bCs/>
                <w:color w:val="ff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yellow"/>
                <w:lang w:val="en-US" w:eastAsia="zh-CN"/>
              </w:rPr>
              <w:t xml:space="preserve">1、</w:t>
            </w:r>
            <w:r>
              <w:rPr>
                <w:rFonts w:hint="eastAsia" w:ascii="宋体" w:hAnsi="宋体" w:eastAsia="宋体" w:cs="宋体"/>
                <w:b/>
                <w:bCs/>
                <w:color w:val="ff0000"/>
                <w:sz w:val="24"/>
                <w:szCs w:val="24"/>
                <w:highlight w:val="yellow"/>
                <w:lang w:eastAsia="zh-CN"/>
              </w:rPr>
              <w:t xml:space="preserve">此项目不属于专门面向中小微企业采购的项目。</w:t>
            </w:r>
            <w:r/>
          </w:p>
          <w:p>
            <w:pPr>
              <w:jc w:val="both"/>
              <w:spacing w:after="0" w:line="360" w:lineRule="auto"/>
              <w:rPr>
                <w:rFonts w:hint="eastAsia" w:ascii="宋体" w:hAnsi="宋体" w:eastAsia="宋体" w:cs="宋体"/>
                <w:b/>
                <w:bCs/>
                <w:color w:val="ff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yellow"/>
                <w:lang w:val="en-US" w:eastAsia="zh-CN"/>
              </w:rPr>
              <w:t xml:space="preserve">2、采购本国产品的支持政策</w:t>
            </w:r>
            <w:r/>
          </w:p>
          <w:p>
            <w:pPr>
              <w:jc w:val="both"/>
              <w:spacing w:after="0" w:line="360" w:lineRule="auto"/>
              <w:rPr>
                <w:rFonts w:hint="eastAsia" w:ascii="宋体" w:hAnsi="宋体" w:eastAsia="宋体" w:cs="宋体"/>
                <w:b/>
                <w:bCs/>
                <w:color w:val="ff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yellow"/>
                <w:lang w:val="en-US" w:eastAsia="zh-CN"/>
              </w:rPr>
              <w:t xml:space="preserve">2.1 本项目政府采购活动中既有本国产品又有非本国产品参与竞争的，依法对本国产品给予价格评审优惠，对本国产品的报价给予 20%的价格扣除，用扣除后的价格参与评审。</w:t>
            </w:r>
            <w:r/>
          </w:p>
          <w:p>
            <w:pPr>
              <w:jc w:val="both"/>
              <w:spacing w:after="0" w:line="360" w:lineRule="auto"/>
              <w:rPr>
                <w:rFonts w:hint="eastAsia" w:ascii="宋体" w:hAnsi="宋体" w:eastAsia="宋体" w:cs="宋体"/>
                <w:b/>
                <w:bCs/>
                <w:color w:val="ff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yellow"/>
                <w:lang w:val="en-US" w:eastAsia="zh-CN"/>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both"/>
              <w:spacing w:after="0" w:line="360" w:lineRule="auto"/>
              <w:rPr>
                <w:rFonts w:hint="eastAsia" w:ascii="宋体" w:hAnsi="宋体" w:eastAsia="宋体" w:cs="宋体"/>
                <w:b/>
                <w:bCs/>
                <w:color w:val="ff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yellow"/>
                <w:lang w:val="en-US" w:eastAsia="zh-CN"/>
              </w:rPr>
              <w:t xml:space="preserve">2.3 供应商需按照招标文件的要求提供《关于符合本国产品标准的声明函》（以下简称《声明函》），如不提供将不享受本国产品价格评审优惠。</w:t>
            </w:r>
            <w:r/>
          </w:p>
          <w:p>
            <w:pPr>
              <w:jc w:val="both"/>
              <w:spacing w:after="0" w:line="360" w:lineRule="auto"/>
              <w:rPr>
                <w:rFonts w:hint="eastAsia" w:ascii="宋体" w:hAnsi="宋体" w:eastAsia="宋体" w:cs="宋体"/>
                <w:b/>
                <w:bCs/>
                <w:color w:val="ff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yellow"/>
                <w:lang w:val="en-US" w:eastAsia="zh-CN"/>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jc w:val="both"/>
              <w:spacing w:after="0" w:line="360" w:lineRule="auto"/>
              <w:rPr>
                <w:rFonts w:hint="eastAsia" w:ascii="宋体" w:hAnsi="宋体" w:eastAsia="宋体" w:cs="宋体"/>
                <w:b/>
                <w:bCs/>
                <w:color w:val="ff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yellow"/>
                <w:lang w:val="en-US" w:eastAsia="zh-CN"/>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三、本项目的特定资格要求：无</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同时明确相关事项如下：</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一、本项目不接受联合体参与采购活动。</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二、单位负责人为同一人或者存在直接控股、管理关系的不同投标人，不得参加同一合同项下的政府采购活动。</w:t>
            </w:r>
            <w:r/>
          </w:p>
          <w:p>
            <w:pP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三、为本采购项目提供整体设计、规范编制或者项目管理、监理、检测等服务的投标人，不得再参加本采购项目的采购活动。</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四、查询及使用投标人信用记录：</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(一)由采购人查询信用信息。</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Style w:val="861"/>
                <w:rFonts w:hint="eastAsia" w:ascii="宋体" w:hAnsi="宋体" w:eastAsia="宋体" w:cs="宋体"/>
                <w:color w:val="auto"/>
                <w:sz w:val="24"/>
                <w:szCs w:val="24"/>
                <w:highlight w:val="none"/>
              </w:rPr>
              <w:t xml:space="preserve">www.creditchina.gov.cn</w:t>
            </w:r>
            <w:r>
              <w:rPr>
                <w:rStyle w:val="86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\o "http://www.ccgp.gov.cn/" </w:instrText>
            </w:r>
            <w:r>
              <w:rPr>
                <w:rFonts w:hint="eastAsia" w:ascii="宋体" w:hAnsi="宋体" w:eastAsia="宋体" w:cs="宋体"/>
                <w:color w:val="auto"/>
                <w:highlight w:val="none"/>
              </w:rPr>
              <w:fldChar w:fldCharType="separate"/>
            </w:r>
            <w:r>
              <w:rPr>
                <w:rStyle w:val="861"/>
                <w:rFonts w:hint="eastAsia" w:ascii="宋体" w:hAnsi="宋体" w:eastAsia="宋体" w:cs="宋体"/>
                <w:color w:val="auto"/>
                <w:sz w:val="24"/>
                <w:szCs w:val="24"/>
                <w:highlight w:val="none"/>
              </w:rPr>
              <w:t xml:space="preserve">www.ccgp.gov.cn</w:t>
            </w:r>
            <w:r>
              <w:rPr>
                <w:rStyle w:val="86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3.“信用江苏”网（www.jscredit.gov.cn）；</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4.“信用中国（江苏徐州）”网</w:t>
            </w:r>
            <w:r/>
          </w:p>
          <w:p>
            <w:pPr>
              <w:ind w:firstLine="7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"http://www.xuzhoucredit.gov.cn/" \o "http://www.xuzhoucredit.gov.cn/" </w:instrText>
            </w:r>
            <w:r>
              <w:rPr>
                <w:rFonts w:hint="eastAsia" w:ascii="宋体" w:hAnsi="宋体" w:eastAsia="宋体" w:cs="宋体"/>
                <w:color w:val="auto"/>
                <w:highlight w:val="none"/>
              </w:rPr>
              <w:fldChar w:fldCharType="separate"/>
            </w:r>
            <w:r>
              <w:rPr>
                <w:rStyle w:val="861"/>
                <w:rFonts w:hint="eastAsia" w:ascii="宋体" w:hAnsi="宋体" w:eastAsia="宋体" w:cs="宋体"/>
                <w:color w:val="auto"/>
                <w:sz w:val="24"/>
                <w:szCs w:val="24"/>
                <w:highlight w:val="none"/>
              </w:rPr>
              <w:t xml:space="preserve">http://www.xuzhoucredit.gov.cn</w:t>
            </w:r>
            <w:r>
              <w:rPr>
                <w:rStyle w:val="86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(三)截止时点（查询环节）：资格审查结束前。</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(四)信用信息查询记录和证据留存的具体方式：网页截屏打印，与其他采购文件一并保存。</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(五)信用信息的使用规则：</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招标代理服务费由采购人支付，标准不高于《招标代理服务收费标准》（见附件）。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不统一组织现场踏勘，由投标人自行踏勘，踏勘费用、风险全部由投标人自行承担。</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投标文件编制要求：</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请按照以下要求（包括但不限于以下要求）制作：</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一、基本目录</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1.《开标一览表》（加盖电子签章，政府采购客户端工具输入报价自动生成）；</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2.所投产品的环境标志产品认证证书原件的扫描件（</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3.所投产品的节能产品认证证书原件的扫描件（</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二、资格条件（1-5必须提供，否则投标无效）</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1.投标人合法有效的法人或者其他组织的营业执照等证明文件。以上证明文件提供原件的扫描件；</w:t>
            </w:r>
            <w:r/>
          </w:p>
          <w:p>
            <w:pPr>
              <w:pStyle w:val="851"/>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szCs w:val="24"/>
                <w:highlight w:val="none"/>
              </w:rPr>
              <w:t xml:space="preserve">财务状况报告，至少提供：即提供投标人的本项目开标时间前6个月内任何1月（不含开标当月）的资产负债表原件的扫描件1份；投标人的本项目开标时间前6个月内任何1月（不含开标当月）利润表月报表原</w:t>
            </w:r>
            <w:r>
              <w:rPr>
                <w:rFonts w:hint="eastAsia" w:ascii="宋体" w:hAnsi="宋体" w:eastAsia="宋体" w:cs="宋体"/>
                <w:color w:val="auto"/>
                <w:sz w:val="24"/>
                <w:szCs w:val="24"/>
                <w:highlight w:val="none"/>
                <w:lang w:val="en-US" w:eastAsia="zh-CN" w:bidi="ar-SA"/>
              </w:rPr>
              <w:t xml:space="preserve">件的扫描件1份。</w:t>
            </w:r>
            <w:r/>
          </w:p>
          <w:p>
            <w:pPr>
              <w:jc w:val="both"/>
              <w:spacing w:after="0"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p>
          <w:p>
            <w:pPr>
              <w:jc w:val="both"/>
              <w:spacing w:after="0"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4.投标人参加政府采购活动前3年内在经营活动中没有重大违法记录的书面声明(上传并加盖电子签章，格式见招标文件第七章《投标文件相关格式》)。</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5.投标人具备履行合同所必需的设备和专业技术能力的书面声明(上传并加盖电子签章，格式见招标文件第七章《投标文件相关格式》)。</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三、符合条件（必须提供，否则投标无效）</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（一）报价</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1.《开标一览表》（加盖电子签章，格式见招标文件第七章《投标文件相关格式》。）</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《分项价格表》（加盖电子签章，格式见招标文件第七章《投标文件相关格式》。）</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（二）商务资信</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1.《投标函》（加盖电子签章，格式见招标文件第七章《投标文件相关格式》。）</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2.《授权委托书》（加盖电子签章，格式见招标文件第七章《投标文件相关格式》。）</w:t>
            </w:r>
            <w:r/>
          </w:p>
          <w:p>
            <w:pPr>
              <w:jc w:val="both"/>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授权委托书中受托人身份证的扫描件。</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（三）技术响应</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1.《偏离表》（加盖电子签章，格式见招标文件第七章《投标文件相关格式》。）</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四、综合评审评分项</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要求见本文件第四章《评标标准》、第六章《采购需求》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五、价格折扣文件格式</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投标人《中小企业声明函》（加盖电子签章，格式见招标文件第七章《投标文件相关格式》）（非必须提供，请填写完整）。查询渠道参考工业和信息化部发布的中小企业规模自测小程序。</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注：中小企业（含中型、小型、微型企业，下同），应当同时符合以下条件：</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符合中小企业划分标准；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② 提供本企业制造的货物、承担的工程或者服务，或者提供其他中小企业制造的货物。本项所称货物不包括使用大型企业注册商标的货物。</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小型、微型企业提供中型企业制造的货物的，视同为中型企业。</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具体以《政府采购促进中小企业发展管理办法》（财库( 2020) 46号）和《工业和信息化部、国家统计局、国家发展和改革委员会、财政部关于印发中小企业划型标准规定的通知》（工信部联企业[2011]300号）的规定为准。《中小企业声明函》查询渠道参考工业和信息化部发布的中小企业规模自测小程序。</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3、投标人为监狱企业的，提供省级以上监狱管理局、戒毒管理局（含新疆生产建设兵团）出具的属于监狱企业的证明文件扫描件。</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注：具体以《财政部 司法部关于政府采购支持监狱企业发展有关问题的通知》（财库〔2014〕68号）的规定为准。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4、投标人为享受政府采购支持政策的残疾人福利性单位的，提供《</w:t>
            </w:r>
            <w:bookmarkStart w:id="8" w:name="OLE_LINK13"/>
            <w:r/>
            <w:bookmarkStart w:id="9" w:name="OLE_LINK14"/>
            <w:r>
              <w:rPr>
                <w:rFonts w:hint="eastAsia" w:ascii="宋体" w:hAnsi="宋体" w:eastAsia="宋体" w:cs="宋体"/>
                <w:color w:val="auto"/>
                <w:sz w:val="24"/>
                <w:szCs w:val="24"/>
                <w:highlight w:val="none"/>
                <w:lang w:eastAsia="zh-CN"/>
              </w:rPr>
              <w:t xml:space="preserve">残疾人福利性单位声明函</w:t>
            </w:r>
            <w:bookmarkEnd w:id="8"/>
            <w:r/>
            <w:bookmarkEnd w:id="9"/>
            <w:r>
              <w:rPr>
                <w:rFonts w:hint="eastAsia" w:ascii="宋体" w:hAnsi="宋体" w:eastAsia="宋体" w:cs="宋体"/>
                <w:color w:val="auto"/>
                <w:sz w:val="24"/>
                <w:szCs w:val="24"/>
                <w:highlight w:val="none"/>
                <w:lang w:eastAsia="zh-CN"/>
              </w:rPr>
              <w:t xml:space="preserve">》（加盖公章，格式见招标文件第七章《投标文件相关格式》）。</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享受政府采购支持政策的残疾人福利性单位应当同时满足以下条件：</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）安置的残疾人占本单位在职职工人数的比例不低于25%（含25%），并且安置的残疾人人数不少于10人（含10人）；</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）依法与安置的每位残疾人签订了一年以上（含一年）的劳动合同或服务协议；</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）为安置的每位残疾人按月足额缴纳了基本养老保险、基本医疗保险、失业保险、工伤保险和生育保险等社会保险费；</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）通过银行等金融机构向安置的每位残疾人，按月支付了不低于单位所在区县适用的经省级人民政府批准的月最低工资标准的工资；</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）提供本单位制造的货物、承担的工程或者服务（以下简称产品），或者提供其他残疾人福利性单位制造的货物（不包括使用非残疾人福利性单位注册商标的货物）。</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具体以《三部门联合发布关于促进残疾人就业政府采购政策的通知》（财库〔2017〕141号）的规定为准。</w:t>
            </w:r>
            <w:r/>
          </w:p>
          <w:p>
            <w:pPr>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注：1、投标人应对以上文件的合法性、真实性负责。</w:t>
            </w:r>
            <w:r/>
          </w:p>
          <w:p>
            <w:pPr>
              <w:jc w:val="both"/>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val="0"/>
                <w:bCs w:val="0"/>
                <w:color w:val="auto"/>
                <w:sz w:val="24"/>
                <w:szCs w:val="24"/>
                <w:highlight w:val="none"/>
                <w:lang w:eastAsia="zh-CN"/>
              </w:rPr>
              <w:t xml:space="preserve">投标人《关于符合本国产品标准的声明函》（填写完整，加盖电子签章，格式见招标文件第七章《投标文件相关格式》）。（请填写完整，如不填写完整或未按要求填写的，视为无效）。</w:t>
            </w:r>
            <w:r/>
          </w:p>
          <w:p>
            <w:pPr>
              <w:jc w:val="both"/>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政府采购中实施本国产品标准及相关政策</w:t>
            </w:r>
            <w:r/>
          </w:p>
          <w:p>
            <w:pPr>
              <w:jc w:val="both"/>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jc w:val="both"/>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both"/>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具体以《国务院办公厅关于在政府采购中实施本国产品标准及相关政策的通知》（国办发〔2025〕34号）规定为准。</w:t>
            </w:r>
            <w:r/>
          </w:p>
          <w:p>
            <w:pPr>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p>
          <w:p>
            <w:pPr>
              <w:jc w:val="both"/>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1.投标人应对以上文件的合法性、真实性负责。</w:t>
            </w:r>
            <w:r/>
          </w:p>
          <w:p>
            <w:pPr>
              <w:jc w:val="both"/>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商务条件见：</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一、本文件第四章《评标标准》中《评分细则》。</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13"/>
                <w:sz w:val="24"/>
                <w:szCs w:val="24"/>
                <w:highlight w:val="none"/>
                <w:lang w:eastAsia="zh-CN"/>
              </w:rPr>
              <w:t xml:space="preserve">本项目不接受超过</w:t>
            </w:r>
            <w:r>
              <w:rPr>
                <w:rFonts w:hint="eastAsia" w:ascii="宋体" w:hAnsi="宋体" w:eastAsia="宋体" w:cs="宋体"/>
                <w:b/>
                <w:color w:val="auto"/>
                <w:sz w:val="24"/>
                <w:highlight w:val="none"/>
                <w:u w:val="single"/>
                <w:lang w:val="en-US" w:eastAsia="zh-CN"/>
              </w:rPr>
              <w:t xml:space="preserve">200万元</w:t>
            </w:r>
            <w:r>
              <w:rPr>
                <w:rFonts w:hint="eastAsia" w:ascii="宋体" w:hAnsi="宋体" w:eastAsia="宋体" w:cs="宋体"/>
                <w:b/>
                <w:color w:val="auto"/>
                <w:sz w:val="24"/>
                <w:highlight w:val="none"/>
                <w:lang w:eastAsia="zh-CN"/>
              </w:rPr>
              <w:t xml:space="preserve">人民币</w:t>
            </w:r>
            <w:r>
              <w:rPr>
                <w:rFonts w:hint="eastAsia" w:ascii="宋体" w:hAnsi="宋体" w:eastAsia="宋体" w:cs="宋体"/>
                <w:color w:val="auto"/>
                <w:sz w:val="24"/>
                <w:szCs w:val="24"/>
                <w:highlight w:val="none"/>
                <w:lang w:eastAsia="zh-CN"/>
              </w:rPr>
              <w:t xml:space="preserve">（采购项目预算金额）的投标报价。报价包括产品价、税金、运费、安装调试、人员培训、质保维护等全部费用。采购人不再支付报价以外的任何费用。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投标人应当通过“苏采云”系统提交数据电文形式的投标文件（即电子投标）。</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特别说明：通过“苏采云”系统提交政府采购客户端工具导出加密的投标文件（后缀名为zip）。投标文件不得超过150M！</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说明：本项目采用线上投标，即投标人投标文件从政府采购客户端工具制作通过“苏采云”系统提交，未提供线上投标文件的，投标无效。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投标文件的提交与接收： </w:t>
            </w:r>
            <w:r>
              <w:rPr>
                <w:highlight w:val="none"/>
              </w:rPr>
            </w:r>
          </w:p>
          <w:p>
            <w:pPr>
              <w:jc w:val="both"/>
              <w:spacing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1.投标文件提交与接收时间：</w:t>
            </w:r>
            <w:r>
              <w:rPr>
                <w:rFonts w:hint="eastAsia" w:ascii="宋体" w:hAnsi="宋体" w:eastAsia="宋体" w:cs="宋体"/>
                <w:b/>
                <w:color w:val="auto"/>
                <w:sz w:val="24"/>
                <w:szCs w:val="24"/>
                <w:highlight w:val="none"/>
                <w:lang w:eastAsia="zh-CN"/>
              </w:rPr>
              <w:t xml:space="preserve">提交投标文件截止时间2026年07月28日北京时间</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0前。</w:t>
            </w:r>
            <w:r>
              <w:rPr>
                <w:highlight w:val="none"/>
              </w:rP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开标时间及地点：</w:t>
            </w:r>
            <w:r>
              <w:rPr>
                <w:highlight w:val="none"/>
              </w:rPr>
            </w:r>
          </w:p>
          <w:p>
            <w:pPr>
              <w:jc w:val="both"/>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开标时间：2026年07月28日北京时间</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0</w:t>
            </w:r>
            <w:r>
              <w:rPr>
                <w:highlight w:val="none"/>
              </w:rP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(二十八)1</w:t>
            </w:r>
            <w:r/>
          </w:p>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ind w:left="560" w:hanging="56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一、推荐中标候选投标人名单。中标候选投标人数量应当根据采购需要确定，但必须按顺序排列中标候选投标人。</w:t>
            </w:r>
            <w:r/>
          </w:p>
          <w:p>
            <w:pPr>
              <w:ind w:left="560" w:hanging="56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采用综合评分法的，按评审后得分由高到低顺序排列。得分相同的，按投标报价由低到高顺序排列。得分且投标报价相同的，按技术指标优劣顺序排列。得分相同投标报价和技术指标优劣得分也相同的，按技术方案得分由高到低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w:t>
            </w:r>
            <w:r/>
          </w:p>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评标委员会启动异常低价投标审查的情形和具体要求，包括：</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1.评审过程中出现下列情形之一的，评标委员会应当启动异常低价投标审查程序：</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（1）投标报价低于采购项目预算50%的，即投标报价&lt;采购项目预算×50%；</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（2）投标报价低于采购项目最高限价45%的，即投标报价&lt;采购项目最高限价×45%；</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（3）评标委员会认定的投标人报价过低、有可能影响产品质量或者不能诚信履约的其他情形。</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2.启动异常</w:t>
            </w:r>
            <w:r>
              <w:rPr>
                <w:rFonts w:hint="eastAsia" w:ascii="宋体" w:hAnsi="宋体" w:eastAsia="宋体" w:cs="宋体"/>
                <w:color w:val="auto"/>
                <w:sz w:val="24"/>
                <w:szCs w:val="24"/>
                <w:highlight w:val="none"/>
                <w:lang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相关内容和要求见：《中华人民共和国政府采购法》、《中华人民共和国政府采购法实施条例》及铜财购[2025]12号文件。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采购人与中标、成交投标人应当在中标、成交通知书发出之日起30日内，按照采购文件确定的事项签订政府采购合同。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投标人在法定质疑期内一次性提出针对同一采购程序环节的质疑。</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质疑接收人：庄工；联系电话：18921756960,0516-88993998；</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办公地址：新沂市钟吾北路19号金广厦花苑商业楼三楼江苏中兴迅达</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pct"/>
            <w:textDirection w:val="lrTb"/>
            <w:noWrap w:val="false"/>
          </w:tcPr>
          <w:p>
            <w:pPr>
              <w:jc w:val="cente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4" w:type="pct"/>
            <w:textDirection w:val="lrTb"/>
            <w:noWrap w:val="false"/>
          </w:tcPr>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中标人在收到中标通知书时，须向采购代理机构提交《开标一览表》和《分项价格表》的数据文件（WORD格式）。</w:t>
            </w:r>
            <w:r/>
          </w:p>
        </w:tc>
      </w:tr>
    </w:tbl>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ind w:firstLine="480"/>
        <w:jc w:val="center"/>
        <w:spacing w:line="360" w:lineRule="auto"/>
        <w:widowControl/>
        <w:rPr>
          <w:rFonts w:hint="eastAsia" w:ascii="宋体" w:hAnsi="宋体" w:eastAsia="宋体" w:cs="宋体"/>
          <w:color w:val="auto"/>
          <w:sz w:val="24"/>
          <w:szCs w:val="24"/>
          <w:highlight w:val="yellow"/>
          <w:lang w:eastAsia="zh-CN"/>
        </w:rPr>
        <w:sectPr>
          <w:footerReference w:type="default" r:id="rId13"/>
          <w:footnotePr/>
          <w:endnotePr/>
          <w:type w:val="nextPage"/>
          <w:pgSz w:w="11906" w:h="16838" w:orient="portrait"/>
          <w:pgMar w:top="1440" w:right="1800" w:bottom="1440" w:left="1800" w:header="709" w:footer="709" w:gutter="0"/>
          <w:pgNumType w:start="1"/>
          <w:cols w:num="1" w:sep="0" w:space="708" w:equalWidth="1"/>
          <w:docGrid w:linePitch="360"/>
        </w:sectPr>
      </w:pPr>
      <w:r>
        <w:rPr>
          <w:rFonts w:hint="eastAsia" w:ascii="宋体" w:hAnsi="宋体" w:eastAsia="宋体" w:cs="宋体"/>
          <w:color w:val="auto"/>
          <w:sz w:val="24"/>
          <w:szCs w:val="24"/>
          <w:highlight w:val="yellow"/>
          <w:lang w:eastAsia="zh-CN"/>
        </w:rPr>
      </w:r>
      <w:r/>
    </w:p>
    <w:p>
      <w:pPr>
        <w:pStyle w:val="817"/>
        <w:ind w:firstLine="480"/>
        <w:jc w:val="cente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本章附件：</w:t>
      </w:r>
      <w:r>
        <w:rPr>
          <w:rFonts w:hint="eastAsia" w:ascii="宋体" w:hAnsi="宋体" w:eastAsia="宋体" w:cs="宋体"/>
          <w:b/>
          <w:bCs/>
          <w:color w:val="auto"/>
          <w:sz w:val="28"/>
          <w:szCs w:val="28"/>
          <w:highlight w:val="none"/>
        </w:rPr>
        <w:t xml:space="preserve">招标代理服务收费标准</w:t>
      </w:r>
      <w:r/>
    </w:p>
    <w:p>
      <w:pPr>
        <w:pStyle w:val="833"/>
        <w:ind w:left="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7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82"/>
        <w:gridCol w:w="2338"/>
      </w:tblGrid>
      <w:tr>
        <w:trPr>
          <w:jc w:val="center"/>
          <w:trHeight w:val="475"/>
        </w:trPr>
        <w:tc>
          <w:tcPr>
            <w:tcW w:w="3627" w:type="pct"/>
            <w:vAlign w:val="center"/>
            <w:textDirection w:val="lrTb"/>
            <w:noWrap w:val="false"/>
          </w:tcPr>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中标或者成交金额</w:t>
            </w:r>
            <w:r/>
          </w:p>
        </w:tc>
        <w:tc>
          <w:tcPr>
            <w:tcW w:w="1372" w:type="pct"/>
            <w:vAlign w:val="center"/>
            <w:textDirection w:val="lrTb"/>
            <w:noWrap w:val="false"/>
          </w:tcPr>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费率</w:t>
            </w:r>
            <w:r/>
          </w:p>
        </w:tc>
      </w:tr>
      <w:tr>
        <w:trPr>
          <w:jc w:val="center"/>
          <w:trHeight w:val="475"/>
        </w:trPr>
        <w:tc>
          <w:tcPr>
            <w:tcW w:w="3627" w:type="pct"/>
            <w:vAlign w:val="center"/>
            <w:textDirection w:val="lrTb"/>
            <w:noWrap w:val="false"/>
          </w:tcPr>
          <w:p>
            <w:pPr>
              <w:jc w:val="left"/>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最低收费金额（每个委托项目）</w:t>
            </w:r>
            <w:r/>
          </w:p>
        </w:tc>
        <w:tc>
          <w:tcPr>
            <w:tcW w:w="1372" w:type="pct"/>
            <w:vAlign w:val="center"/>
            <w:textDirection w:val="lrTb"/>
            <w:noWrap w:val="false"/>
          </w:tcPr>
          <w:p>
            <w:pPr>
              <w:jc w:val="left"/>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5000元</w:t>
            </w:r>
            <w:r/>
          </w:p>
        </w:tc>
      </w:tr>
      <w:tr>
        <w:trPr>
          <w:jc w:val="center"/>
          <w:trHeight w:val="475"/>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100万以下(含</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1.50%</w:t>
            </w:r>
            <w:r/>
          </w:p>
        </w:tc>
      </w:tr>
      <w:tr>
        <w:trPr>
          <w:jc w:val="center"/>
          <w:trHeight w:val="475"/>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100万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500万(含500万元)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1.10%</w:t>
            </w:r>
            <w:r/>
          </w:p>
        </w:tc>
      </w:tr>
      <w:tr>
        <w:trPr>
          <w:jc w:val="center"/>
          <w:trHeight w:val="475"/>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500万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1000万(含1000万元)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0.80%</w:t>
            </w:r>
            <w:r/>
          </w:p>
        </w:tc>
      </w:tr>
      <w:tr>
        <w:trPr>
          <w:jc w:val="center"/>
          <w:trHeight w:val="475"/>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l000万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5000万(含5000万元)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0.50%</w:t>
            </w:r>
            <w:r/>
          </w:p>
        </w:tc>
      </w:tr>
      <w:tr>
        <w:trPr>
          <w:jc w:val="center"/>
          <w:trHeight w:val="475"/>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5000万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l亿(含l亿元)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0.25%</w:t>
            </w:r>
            <w:r/>
          </w:p>
        </w:tc>
      </w:tr>
      <w:tr>
        <w:trPr>
          <w:jc w:val="center"/>
          <w:trHeight w:val="475"/>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1亿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5亿(含5亿元)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0.05%</w:t>
            </w:r>
            <w:r/>
          </w:p>
        </w:tc>
      </w:tr>
      <w:tr>
        <w:trPr>
          <w:jc w:val="center"/>
          <w:trHeight w:val="475"/>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5亿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10亿(含10亿元)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0.035%</w:t>
            </w:r>
            <w:r/>
          </w:p>
        </w:tc>
      </w:tr>
      <w:tr>
        <w:trPr>
          <w:jc w:val="center"/>
          <w:trHeight w:val="487"/>
        </w:trPr>
        <w:tc>
          <w:tcPr>
            <w:tcW w:w="3627"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10亿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50亿(含50亿元)</w:t>
            </w:r>
            <w:r/>
          </w:p>
        </w:tc>
        <w:tc>
          <w:tcPr>
            <w:tcW w:w="1372" w:type="pct"/>
            <w:vAlign w:val="center"/>
            <w:textDirection w:val="lrTb"/>
            <w:noWrap w:val="false"/>
          </w:tcPr>
          <w:p>
            <w:pPr>
              <w:jc w:val="left"/>
              <w:spacing w:line="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rPr>
              <w:t xml:space="preserve">0.008%</w:t>
            </w:r>
            <w:r/>
          </w:p>
        </w:tc>
      </w:tr>
      <w:tr>
        <w:trPr>
          <w:jc w:val="center"/>
          <w:trHeight w:val="487"/>
        </w:trPr>
        <w:tc>
          <w:tcPr>
            <w:tcW w:w="3627" w:type="pct"/>
            <w:vAlign w:val="center"/>
            <w:textDirection w:val="lrTb"/>
            <w:noWrap w:val="false"/>
          </w:tcPr>
          <w:p>
            <w:pPr>
              <w:jc w:val="left"/>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50亿元以上</w:t>
            </w:r>
            <w:r/>
          </w:p>
        </w:tc>
        <w:tc>
          <w:tcPr>
            <w:tcW w:w="1372" w:type="pct"/>
            <w:vAlign w:val="center"/>
            <w:textDirection w:val="lrTb"/>
            <w:noWrap w:val="false"/>
          </w:tcPr>
          <w:p>
            <w:pPr>
              <w:jc w:val="left"/>
              <w:spacing w:line="0" w:lineRule="atLeast"/>
              <w:widowControl/>
              <w:rPr>
                <w:rFonts w:hint="eastAsia" w:ascii="宋体" w:hAnsi="宋体" w:eastAsia="宋体" w:cs="宋体"/>
                <w:color w:val="000000"/>
                <w:sz w:val="24"/>
                <w:szCs w:val="24"/>
              </w:rPr>
            </w:pPr>
            <w:r>
              <w:rPr>
                <w:rFonts w:hint="eastAsia" w:ascii="宋体" w:hAnsi="宋体" w:eastAsia="宋体" w:cs="宋体"/>
                <w:sz w:val="24"/>
                <w:szCs w:val="24"/>
              </w:rPr>
              <w:t xml:space="preserve">0.005%</w:t>
            </w:r>
            <w:r/>
          </w:p>
        </w:tc>
      </w:tr>
    </w:tbl>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说明：</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1.按上表计算的收费为代理服务全过程的收费金额。</w:t>
      </w:r>
      <w:r>
        <w:rPr>
          <w:rFonts w:hint="eastAsia" w:ascii="宋体" w:hAnsi="宋体" w:eastAsia="宋体" w:cs="宋体"/>
          <w:color w:val="auto"/>
          <w:sz w:val="24"/>
          <w:highlight w:val="none"/>
          <w:lang w:val="en-US" w:eastAsia="zh-CN"/>
        </w:rPr>
        <w:t xml:space="preserve">各社会代理机构</w:t>
      </w:r>
      <w:r>
        <w:rPr>
          <w:rFonts w:hint="eastAsia" w:ascii="宋体" w:hAnsi="宋体" w:eastAsia="宋体" w:cs="宋体"/>
          <w:color w:val="auto"/>
          <w:sz w:val="24"/>
          <w:highlight w:val="none"/>
          <w:lang w:eastAsia="zh-CN"/>
        </w:rPr>
        <w:t xml:space="preserve">不</w:t>
      </w:r>
      <w:r>
        <w:rPr>
          <w:rFonts w:hint="eastAsia" w:ascii="宋体" w:hAnsi="宋体" w:eastAsia="宋体" w:cs="宋体"/>
          <w:color w:val="auto"/>
          <w:sz w:val="24"/>
          <w:highlight w:val="none"/>
          <w:lang w:val="en-US" w:eastAsia="zh-CN"/>
        </w:rPr>
        <w:t xml:space="preserve">再</w:t>
      </w:r>
      <w:r>
        <w:rPr>
          <w:rFonts w:hint="eastAsia" w:ascii="宋体" w:hAnsi="宋体" w:eastAsia="宋体" w:cs="宋体"/>
          <w:color w:val="auto"/>
          <w:sz w:val="24"/>
          <w:highlight w:val="none"/>
          <w:lang w:eastAsia="zh-CN"/>
        </w:rPr>
        <w:t xml:space="preserve">收取采购文件制作售卖费用。</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2.代理服务费按差额定率累进法计算。</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3.代理服务费基准金额（按差额定率累进法计算的）=中标金额（按差额定率累进法计算的） * 费率（%）。</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4.代理服务费应收取金额=代理服务费基准金额（按差额定率累进法计算的）的合计数。</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定点类等无金额或事先不能计算出价格总额的项目，按</w:t>
      </w:r>
      <w:r>
        <w:rPr>
          <w:rFonts w:hint="eastAsia" w:ascii="宋体" w:hAnsi="宋体" w:eastAsia="宋体" w:cs="宋体"/>
          <w:color w:val="auto"/>
          <w:sz w:val="24"/>
          <w:highlight w:val="none"/>
          <w:lang w:eastAsia="zh-CN"/>
        </w:rPr>
        <w:t xml:space="preserve">中标（成交）金额</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lang w:eastAsia="zh-CN"/>
        </w:rPr>
        <w:t xml:space="preserve">万元计算。</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6.有分包（分标段）的按一个项目计算。</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.以上价格为协会指导价，双方可</w:t>
      </w:r>
      <w:r>
        <w:rPr>
          <w:rFonts w:hint="eastAsia" w:ascii="宋体" w:hAnsi="宋体" w:eastAsia="宋体" w:cs="宋体"/>
          <w:color w:val="auto"/>
          <w:sz w:val="24"/>
          <w:highlight w:val="none"/>
          <w:lang w:val="en-US" w:eastAsia="zh-CN"/>
        </w:rPr>
        <w:t xml:space="preserve">根据项目难易程度和优质优价原则</w:t>
      </w:r>
      <w:r>
        <w:rPr>
          <w:rFonts w:hint="eastAsia" w:ascii="宋体" w:hAnsi="宋体" w:eastAsia="宋体" w:cs="宋体"/>
          <w:color w:val="auto"/>
          <w:sz w:val="24"/>
          <w:highlight w:val="none"/>
          <w:lang w:eastAsia="zh-CN"/>
        </w:rPr>
        <w:t xml:space="preserve">协商</w:t>
      </w:r>
      <w:r>
        <w:rPr>
          <w:rFonts w:hint="eastAsia" w:ascii="宋体" w:hAnsi="宋体" w:eastAsia="宋体" w:cs="宋体"/>
          <w:color w:val="auto"/>
          <w:sz w:val="24"/>
          <w:highlight w:val="none"/>
          <w:lang w:val="en-US" w:eastAsia="zh-CN"/>
        </w:rPr>
        <w:t xml:space="preserve">确</w:t>
      </w:r>
      <w:r>
        <w:rPr>
          <w:rFonts w:hint="eastAsia" w:ascii="宋体" w:hAnsi="宋体" w:eastAsia="宋体" w:cs="宋体"/>
          <w:color w:val="auto"/>
          <w:sz w:val="24"/>
          <w:highlight w:val="none"/>
          <w:lang w:eastAsia="zh-CN"/>
        </w:rPr>
        <w:t xml:space="preserve">定。</w:t>
      </w:r>
      <w:r/>
    </w:p>
    <w:p>
      <w:pPr>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10" w:name="_Toc10570"/>
      <w:r/>
      <w:bookmarkStart w:id="11" w:name="_Toc30224"/>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eastAsia="zh-CN"/>
        </w:rPr>
        <w:t xml:space="preserve">  </w:t>
      </w:r>
      <w:r>
        <w:rPr>
          <w:rFonts w:hint="eastAsia" w:ascii="宋体" w:hAnsi="宋体" w:eastAsia="宋体" w:cs="宋体"/>
          <w:b/>
          <w:color w:val="auto"/>
          <w:sz w:val="32"/>
          <w:szCs w:val="32"/>
          <w:highlight w:val="none"/>
        </w:rPr>
        <w:t xml:space="preserve">评标标准</w:t>
      </w:r>
      <w:bookmarkEnd w:id="10"/>
      <w:r/>
      <w:bookmarkEnd w:id="11"/>
      <w:r/>
      <w:r/>
    </w:p>
    <w:tbl>
      <w:tblPr>
        <w:tblStyle w:val="800"/>
        <w:tblpPr w:horzAnchor="page" w:tblpXSpec="center" w:vertAnchor="text" w:tblpY="274" w:leftFromText="180" w:topFromText="0" w:rightFromText="180" w:bottomFromText="0"/>
        <w:tblW w:w="5195" w:type="pct"/>
        <w:jc w:val="center"/>
        <w:tblLayout w:type="autofit"/>
        <w:tblCellMar>
          <w:left w:w="15" w:type="dxa"/>
          <w:top w:w="15" w:type="dxa"/>
          <w:right w:w="15" w:type="dxa"/>
          <w:bottom w:w="15" w:type="dxa"/>
        </w:tblCellMar>
        <w:tblLook w:val="04A0" w:firstRow="1" w:lastRow="0" w:firstColumn="1" w:lastColumn="0" w:noHBand="0" w:noVBand="1"/>
      </w:tblPr>
      <w:tblGrid>
        <w:gridCol w:w="1366"/>
        <w:gridCol w:w="1293"/>
        <w:gridCol w:w="6220"/>
      </w:tblGrid>
      <w:tr>
        <w:trPr>
          <w:jc w:val="center"/>
          <w:trHeight w:val="458"/>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769" w:type="pct"/>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728" w:type="pct"/>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评审内容 </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3502" w:type="pct"/>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Height w:val="1640"/>
        </w:trPr>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769" w:type="pct"/>
            <w:vAlign w:val="center"/>
            <w:textDirection w:val="lrTb"/>
            <w:noWrap w:val="false"/>
          </w:tcPr>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价格</w:t>
            </w:r>
            <w:r/>
          </w:p>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部分</w:t>
            </w:r>
            <w:r/>
          </w:p>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分</w:t>
            </w:r>
            <w:r>
              <w:rPr>
                <w:rFonts w:hint="eastAsia" w:ascii="宋体" w:hAnsi="宋体" w:eastAsia="宋体" w:cs="宋体"/>
                <w:sz w:val="24"/>
                <w:szCs w:val="24"/>
                <w:lang w:eastAsia="zh-CN"/>
              </w:rPr>
              <w:t xml:space="preserve">）</w:t>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728" w:type="pct"/>
            <w:vAlign w:val="center"/>
            <w:textDirection w:val="lrTb"/>
            <w:noWrap w:val="false"/>
          </w:tcPr>
          <w:p>
            <w:pPr>
              <w:jc w:val="both"/>
              <w:spacing w:line="460" w:lineRule="exact"/>
              <w:rPr>
                <w:rFonts w:hint="eastAsia" w:ascii="宋体" w:hAnsi="宋体" w:eastAsia="宋体" w:cs="宋体"/>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投标报价（30分）</w:t>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3502" w:type="pct"/>
            <w:vAlign w:val="center"/>
            <w:textDirection w:val="lrTb"/>
            <w:noWrap w:val="false"/>
          </w:tcPr>
          <w:p>
            <w:pPr>
              <w:pStyle w:val="827"/>
              <w:jc w:val="left"/>
              <w:spacing w:line="240" w:lineRule="auto"/>
              <w:rPr>
                <w:rFonts w:hint="eastAsia" w:ascii="宋体" w:hAnsi="宋体" w:eastAsia="宋体" w:cs="宋体"/>
                <w:b w:val="0"/>
                <w:bCs w:val="0"/>
                <w:color w:val="ff0000"/>
                <w:sz w:val="24"/>
                <w:szCs w:val="24"/>
                <w:lang w:val="en-US" w:eastAsia="zh-CN"/>
              </w:rPr>
            </w:pPr>
            <w:r>
              <w:rPr>
                <w:rFonts w:hint="eastAsia" w:ascii="宋体" w:hAnsi="宋体" w:eastAsia="宋体" w:cs="宋体"/>
                <w:color w:val="ff0000"/>
                <w:sz w:val="24"/>
                <w:szCs w:val="24"/>
              </w:rPr>
              <w:t xml:space="preserve">投标报价</w:t>
            </w:r>
            <w:r>
              <w:rPr>
                <w:rFonts w:hint="eastAsia" w:ascii="宋体" w:hAnsi="宋体" w:eastAsia="宋体" w:cs="宋体"/>
                <w:b w:val="0"/>
                <w:bCs w:val="0"/>
                <w:color w:val="ff0000"/>
                <w:sz w:val="24"/>
                <w:szCs w:val="24"/>
              </w:rPr>
              <w:t xml:space="preserve">分采用最低价优先法计算，即满足招标文件要求且投标报价的最低报价为评标基准价，其报价分为满分，其他投标人的报价分按照下列公式计算：报价得分=（评标基准价/投标报价）×</w:t>
            </w:r>
            <w:r>
              <w:rPr>
                <w:rFonts w:hint="eastAsia" w:ascii="宋体" w:hAnsi="宋体" w:eastAsia="宋体" w:cs="宋体"/>
                <w:b w:val="0"/>
                <w:bCs w:val="0"/>
                <w:color w:val="ff0000"/>
                <w:sz w:val="24"/>
                <w:szCs w:val="24"/>
                <w:lang w:val="en-US" w:eastAsia="zh-CN"/>
              </w:rPr>
              <w:t xml:space="preserve">30</w:t>
            </w:r>
            <w:r>
              <w:rPr>
                <w:rFonts w:hint="eastAsia" w:ascii="宋体" w:hAnsi="宋体" w:eastAsia="宋体" w:cs="宋体"/>
                <w:b w:val="0"/>
                <w:bCs w:val="0"/>
                <w:color w:val="ff0000"/>
                <w:sz w:val="24"/>
                <w:szCs w:val="24"/>
                <w:lang w:val="en-US" w:eastAsia="zh-CN"/>
              </w:rPr>
              <w:t xml:space="preserve">。</w:t>
            </w:r>
            <w:r/>
          </w:p>
          <w:p>
            <w:pPr>
              <w:pStyle w:val="827"/>
              <w:jc w:val="left"/>
              <w:spacing w:line="240" w:lineRule="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 xml:space="preserve">1、</w:t>
            </w:r>
            <w:r>
              <w:rPr>
                <w:rFonts w:hint="eastAsia" w:ascii="宋体" w:hAnsi="宋体" w:eastAsia="宋体" w:cs="宋体"/>
                <w:b w:val="0"/>
                <w:bCs w:val="0"/>
                <w:color w:val="ff0000"/>
                <w:sz w:val="24"/>
                <w:szCs w:val="24"/>
                <w:lang w:val="en-US" w:eastAsia="zh-CN"/>
              </w:rPr>
              <w:t xml:space="preserve">投标人所投产品全部为</w:t>
            </w:r>
            <w:r>
              <w:rPr>
                <w:rFonts w:hint="eastAsia" w:ascii="宋体" w:hAnsi="宋体" w:eastAsia="宋体" w:cs="宋体"/>
                <w:b w:val="0"/>
                <w:bCs w:val="0"/>
                <w:color w:val="ff0000"/>
                <w:sz w:val="24"/>
                <w:szCs w:val="24"/>
                <w:lang w:val="en-US" w:eastAsia="zh-CN"/>
              </w:rPr>
              <w:t xml:space="preserve">中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w:t>
            </w:r>
            <w:r/>
          </w:p>
          <w:p>
            <w:pPr>
              <w:pStyle w:val="827"/>
              <w:jc w:val="left"/>
              <w:spacing w:line="240" w:lineRule="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 xml:space="preserve">该投标人的评审价格=《开标一览表》中的“总价”*（100%-10%）</w:t>
            </w:r>
            <w:r>
              <w:rPr>
                <w:rFonts w:hint="eastAsia" w:ascii="宋体" w:hAnsi="宋体" w:eastAsia="宋体" w:cs="宋体"/>
                <w:b w:val="0"/>
                <w:bCs w:val="0"/>
                <w:color w:val="ff0000"/>
                <w:sz w:val="24"/>
                <w:szCs w:val="24"/>
                <w:lang w:val="en-US" w:eastAsia="zh-CN"/>
              </w:rPr>
              <w:t xml:space="preserve">。</w:t>
            </w:r>
            <w:r/>
          </w:p>
          <w:p>
            <w:pPr>
              <w:pStyle w:val="793"/>
              <w:spacing w:line="240" w:lineRule="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lang w:val="en-US" w:eastAsia="zh-CN"/>
              </w:rPr>
              <w:t xml:space="preserve">注：</w:t>
            </w:r>
            <w:r>
              <w:rPr>
                <w:rFonts w:hint="eastAsia" w:ascii="宋体" w:hAnsi="宋体" w:eastAsia="宋体" w:cs="宋体"/>
                <w:b w:val="0"/>
                <w:bCs w:val="0"/>
                <w:color w:val="ff0000"/>
                <w:sz w:val="24"/>
                <w:szCs w:val="24"/>
              </w:rPr>
              <w:t xml:space="preserve">得分四舍五入保留小数点后2位。</w:t>
            </w:r>
            <w:r/>
          </w:p>
          <w:p>
            <w:pPr>
              <w:spacing w:line="240" w:lineRule="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该投标人的评审价格=《开标一览表》中的“总价”*（100%-20%）</w:t>
            </w:r>
            <w:r/>
          </w:p>
          <w:p>
            <w:pPr>
              <w:spacing w:line="240" w:lineRule="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3、上述1、2项评审优惠可同时享受，分别在供应商报价基础上予以扣除，用扣除后的价格参与评审，即该投标人的评审价格=《开标一览表》中的“总价”*（100%-30%）。</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ff0000"/>
                <w:sz w:val="24"/>
                <w:szCs w:val="24"/>
              </w:rPr>
              <w:t xml:space="preserve">享受价格评审优惠不改变最终中标、成交价格，政府采购合同仍按照中标、成交供应商的报价签订。</w:t>
            </w:r>
            <w:r/>
          </w:p>
        </w:tc>
      </w:tr>
      <w:tr>
        <w:trPr>
          <w:jc w:val="center"/>
          <w:trHeight w:val="90"/>
        </w:trPr>
        <w:tc>
          <w:tcPr>
            <w:tcBorders>
              <w:top w:val="single" w:color="auto" w:sz="4" w:space="0"/>
              <w:left w:val="single" w:color="auto" w:sz="4" w:space="0"/>
              <w:right w:val="single" w:color="auto" w:sz="4" w:space="0"/>
            </w:tcBorders>
            <w:tcMar>
              <w:left w:w="120" w:type="dxa"/>
              <w:top w:w="60" w:type="dxa"/>
              <w:right w:w="120" w:type="dxa"/>
              <w:bottom w:w="60" w:type="dxa"/>
            </w:tcMar>
            <w:tcW w:w="769" w:type="pct"/>
            <w:vAlign w:val="center"/>
            <w:textDirection w:val="lrTb"/>
            <w:noWrap w:val="false"/>
          </w:tcPr>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商务部分（</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rPr>
              <w:t xml:space="preserve">）</w:t>
            </w:r>
            <w:r/>
          </w:p>
        </w:tc>
        <w:tc>
          <w:tcPr>
            <w:tcBorders>
              <w:top w:val="single" w:color="auto" w:sz="4" w:space="0"/>
              <w:left w:val="single" w:color="auto" w:sz="4" w:space="0"/>
              <w:right w:val="single" w:color="auto" w:sz="4" w:space="0"/>
            </w:tcBorders>
            <w:tcMar>
              <w:left w:w="120" w:type="dxa"/>
              <w:top w:w="60" w:type="dxa"/>
              <w:right w:w="120" w:type="dxa"/>
              <w:bottom w:w="60" w:type="dxa"/>
            </w:tcMar>
            <w:tcW w:w="728" w:type="pct"/>
            <w:vAlign w:val="center"/>
            <w:textDirection w:val="lrTb"/>
            <w:noWrap w:val="false"/>
          </w:tcPr>
          <w:p>
            <w:pPr>
              <w:numPr>
                <w:ilvl w:val="255"/>
                <w:numId w:val="0"/>
              </w:numPr>
              <w:ind w:left="0" w:firstLine="0"/>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类似业绩</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3502" w:type="pct"/>
            <w:vAlign w:val="center"/>
            <w:textDirection w:val="lrTb"/>
            <w:noWrap w:val="false"/>
          </w:tcPr>
          <w:p>
            <w:pPr>
              <w:ind w:right="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rPr>
              <w:t xml:space="preserve">日（合同签订日期）以来具有结构化抓拍</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rPr>
              <w:t xml:space="preserve">业绩的，每有一个得2 分，本项最高得4分。</w:t>
            </w:r>
            <w:r/>
          </w:p>
          <w:p>
            <w:pPr>
              <w:ind w:right="0"/>
              <w:jc w:val="left"/>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证明材料需提供</w:t>
            </w:r>
            <w:r>
              <w:rPr>
                <w:rFonts w:hint="eastAsia" w:ascii="宋体" w:hAnsi="宋体" w:eastAsia="宋体" w:cs="宋体"/>
                <w:color w:val="auto"/>
                <w:sz w:val="24"/>
                <w:szCs w:val="24"/>
                <w:highlight w:val="none"/>
              </w:rPr>
              <w:t xml:space="preserve">完整合同原件扫描件</w:t>
            </w:r>
            <w:r>
              <w:rPr>
                <w:rFonts w:hint="eastAsia" w:ascii="宋体" w:hAnsi="宋体" w:eastAsia="宋体" w:cs="宋体"/>
                <w:color w:val="auto"/>
                <w:sz w:val="24"/>
                <w:szCs w:val="24"/>
                <w:highlight w:val="none"/>
                <w:lang w:val="en-US" w:eastAsia="zh-CN"/>
              </w:rPr>
              <w:t xml:space="preserve">及合同对应的全额发票扫描件</w:t>
            </w:r>
            <w:r>
              <w:rPr>
                <w:rFonts w:hint="eastAsia" w:ascii="宋体" w:hAnsi="宋体" w:eastAsia="宋体" w:cs="宋体"/>
                <w:color w:val="auto"/>
                <w:sz w:val="24"/>
                <w:szCs w:val="24"/>
                <w:highlight w:val="none"/>
              </w:rPr>
              <w:t xml:space="preserve">加盖电子签章</w:t>
            </w:r>
            <w:r>
              <w:rPr>
                <w:rFonts w:hint="eastAsia" w:ascii="宋体" w:hAnsi="宋体" w:eastAsia="宋体" w:cs="宋体"/>
                <w:color w:val="auto"/>
                <w:sz w:val="24"/>
                <w:szCs w:val="24"/>
                <w:highlight w:val="none"/>
                <w:lang w:eastAsia="zh-CN"/>
              </w:rPr>
              <w:t xml:space="preserve">方可得分，否则不得分。</w:t>
            </w:r>
            <w:r>
              <w:rPr>
                <w:rFonts w:hint="eastAsia" w:ascii="宋体" w:hAnsi="宋体" w:eastAsia="宋体" w:cs="宋体"/>
                <w:color w:val="auto"/>
                <w:sz w:val="24"/>
                <w:szCs w:val="24"/>
                <w:highlight w:val="none"/>
              </w:rPr>
              <w:t xml:space="preserve">时间以合同签订日期为准）</w:t>
            </w:r>
            <w:r/>
          </w:p>
        </w:tc>
      </w:tr>
      <w:tr>
        <w:trPr>
          <w:jc w:val="center"/>
          <w:trHeight w:val="90"/>
        </w:trPr>
        <w:tc>
          <w:tcPr>
            <w:tcBorders>
              <w:top w:val="single" w:color="auto" w:sz="4" w:space="0"/>
              <w:left w:val="single" w:color="auto" w:sz="4" w:space="0"/>
              <w:right w:val="single" w:color="auto" w:sz="4" w:space="0"/>
            </w:tcBorders>
            <w:tcMar>
              <w:left w:w="120" w:type="dxa"/>
              <w:top w:w="60" w:type="dxa"/>
              <w:right w:w="120" w:type="dxa"/>
              <w:bottom w:w="60" w:type="dxa"/>
            </w:tcMar>
            <w:tcW w:w="769" w:type="pct"/>
            <w:vAlign w:val="center"/>
            <w:vMerge w:val="restart"/>
            <w:textDirection w:val="lrTb"/>
            <w:noWrap w:val="false"/>
          </w:tcPr>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w:t>
            </w:r>
            <w:r/>
          </w:p>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部分</w:t>
            </w:r>
            <w:r/>
          </w:p>
          <w:p>
            <w:pPr>
              <w:jc w:val="cente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66</w:t>
            </w:r>
            <w:r>
              <w:rPr>
                <w:rFonts w:hint="eastAsia" w:ascii="宋体" w:hAnsi="宋体" w:eastAsia="宋体" w:cs="宋体"/>
                <w:sz w:val="24"/>
                <w:szCs w:val="24"/>
                <w:lang w:val="zh-CN"/>
              </w:rPr>
              <w:t xml:space="preserve">分</w:t>
            </w:r>
            <w:r>
              <w:rPr>
                <w:rFonts w:hint="eastAsia" w:ascii="宋体" w:hAnsi="宋体" w:eastAsia="宋体" w:cs="宋体"/>
                <w:sz w:val="24"/>
                <w:szCs w:val="24"/>
              </w:rPr>
              <w:t xml:space="preserve">）</w:t>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Mar>
              <w:left w:w="120" w:type="dxa"/>
              <w:top w:w="60" w:type="dxa"/>
              <w:right w:w="120" w:type="dxa"/>
              <w:bottom w:w="60" w:type="dxa"/>
            </w:tcMar>
            <w:tcW w:w="728" w:type="pct"/>
            <w:vAlign w:val="center"/>
            <w:textDirection w:val="lrTb"/>
            <w:noWrap w:val="false"/>
          </w:tcPr>
          <w:p>
            <w:pPr>
              <w:numPr>
                <w:ilvl w:val="255"/>
                <w:numId w:val="0"/>
              </w:numPr>
              <w:ind w:left="0" w:firstLine="0"/>
              <w:jc w:val="center"/>
              <w:spacing w:line="360" w:lineRule="auto"/>
              <w:rPr>
                <w:rFonts w:hint="eastAsia" w:ascii="宋体" w:hAnsi="宋体" w:eastAsia="宋体" w:cs="宋体"/>
                <w:sz w:val="24"/>
                <w:szCs w:val="24"/>
                <w:highlight w:val="yellow"/>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3502" w:type="pct"/>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w:t>
            </w:r>
            <w:r>
              <w:rPr>
                <w:rFonts w:hint="eastAsia" w:ascii="宋体" w:hAnsi="宋体" w:eastAsia="宋体" w:cs="宋体"/>
                <w:sz w:val="24"/>
                <w:szCs w:val="24"/>
              </w:rPr>
              <w:t xml:space="preserve">偏离表、产品技术说明、检测报告、彩页等佐证材料为依据</w:t>
            </w:r>
            <w:r>
              <w:rPr>
                <w:rFonts w:hint="eastAsia" w:ascii="宋体" w:hAnsi="宋体" w:eastAsia="宋体" w:cs="宋体"/>
                <w:sz w:val="24"/>
                <w:szCs w:val="24"/>
                <w:lang w:eastAsia="zh-CN"/>
              </w:rPr>
              <w:t xml:space="preserve">，</w:t>
            </w:r>
            <w:r>
              <w:rPr>
                <w:rFonts w:hint="eastAsia" w:ascii="宋体" w:hAnsi="宋体" w:eastAsia="宋体" w:cs="宋体"/>
                <w:b w:val="0"/>
                <w:bCs/>
                <w:color w:val="auto"/>
                <w:sz w:val="24"/>
                <w:szCs w:val="24"/>
                <w:highlight w:val="none"/>
              </w:rPr>
              <w:t xml:space="preserve">对招标文件《第六章 采购需求》中“</w:t>
            </w:r>
            <w:r>
              <w:rPr>
                <w:rFonts w:hint="eastAsia" w:ascii="宋体" w:hAnsi="宋体" w:eastAsia="宋体" w:cs="宋体"/>
                <w:b w:val="0"/>
                <w:bCs/>
                <w:color w:val="auto"/>
                <w:sz w:val="24"/>
                <w:szCs w:val="24"/>
                <w:highlight w:val="none"/>
                <w:lang w:val="en-US" w:eastAsia="zh-CN"/>
              </w:rPr>
              <w:t xml:space="preserve">技术指标</w:t>
            </w:r>
            <w:r>
              <w:rPr>
                <w:rFonts w:hint="eastAsia" w:ascii="宋体" w:hAnsi="宋体" w:eastAsia="宋体" w:cs="宋体"/>
                <w:b w:val="0"/>
                <w:bCs/>
                <w:color w:val="auto"/>
                <w:sz w:val="24"/>
                <w:szCs w:val="24"/>
                <w:highlight w:val="none"/>
              </w:rPr>
              <w:t xml:space="preserve">”满足程度进行评分。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满足招标文件要求的得30分，重要响应指标不满足或负偏离每项扣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sz w:val="24"/>
                <w:szCs w:val="24"/>
                <w:highlight w:val="yellow"/>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注：加“★”标志为实质性响应指标不允许负偏离，否则按无效投标处理；加“▲”的指标为重要响应指标，其他为一般响应指标，未按招标文件要求提供证明材料的视为负偏离。</w:t>
            </w:r>
            <w:r/>
          </w:p>
        </w:tc>
      </w:tr>
      <w:tr>
        <w:trPr>
          <w:jc w:val="center"/>
          <w:trHeight w:val="609"/>
        </w:trPr>
        <w:tc>
          <w:tcPr>
            <w:tcBorders>
              <w:left w:val="single" w:color="auto" w:sz="4" w:space="0"/>
              <w:right w:val="single" w:color="auto" w:sz="4" w:space="0"/>
            </w:tcBorders>
            <w:tcMar>
              <w:left w:w="120" w:type="dxa"/>
              <w:top w:w="60" w:type="dxa"/>
              <w:right w:w="120" w:type="dxa"/>
              <w:bottom w:w="60" w:type="dxa"/>
            </w:tcMar>
            <w:tcW w:w="769" w:type="pct"/>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Mar>
              <w:left w:w="120" w:type="dxa"/>
              <w:top w:w="60" w:type="dxa"/>
              <w:right w:w="120" w:type="dxa"/>
              <w:bottom w:w="60" w:type="dxa"/>
            </w:tcMar>
            <w:tcW w:w="728"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整体供货专项方案（10分）</w:t>
            </w:r>
            <w:r/>
          </w:p>
        </w:tc>
        <w:tc>
          <w:tcPr>
            <w:tcBorders>
              <w:top w:val="single" w:color="auto" w:sz="4" w:space="0"/>
              <w:left w:val="single" w:color="auto" w:sz="4" w:space="0"/>
              <w:right w:val="single" w:color="auto" w:sz="4" w:space="0"/>
            </w:tcBorders>
            <w:tcMar>
              <w:left w:w="120" w:type="dxa"/>
              <w:top w:w="60" w:type="dxa"/>
              <w:right w:w="120" w:type="dxa"/>
              <w:bottom w:w="60" w:type="dxa"/>
            </w:tcMar>
            <w:tcW w:w="3502" w:type="pct"/>
            <w:vAlign w:val="center"/>
            <w:textDirection w:val="lrTb"/>
            <w:noWrap w:val="false"/>
          </w:tcPr>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sz w:val="24"/>
                <w:highlight w:val="none"/>
              </w:rPr>
              <w:t xml:space="preserve">项目货源储备统筹、供货组织架构、全周期供货进度计划、出入库标准化流程、全链路物资管控、供货应急保障措施开展综合评审，结合方案科学性、合理性、规范性、可操作性等</w:t>
            </w:r>
            <w:r>
              <w:rPr>
                <w:rFonts w:hint="eastAsia" w:ascii="宋体" w:hAnsi="宋体" w:eastAsia="宋体" w:cs="宋体"/>
                <w:color w:val="000000"/>
                <w:sz w:val="24"/>
                <w:szCs w:val="24"/>
                <w:highlight w:val="none"/>
              </w:rPr>
              <w:t xml:space="preserve">进行综合评价：</w:t>
            </w:r>
            <w:r/>
          </w:p>
          <w:p>
            <w:pPr>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（1）以上内容不存在瑕疵:10分；</w:t>
            </w:r>
            <w:r/>
          </w:p>
          <w:p>
            <w:pPr>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（2）以上内容存在1处瑕疵:8分；</w:t>
            </w:r>
            <w:r/>
          </w:p>
          <w:p>
            <w:pPr>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（3）以上内容存在2处瑕疵:6分；</w:t>
            </w:r>
            <w:r/>
          </w:p>
          <w:p>
            <w:pPr>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（3）以上内容存在3处瑕疵:4分；</w:t>
            </w:r>
            <w:r/>
          </w:p>
          <w:p>
            <w:pPr>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（4）以上内容存在4处瑕疵:2分；</w:t>
            </w:r>
            <w:r/>
          </w:p>
          <w:p>
            <w:pPr>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（4）未提供方案或不满足供货要求或内容存在5处及以上瑕疵:0分。</w:t>
            </w:r>
            <w:r/>
          </w:p>
          <w:p>
            <w:pPr>
              <w:ind w:firstLine="56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jc w:val="center"/>
          <w:trHeight w:val="2215"/>
        </w:trPr>
        <w:tc>
          <w:tcPr>
            <w:tcBorders>
              <w:left w:val="single" w:color="auto" w:sz="4" w:space="0"/>
              <w:right w:val="single" w:color="auto" w:sz="4" w:space="0"/>
            </w:tcBorders>
            <w:tcMar>
              <w:left w:w="120" w:type="dxa"/>
              <w:top w:w="60" w:type="dxa"/>
              <w:right w:w="120" w:type="dxa"/>
              <w:bottom w:w="60" w:type="dxa"/>
            </w:tcMar>
            <w:tcW w:w="769" w:type="pct"/>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728" w:type="pct"/>
            <w:vAlign w:val="center"/>
            <w:textDirection w:val="lrTb"/>
            <w:noWrap w:val="false"/>
          </w:tcPr>
          <w:p>
            <w:pPr>
              <w:jc w:val="center"/>
              <w:spacing w:line="460" w:lineRule="exact"/>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现场实施安装方案</w:t>
            </w:r>
            <w:r/>
          </w:p>
          <w:p>
            <w:pPr>
              <w:jc w:val="both"/>
              <w:spacing w:line="460" w:lineRule="exac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（10分）</w:t>
            </w:r>
            <w:r/>
          </w:p>
        </w:tc>
        <w:tc>
          <w:tcPr>
            <w:tcBorders>
              <w:top w:val="single" w:color="000000" w:sz="6" w:space="0"/>
              <w:left w:val="single" w:color="auto" w:sz="4" w:space="0"/>
              <w:bottom w:val="single" w:color="000000" w:sz="6" w:space="0"/>
              <w:right w:val="single" w:color="000000" w:sz="6" w:space="0"/>
            </w:tcBorders>
            <w:tcMar>
              <w:left w:w="120" w:type="dxa"/>
              <w:top w:w="60" w:type="dxa"/>
              <w:right w:w="120" w:type="dxa"/>
              <w:bottom w:w="60" w:type="dxa"/>
            </w:tcMar>
            <w:tcW w:w="3502" w:type="pct"/>
            <w:vAlign w:val="center"/>
            <w:textDirection w:val="lrTb"/>
            <w:noWrap w:val="false"/>
          </w:tcPr>
          <w:p>
            <w:pPr>
              <w:jc w:val="both"/>
              <w:spacing w:line="460" w:lineRule="exact"/>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b w:val="0"/>
                <w:bCs w:val="0"/>
                <w:color w:val="auto"/>
                <w:sz w:val="24"/>
                <w:szCs w:val="24"/>
                <w:highlight w:val="none"/>
              </w:rPr>
              <w:t xml:space="preserve">本项目施工组织架构、</w:t>
            </w:r>
            <w:r>
              <w:rPr>
                <w:rFonts w:hint="eastAsia" w:ascii="宋体" w:hAnsi="宋体" w:eastAsia="宋体" w:cs="宋体"/>
                <w:b w:val="0"/>
                <w:bCs w:val="0"/>
                <w:color w:val="auto"/>
                <w:sz w:val="24"/>
                <w:szCs w:val="24"/>
                <w:highlight w:val="none"/>
                <w:lang w:eastAsia="zh-CN"/>
              </w:rPr>
              <w:t xml:space="preserve">路口点位、</w:t>
            </w:r>
            <w:r>
              <w:rPr>
                <w:rFonts w:hint="eastAsia" w:ascii="宋体" w:hAnsi="宋体" w:eastAsia="宋体" w:cs="宋体"/>
                <w:b w:val="0"/>
                <w:bCs w:val="0"/>
                <w:color w:val="auto"/>
                <w:sz w:val="24"/>
                <w:szCs w:val="24"/>
                <w:highlight w:val="none"/>
              </w:rPr>
              <w:t xml:space="preserve">总施工进度、标准化施工作业工序、内外部多方协调机制，对核心施工要点综合评审，结合方案科学性、合理性、规范性、可操作性等内容进行</w:t>
            </w:r>
            <w:r>
              <w:rPr>
                <w:rFonts w:hint="eastAsia" w:ascii="宋体" w:hAnsi="宋体" w:eastAsia="宋体" w:cs="宋体"/>
                <w:b w:val="0"/>
                <w:bCs w:val="0"/>
                <w:color w:val="auto"/>
                <w:sz w:val="24"/>
                <w:szCs w:val="24"/>
                <w:highlight w:val="none"/>
                <w:lang w:val="en-US" w:eastAsia="zh-CN"/>
              </w:rPr>
              <w:t xml:space="preserve">综合评价：</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（1）以上内容不存在瑕疵:10分；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（2）以上内容存在1处瑕疵:8分；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（3）以上内容存在2处瑕疵:6分；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（3）以上内容存在3处瑕疵:4分；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（4）以上内容存在4处瑕疵:2分；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（5）未提供方案或不满足供货要求或内容存在5处及以上瑕疵:0分。</w:t>
            </w:r>
            <w:r/>
          </w:p>
          <w:p>
            <w:pPr>
              <w:pStyle w:val="842"/>
              <w:rPr>
                <w:rFonts w:hint="eastAsia" w:ascii="宋体" w:hAnsi="宋体" w:eastAsia="宋体" w:cs="宋体"/>
                <w:highlight w:val="yellow"/>
              </w:rPr>
            </w:pPr>
            <w:r>
              <w:rPr>
                <w:rFonts w:hint="eastAsia" w:ascii="宋体" w:hAnsi="宋体" w:eastAsia="宋体" w:cs="宋体"/>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jc w:val="center"/>
          <w:trHeight w:val="90"/>
        </w:trPr>
        <w:tc>
          <w:tcPr>
            <w:tcBorders>
              <w:left w:val="single" w:color="auto" w:sz="4" w:space="0"/>
              <w:right w:val="single" w:color="auto" w:sz="4" w:space="0"/>
            </w:tcBorders>
            <w:tcMar>
              <w:left w:w="120" w:type="dxa"/>
              <w:top w:w="60" w:type="dxa"/>
              <w:right w:w="120" w:type="dxa"/>
              <w:bottom w:w="60" w:type="dxa"/>
            </w:tcMar>
            <w:tcW w:w="769" w:type="pct"/>
            <w:vAlign w:val="center"/>
            <w:vMerge w:val="continue"/>
            <w:textDirection w:val="lrTb"/>
            <w:noWrap w:val="false"/>
          </w:tcPr>
          <w:p>
            <w:pPr>
              <w:jc w:val="both"/>
              <w:spacing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728" w:type="pct"/>
            <w:vAlign w:val="center"/>
            <w:textDirection w:val="lrTb"/>
            <w:noWrap w:val="false"/>
          </w:tcPr>
          <w:p>
            <w:pPr>
              <w:jc w:val="center"/>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人员培训实施方案（</w:t>
            </w: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rPr>
              <w:t xml:space="preserve">）</w:t>
            </w:r>
            <w:r/>
          </w:p>
        </w:tc>
        <w:tc>
          <w:tcPr>
            <w:tcBorders>
              <w:top w:val="single" w:color="000000" w:sz="6" w:space="0"/>
              <w:left w:val="single" w:color="auto" w:sz="4" w:space="0"/>
              <w:bottom w:val="single" w:color="000000" w:sz="6" w:space="0"/>
              <w:right w:val="single" w:color="000000" w:sz="6" w:space="0"/>
            </w:tcBorders>
            <w:tcMar>
              <w:left w:w="120" w:type="dxa"/>
              <w:top w:w="60" w:type="dxa"/>
              <w:right w:w="120" w:type="dxa"/>
              <w:bottom w:w="60" w:type="dxa"/>
            </w:tcMar>
            <w:tcW w:w="3502" w:type="pct"/>
            <w:vAlign w:val="center"/>
            <w:textDirection w:val="lrTb"/>
            <w:noWrap w:val="false"/>
          </w:tcPr>
          <w:p>
            <w:pPr>
              <w:jc w:val="both"/>
              <w:spacing w:line="46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培训专项组织、分阶段培训时序、分级人员教学管理，设备实操、智能研判、故障排查等核心教学内容为重点综合评审，结合方案科学性、合理性、规范性、可操作性进行综合评价：</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（1）以上内容不存在瑕疵:</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（2）以上内容存在1处瑕疵:</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（3）以上内容存在2处瑕疵:</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（3）以上内容存在3处瑕疵:</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（4）以上内容存在4处瑕疵:</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（5）未提供方案或不满足供货要求或内容存在5处及以上瑕疵:0分。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jc w:val="center"/>
          <w:trHeight w:val="90"/>
        </w:trPr>
        <w:tc>
          <w:tcPr>
            <w:tcBorders>
              <w:left w:val="single" w:color="auto" w:sz="4" w:space="0"/>
              <w:right w:val="single" w:color="auto" w:sz="4" w:space="0"/>
            </w:tcBorders>
            <w:tcMar>
              <w:left w:w="120" w:type="dxa"/>
              <w:top w:w="60" w:type="dxa"/>
              <w:right w:w="120" w:type="dxa"/>
              <w:bottom w:w="60" w:type="dxa"/>
            </w:tcMar>
            <w:tcW w:w="769" w:type="pct"/>
            <w:vAlign w:val="center"/>
            <w:textDirection w:val="lrTb"/>
            <w:noWrap w:val="false"/>
          </w:tcPr>
          <w:p>
            <w:pPr>
              <w:jc w:val="both"/>
              <w:spacing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728" w:type="pct"/>
            <w:vAlign w:val="center"/>
            <w:textDirection w:val="lrTb"/>
            <w:noWrap w:val="false"/>
          </w:tcPr>
          <w:p>
            <w:pPr>
              <w:jc w:val="center"/>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售后维保服务方案（</w:t>
            </w: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rPr>
              <w:t xml:space="preserve">）</w:t>
            </w:r>
            <w:r/>
          </w:p>
        </w:tc>
        <w:tc>
          <w:tcPr>
            <w:tcBorders>
              <w:top w:val="single" w:color="000000" w:sz="6" w:space="0"/>
              <w:left w:val="single" w:color="auto" w:sz="4" w:space="0"/>
              <w:bottom w:val="single" w:color="000000" w:sz="6" w:space="0"/>
              <w:right w:val="single" w:color="000000" w:sz="6" w:space="0"/>
            </w:tcBorders>
            <w:tcMar>
              <w:left w:w="120" w:type="dxa"/>
              <w:top w:w="60" w:type="dxa"/>
              <w:right w:w="120" w:type="dxa"/>
              <w:bottom w:w="60" w:type="dxa"/>
            </w:tcMar>
            <w:tcW w:w="3502" w:type="pct"/>
            <w:vAlign w:val="center"/>
            <w:textDirection w:val="lrTb"/>
            <w:noWrap w:val="false"/>
          </w:tcPr>
          <w:p>
            <w:pPr>
              <w:jc w:val="both"/>
              <w:spacing w:line="46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sz w:val="24"/>
                <w:szCs w:val="24"/>
              </w:rPr>
              <w:t xml:space="preserve">常驻运维组织架构、长效运维</w:t>
            </w:r>
            <w:r>
              <w:rPr>
                <w:rFonts w:hint="eastAsia" w:ascii="宋体" w:hAnsi="宋体" w:eastAsia="宋体" w:cs="宋体"/>
                <w:sz w:val="24"/>
                <w:szCs w:val="24"/>
              </w:rPr>
              <w:t xml:space="preserve">计划</w:t>
            </w:r>
            <w:r>
              <w:rPr>
                <w:rFonts w:hint="eastAsia" w:ascii="宋体" w:hAnsi="宋体" w:eastAsia="宋体" w:cs="宋体"/>
                <w:sz w:val="24"/>
                <w:szCs w:val="24"/>
              </w:rPr>
              <w:t xml:space="preserve">、标准化故障处置流程、日常运维沟通协调机制，定期巡检、分级故障抢修等运维保障要点综合评审，结合方案科学性、合理性、规范性、可操作性</w:t>
            </w:r>
            <w:r>
              <w:rPr>
                <w:rFonts w:hint="eastAsia" w:ascii="宋体" w:hAnsi="宋体" w:eastAsia="宋体" w:cs="宋体"/>
                <w:color w:val="000000"/>
                <w:sz w:val="24"/>
                <w:szCs w:val="24"/>
                <w:highlight w:val="none"/>
              </w:rPr>
              <w:t xml:space="preserve">进行综合评价：</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（1）以上内容不存在瑕疵:</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（2）以上内容存在1处瑕疵:</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（3）以上内容存在2处瑕疵:</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（3）以上内容存在3处瑕疵:</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（4）以上内容存在4处瑕疵:</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（5）未提供方案或不满足供货要求或内容存在5处及以上瑕疵:0分。</w:t>
            </w:r>
            <w:r/>
          </w:p>
          <w:p>
            <w:pPr>
              <w:jc w:val="both"/>
              <w:spacing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bl>
    <w:p>
      <w:pPr>
        <w:jc w:val="center"/>
        <w:spacing w:after="0"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32"/>
          <w:szCs w:val="32"/>
          <w:highlight w:val="none"/>
        </w:rPr>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注：以上资料在投标文件中提供原件扫描件加盖投标人电子签章后方为有效。中标后需在公示期内将以上资料原件提交甲方查验。</w:t>
      </w:r>
      <w:r/>
    </w:p>
    <w:p>
      <w:pPr>
        <w:ind w:firstLine="600"/>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本章说明：本项目采用综合评分法，分值计算结果保留两位小数。</w:t>
      </w:r>
      <w:r/>
    </w:p>
    <w:p>
      <w:pPr>
        <w:jc w:val="both"/>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jc w:val="center"/>
        <w:keepLines w:val="0"/>
        <w:keepNext w:val="0"/>
        <w:pageBreakBefore w:val="0"/>
        <w:spacing w:line="480" w:lineRule="auto"/>
        <w:widowControl/>
        <w:rPr>
          <w:rFonts w:hint="eastAsia" w:ascii="宋体" w:hAnsi="宋体" w:eastAsia="宋体" w:cs="宋体"/>
          <w:b/>
          <w:bCs/>
          <w:color w:val="000000"/>
          <w:sz w:val="30"/>
          <w:szCs w:val="30"/>
          <w:highlight w:val="none"/>
        </w:rPr>
        <w:outlineLvl w:val="0"/>
      </w:pPr>
      <w:r/>
      <w:bookmarkStart w:id="12" w:name="_Toc19623"/>
      <w:r>
        <w:rPr>
          <w:rFonts w:hint="eastAsia" w:ascii="宋体" w:hAnsi="宋体" w:eastAsia="宋体" w:cs="宋体"/>
          <w:b/>
          <w:bCs/>
          <w:color w:val="000000"/>
          <w:sz w:val="30"/>
          <w:szCs w:val="30"/>
          <w:highlight w:val="none"/>
        </w:rPr>
        <w:t xml:space="preserve">第五章 拟签订的合同文本</w:t>
      </w:r>
      <w:bookmarkEnd w:id="12"/>
      <w:r/>
      <w:r/>
    </w:p>
    <w:p>
      <w:pPr>
        <w:ind w:firstLine="482"/>
        <w:jc w:val="center"/>
        <w:keepLines w:val="0"/>
        <w:keepNext w:val="0"/>
        <w:pageBreakBefore w:val="0"/>
        <w:spacing w:line="480" w:lineRule="auto"/>
        <w:rPr>
          <w:rFonts w:hint="eastAsia" w:ascii="宋体" w:hAnsi="宋体" w:eastAsia="宋体" w:cs="宋体"/>
          <w:b/>
          <w:sz w:val="24"/>
        </w:rPr>
      </w:pPr>
      <w:r>
        <w:rPr>
          <w:rFonts w:hint="eastAsia" w:ascii="宋体" w:hAnsi="宋体" w:eastAsia="宋体" w:cs="宋体"/>
          <w:b/>
          <w:sz w:val="24"/>
        </w:rPr>
        <w:t xml:space="preserve">（以采购人与成交供应商最终签订版本为准）</w:t>
      </w:r>
      <w:r/>
    </w:p>
    <w:p>
      <w:pPr>
        <w:ind w:firstLine="482"/>
        <w:jc w:val="center"/>
        <w:keepLines w:val="0"/>
        <w:keepNext w:val="0"/>
        <w:pageBreakBefore w:val="0"/>
        <w:spacing w:line="480" w:lineRule="auto"/>
        <w:rPr>
          <w:rFonts w:hint="eastAsia" w:ascii="宋体" w:hAnsi="宋体" w:eastAsia="宋体" w:cs="宋体"/>
          <w:b/>
          <w:sz w:val="24"/>
        </w:rPr>
      </w:pPr>
      <w:r>
        <w:rPr>
          <w:rFonts w:hint="eastAsia" w:ascii="宋体" w:hAnsi="宋体" w:eastAsia="宋体" w:cs="宋体"/>
          <w:b/>
          <w:sz w:val="24"/>
        </w:rPr>
      </w:r>
      <w:r/>
    </w:p>
    <w:p>
      <w:pPr>
        <w:jc w:val="center"/>
        <w:keepLines w:val="0"/>
        <w:keepNext w:val="0"/>
        <w:pageBreakBefore w:val="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keepLines w:val="0"/>
        <w:keepNext w:val="0"/>
        <w:pageBreakBefore w:val="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strike w:val="0"/>
          <w:color w:val="000000"/>
          <w:sz w:val="32"/>
          <w:szCs w:val="32"/>
          <w:highlight w:val="none"/>
          <w:lang w:eastAsia="zh-CN"/>
        </w:rPr>
        <w:t xml:space="preserve">JSZC-320381-ZXXD-G2026-0002</w:t>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新沂市公安局图像感知网一期项目</w:t>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采购单位（</w:t>
      </w:r>
      <w:r>
        <w:rPr>
          <w:rFonts w:hint="eastAsia" w:ascii="宋体" w:hAnsi="宋体" w:eastAsia="宋体" w:cs="宋体"/>
          <w:b/>
          <w:color w:val="000000"/>
          <w:sz w:val="32"/>
          <w:szCs w:val="32"/>
          <w:highlight w:val="none"/>
          <w:lang w:val="en-US" w:eastAsia="zh-CN"/>
        </w:rPr>
        <w:t xml:space="preserve">买方</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lang w:eastAsia="zh-CN"/>
        </w:rPr>
        <w:t xml:space="preserve">新沂市公安局</w:t>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中标供应商（</w:t>
      </w:r>
      <w:r>
        <w:rPr>
          <w:rFonts w:hint="eastAsia" w:ascii="宋体" w:hAnsi="宋体" w:eastAsia="宋体" w:cs="宋体"/>
          <w:b/>
          <w:color w:val="000000"/>
          <w:sz w:val="32"/>
          <w:szCs w:val="32"/>
          <w:highlight w:val="none"/>
          <w:lang w:val="en-US" w:eastAsia="zh-CN"/>
        </w:rPr>
        <w:t xml:space="preserve">卖方</w:t>
      </w:r>
      <w:r>
        <w:rPr>
          <w:rFonts w:hint="eastAsia" w:ascii="宋体" w:hAnsi="宋体" w:eastAsia="宋体" w:cs="宋体"/>
          <w:b/>
          <w:color w:val="000000"/>
          <w:sz w:val="32"/>
          <w:szCs w:val="32"/>
          <w:highlight w:val="none"/>
        </w:rPr>
        <w:t xml:space="preserve">）：</w:t>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keepLines w:val="0"/>
        <w:keepNext w:val="0"/>
        <w:pageBreakBefore w:val="0"/>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签订日期：    年  月  日</w:t>
      </w:r>
      <w:r/>
    </w:p>
    <w:p>
      <w:pPr>
        <w:pStyle w:val="1080"/>
        <w:ind w:left="0"/>
        <w:keepLines w:val="0"/>
        <w:keepNext w:val="0"/>
        <w:pageBreakBefore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0"/>
        <w:ind w:left="0" w:right="0"/>
        <w:keepLines w:val="0"/>
        <w:keepNext w:val="0"/>
        <w:pageBreakBefore w:val="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80"/>
        <w:ind w:left="0" w:right="0"/>
        <w:keepLines w:val="0"/>
        <w:keepNext w:val="0"/>
        <w:pageBreakBefore w:val="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友情提醒：采购人与中标、成交供应商应当在中标通知书发出之日起三十日内，按照采购文件确定的事项签订政府采购合同。</w:t>
      </w:r>
      <w:r/>
    </w:p>
    <w:p>
      <w:pPr>
        <w:pStyle w:val="1080"/>
        <w:ind w:left="0" w:right="0"/>
        <w:keepLines w:val="0"/>
        <w:keepNext w:val="0"/>
        <w:pageBreakBefore w:val="0"/>
        <w:spacing w:after="0"/>
        <w:rPr>
          <w:rFonts w:hint="eastAsia" w:ascii="宋体" w:hAnsi="宋体" w:eastAsia="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81"/>
        <w:ind w:left="0" w:right="0"/>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安装</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验收</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售后服务和技术培训</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1081"/>
        <w:jc w:val="center"/>
        <w:keepLines w:val="0"/>
        <w:keepNext w:val="0"/>
        <w:pageBreakBefore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suppressLineNumbers w:val="0"/>
      </w:pPr>
      <w:r>
        <w:rPr>
          <w:rFonts w:hint="eastAsia" w:ascii="宋体" w:hAnsi="宋体" w:eastAsia="宋体" w:cs="宋体"/>
          <w:color w:val="000000"/>
          <w:highlight w:val="none"/>
        </w:rPr>
      </w:r>
      <w:r/>
    </w:p>
    <w:p>
      <w:pPr>
        <w:pStyle w:val="1081"/>
        <w:jc w:val="center"/>
        <w:keepLines w:val="0"/>
        <w:keepNext w:val="0"/>
        <w:pageBreakBefore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除本合同上下文中另有规定外，下列各词语定义如下：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是指</w:t>
      </w:r>
      <w:r>
        <w:rPr>
          <w:rFonts w:hint="eastAsia" w:ascii="宋体" w:hAnsi="宋体" w:eastAsia="宋体" w:cs="宋体"/>
          <w:color w:val="000000"/>
          <w:sz w:val="24"/>
          <w:szCs w:val="24"/>
          <w:highlight w:val="none"/>
          <w:lang w:val="en-US" w:eastAsia="zh-CN"/>
        </w:rPr>
        <w:t xml:space="preserve">新沂市公安局</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“卖方”</w:t>
      </w:r>
      <w:r>
        <w:rPr>
          <w:rFonts w:hint="eastAsia" w:ascii="宋体" w:hAnsi="宋体" w:eastAsia="宋体" w:cs="宋体"/>
          <w:color w:val="000000"/>
          <w:sz w:val="24"/>
          <w:szCs w:val="24"/>
          <w:highlight w:val="none"/>
        </w:rPr>
        <w:t xml:space="preserve">是指</w:t>
      </w:r>
      <w:r>
        <w:rPr>
          <w:rFonts w:hint="eastAsia" w:ascii="宋体" w:hAnsi="宋体" w:eastAsia="宋体" w:cs="宋体"/>
          <w:color w:val="000000"/>
          <w:sz w:val="24"/>
          <w:szCs w:val="24"/>
          <w:highlight w:val="none"/>
          <w:lang w:val="en-US" w:eastAsia="zh-CN"/>
        </w:rPr>
        <w:t xml:space="preserve">本项目中标供应商</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“工作现场”</w:t>
      </w:r>
      <w:r>
        <w:rPr>
          <w:rFonts w:hint="eastAsia" w:ascii="宋体" w:hAnsi="宋体" w:eastAsia="宋体" w:cs="宋体"/>
          <w:color w:val="000000"/>
          <w:sz w:val="24"/>
          <w:szCs w:val="24"/>
          <w:highlight w:val="none"/>
        </w:rPr>
        <w:t xml:space="preserve">是指买方指定地点。</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“合同标的”</w:t>
      </w:r>
      <w:r>
        <w:rPr>
          <w:rFonts w:hint="eastAsia" w:ascii="宋体" w:hAnsi="宋体" w:eastAsia="宋体" w:cs="宋体"/>
          <w:color w:val="000000"/>
          <w:sz w:val="24"/>
          <w:szCs w:val="24"/>
          <w:highlight w:val="none"/>
        </w:rPr>
        <w:t xml:space="preserve">是指</w:t>
      </w:r>
      <w:r>
        <w:rPr>
          <w:rFonts w:hint="eastAsia" w:ascii="宋体" w:hAnsi="宋体" w:eastAsia="宋体" w:cs="宋体"/>
          <w:color w:val="000000"/>
          <w:sz w:val="24"/>
          <w:szCs w:val="24"/>
          <w:highlight w:val="none"/>
          <w:lang w:val="en-US" w:eastAsia="zh-CN"/>
        </w:rPr>
        <w:t xml:space="preserve">招标文件采购需求所列全部软硬件设备、安装施工、系统对接、维保培训等全部货物与服务，详见第六章</w:t>
      </w:r>
      <w:r>
        <w:rPr>
          <w:rFonts w:hint="eastAsia" w:ascii="宋体" w:hAnsi="宋体" w:eastAsia="宋体" w:cs="宋体"/>
          <w:sz w:val="24"/>
        </w:rPr>
        <w:t xml:space="preserve">《</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sz w:val="24"/>
        </w:rPr>
        <w:t xml:space="preserve">》</w:t>
      </w:r>
      <w:r>
        <w:rPr>
          <w:rFonts w:hint="eastAsia" w:ascii="宋体" w:hAnsi="宋体" w:eastAsia="宋体" w:cs="宋体"/>
          <w:color w:val="000000"/>
          <w:sz w:val="24"/>
          <w:szCs w:val="24"/>
          <w:highlight w:val="none"/>
          <w:lang w:val="en-US" w:eastAsia="zh-CN"/>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1.5“技术资料”是指与合同标的的采购、安装、调试、培训、维护有关的技术指标、规格、图纸和文件。</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1.6“技术培训”是指</w:t>
      </w:r>
      <w:r>
        <w:rPr>
          <w:rFonts w:hint="eastAsia" w:ascii="宋体" w:hAnsi="宋体" w:eastAsia="宋体" w:cs="宋体"/>
          <w:color w:val="000000"/>
          <w:sz w:val="24"/>
          <w:szCs w:val="24"/>
          <w:highlight w:val="none"/>
          <w:lang w:val="en-US" w:eastAsia="zh-CN"/>
        </w:rPr>
        <w:t xml:space="preserve">针对本项目感知、存储、虚拟化平台操作、故障处置开展实操教学</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1.7“安装”是指有关合同标的</w:t>
      </w:r>
      <w:r>
        <w:rPr>
          <w:rFonts w:hint="eastAsia" w:ascii="宋体" w:hAnsi="宋体" w:eastAsia="宋体" w:cs="宋体"/>
          <w:color w:val="000000"/>
          <w:sz w:val="24"/>
          <w:szCs w:val="24"/>
          <w:lang w:val="en-US" w:eastAsia="zh-CN" w:bidi="ar"/>
        </w:rPr>
        <w:t xml:space="preserve">立杆基础浇筑、横臂机箱架设、线缆敷设、设备固定、防雷接地等全部现场施工</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调试</w:t>
      </w:r>
      <w:r>
        <w:rPr>
          <w:rFonts w:hint="eastAsia" w:ascii="宋体" w:hAnsi="宋体" w:eastAsia="宋体" w:cs="宋体"/>
          <w:color w:val="000000"/>
          <w:sz w:val="24"/>
          <w:szCs w:val="24"/>
          <w:highlight w:val="none"/>
        </w:rPr>
        <w:t xml:space="preserve">”是指</w:t>
      </w:r>
      <w:r>
        <w:rPr>
          <w:rFonts w:hint="eastAsia" w:ascii="宋体" w:hAnsi="宋体" w:eastAsia="宋体" w:cs="宋体"/>
          <w:color w:val="000000"/>
          <w:sz w:val="24"/>
          <w:szCs w:val="24"/>
          <w:highlight w:val="none"/>
          <w:lang w:val="en-US" w:eastAsia="zh-CN"/>
        </w:rPr>
        <w:t xml:space="preserve">单设备调试、全网联调、与公安现有视频平台/视图库/大数据系统对接调试</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1.9“试运行”是指为验明合同标的的技术性能，在安装完毕后对合同标的进行的测试。</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1.10“验收”是指根据合同附件2的规定进行的，用以确定合同标的是否达到合同附件2 所规定的技术性能的检验，以及合同标的在达到合同附件2 规定的技术性能之后，买方对合同标的的接受。</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“合同货币”是指</w:t>
      </w:r>
      <w:r>
        <w:rPr>
          <w:rFonts w:hint="eastAsia" w:ascii="宋体" w:hAnsi="宋体" w:eastAsia="宋体" w:cs="宋体"/>
          <w:color w:val="000000"/>
          <w:sz w:val="24"/>
          <w:szCs w:val="24"/>
          <w:lang w:val="en-US" w:eastAsia="zh-CN" w:bidi="ar"/>
        </w:rPr>
        <w:t xml:space="preserve">人民币</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“合同价格”是指</w:t>
      </w:r>
      <w:r>
        <w:rPr>
          <w:rFonts w:hint="eastAsia" w:ascii="宋体" w:hAnsi="宋体" w:eastAsia="宋体" w:cs="宋体"/>
          <w:color w:val="000000"/>
          <w:sz w:val="24"/>
          <w:szCs w:val="24"/>
          <w:lang w:val="en-US" w:eastAsia="zh-CN" w:bidi="ar"/>
        </w:rPr>
        <w:t xml:space="preserve">本项目固定包干总价</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“合同生效日”见《合同协议书》（合同附件1）第5 条。</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“日”是指日历天数。</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“月”是指日历月数。</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 见合同附件6。</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2.1 卖方按照招标文件、投标文件承诺，向买方提供全套图像感知网软硬件设备、现场施工、系统集成、平台对接、一机一档建档、三年质保、巡检维修、人员培训等全部货物与配套服务，买方按约定支付合同价款。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 2.2 供货数量、设备技术参数、服务标准严格执行采购需求第三、四、五、六章节全部内容。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 本项目为交钥匙包干工程，</w:t>
      </w:r>
      <w:r>
        <w:rPr>
          <w:rFonts w:hint="eastAsia" w:ascii="宋体" w:hAnsi="宋体" w:eastAsia="宋体" w:cs="宋体"/>
          <w:sz w:val="24"/>
          <w:szCs w:val="24"/>
        </w:rPr>
        <w:t xml:space="preserve">包含 210 台 800 万 AI 全结构化摄像机、20 台双 400 万 AI 全结构化摄像机</w:t>
      </w:r>
      <w:r>
        <w:rPr>
          <w:rFonts w:hint="eastAsia" w:ascii="宋体" w:hAnsi="宋体" w:eastAsia="宋体" w:cs="宋体"/>
          <w:color w:val="000000"/>
          <w:sz w:val="24"/>
          <w:szCs w:val="24"/>
          <w:highlight w:val="none"/>
          <w:lang w:val="en-US" w:eastAsia="zh-CN"/>
        </w:rPr>
        <w:t xml:space="preserve">、配套支架电源、立杆横臂、设备箱、交换机、视图接入转发服务器、云存储软硬件、全线缆辅材、点位安装调试、平台对接、三年全套维保、专项培训等全部内容</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3.1合同总价见《合同专用条款》。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3.2合同总价是固定价格。</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支付（采购资金的支付方式、时间、条件）</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5.1交货期限、批次和交货条件见《合同专用条款》。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5.2交货地点见《合同专用条款》。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5.4卖方应按下列规定交付合同标的：</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5.4.1卖方负责将合同标的送至《合同专用条款》规定的交货地点。</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5.4.2买方出具的收据日期是合同标的的实际交货日期。</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包装与标记见《合同专用条款》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技术资料交付的期限和方式见《合同专用条款》。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 合同标的的安装期限见《合同专用条款》。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9.1合同标的的试运行、验收见《合同专用条款》。</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9.2如果合同附件2所规定的所有技术性能在验收中都已经达到，双方应在验收合格后5日内签署验收书。</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9.3验收标准（验收要求、验收标准和程序）：见合同附件5。</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10.1售后服务和技术培训见合同附件3。</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11.1 出现设备参数负偏离、施工质量不达标、故障逾期未修复、资料缺失、泄密等情形，买方有权选择：免费更换设备、无偿整改、扣减合同价款、拒收货物、赔偿全部实际损失。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11.2 卖方收到买方书面索赔函 14 个自然日内必须书面回复并落实整改，逾期未回复视为认可索赔诉求，买方可直接从应付合同价款中抵扣损失金额。</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w:t>
      </w:r>
      <w:r>
        <w:rPr>
          <w:rFonts w:hint="eastAsia" w:ascii="宋体" w:hAnsi="宋体" w:eastAsia="宋体" w:cs="宋体"/>
          <w:color w:val="000000"/>
          <w:sz w:val="24"/>
          <w:szCs w:val="24"/>
          <w:highlight w:val="none"/>
          <w:lang w:eastAsia="zh-CN"/>
        </w:rPr>
        <w:t xml:space="preserve">14 个自然日</w:t>
      </w:r>
      <w:r>
        <w:rPr>
          <w:rFonts w:hint="eastAsia" w:ascii="宋体" w:hAnsi="宋体" w:eastAsia="宋体" w:cs="宋体"/>
          <w:color w:val="000000"/>
          <w:sz w:val="24"/>
          <w:szCs w:val="24"/>
          <w:highlight w:val="none"/>
        </w:rPr>
        <w:t xml:space="preserve">内将有关部门或机构出具的证明文件提交给另一方。</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合同标的未能达到合同附件2 规定的技术性能；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p>
    <w:p>
      <w:pPr>
        <w:pStyle w:val="1081"/>
        <w:ind w:left="1" w:firstLine="537"/>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14.1因执行本合同所发生的或者与本合同有关的一切争议由合同双方通过友好协商解决，如果不能协商一致，按《合同专用条款》规定的方式解决。</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15.1本合同的执行和争议的解决适用中华人民共和国的法律并按中华人民共和国的法律进行解释。</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16.1 卖方保证本项目设备、软件、算法不存在专利权、著作权、商标权权属纠纷；若第三方起诉买方侵权，全部应诉、赔偿费用由卖方承担，同时买方有权扣除相应合同款项。 </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16.2 项目交付的定制对接程序、一机一档数据、抓拍存储数据知识产权归买方所有。</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17.1 卖方因项目获取的公安视频专网信息、人脸抓拍数据、点位布局、平台接口、办案相关资料均属于涉密信息，仅可用于本项目实施，严禁拷贝、转发、泄露、出售给任何第三方。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17.2 保密义务不受三年质保期限限制，合同终止、质保期满永久有效。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17.3 发生泄密的，卖方支付合同总价 50% 违约金，同时买方有权追究行政、刑事责任，违约金不足以弥补损失的，卖方补足差额</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卖方应当采取适当有效的方式保护所获取的上述秘密。</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 本合同在合同协议书（合同附件1）规定的条件全部满足后生效。</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18.3 合同双方各自承担与本合同有关的应负税费。</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18.5对本合同的任何补充、增添或修改以书面方式进行。</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1081"/>
        <w:ind w:left="0" w:firstLine="600"/>
        <w:jc w:val="center"/>
        <w:keepLines w:val="0"/>
        <w:keepNext w:val="0"/>
        <w:pageBreakBefore w:val="0"/>
        <w:spacing w:before="0" w:beforeAutospacing="0" w:after="0" w:afterAutospacing="0"/>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suppressLineNumbers w:val="0"/>
      </w:pPr>
      <w:r>
        <w:rPr>
          <w:rFonts w:hint="eastAsia" w:ascii="宋体" w:hAnsi="宋体" w:eastAsia="宋体" w:cs="宋体"/>
          <w:color w:val="000000"/>
          <w:sz w:val="30"/>
          <w:szCs w:val="30"/>
          <w:highlight w:val="none"/>
        </w:rPr>
      </w:r>
      <w:r/>
    </w:p>
    <w:p>
      <w:pPr>
        <w:pStyle w:val="1081"/>
        <w:ind w:left="0" w:firstLine="600"/>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合同专用条款</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1081"/>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 “买方”为</w:t>
      </w:r>
      <w:r>
        <w:rPr>
          <w:rFonts w:hint="eastAsia" w:ascii="宋体" w:hAnsi="宋体" w:eastAsia="宋体" w:cs="宋体"/>
          <w:color w:val="000000"/>
          <w:sz w:val="24"/>
          <w:szCs w:val="24"/>
          <w:highlight w:val="none"/>
          <w:lang w:val="en-US" w:eastAsia="zh-CN"/>
        </w:rPr>
        <w:t xml:space="preserve">新沂市公安局</w:t>
      </w:r>
      <w:r>
        <w:rPr>
          <w:rFonts w:hint="eastAsia" w:ascii="宋体" w:hAnsi="宋体" w:eastAsia="宋体" w:cs="宋体"/>
          <w:color w:val="000000"/>
          <w:sz w:val="24"/>
          <w:szCs w:val="24"/>
          <w:highlight w:val="none"/>
        </w:rPr>
        <w:t xml:space="preserve">。</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 “卖方”为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 “工作现场”为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 “合同货币”即</w:t>
      </w:r>
      <w:r>
        <w:rPr>
          <w:rFonts w:hint="eastAsia" w:ascii="宋体" w:hAnsi="宋体" w:eastAsia="宋体" w:cs="宋体"/>
          <w:color w:val="000000"/>
          <w:sz w:val="24"/>
          <w:szCs w:val="24"/>
          <w:highlight w:val="none"/>
          <w:u w:val="single"/>
        </w:rPr>
        <w:t xml:space="preserve">人民币</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2.3买方同意从卖方购买、卖方同意向买方出售的合同标的是</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。详见合同附件。</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1081"/>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3.1合同总价为大写：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人民币。</w:t>
      </w:r>
      <w:r/>
    </w:p>
    <w:p>
      <w:pPr>
        <w:pStyle w:val="1081"/>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3.2本合同为固定总价合同，项目实施过程中除采购人提出的变更要求外不增加任何费用，本合同总价中包含国家法律法规对设备、材料的检验、检测费用。</w:t>
      </w:r>
      <w:r/>
    </w:p>
    <w:p>
      <w:pPr>
        <w:pStyle w:val="1081"/>
        <w:ind w:firstLine="480"/>
        <w:jc w:val="left"/>
        <w:keepLines w:val="0"/>
        <w:keepNext w:val="0"/>
        <w:pageBreakBefore w:val="0"/>
        <w:spacing w:before="0" w:beforeAutospacing="0" w:after="0" w:afterAutospacing="0" w:line="360" w:lineRule="auto"/>
        <w:rPr>
          <w:rFonts w:hint="eastAsia" w:ascii="宋体" w:hAnsi="宋体" w:eastAsia="宋体" w:cs="宋体"/>
          <w:b w:val="0"/>
          <w:i w:val="0"/>
          <w:iCs w:val="0"/>
          <w:caps w:val="0"/>
          <w:strike w:val="0"/>
          <w:color w:val="000000"/>
          <w:spacing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bidi="ar"/>
        </w:rPr>
        <w:t xml:space="preserve">3.3本合同价格为包括但不限于</w:t>
      </w:r>
      <w:r>
        <w:rPr>
          <w:rFonts w:hint="eastAsia" w:ascii="宋体" w:hAnsi="宋体" w:eastAsia="宋体" w:cs="宋体"/>
          <w:b w:val="0"/>
          <w:i w:val="0"/>
          <w:iCs w:val="0"/>
          <w:caps w:val="0"/>
          <w:strike w:val="0"/>
          <w:color w:val="000000"/>
          <w:spacing w:val="0"/>
          <w:sz w:val="24"/>
          <w:szCs w:val="24"/>
          <w:highlight w:val="none"/>
          <w:u w:val="none"/>
          <w:lang w:val="en-US" w:eastAsia="zh-CN"/>
        </w:rPr>
        <w:t xml:space="preserve">本次招标的代理费、满足系统完整功能所需软硬件设备采购、配套辅材、运输、现场安装、系统调试、人员培训、三年质保维护等一切成本以及投标人企业利润、税金和政策性文件规定及合</w:t>
      </w:r>
      <w:r>
        <w:rPr>
          <w:rFonts w:hint="eastAsia" w:ascii="宋体" w:hAnsi="宋体" w:eastAsia="宋体" w:cs="宋体"/>
          <w:b w:val="0"/>
          <w:i w:val="0"/>
          <w:iCs w:val="0"/>
          <w:caps w:val="0"/>
          <w:strike w:val="0"/>
          <w:color w:val="000000"/>
          <w:spacing w:val="0"/>
          <w:sz w:val="24"/>
          <w:szCs w:val="24"/>
          <w:highlight w:val="none"/>
          <w:u w:val="none"/>
        </w:rPr>
        <w:t xml:space="preserve">同包含的所有风险、责任等费用。</w:t>
      </w:r>
      <w:r>
        <w:rPr>
          <w:rFonts w:hint="eastAsia" w:ascii="宋体" w:hAnsi="宋体" w:eastAsia="宋体" w:cs="宋体"/>
          <w:b w:val="0"/>
          <w:i w:val="0"/>
          <w:iCs w:val="0"/>
          <w:caps w:val="0"/>
          <w:strike w:val="0"/>
          <w:color w:val="000000"/>
          <w:spacing w:val="0"/>
          <w:sz w:val="24"/>
          <w:szCs w:val="24"/>
          <w:highlight w:val="none"/>
          <w:u w:val="none"/>
          <w:lang w:val="en-US" w:eastAsia="zh-CN"/>
        </w:rPr>
        <w:t xml:space="preserve">买方</w:t>
      </w:r>
      <w:r>
        <w:rPr>
          <w:rFonts w:hint="eastAsia" w:ascii="宋体" w:hAnsi="宋体" w:eastAsia="宋体" w:cs="宋体"/>
          <w:b w:val="0"/>
          <w:i w:val="0"/>
          <w:iCs w:val="0"/>
          <w:caps w:val="0"/>
          <w:strike w:val="0"/>
          <w:color w:val="000000"/>
          <w:spacing w:val="0"/>
          <w:sz w:val="24"/>
          <w:szCs w:val="24"/>
          <w:highlight w:val="none"/>
          <w:u w:val="none"/>
        </w:rPr>
        <w:t xml:space="preserve">不再支付报价以外的任何费用。</w:t>
      </w:r>
      <w:r/>
    </w:p>
    <w:p>
      <w:pPr>
        <w:pStyle w:val="1081"/>
        <w:ind w:firstLine="480"/>
        <w:jc w:val="left"/>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bidi="ar"/>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bidi="ar"/>
        </w:rPr>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第四条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1f2329"/>
          <w:sz w:val="24"/>
          <w:szCs w:val="24"/>
        </w:rPr>
        <w:t xml:space="preserve">合同价款支付方式</w:t>
      </w:r>
      <w:r>
        <w:rPr>
          <w:rFonts w:hint="eastAsia" w:ascii="宋体" w:hAnsi="宋体" w:eastAsia="宋体" w:cs="宋体"/>
          <w:b/>
          <w:bCs/>
          <w:color w:val="000000"/>
          <w:sz w:val="24"/>
          <w:szCs w:val="24"/>
          <w:highlight w:val="none"/>
        </w:rPr>
        <w:t xml:space="preserve">（采购资金的支付方式、时间、条件）</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本合同总金额为人民币大写金额</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元（小写金额：</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元）。</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4.1付款节点及支付比例</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4.1</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预付款支付：甲乙双方正式签订合同且乙方完成全部设备备货计划后，甲方在15个工作日内向乙方支付合同总价款30%作为项目预付款。</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4.1.2</w:t>
      </w:r>
      <w:r>
        <w:rPr>
          <w:rFonts w:hint="eastAsia" w:ascii="宋体" w:hAnsi="宋体" w:eastAsia="宋体" w:cs="宋体"/>
          <w:b/>
          <w:bCs/>
          <w:color w:val="000000"/>
          <w:sz w:val="24"/>
          <w:szCs w:val="24"/>
          <w:highlight w:val="none"/>
        </w:rPr>
        <w:t xml:space="preserve">竣工结算款支付：本项目全部设备供货、点位布线施工、系统联调、平台对接、一机一档建档、点位地图标注全部完工，经72小时试运行无异常并通过甲方整体竣工验收、乙方移交全套竣工资料后，甲方支付至合同总价款97%（已付30%预付款同步抵扣）。</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4.1.3分期尾款支付</w:t>
      </w:r>
      <w:r>
        <w:rPr>
          <w:rFonts w:hint="eastAsia" w:ascii="宋体" w:hAnsi="宋体" w:eastAsia="宋体" w:cs="宋体"/>
          <w:b/>
          <w:bCs/>
          <w:color w:val="000000"/>
          <w:sz w:val="24"/>
          <w:szCs w:val="24"/>
          <w:highlight w:val="none"/>
        </w:rPr>
        <w:t xml:space="preserve">：合同剩余3%价款为项目分期尾款，不计利息。自项目整体竣工验收合格之日起三年完整质保期届满，乙方已全面履行合同约定的供货、安装、巡检、故障抢修、系统维护、同型号系统固件/软件免费升级等全部维保义务，无任何考核违约行为，甲乙双方共同完成质保期满验收，乙方提交尾款全额发票后，甲方一次性付清该笔分期尾款。</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4.2 付款前置考核与扣款规则</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各节点款项支付前，甲方有权对系统在线率、线路故障处置、抓拍图像质量开展考核，出现下列任一情形，按不合格前端点位占全部230台摄像机总数的比例，以当期应付款项为基数扣除对应费用：</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4.2.1月度设备整体在线率低于95%：扣款金额=当期应付款×（不合格点位数量/230）×100%；</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4.2.2单一点位光纤线路故障：排除地震、洪水、极端天气等不可抗力、市政统一道路改造等甲方外部因素，且乙方未在故障发生后2小时内响应、48小时内修复的，扣款金额=当期应付款×（故障点位数量/230）×100%；</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4.2.3点位抓拍图片质量不达标（含镜头遮挡、画面模糊、人脸/车辆结构化识别率达不到设备标称平均参数），甲方下发整改通知后乙方未在规定时限完成整改。</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1f2329"/>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4.3 </w:t>
      </w:r>
      <w:r>
        <w:rPr>
          <w:rFonts w:hint="eastAsia" w:ascii="宋体" w:hAnsi="宋体" w:eastAsia="宋体" w:cs="宋体"/>
          <w:color w:val="1f2329"/>
          <w:sz w:val="24"/>
          <w:szCs w:val="24"/>
        </w:rPr>
        <w:t xml:space="preserve">扣款补充约定</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1f2329"/>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1f2329"/>
          <w:sz w:val="24"/>
          <w:szCs w:val="24"/>
          <w:lang w:val="en-US" w:eastAsia="zh-CN"/>
        </w:rPr>
        <w:t xml:space="preserve">4.3.1扣款基数为当期应付未抵扣前款项，考核扣款直接在当期支付资金中抵扣；</w:t>
      </w:r>
      <w:r/>
    </w:p>
    <w:p>
      <w:pPr>
        <w:pStyle w:val="1081"/>
        <w:ind w:lef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1f2329"/>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1f2329"/>
          <w:sz w:val="24"/>
          <w:szCs w:val="24"/>
          <w:lang w:val="en-US" w:eastAsia="zh-CN"/>
        </w:rPr>
        <w:t xml:space="preserve">4.3.2乙方不得以已被扣款为由，免除故障修复、图像优化、日常巡检等全部合同履约义务。</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合同约定的卖方账户：</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银行账号</w:t>
      </w:r>
      <w:r>
        <w:rPr>
          <w:rFonts w:hint="eastAsia" w:ascii="宋体" w:hAnsi="宋体" w:eastAsia="宋体" w:cs="宋体"/>
          <w:color w:val="000000"/>
          <w:sz w:val="24"/>
          <w:szCs w:val="24"/>
          <w:highlight w:val="none"/>
        </w:rPr>
        <w:t xml:space="preserve">：</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买方逾期支付资金的，每逾期（10）天，买方向卖方支付合同总价的（0.01）%的违约金，但违约金的总数不超过合同总金额的（0.1）%。除因财政付款审批程序滞后外。</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p>
    <w:p>
      <w:pPr>
        <w:pStyle w:val="1081"/>
        <w:ind w:left="0" w:firstLine="54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5.1卖方应于</w:t>
      </w:r>
      <w:r>
        <w:rPr>
          <w:rFonts w:hint="eastAsia" w:ascii="宋体" w:hAnsi="宋体" w:eastAsia="宋体" w:cs="宋体"/>
          <w:b w:val="0"/>
          <w:bCs w:val="0"/>
          <w:color w:val="000000"/>
          <w:sz w:val="24"/>
          <w:szCs w:val="24"/>
          <w:highlight w:val="none"/>
          <w:lang w:eastAsia="zh-CN"/>
        </w:rPr>
        <w:t xml:space="preserve">合同签订后</w:t>
      </w:r>
      <w:r>
        <w:rPr>
          <w:rFonts w:hint="eastAsia" w:ascii="宋体" w:hAnsi="宋体" w:eastAsia="宋体" w:cs="宋体"/>
          <w:b w:val="0"/>
          <w:bCs w:val="0"/>
          <w:color w:val="000000"/>
          <w:sz w:val="24"/>
          <w:szCs w:val="24"/>
          <w:highlight w:val="none"/>
          <w:lang w:val="en-US" w:eastAsia="zh-CN"/>
        </w:rPr>
        <w:t xml:space="preserve">60</w:t>
      </w:r>
      <w:r>
        <w:rPr>
          <w:rFonts w:hint="eastAsia" w:ascii="宋体" w:hAnsi="宋体" w:eastAsia="宋体" w:cs="宋体"/>
          <w:b w:val="0"/>
          <w:bCs w:val="0"/>
          <w:color w:val="000000"/>
          <w:sz w:val="24"/>
          <w:szCs w:val="24"/>
          <w:highlight w:val="none"/>
          <w:lang w:eastAsia="zh-CN"/>
        </w:rPr>
        <w:t xml:space="preserve">个日历天内完成全部配套等设备的采购、安装、调试、部署上线及验收交付。</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如果卖方未能按照合同规定的交货期限交货，卖方应按每天迟交合同标的金额的百分之</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(1%)的比率支付违约金。违约金的总金额不超过合同总价的百分之</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%)，违约金的支付不能免除卖方继续交付相关合同标的的义务。</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如果卖方在合同规定的交货期限后</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日内仍未能交付全部或部分标的，在不妨碍买方采取其他救济手段的情况下，买方可以向卖方发出书面违约通知从而全部或部分地终止合同。</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 所有摄像机、服务器、交换机、存储、立杆配件、电源等全部设备采用原厂全新标准包装，具备防雨、防震、抗压、防磕碰防护性能，满足工地长途运输与露天临时堆放要求，到货外观完好无破损、进水、划痕。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6.2 每箱内部随附产品合格证、出厂检测单、完整装箱清单、简易操作说明书。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6.3 因包装防护不足、运输固定不当造成设备损坏、外观缺陷的，卖方须免费更换全新原厂设备，并承担工期延误违约金。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6.4 设备包装严格执行财办库〔2020〕123 号《商品包装政府采购需求标准（试行）》，落实绿色简约要求，严禁过度包装。本项目为整车物流现场配送，不适用快递包装相关标准。</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7.1技术资料随合同标的同时交付给买方。</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1081"/>
        <w:ind w:left="0" w:firstLine="54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8.1卖方应于</w:t>
      </w:r>
      <w:r>
        <w:rPr>
          <w:rFonts w:hint="eastAsia" w:ascii="宋体" w:hAnsi="宋体" w:eastAsia="宋体" w:cs="宋体"/>
          <w:b w:val="0"/>
          <w:bCs w:val="0"/>
          <w:color w:val="000000"/>
          <w:sz w:val="24"/>
          <w:szCs w:val="24"/>
          <w:highlight w:val="none"/>
          <w:lang w:eastAsia="zh-CN"/>
        </w:rPr>
        <w:t xml:space="preserve">合同签订后</w:t>
      </w:r>
      <w:r>
        <w:rPr>
          <w:rFonts w:hint="eastAsia" w:ascii="宋体" w:hAnsi="宋体" w:eastAsia="宋体" w:cs="宋体"/>
          <w:b w:val="0"/>
          <w:bCs w:val="0"/>
          <w:color w:val="000000"/>
          <w:sz w:val="24"/>
          <w:szCs w:val="24"/>
          <w:highlight w:val="none"/>
          <w:lang w:val="en-US" w:eastAsia="zh-CN"/>
        </w:rPr>
        <w:t xml:space="preserve">60</w:t>
      </w:r>
      <w:r>
        <w:rPr>
          <w:rFonts w:hint="eastAsia" w:ascii="宋体" w:hAnsi="宋体" w:eastAsia="宋体" w:cs="宋体"/>
          <w:b w:val="0"/>
          <w:bCs w:val="0"/>
          <w:color w:val="000000"/>
          <w:sz w:val="24"/>
          <w:szCs w:val="24"/>
          <w:highlight w:val="none"/>
          <w:lang w:eastAsia="zh-CN"/>
        </w:rPr>
        <w:t xml:space="preserve">个日历天内完成全部设备</w:t>
      </w:r>
      <w:r>
        <w:rPr>
          <w:rFonts w:hint="eastAsia" w:ascii="宋体" w:hAnsi="宋体" w:eastAsia="宋体" w:cs="宋体"/>
          <w:color w:val="000000"/>
          <w:sz w:val="24"/>
          <w:szCs w:val="24"/>
          <w:lang w:val="en-US" w:eastAsia="zh-CN" w:bidi="ar"/>
        </w:rPr>
        <w:t xml:space="preserve">供货</w:t>
      </w:r>
      <w:r>
        <w:rPr>
          <w:rFonts w:hint="eastAsia" w:ascii="宋体" w:hAnsi="宋体" w:eastAsia="宋体" w:cs="宋体"/>
          <w:b w:val="0"/>
          <w:bCs w:val="0"/>
          <w:color w:val="000000"/>
          <w:sz w:val="24"/>
          <w:szCs w:val="24"/>
          <w:highlight w:val="none"/>
          <w:lang w:eastAsia="zh-CN"/>
        </w:rPr>
        <w:t xml:space="preserve">、安装调试、部署上线及验收交付。</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试运行与验收</w:t>
      </w:r>
      <w:r/>
    </w:p>
    <w:p>
      <w:pPr>
        <w:pStyle w:val="1081"/>
        <w:ind w:left="0" w:firstLine="54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9.1 全部设备安装、系统集成、平台对接完工后，卖方可向买方提交书面试运行、竣工验收申请；买方收到申请 15 日内组织连续 72 小时全系统不间断试运行，试运行合格后方开展整体竣工验收。 </w:t>
      </w:r>
      <w:r/>
    </w:p>
    <w:p>
      <w:pPr>
        <w:pStyle w:val="1081"/>
        <w:ind w:left="0" w:firstLine="54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9.2 验收标准、点位核查、资料核查要求详见附件 6《采购需求》、附件 2 技术规格书。。</w:t>
      </w:r>
      <w:r/>
    </w:p>
    <w:p>
      <w:pPr>
        <w:pStyle w:val="1081"/>
        <w:ind w:left="0" w:firstLine="54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第十条 售后服务和技术培训</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10.1</w:t>
      </w:r>
      <w:r>
        <w:rPr>
          <w:rFonts w:hint="eastAsia" w:ascii="宋体" w:hAnsi="宋体" w:eastAsia="宋体" w:cs="宋体"/>
          <w:color w:val="000000"/>
          <w:highlight w:val="none"/>
          <w:lang w:val="en-US" w:eastAsia="zh-CN"/>
        </w:rPr>
        <w:t xml:space="preserve">质保三年，自竣工验收合格当日起算，所有软硬件、服务同步纳入质保维保范围，售后标准严格执行采购需求第六章节全部要求，作为合同附件 3。</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 履约期间卖方出现下列任一违约情形，买方有权单独或同时采取全部救济方式：无偿更换设备、免费整改调试、扣减合同价款、从</w:t>
      </w:r>
      <w:r>
        <w:rPr>
          <w:rFonts w:hint="eastAsia" w:ascii="宋体" w:hAnsi="宋体" w:eastAsia="宋体" w:cs="宋体"/>
          <w:sz w:val="24"/>
          <w:szCs w:val="24"/>
        </w:rPr>
        <w:t xml:space="preserve">付合同价款</w:t>
      </w:r>
      <w:r>
        <w:rPr>
          <w:rFonts w:hint="eastAsia" w:ascii="宋体" w:hAnsi="宋体" w:eastAsia="宋体" w:cs="宋体"/>
          <w:color w:val="000000"/>
          <w:sz w:val="24"/>
          <w:szCs w:val="24"/>
          <w:highlight w:val="none"/>
        </w:rPr>
        <w:t xml:space="preserve">抵扣损失、拒收货物、单方终止合同、追偿全部直接 / 间接损失：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（1）摄像机、服务器、存储等设备★/▲实质性指标负偏离、检测材料缺失</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sz w:val="24"/>
          <w:lang w:eastAsia="zh-CN"/>
        </w:rPr>
        <w:t xml:space="preserve">满足GB 35114-2017《公共安全视频监控联网信息安全技术要求》</w:t>
      </w:r>
      <w:r>
        <w:rPr>
          <w:rFonts w:hint="eastAsia" w:ascii="宋体" w:hAnsi="宋体" w:eastAsia="宋体" w:cs="宋体"/>
          <w:color w:val="000000"/>
          <w:sz w:val="24"/>
          <w:szCs w:val="24"/>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（2）立杆、布线施工质量不合格，鳞镜补光不满足 GA/T1202-2022 眩光规范；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）质保期巡检、故障处置超时，软件免费升级服务拒不履行；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）一机一档、拓扑、检测等技术资料缺失不全；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）泄露人脸、视频、点位等公安涉密数据；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）工期严重滞后、知识产权侵权、存在投标 / 履约造假欺诈。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 买方出具加盖公章书面索赔通知书送达卖方后，卖方须在 14 个自然日内出具完整书面整改、赔付方案；逾期未书面回复，视为卖方完全认可全部索赔主张，买方可直接从应付货款、</w:t>
      </w:r>
      <w:r>
        <w:rPr>
          <w:rFonts w:hint="eastAsia" w:ascii="宋体" w:hAnsi="宋体" w:eastAsia="宋体" w:cs="宋体"/>
          <w:sz w:val="24"/>
          <w:szCs w:val="24"/>
        </w:rPr>
        <w:t xml:space="preserve">付合同价款</w:t>
      </w:r>
      <w:r>
        <w:rPr>
          <w:rFonts w:hint="eastAsia" w:ascii="宋体" w:hAnsi="宋体" w:eastAsia="宋体" w:cs="宋体"/>
          <w:color w:val="000000"/>
          <w:sz w:val="24"/>
          <w:szCs w:val="24"/>
          <w:highlight w:val="none"/>
        </w:rPr>
        <w:t xml:space="preserve">中抵扣全部损失。卖方应在 </w:t>
      </w:r>
      <w:r>
        <w:rPr>
          <w:rFonts w:hint="eastAsia" w:ascii="宋体" w:hAnsi="宋体" w:eastAsia="宋体" w:cs="宋体"/>
          <w:color w:val="000000"/>
          <w:sz w:val="24"/>
          <w:szCs w:val="24"/>
          <w:highlight w:val="none"/>
          <w:lang w:eastAsia="zh-CN"/>
        </w:rPr>
        <w:t xml:space="preserve">14 个自然日</w:t>
      </w:r>
      <w:r>
        <w:rPr>
          <w:rFonts w:hint="eastAsia" w:ascii="宋体" w:hAnsi="宋体" w:eastAsia="宋体" w:cs="宋体"/>
          <w:color w:val="000000"/>
          <w:sz w:val="24"/>
          <w:szCs w:val="24"/>
          <w:highlight w:val="none"/>
        </w:rPr>
        <w:t xml:space="preserve">内完成全部整改赔付工作。</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因卖方泄密造成公安数据泄露的，除本条索赔外，买方有权依据第十七条保密条款另行主张高额违约金，并移交相关主管机关追责。</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 如果不可抗力事件的影响持续超过20日，合同任何一方均有权发出书面通知终止合同。</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13.1如果卖方有下述违约行为，买方可以全部或部分地终止合同：</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卖方在合同规定的交货期限后</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日内仍未能交付合同标的或技术资料；或者卖方未能履行合同项下任何其它义务，并且在收到买方违约通知后</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日内仍未能对其违约行为作出补救。</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14.1如果不能协商一致，合同任何一方有权向买方所在地人民法院提起诉讼。</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480"/>
        <w:keepLines w:val="0"/>
        <w:keepNext w:val="0"/>
        <w:pageBreakBefore w:val="0"/>
        <w:spacing w:before="0" w:beforeAutospacing="0" w:after="20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保密要求</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17.1 卖方因项目获取的公安视频专网信息、人脸抓拍数据、点位布局、平台接口、办案相关资料均属于涉密信息，仅可用于本项目实施，严禁拷贝、转发、泄露、出售给任何第三方。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17.2 保密义务不受三年质保期限限制，合同终止、质保期满永久有效。 </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17.3 发生泄密的，卖方支付合同总价 50% 违约金，同时买方有权追究行政、刑事责任，违约金不足以弥补损失的，卖方补足差额</w:t>
      </w:r>
      <w:r>
        <w:rPr>
          <w:rFonts w:hint="eastAsia" w:ascii="宋体" w:hAnsi="宋体" w:eastAsia="宋体" w:cs="宋体"/>
          <w:color w:val="000000"/>
          <w:sz w:val="24"/>
          <w:szCs w:val="24"/>
          <w:highlight w:val="none"/>
        </w:rPr>
        <w:t xml:space="preserve">。</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卖方应当采取适当有效的方式保护所获取的上述秘密。</w:t>
      </w:r>
      <w:r/>
    </w:p>
    <w:p>
      <w:pPr>
        <w:pStyle w:val="10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1081"/>
        <w:ind w:left="798"/>
        <w:keepLines w:val="0"/>
        <w:keepNext w:val="0"/>
        <w:pageBreakBefore w:val="0"/>
        <w:spacing w:before="0" w:beforeAutospacing="0" w:after="20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 合同双方的通讯地址：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 </w:t>
      </w:r>
      <w:r/>
    </w:p>
    <w:p>
      <w:pPr>
        <w:pStyle w:val="1081"/>
        <w:keepLines w:val="0"/>
        <w:keepNext w:val="0"/>
        <w:pageBreakBefore w:val="0"/>
        <w:spacing w:before="0" w:beforeAutospacing="0" w:after="20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 </w:t>
      </w:r>
      <w:r/>
    </w:p>
    <w:p>
      <w:pPr>
        <w:pStyle w:val="1081"/>
        <w:ind w:left="0" w:firstLine="5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18.12因买方原因导致变更、中止或者终止政府采购合同的，买方对卖方受到的实际损失予以赔偿或者补偿。</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30"/>
          <w:szCs w:val="30"/>
          <w:highlight w:val="none"/>
        </w:rPr>
        <w:t xml:space="preserve">合同附件</w:t>
      </w:r>
      <w:r/>
    </w:p>
    <w:p>
      <w:pPr>
        <w:pStyle w:val="1081"/>
        <w:keepLines w:val="0"/>
        <w:keepNext w:val="0"/>
        <w:pageBreakBefore w:val="0"/>
        <w:spacing w:before="0" w:beforeAutospacing="0" w:after="0" w:afterAutospacing="0"/>
        <w:widowControl w:val="off"/>
        <w:tabs>
          <w:tab w:val="left" w:pos="751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ab/>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目录</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合同附件1：合同协议书</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合同附件2：技术规格和技术性能</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(要求见招标文件第六章《采购需求》</w:t>
      </w:r>
      <w:r>
        <w:rPr>
          <w:rFonts w:hint="eastAsia" w:ascii="宋体" w:hAnsi="宋体" w:eastAsia="宋体" w:cs="宋体"/>
          <w:b w:val="0"/>
          <w:bCs w:val="0"/>
          <w:color w:val="000000"/>
          <w:sz w:val="24"/>
          <w:szCs w:val="24"/>
          <w:highlight w:val="none"/>
        </w:rPr>
        <w:t xml:space="preserve">；合同见卖方投标文件)</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合同附件3：售后服务和技术培训</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(要求见招标文件第六章《采购需求》；合同见卖方投标文件</w:t>
      </w:r>
      <w:r>
        <w:rPr>
          <w:rFonts w:hint="eastAsia" w:ascii="宋体" w:hAnsi="宋体" w:eastAsia="宋体" w:cs="宋体"/>
          <w:b/>
          <w:bCs/>
          <w:color w:val="000000"/>
          <w:sz w:val="24"/>
          <w:szCs w:val="24"/>
          <w:highlight w:val="none"/>
        </w:rPr>
        <w:t xml:space="preserve">)</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合同附件4：供货范围和价格清单</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(要求见招标文件第七章《投标文件相关格式》中《开标一览表》和《分项价格表》；合同见卖方投标文件中《开标一览表》和《分项价格表》。)</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合同附件5：保密协议</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合同附件6：采购需求</w:t>
      </w:r>
      <w:r/>
    </w:p>
    <w:p>
      <w:pPr>
        <w:pStyle w:val="1081"/>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(见招标文件第六章《采购需求》。)</w:t>
      </w:r>
      <w:r/>
    </w:p>
    <w:p>
      <w:pPr>
        <w:jc w:val="center"/>
        <w:keepLines w:val="0"/>
        <w:keepNext w:val="0"/>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81"/>
        <w:ind w:left="0" w:right="0"/>
        <w:jc w:val="both"/>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suppressLineNumbers w:val="0"/>
      </w:pPr>
      <w:r>
        <w:rPr>
          <w:rFonts w:hint="eastAsia" w:ascii="宋体" w:hAnsi="宋体" w:eastAsia="宋体" w:cs="宋体"/>
          <w:b/>
          <w:bCs/>
          <w:color w:val="000000"/>
          <w:sz w:val="24"/>
          <w:szCs w:val="24"/>
          <w:highlight w:val="none"/>
        </w:rPr>
      </w:r>
      <w:r/>
    </w:p>
    <w:p>
      <w:pPr>
        <w:pStyle w:val="1081"/>
        <w:ind w:left="0" w:right="0"/>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合同附件1：</w:t>
      </w:r>
      <w:r/>
    </w:p>
    <w:p>
      <w:pPr>
        <w:pStyle w:val="1081"/>
        <w:jc w:val="center"/>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rPr>
        <w:t xml:space="preserve">合同协议书</w:t>
      </w:r>
      <w:r/>
    </w:p>
    <w:p>
      <w:pPr>
        <w:pStyle w:val="1081"/>
        <w:jc w:val="right"/>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合同编号:____________ </w:t>
      </w:r>
      <w:r/>
    </w:p>
    <w:p>
      <w:pPr>
        <w:pStyle w:val="1081"/>
        <w:jc w:val="right"/>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签字日期:____________ </w:t>
      </w:r>
      <w:r/>
    </w:p>
    <w:p>
      <w:pPr>
        <w:pStyle w:val="1081"/>
        <w:jc w:val="right"/>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签字地点:____________ </w:t>
      </w:r>
      <w:r/>
    </w:p>
    <w:p>
      <w:pPr>
        <w:pStyle w:val="1081"/>
        <w:ind w:left="0" w:firstLine="359"/>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r>
      <w:r/>
    </w:p>
    <w:p>
      <w:pPr>
        <w:pStyle w:val="1081"/>
        <w:ind w:left="0" w:firstLine="359"/>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r>
      <w:r/>
    </w:p>
    <w:p>
      <w:pPr>
        <w:pStyle w:val="1081"/>
        <w:ind w:left="0" w:firstLine="359"/>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（买方名称）（以下简称“买方”）已接受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（卖方名称）（以下简称“卖方”）对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（项目名称）（项目编号：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）的投标。买方和卖方共同达成如下协议。</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本合同协议书中的词语和术语的含义与合同条款中定义的相同。</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2.以下文件应构成买方和卖方之间达成的合同，若各文件之间存在含糊不清或互相冲突之处，优先顺序应按下列文件顺序解释。</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 合同协议书</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 中标通知书</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合同专用条款</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 合同通用条款</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 除合同附件1外的合同附件</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 其他文件</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考虑到买方将按照本合同向卖方支付合同价款，卖方在此保证全部按照合同的规定向买方提供合同标的、技术资料、售后服务及技术培训。</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 考虑到卖方将按合同规定提供合同标的、技术资料、售后服务及技术培训，买方在此保证按照合同规定的时间和方式向卖方支付合同价款。</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 本合同在下列条件全部满足后生效，生效日期以下列条件全部满足的最晚日期为准： </w:t>
      </w:r>
      <w:r/>
    </w:p>
    <w:p>
      <w:pPr>
        <w:pStyle w:val="1081"/>
        <w:ind w:left="0" w:firstLine="540"/>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（1）双方加盖公章或合同专用章； </w:t>
      </w:r>
      <w:r/>
    </w:p>
    <w:p>
      <w:pPr>
        <w:pStyle w:val="1081"/>
        <w:ind w:left="0" w:firstLine="480"/>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 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份，卖方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pStyle w:val="1081"/>
        <w:ind w:left="0" w:firstLine="480"/>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7.本合同其他未尽事宜及与采购文件有矛盾之处，以采购文件[项目编号：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]为准。</w:t>
      </w:r>
      <w:r/>
    </w:p>
    <w:p>
      <w:pPr>
        <w:pStyle w:val="1081"/>
        <w:ind w:left="0" w:firstLine="360"/>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买方和卖方由其正式授权代表于上述所写日期和地点签订本合同。</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买方（签章）：____________________________________  </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法定代表人或授权代表(签名)： ____________________ </w:t>
      </w:r>
      <w:r/>
    </w:p>
    <w:p>
      <w:pPr>
        <w:pStyle w:val="1081"/>
        <w:ind w:left="0" w:firstLine="3360"/>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1081"/>
        <w:jc w:val="both"/>
        <w:keepLines w:val="0"/>
        <w:keepNext w:val="0"/>
        <w:pageBreakBefore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卖方（签章）： ____________________________________ </w:t>
      </w:r>
      <w:r/>
    </w:p>
    <w:p>
      <w:pPr>
        <w:pStyle w:val="1081"/>
        <w:keepLines w:val="0"/>
        <w:keepNext w:val="0"/>
        <w:pageBreakBefore w:val="0"/>
        <w:spacing w:before="0" w:beforeAutospacing="0" w:after="200" w:afterAutospacing="0" w:line="273"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法定代表人或授权代表(签名)： ___________________</w:t>
      </w:r>
      <w:r/>
    </w:p>
    <w:p>
      <w:pPr>
        <w:pStyle w:val="806"/>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rPr>
          <w:rFonts w:hint="eastAsia" w:ascii="宋体" w:hAnsi="宋体" w:eastAsia="宋体" w:cs="宋体"/>
          <w:b/>
          <w:sz w:val="32"/>
          <w:szCs w:val="32"/>
          <w:lang w:eastAsia="zh-CN"/>
        </w:rPr>
        <w:outlineLvl w:val="0"/>
      </w:pPr>
      <w:r/>
      <w:bookmarkStart w:id="13" w:name="_Toc25159"/>
      <w:r/>
      <w:bookmarkStart w:id="14" w:name="_Toc19833"/>
      <w:r>
        <w:rPr>
          <w:rFonts w:hint="eastAsia" w:ascii="宋体" w:hAnsi="宋体" w:eastAsia="宋体" w:cs="宋体"/>
          <w:b/>
          <w:sz w:val="32"/>
          <w:szCs w:val="32"/>
          <w:lang w:eastAsia="zh-CN"/>
        </w:rPr>
        <w:t xml:space="preserve">第六章  </w:t>
      </w:r>
      <w:bookmarkEnd w:id="13"/>
      <w:r>
        <w:rPr>
          <w:rFonts w:hint="eastAsia" w:ascii="宋体" w:hAnsi="宋体" w:eastAsia="宋体" w:cs="宋体"/>
          <w:b/>
          <w:sz w:val="32"/>
          <w:szCs w:val="32"/>
          <w:lang w:eastAsia="zh-CN"/>
        </w:rPr>
        <w:t xml:space="preserve">采购需求</w:t>
      </w:r>
      <w:bookmarkEnd w:id="14"/>
      <w:r/>
      <w:r/>
    </w:p>
    <w:p>
      <w:pPr>
        <w:pStyle w:val="814"/>
        <w:ind w:left="420"/>
        <w:pageBreakBefore w:val="0"/>
        <w:spacing w:line="440" w:lineRule="exact"/>
        <w:rPr>
          <w:rFonts w:hint="eastAsia" w:ascii="宋体" w:hAnsi="宋体" w:eastAsia="宋体" w:cs="宋体"/>
          <w:b/>
          <w:bCs/>
          <w:sz w:val="24"/>
        </w:rPr>
        <w:outlineLvl w:val="9"/>
      </w:pPr>
      <w:r>
        <w:rPr>
          <w:rStyle w:val="1079"/>
          <w:rFonts w:hint="eastAsia" w:ascii="宋体" w:hAnsi="宋体" w:eastAsia="宋体" w:cs="宋体"/>
          <w:b/>
          <w:bCs/>
          <w:sz w:val="24"/>
          <w:szCs w:val="22"/>
        </w:rPr>
        <w:t xml:space="preserve">一、</w:t>
      </w:r>
      <w:r>
        <w:rPr>
          <w:rFonts w:hint="eastAsia" w:ascii="宋体" w:hAnsi="宋体" w:eastAsia="宋体" w:cs="宋体"/>
          <w:b/>
          <w:bCs/>
          <w:sz w:val="24"/>
        </w:rPr>
        <w:t xml:space="preserve">项目说明：</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 1、采购人：新沂市公安局。</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 2、</w:t>
      </w:r>
      <w:bookmarkStart w:id="15" w:name="OLE_LINK1"/>
      <w:r>
        <w:rPr>
          <w:rFonts w:hint="eastAsia" w:ascii="宋体" w:hAnsi="宋体" w:eastAsia="宋体" w:cs="宋体"/>
          <w:sz w:val="24"/>
          <w:lang w:eastAsia="zh-CN"/>
        </w:rPr>
        <w:t xml:space="preserve">采购标的：新沂市公安局图像感知网一期项目。</w:t>
      </w:r>
      <w:bookmarkEnd w:id="15"/>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 3、</w:t>
      </w:r>
      <w:bookmarkStart w:id="16" w:name="OLE_LINK4"/>
      <w:r>
        <w:rPr>
          <w:rFonts w:hint="eastAsia" w:ascii="宋体" w:hAnsi="宋体" w:eastAsia="宋体" w:cs="宋体"/>
          <w:sz w:val="24"/>
          <w:lang w:eastAsia="zh-CN"/>
        </w:rPr>
        <w:t xml:space="preserve">本项目为不专门面向中小微企业的项目。</w:t>
      </w:r>
      <w:bookmarkEnd w:id="16"/>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 4、本项目采购的货物对应的中小企业划分标准所属行业为</w:t>
      </w:r>
      <w:r>
        <w:rPr>
          <w:rFonts w:hint="eastAsia" w:ascii="宋体" w:hAnsi="宋体" w:eastAsia="宋体" w:cs="宋体"/>
          <w:sz w:val="24"/>
          <w:szCs w:val="24"/>
          <w:lang w:eastAsia="zh-CN"/>
        </w:rPr>
        <w:t xml:space="preserve">工业</w:t>
      </w:r>
      <w:r>
        <w:rPr>
          <w:rFonts w:hint="eastAsia" w:ascii="宋体" w:hAnsi="宋体" w:eastAsia="宋体" w:cs="宋体"/>
          <w:sz w:val="24"/>
          <w:lang w:eastAsia="zh-CN"/>
        </w:rPr>
        <w:t xml:space="preserve">。</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 5、预算金额：200万元。</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 6、最高限价：200万元。</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 7、要求工期：合同生效日后60日历天内完成设备供货、现场施工、系统联调、试运行、竣工交付，整体通过采购人竣工验收；逾期未完工按合同约定承担违约责任。</w:t>
      </w:r>
      <w:r/>
    </w:p>
    <w:p>
      <w:pPr>
        <w:ind w:firstLine="645"/>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8、质保期限：三年。</w:t>
      </w:r>
      <w:r/>
    </w:p>
    <w:p>
      <w:pPr>
        <w:ind w:firstLine="480"/>
        <w:pageBreakBefore w:val="0"/>
        <w:spacing w:line="440" w:lineRule="exact"/>
        <w:rPr>
          <w:rFonts w:hint="eastAsia" w:ascii="宋体" w:hAnsi="宋体" w:eastAsia="宋体" w:cs="宋体"/>
          <w:sz w:val="24"/>
          <w:lang w:eastAsia="zh-CN"/>
        </w:rPr>
        <w:outlineLvl w:val="9"/>
      </w:pPr>
      <w:r>
        <w:rPr>
          <w:rStyle w:val="1079"/>
          <w:rFonts w:hint="eastAsia" w:ascii="宋体" w:hAnsi="宋体" w:eastAsia="宋体" w:cs="宋体"/>
          <w:b/>
          <w:bCs/>
          <w:sz w:val="24"/>
          <w:szCs w:val="22"/>
        </w:rPr>
        <w:t xml:space="preserve">二、项目内容：</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新沂市公安局图像感知网一期项目项目，为进一步强化新沂市主城区社会治安防控能力，提升公安机关精准巡防、快速处置、案件溯源的智能化水平，在主城区人行辅道、重要商业场所、城区背街小巷、人员集聚区域等处，安装全结构化人像抓拍设备，初步形成全结构化人像识别感知网。</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本项目建设的800万AI全结构化摄像机、双400万AI全结构化摄像机两款前端设备，整机软硬件设计、数据传输、身份认证、视频加密等全部功能须满足GB 35114-2017《公共安全视频监控联网信息安全技术要求》，实现视频监控联网全过程信息安全防护。</w:t>
      </w:r>
      <w:r/>
    </w:p>
    <w:p>
      <w:pPr>
        <w:pStyle w:val="817"/>
        <w:ind w:firstLine="480"/>
        <w:pageBreakBefore w:val="0"/>
        <w:spacing w:line="440" w:lineRule="exact"/>
        <w:rPr>
          <w:rStyle w:val="1079"/>
          <w:rFonts w:hint="eastAsia" w:ascii="宋体" w:hAnsi="宋体" w:eastAsia="宋体" w:cs="宋体"/>
          <w:sz w:val="24"/>
          <w:szCs w:val="22"/>
        </w:rPr>
        <w:outlineLvl w:val="9"/>
      </w:pPr>
      <w:r>
        <w:rPr>
          <w:rFonts w:hint="eastAsia" w:ascii="宋体" w:hAnsi="宋体" w:eastAsia="宋体" w:cs="宋体"/>
          <w:sz w:val="24"/>
        </w:rPr>
        <w:t xml:space="preserve">报价包含本项目范围内的全部费用（包含但不限于满足系统完整功能所需软硬件设备采购、配套辅材、运输、现场安装、系统调试、人员培训、三年质保维护等一切成本）。供应商有漏报或不报的，采购人将视为有关费用已包括在本项目的报价中而不予支付。采购人不支付报价以外的任何费用。</w:t>
      </w:r>
      <w:r/>
    </w:p>
    <w:p>
      <w:pPr>
        <w:ind w:firstLine="480"/>
        <w:pageBreakBefore w:val="0"/>
        <w:spacing w:line="440" w:lineRule="exact"/>
        <w:rPr>
          <w:rStyle w:val="1079"/>
          <w:rFonts w:hint="eastAsia" w:ascii="宋体" w:hAnsi="宋体" w:eastAsia="宋体" w:cs="宋体"/>
          <w:sz w:val="24"/>
          <w:szCs w:val="22"/>
        </w:rPr>
        <w:outlineLvl w:val="9"/>
      </w:pPr>
      <w:r>
        <w:rPr>
          <w:rStyle w:val="1079"/>
          <w:rFonts w:hint="eastAsia" w:ascii="宋体" w:hAnsi="宋体" w:eastAsia="宋体" w:cs="宋体"/>
          <w:sz w:val="24"/>
          <w:szCs w:val="22"/>
        </w:rPr>
        <w:t xml:space="preserve">本项目路口点位明细如下表：</w:t>
      </w:r>
      <w:r/>
    </w:p>
    <w:tbl>
      <w:tblPr>
        <w:tblStyle w:val="800"/>
        <w:tblW w:w="99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02"/>
        <w:gridCol w:w="6555"/>
        <w:gridCol w:w="1705"/>
      </w:tblGrid>
      <w:tr>
        <w:trPr>
          <w:jc w:val="center"/>
          <w:trHeight w:val="0"/>
          <w:tblHeader/>
        </w:trPr>
        <w:tc>
          <w:tcPr>
            <w:gridSpan w:val="3"/>
            <w:shd w:val="clear" w:color="auto" w:fill="auto"/>
            <w:tcBorders>
              <w:top w:val="single" w:color="000000" w:sz="12" w:space="0"/>
              <w:left w:val="single" w:color="000000" w:sz="12" w:space="0"/>
              <w:bottom w:val="none" w:color="000000" w:sz="4" w:space="0"/>
              <w:right w:val="single" w:color="000000" w:sz="12" w:space="0"/>
            </w:tcBorders>
            <w:tcMar>
              <w:left w:w="-1" w:type="dxa"/>
              <w:top w:w="-1" w:type="dxa"/>
              <w:right w:w="-1" w:type="dxa"/>
              <w:bottom w:w="-1" w:type="dxa"/>
            </w:tcMar>
            <w:tcW w:w="99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30"/>
                <w:szCs w:val="30"/>
                <w:u w:val="none"/>
              </w:rPr>
              <w:outlineLvl w:val="9"/>
              <w:suppressLineNumbers w:val="0"/>
            </w:pPr>
            <w:r>
              <w:rPr>
                <w:rFonts w:hint="eastAsia" w:ascii="宋体" w:hAnsi="宋体" w:eastAsia="宋体" w:cs="宋体"/>
                <w:b/>
                <w:bCs/>
                <w:i w:val="0"/>
                <w:iCs w:val="0"/>
                <w:color w:val="000000"/>
                <w:sz w:val="30"/>
                <w:szCs w:val="30"/>
                <w:u w:val="none"/>
                <w:lang w:val="en-US" w:eastAsia="zh-CN" w:bidi="ar"/>
              </w:rPr>
              <w:t xml:space="preserve">新沂城区人像选点</w:t>
            </w:r>
            <w:r/>
          </w:p>
        </w:tc>
      </w:tr>
      <w:tr>
        <w:trPr>
          <w:jc w:val="center"/>
          <w:trHeight w:val="0"/>
          <w:tblHead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30"/>
                <w:szCs w:val="30"/>
                <w:u w:val="none"/>
              </w:rPr>
              <w:outlineLvl w:val="9"/>
              <w:suppressLineNumbers w:val="0"/>
            </w:pPr>
            <w:r>
              <w:rPr>
                <w:rFonts w:hint="eastAsia" w:ascii="宋体" w:hAnsi="宋体" w:eastAsia="宋体" w:cs="宋体"/>
                <w:b/>
                <w:bCs/>
                <w:i w:val="0"/>
                <w:iCs w:val="0"/>
                <w:color w:val="000000"/>
                <w:sz w:val="30"/>
                <w:szCs w:val="30"/>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30"/>
                <w:szCs w:val="30"/>
                <w:u w:val="none"/>
              </w:rPr>
              <w:outlineLvl w:val="9"/>
              <w:suppressLineNumbers w:val="0"/>
            </w:pPr>
            <w:r>
              <w:rPr>
                <w:rFonts w:hint="eastAsia" w:ascii="宋体" w:hAnsi="宋体" w:eastAsia="宋体" w:cs="宋体"/>
                <w:b/>
                <w:bCs/>
                <w:i w:val="0"/>
                <w:iCs w:val="0"/>
                <w:color w:val="000000"/>
                <w:sz w:val="30"/>
                <w:szCs w:val="30"/>
                <w:u w:val="none"/>
                <w:lang w:val="en-US" w:eastAsia="zh-CN" w:bidi="ar"/>
              </w:rPr>
              <w:t xml:space="preserve">点位</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30"/>
                <w:szCs w:val="30"/>
                <w:u w:val="none"/>
              </w:rPr>
              <w:outlineLvl w:val="9"/>
              <w:suppressLineNumbers w:val="0"/>
            </w:pPr>
            <w:r>
              <w:rPr>
                <w:rFonts w:hint="eastAsia" w:ascii="宋体" w:hAnsi="宋体" w:eastAsia="宋体" w:cs="宋体"/>
                <w:b/>
                <w:bCs/>
                <w:i w:val="0"/>
                <w:iCs w:val="0"/>
                <w:color w:val="000000"/>
                <w:sz w:val="30"/>
                <w:szCs w:val="30"/>
                <w:u w:val="none"/>
                <w:lang w:val="en-US" w:eastAsia="zh-CN" w:bidi="ar"/>
              </w:rPr>
              <w:t xml:space="preserve">数量</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徐海西路 臧圩河</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新安路 臧圩河</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市府西路 臧圩河</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建邺西路 臧圩河</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大桥西路 臧圩河</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新戴南路 臧圩河</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新戴南路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新戴南路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新戴南路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新戴南路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新戴南路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大桥南路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花厅路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小刘庄南巷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建业路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星光路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幸福路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段家巷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富民路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青年路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新安路 临沭路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徐海路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徐海路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郯新路 工农路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新李路 工农路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新安路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青年路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轻工路 市府路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建业路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轻工路 轻工路东四十巷</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青年路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市府路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幸福路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建邺路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四华里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大桥西路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大桥西路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大桥西路 利民路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花厅路 利民路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花厅路 城关路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建业路 利民路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建业路 城关路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幸福路 城关路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市府路 城关路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段家巷 宏基街</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富民路 南京路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青年路 南京路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新安路 南京路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新安路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青年路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幸福路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建业路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花厅路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花厅路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青年路 富民路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幸福路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新光路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新光路 利民路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幸福路 利民路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市府路 利民路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市府路 南京路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北京路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马陵山路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五华路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环城南路 轻工路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环城南路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五华路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马陵山路 新华路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人民路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马陵山路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五华路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环城南路 公园路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环城南路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五华路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马陵山路 钟吾路</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0"/>
        </w:trPr>
        <w:tc>
          <w:tcPr>
            <w:gridSpan w:val="2"/>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257" w:type="dxa"/>
            <w:vAlign w:val="center"/>
            <w:textDirection w:val="lrTb"/>
            <w:noWrap w:val="false"/>
          </w:tcPr>
          <w:p>
            <w:pPr>
              <w:ind w:left="0" w:right="0" w:firstLine="0"/>
              <w:jc w:val="center"/>
              <w:pageBreakBefore w:val="0"/>
              <w:rPr>
                <w:rFonts w:hint="eastAsia" w:ascii="宋体" w:hAnsi="宋体" w:eastAsia="宋体" w:cs="宋体"/>
                <w:b/>
                <w:i w:val="0"/>
                <w:iCs w:val="0"/>
                <w:color w:val="000000"/>
                <w:sz w:val="24"/>
                <w:szCs w:val="24"/>
                <w:u w:val="none"/>
                <w:lang w:eastAsia="zh-CN"/>
              </w:rPr>
              <w:outlineLvl w:val="9"/>
            </w:pPr>
            <w:r>
              <w:rPr>
                <w:rFonts w:hint="eastAsia" w:ascii="宋体" w:hAnsi="宋体" w:eastAsia="宋体" w:cs="宋体"/>
                <w:b/>
                <w:i w:val="0"/>
                <w:iCs w:val="0"/>
                <w:color w:val="000000"/>
                <w:sz w:val="24"/>
                <w:szCs w:val="24"/>
                <w:u w:val="none"/>
                <w:lang w:eastAsia="zh-CN"/>
              </w:rPr>
              <w:t xml:space="preserve">共计</w:t>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sz w:val="24"/>
                <w:szCs w:val="24"/>
                <w:u w:val="none"/>
              </w:rPr>
              <w:outlineLvl w:val="9"/>
              <w:suppressLineNumbers w:val="0"/>
            </w:pPr>
            <w:r>
              <w:rPr>
                <w:rFonts w:hint="eastAsia" w:ascii="宋体" w:hAnsi="宋体" w:eastAsia="宋体" w:cs="宋体"/>
                <w:b/>
                <w:i w:val="0"/>
                <w:iCs w:val="0"/>
                <w:color w:val="000000"/>
                <w:sz w:val="24"/>
                <w:szCs w:val="24"/>
                <w:u w:val="none"/>
                <w:lang w:val="en-US" w:eastAsia="zh-CN" w:bidi="ar"/>
              </w:rPr>
              <w:t xml:space="preserve">230</w:t>
            </w:r>
            <w:r/>
          </w:p>
        </w:tc>
      </w:tr>
    </w:tbl>
    <w:p>
      <w:pPr>
        <w:ind w:firstLine="482"/>
        <w:jc w:val="both"/>
        <w:pageBreakBefore w:val="0"/>
        <w:spacing w:line="440" w:lineRule="exact"/>
        <w:rPr>
          <w:rStyle w:val="1079"/>
          <w:rFonts w:hint="eastAsia" w:ascii="宋体" w:hAnsi="宋体" w:eastAsia="宋体" w:cs="宋体"/>
          <w:b/>
          <w:bCs/>
          <w:sz w:val="24"/>
          <w:szCs w:val="22"/>
          <w:highlight w:val="none"/>
        </w:rPr>
        <w:outlineLvl w:val="9"/>
      </w:pPr>
      <w:r>
        <w:rPr>
          <w:rStyle w:val="1079"/>
          <w:rFonts w:hint="eastAsia" w:ascii="宋体" w:hAnsi="宋体" w:eastAsia="宋体" w:cs="宋体"/>
          <w:b/>
          <w:bCs/>
          <w:sz w:val="24"/>
          <w:szCs w:val="22"/>
          <w:highlight w:val="none"/>
        </w:rPr>
        <w:t xml:space="preserve">考虑到现场施工等实际情况，甲方可以对具体施工点位进行调整。</w:t>
      </w:r>
      <w:r/>
    </w:p>
    <w:p>
      <w:pPr>
        <w:ind w:firstLine="480"/>
        <w:pageBreakBefore w:val="0"/>
        <w:spacing w:line="440" w:lineRule="exact"/>
        <w:rPr>
          <w:rFonts w:hint="eastAsia" w:ascii="宋体" w:hAnsi="宋体" w:eastAsia="宋体" w:cs="宋体"/>
          <w:sz w:val="24"/>
          <w:lang w:eastAsia="zh-CN"/>
        </w:rPr>
        <w:outlineLvl w:val="9"/>
      </w:pPr>
      <w:r>
        <w:rPr>
          <w:rStyle w:val="1079"/>
          <w:rFonts w:hint="eastAsia" w:ascii="宋体" w:hAnsi="宋体" w:eastAsia="宋体" w:cs="宋体"/>
          <w:b/>
          <w:bCs/>
          <w:sz w:val="24"/>
          <w:szCs w:val="22"/>
        </w:rPr>
        <w:t xml:space="preserve">三、主要设备清单及技术指标：</w:t>
      </w:r>
      <w:r/>
    </w:p>
    <w:tbl>
      <w:tblPr>
        <w:tblStyle w:val="80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8"/>
        <w:gridCol w:w="1696"/>
        <w:gridCol w:w="4834"/>
        <w:gridCol w:w="659"/>
        <w:gridCol w:w="675"/>
      </w:tblGrid>
      <w:tr>
        <w:trPr>
          <w:trHeight w:val="558"/>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tcPr>
          <w:p>
            <w:pPr>
              <w:jc w:val="center"/>
              <w:pageBreakBefore w:val="0"/>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bidi="ar"/>
              </w:rPr>
              <w:t xml:space="preserve">新沂市公安局图像感知网一期</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tcPr>
          <w:p>
            <w:pPr>
              <w:jc w:val="center"/>
              <w:pageBreakBefore w:val="0"/>
              <w:rPr>
                <w:rFonts w:hint="eastAsia" w:ascii="宋体" w:hAnsi="宋体" w:eastAsia="宋体" w:cs="宋体"/>
                <w:b/>
                <w:bCs/>
                <w:color w:val="000000"/>
              </w:rPr>
              <w:outlineLvl w:val="9"/>
            </w:pPr>
            <w:r>
              <w:rPr>
                <w:rFonts w:hint="eastAsia" w:ascii="宋体" w:hAnsi="宋体" w:eastAsia="宋体" w:cs="宋体"/>
                <w:b/>
                <w:bCs/>
                <w:color w:val="00000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vMerge w:val="restart"/>
            <w:textDirection w:val="lrTb"/>
            <w:noWrap/>
          </w:tcPr>
          <w:p>
            <w:pPr>
              <w:jc w:val="center"/>
              <w:pageBreakBefore w:val="0"/>
              <w:rPr>
                <w:rFonts w:hint="eastAsia" w:ascii="宋体" w:hAnsi="宋体" w:eastAsia="宋体" w:cs="宋体"/>
                <w:b/>
                <w:bCs/>
                <w:color w:val="000000"/>
              </w:rPr>
              <w:outlineLvl w:val="9"/>
            </w:pPr>
            <w:r>
              <w:rPr>
                <w:rFonts w:hint="eastAsia" w:ascii="宋体" w:hAnsi="宋体" w:eastAsia="宋体" w:cs="宋体"/>
                <w:b/>
                <w:bCs/>
                <w:color w:val="000000"/>
                <w:lang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vAlign w:val="center"/>
            <w:vMerge w:val="restart"/>
            <w:textDirection w:val="lrTb"/>
            <w:noWrap/>
          </w:tcPr>
          <w:p>
            <w:pPr>
              <w:jc w:val="center"/>
              <w:pageBreakBefore w:val="0"/>
              <w:rPr>
                <w:rFonts w:hint="eastAsia" w:ascii="宋体" w:hAnsi="宋体" w:eastAsia="宋体" w:cs="宋体"/>
                <w:b/>
                <w:bCs/>
                <w:color w:val="000000"/>
              </w:rPr>
              <w:outlineLvl w:val="9"/>
            </w:pPr>
            <w:r>
              <w:rPr>
                <w:rFonts w:hint="eastAsia" w:ascii="宋体" w:hAnsi="宋体" w:eastAsia="宋体" w:cs="宋体"/>
                <w:b/>
                <w:bCs/>
                <w:color w:val="000000"/>
                <w:lang w:eastAsia="zh-CN" w:bidi="ar"/>
              </w:rPr>
              <w:t xml:space="preserve">技术指标</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tcPr>
          <w:p>
            <w:pPr>
              <w:jc w:val="center"/>
              <w:pageBreakBefore w:val="0"/>
              <w:rPr>
                <w:rFonts w:hint="eastAsia" w:ascii="宋体" w:hAnsi="宋体" w:eastAsia="宋体" w:cs="宋体"/>
                <w:b/>
                <w:bCs/>
                <w:color w:val="000000"/>
              </w:rPr>
              <w:outlineLvl w:val="9"/>
            </w:pPr>
            <w:r>
              <w:rPr>
                <w:rFonts w:hint="eastAsia" w:ascii="宋体" w:hAnsi="宋体" w:eastAsia="宋体" w:cs="宋体"/>
                <w:b/>
                <w:bCs/>
                <w:color w:val="000000"/>
                <w:lang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tcPr>
          <w:p>
            <w:pPr>
              <w:jc w:val="center"/>
              <w:pageBreakBefore w:val="0"/>
              <w:rPr>
                <w:rFonts w:hint="eastAsia" w:ascii="宋体" w:hAnsi="宋体" w:eastAsia="宋体" w:cs="宋体"/>
                <w:b/>
                <w:bCs/>
                <w:color w:val="000000"/>
              </w:rPr>
              <w:outlineLvl w:val="9"/>
            </w:pPr>
            <w:r>
              <w:rPr>
                <w:rFonts w:hint="eastAsia" w:ascii="宋体" w:hAnsi="宋体" w:eastAsia="宋体" w:cs="宋体"/>
                <w:b/>
                <w:bCs/>
                <w:color w:val="000000"/>
                <w:lang w:eastAsia="zh-CN" w:bidi="ar"/>
              </w:rPr>
              <w:t xml:space="preserve">数量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800万AI全结构化摄像机</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摄像机内置双镜头，2颗靶面尺寸为不小于1/1.8英寸的CMOS图像传感器。</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▲通道1主码流不小于3840×2160，通道2主码流不小于2688×1520。</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具有不少于2个音频输入接口、1个音频输出接口、3个报警输入接口、2个报警输出接口，内置2个麦克风、1个扬声器。</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▲具有不少于6颗鳞镜式补光灯，补光灯开启后正面不可见补光灯灯珠，灯光亮度均匀，无波纹状、圆环状、麻点状、条纹状及不规则亮斑。</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▲采用基于transformer架构的大模型算法，内置算力不小于8TOPS。</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大模型结构化混行目标检测功能，支持混行目标（行人、人脸、车辆、非机动车）检测、抓拍及结构化属性分析。可关联显示人脸/人体图片和车牌/车辆图片，并可将抓拍结果上传平台，上传延时不超过1S。</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▲支持大模型人脸比对功能，对监控画面中出现的人脸与设备人脸库中的人脸图片进行比对，比对准确率不低于95%。</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▲支持大模型人脸成像增强功能，开启后可提升低照度、雨、雾等环境下的人脸抓拍图片的成像效果。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支持上传目标场景图片及目标信息，目标信息包括出现的时间、目标类别、在视场中的位置。</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外壳防护等级不低于IP67。</w:t>
            </w:r>
            <w:r>
              <w:rPr>
                <w:rFonts w:hint="eastAsia" w:ascii="宋体" w:hAnsi="宋体" w:eastAsia="宋体" w:cs="宋体"/>
                <w:color w:val="000000"/>
                <w:lang w:eastAsia="zh-CN" w:bidi="ar"/>
              </w:rPr>
              <w:br/>
            </w:r>
            <w:r>
              <w:rPr>
                <w:rFonts w:hint="eastAsia" w:ascii="宋体" w:hAnsi="宋体" w:eastAsia="宋体" w:cs="宋体"/>
                <w:b/>
                <w:bCs/>
                <w:color w:val="000000"/>
                <w:lang w:eastAsia="zh-CN" w:bidi="ar"/>
              </w:rPr>
              <w:t xml:space="preserve">以上具有公安机关认可的相关检测机构的检验报告复印件。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双400万AI全结构化摄像机</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内置不少于2颗GPU芯片，内置不少于4个镜头，靶面尺寸均不小于1/1.8英寸。</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具有不少于2路音频输入接口，1路音频输出接口，3路报警输入接口，2路报警输出接口。</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支持同步采集不少于4路视频流，2路为全景通道，2路为细节通道，组成2组视频采集组，每组均由1路全景通道和1路细节通道组成。</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具有不少于10颗混合补光灯，每组视频采集组各具有5颗补光灯，细节通道可识别距离设备不小于100m处的人体轮廓。</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每组视频采集组的细节通道最低照度彩色不大于0.0002 lx，黑白不大于0.0001 lx。</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▲内置2个定焦镜头和2个电动变焦镜头。</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▲内置鳞镜式补光灯，补光灯开启后，灯光均匀无波纹、圆环状、麻点状、条纹状和不规则亮斑。</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▲在分辨率1920x1080 @ 25fps，码流设置为1Mbps时，视频图像传输延时不大于60ms。</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个细节通道均支持混合目标检测，可分别对检测区域中的行人、非机动车、机动车进行检测、跟踪、抓拍，支持抓拍人脸、车牌、非机动车车牌小图并上传，可在客户端将人脸与人体、车牌与车辆图片关联显示</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2个视频采集组均具有轨迹关联功能，细节镜头可抓拍、分析检测区域内的行人和非机动车，并在全景画面中叠加目标跟踪框、行进轨迹和方向。</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具有2个PT控制模块，均支持视频采集组（由一路全景通道和一路细节通道组成）的监控场景调节。</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▲设备的2个PT模块水平方向支持不小于0°～180°旋转，垂直方向支持不小于-5°～25°旋转。</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2种模式：卡口模式和多镜头协同模式。卡口模式下支持4种预设场景：多向卡口-Y型、多向卡口-L型、多向卡口-一型、同向卡口、可实现一键布防。多镜头协同模式具有3种协同分析模式：关联去重、目标关联、轨迹关联。</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▲内置能耗检测模块，可实时检测输入电压和功耗信息，可生成日报表、周报表，并以图表形式展现。</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自带机身平衡检测模块，可指示设备安装是否水平。</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防护等级不低于IP67，工作温度：-30 °C~60 °C。</w:t>
            </w:r>
            <w:r>
              <w:rPr>
                <w:rFonts w:hint="eastAsia" w:ascii="宋体" w:hAnsi="宋体" w:eastAsia="宋体" w:cs="宋体"/>
                <w:color w:val="000000"/>
                <w:lang w:eastAsia="zh-CN" w:bidi="ar"/>
              </w:rPr>
              <w:br/>
            </w:r>
            <w:r>
              <w:rPr>
                <w:rFonts w:hint="eastAsia" w:ascii="宋体" w:hAnsi="宋体" w:eastAsia="宋体" w:cs="宋体"/>
                <w:b/>
                <w:bCs/>
                <w:color w:val="000000"/>
                <w:lang w:eastAsia="zh-CN" w:bidi="ar"/>
              </w:rPr>
              <w:t xml:space="preserve">以上具有公安机关认可的相关检测机构的检验报告复印件。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壁装支架，铂晶灰，铝合金，配套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输入规格：AC176V~260V，50Hz，0.8A</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输出规格：额定：DC12V/1.5A；最大：DC12V/2.0A</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输入效率≥85.00%</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负载调整率：±5%</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纹波/噪声：150mVp-p</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输出功率：24W Max</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输入接口：3C插头</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输出接口形式：裸线输出</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线长：800mm</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工作温度和湿度：0℃~40℃，湿度10%~90%(无凝结)</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视图接入转发设备</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bidi="ar"/>
              </w:rPr>
              <w:outlineLvl w:val="9"/>
            </w:pPr>
            <w:r>
              <w:rPr>
                <w:rFonts w:hint="eastAsia" w:ascii="宋体" w:hAnsi="宋体" w:eastAsia="宋体" w:cs="宋体"/>
                <w:color w:val="000000"/>
                <w:lang w:eastAsia="zh-CN" w:bidi="ar"/>
              </w:rPr>
              <w:t xml:space="preserve">支持同时提供虚拟机、LXC容器和Docker容器服务，实现虚拟机和容器的统一调度和管理。</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支持通过文件夹对虚拟机进行分组，不同类型的虚拟机实现逻辑分组管理，文件夹深度可达5层；支持对分组虚拟机批量进行关闭、启动、重启、删除、迁移操作。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虚拟机支持多种启动方式，包括硬盘启动、虚拟光驱启动和网络启动，可依次设置设备第一启动顺序、第二启动顺序和第三启动顺序。</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▲支持创建虚拟机时，同时创建云硬盘，系统自动进行云硬盘的格式化和目录挂载操作，无需手动进入操作系统后台操作。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支持虚拟机和云硬盘的回收站功能，统一管理被删除的虚拟机和云硬盘，防止因误删除导致数据丢失。支持设置回收站文件保存周期，超期的文件将被自动删除，支持批量销毁或还原虚拟机和云硬盘。</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▲支持一套系统内同时创建多种类型的备份池，包括本地存储备份池和远端存储备份池，其中本地存储包括本地硬盘和本地共享存储，远端存储包括支持标准NFS协议的文件存储和支持标准S3协议的对象存储。</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虚拟化系统内置备份模块，无需单独安装备份软件，在虚拟化管理平台界面即可实现虚拟机和云硬盘的备份功能。备份时对业务运行无影响，支持按时间（按天/周/月）设置自动化备份策略。</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支持不停机修改虚拟机规格，在线增加CPU、内存、磁盘和网卡；支持停机调整虚拟机CPU、内存和磁盘。</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支持虚拟机高可用，允许在虚拟机异常关机后重启虚拟机，或宿主机故障情况下迁移该虚拟机到其他节点并重新启动。</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支持虚拟机卡死及蓝屏的检测功能并自动重启，无需人工干预。</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▲支持定时运维，自定义创建定时器，可设定按周/天/月的定时策略和按每n小时/每n天的时间策略。支持创建多种定时任务，包括对指定资源的开机、关机、重启、快照和备份。</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内置虚拟化系统健康度评价模型，页面展示多维度的性能监控指标及告警信息，支持对虚拟化系统及主机进行健康评测，以评分方式呈现系统及主机健康程度，包括：总体健康状况、集群健康状态、存储健康状况、网络健康状况、告警信息状况等，可自定义配置检测项。</w:t>
            </w:r>
            <w:r>
              <w:rPr>
                <w:rFonts w:hint="eastAsia" w:ascii="宋体" w:hAnsi="宋体" w:eastAsia="宋体" w:cs="宋体"/>
                <w:color w:val="000000"/>
                <w:lang w:eastAsia="zh-CN" w:bidi="ar"/>
              </w:rPr>
              <w:br/>
            </w:r>
            <w:r>
              <w:rPr>
                <w:rFonts w:hint="eastAsia" w:ascii="宋体" w:hAnsi="宋体" w:eastAsia="宋体" w:cs="宋体"/>
                <w:b/>
                <w:bCs/>
                <w:color w:val="000000"/>
                <w:lang w:eastAsia="zh-CN" w:bidi="ar"/>
              </w:rPr>
              <w:t xml:space="preserve">以上具有公安机关认可的相关检测机构的检验报告复印件。</w:t>
            </w:r>
            <w:r>
              <w:rPr>
                <w:rFonts w:hint="eastAsia" w:ascii="宋体" w:hAnsi="宋体" w:eastAsia="宋体" w:cs="宋体"/>
                <w:color w:val="000000"/>
                <w:lang w:eastAsia="zh-CN" w:bidi="ar"/>
              </w:rPr>
              <w:br/>
            </w:r>
            <w:r/>
          </w:p>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★硬件规格不低于：</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CPU：配置2颗处理器，核数≥24核，主频≥2.2GHz</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内存：配置8根32G DDR4，16根内存插槽，最大支持扩展至2TB内存</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硬盘：配置8盘位，系统盘2块480G SSD（RAID1)，缓存加速盘2块480G SSD（无RAID)，数据盘3块4T 7.2K SATA</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阵列卡：配置一张SAS+HBA卡（支持RAID 0/1/10）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网口：2个千兆电口，2个万兆光口（含光模块）</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其他接口：配置1个千兆RJ-45管理接口，4个USB 3.0接口，位于机箱后部，2个USB 3.0接口位于机箱前部，1个USB 3.0接口位于机箱内部；2个VGA接口，1个位于机箱前部，1个位于机箱后部</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电源：配置800W（1+1）冗余电源</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内置授权：边缘云计算平台模块*1；计算虚拟化服务*2；存储虚拟化服务*2</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关键功能特性：</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1）虚拟化：单台服务器可以虚拟多台虚拟机，每台虚拟机可以部署不同的平台、不同的操作系统，虚拟机之间相互隔离、互不影响</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2）高可用：单台可支持快照、备份，可以在数据误删、软件故障损坏时，快速恢复数据；多台集群可支持高可用，在硬件故障时，自动恢复业务</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3）统一存储池：整合服务器硬盘构建分布式块存储池，数据跨节点、跨磁盘多副本冗余存储，无单点故障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4）动态资源调度：CPU/内存资源可在虚拟机间弹性分配</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5）无缝扩容：新增节点自动加入集群，数据自动均衡，集群模式下，在线扩容或更换服务器配件，不中断业务</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6）简化管理与运维：服务器、网络、磁盘等故障自动检测和告警</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视图云存储设备扩容</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bidi="ar"/>
              </w:rPr>
              <w:outlineLvl w:val="9"/>
            </w:pPr>
            <w:r>
              <w:rPr>
                <w:rFonts w:hint="eastAsia" w:ascii="宋体" w:hAnsi="宋体" w:eastAsia="宋体" w:cs="宋体"/>
                <w:color w:val="000000"/>
                <w:lang w:eastAsia="zh-CN" w:bidi="ar"/>
              </w:rPr>
              <w:t xml:space="preserve">支持硬盘热插拔设备在读写数据时，热插拔设备内的任意块硬盘，设备正常运行不宕机，硬盘不损坏，数据不丢失，业务不中断。</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▲支持存储实时视频、视频片段、图片及伴生的智能结构化数据，支持根据结构化数据的类型检索视频，检索条件包括前端点位ID、时间段、视频目标类型（包含人、机动车、非机动车等）。</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手动、自动对智能事件关联的多个录像片段设置录像标签。支持标签与其关联的录像片段同生命周期管理；支持通过按标签内容查询、回放、下载录像片段数据；支持对标签关联的录像片段进行锁定、备份。</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支持以流直存模式进行录像、图片数据存储。实时视频流、抓拍图片无需经过任何转发服务器/虚拟机即可实现数据流直存，视频与图片数据直存后可即存即取。</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▲支持多级加速：支持对不同规格图片数据分级加速存储，小图支持SSD缓存加速，大图支持内存加速；系统支持自定义设置内存加速缓存大小、SSD缓存加速池容量大小，可最高针对4096 KB 图片加速提取。</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支持底层数据块Erasure Code技术容错，数据恢复以数据块为单位，无需全硬盘恢复；具备数据自愈功能。当硬盘损坏后，系统自动进行数据恢复，保证数据不丢失，业务不中断。</w:t>
            </w:r>
            <w:r>
              <w:rPr>
                <w:rFonts w:hint="eastAsia" w:ascii="宋体" w:hAnsi="宋体" w:eastAsia="宋体" w:cs="宋体"/>
                <w:color w:val="000000"/>
                <w:lang w:eastAsia="zh-CN" w:bidi="ar"/>
              </w:rPr>
              <w:br/>
            </w:r>
            <w:r>
              <w:rPr>
                <w:rFonts w:hint="eastAsia" w:ascii="宋体" w:hAnsi="宋体" w:eastAsia="宋体" w:cs="宋体"/>
                <w:b/>
                <w:bCs/>
                <w:color w:val="000000"/>
                <w:lang w:eastAsia="zh-CN" w:bidi="ar"/>
              </w:rPr>
              <w:t xml:space="preserve">以上具有公安机关认可的相关检测机构的检验报告复印件。</w:t>
            </w:r>
            <w:r>
              <w:rPr>
                <w:rFonts w:hint="eastAsia" w:ascii="宋体" w:hAnsi="宋体" w:eastAsia="宋体" w:cs="宋体"/>
                <w:color w:val="000000"/>
                <w:lang w:eastAsia="zh-CN" w:bidi="ar"/>
              </w:rPr>
              <w:br/>
            </w:r>
            <w:bookmarkStart w:id="17" w:name="OLE_LINK3"/>
            <w:r/>
            <w:r/>
          </w:p>
          <w:p>
            <w:pPr>
              <w:pageBreakBefore w:val="0"/>
              <w:rPr>
                <w:rFonts w:hint="eastAsia" w:ascii="宋体" w:hAnsi="宋体" w:eastAsia="宋体" w:cs="宋体"/>
                <w:b/>
                <w:bCs/>
                <w:color w:val="000000"/>
                <w:lang w:eastAsia="zh-CN" w:bidi="ar"/>
              </w:rPr>
              <w:outlineLvl w:val="9"/>
            </w:pPr>
            <w:r>
              <w:rPr>
                <w:rFonts w:hint="eastAsia" w:ascii="宋体" w:hAnsi="宋体" w:eastAsia="宋体" w:cs="宋体"/>
                <w:color w:val="000000"/>
                <w:lang w:eastAsia="zh-CN" w:bidi="ar"/>
              </w:rPr>
              <w:t xml:space="preserve">★</w:t>
            </w:r>
            <w:bookmarkEnd w:id="17"/>
            <w:r>
              <w:rPr>
                <w:rFonts w:hint="eastAsia" w:ascii="宋体" w:hAnsi="宋体" w:eastAsia="宋体" w:cs="宋体"/>
                <w:color w:val="000000"/>
                <w:lang w:eastAsia="zh-CN" w:bidi="ar"/>
              </w:rPr>
              <w:t xml:space="preserve">硬件规格不低于：8U机架式48盘位，双路64位多核处理器，64GB缓存（可扩展256G），2个千兆网口，2个万兆光口，冗余电源，内置2块960GB SSD图片加速盘，48块8TB企业级硬盘，支持网络RAID。</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视图云存储软件扩容</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对视频图像云存储系统进行扩容，支持视频、图片数据存储，支持跨节点数据安全。本次基于原有的云存储系统扩容存储容量及图云加速模块，含基础运行模块，集群管理、计划管理、索引管理、负载均衡等功能，需要融入原有云存储授权形成一朵云，实现云存储系统的动态在线扩容，在扩容过程中须保证业务不中断、数据不丢失。</w:t>
            </w:r>
            <w:r>
              <w:rPr>
                <w:rFonts w:hint="eastAsia" w:ascii="宋体" w:hAnsi="宋体" w:eastAsia="宋体" w:cs="宋体"/>
                <w:b/>
                <w:bCs/>
                <w:color w:val="000000"/>
                <w:lang w:eastAsia="zh-CN" w:bidi="ar"/>
              </w:rPr>
              <w:t xml:space="preserve">投标人针对此项内容提供承诺函并加盖公章。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w:t>
            </w:r>
            <w:r/>
          </w:p>
        </w:tc>
      </w:tr>
      <w:tr>
        <w:trPr>
          <w:trHeight w:val="2755"/>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存储汇聚交换机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全网管三层交换机，24</w:t>
            </w:r>
            <w:r>
              <w:rPr>
                <w:rFonts w:hint="eastAsia" w:ascii="宋体" w:hAnsi="宋体" w:eastAsia="宋体" w:cs="宋体"/>
                <w:color w:val="000000"/>
                <w:lang w:eastAsia="zh-CN" w:bidi="ar"/>
              </w:rPr>
              <w:t xml:space="preserve">个1G/10G SFP+光接口（含24个万兆光模块），2个40G QSFP+光接口，1个console口，1个usb接口，1个带外管理网口；2个业务扩展槽，2个电源模块槽位，2个风扇模块槽位，交换容量：2.56Tbps/25.6Tbps，转发性能：720Mpps/1260Mpps，工作温度：0℃～45℃，支持交直流供电，满负荷功耗183W；支持RIP/OSPF/BGP/IS-IS/VRRP，IPv6，VLAN，流量控制，ACL，QoS，端口镜像，环网RRPP/ERPS、支持SNMP V1/V2c/V3网管。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w:t>
            </w:r>
            <w:r/>
          </w:p>
        </w:tc>
      </w:tr>
      <w:tr>
        <w:trPr>
          <w:trHeight w:val="1979"/>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bidi="ar"/>
              </w:rPr>
              <w:outlineLvl w:val="9"/>
            </w:pPr>
            <w:r/>
            <w:bookmarkStart w:id="18" w:name="OLE_LINK2"/>
            <w:r>
              <w:rPr>
                <w:rFonts w:hint="eastAsia" w:ascii="宋体" w:hAnsi="宋体" w:eastAsia="宋体" w:cs="宋体"/>
                <w:color w:val="000000"/>
                <w:lang w:eastAsia="zh-CN" w:bidi="ar"/>
              </w:rPr>
              <w:t xml:space="preserve">5口百兆工业交换机</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具有5个百兆电口</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交换容量：1Gbps</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包转发率：0.75Mpps</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浪涌防护：网口6 kV</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坚固式高强度金属外壳</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无风扇设计，高可靠性</w:t>
            </w:r>
            <w:bookmarkStart w:id="19" w:name="OLE_LINK5"/>
            <w:r>
              <w:rPr>
                <w:rFonts w:hint="eastAsia" w:ascii="宋体" w:hAnsi="宋体" w:eastAsia="宋体" w:cs="宋体"/>
                <w:color w:val="000000"/>
                <w:lang w:eastAsia="zh-CN" w:bidi="ar"/>
              </w:rPr>
              <w:br/>
            </w:r>
            <w:bookmarkEnd w:id="19"/>
            <w:r>
              <w:rPr>
                <w:rFonts w:hint="eastAsia" w:ascii="宋体" w:hAnsi="宋体" w:eastAsia="宋体" w:cs="宋体"/>
                <w:color w:val="000000"/>
                <w:lang w:eastAsia="zh-CN" w:bidi="ar"/>
              </w:rPr>
              <w:t xml:space="preserve">工作温度：-40℃～75℃</w:t>
            </w:r>
            <w:bookmarkEnd w:id="18"/>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包含配套宽温电源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监控设备箱(含取电)</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不含帽檐尺寸：450mm(高)×400mm(宽）×300mm(深）。</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最大放置空间：440mm(高)×390mm(宽）×280mm(深）。</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具有2P 10A空气开关1个，2P 40kA电源防雷器1个，维护插座一个，抱箍安装。</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监控横臂</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监控横臂，长度约1-1.5米，根据现场需要定制。</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根据现场需要定制，3米-3.5米高，含1-2米横臂，含基础浇筑、绿化恢复等。</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线缆配件辅材</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包含超五类室外网线、六类网线、各类跳线、光纤收发器、光模块、水晶头、电源线缆、扎带、胶带、标签等施工需要的线缆配件辅材。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安装调试及一机一档</w:t>
            </w:r>
            <w:r/>
          </w:p>
        </w:tc>
        <w:tc>
          <w:tcPr>
            <w:shd w:val="clear" w:color="auto" w:fill="auto"/>
            <w:tcBorders>
              <w:top w:val="single" w:color="000000" w:sz="4" w:space="0"/>
              <w:left w:val="single" w:color="000000" w:sz="4" w:space="0"/>
              <w:bottom w:val="single" w:color="000000" w:sz="4" w:space="0"/>
              <w:right w:val="single" w:color="000000" w:sz="4" w:space="0"/>
            </w:tcBorders>
            <w:tcW w:w="2838" w:type="pct"/>
            <w:textDirection w:val="lrTb"/>
            <w:noWrap w:val="false"/>
          </w:tcPr>
          <w:p>
            <w:pPr>
              <w:pageBreakBefore w:val="0"/>
              <w:rPr>
                <w:rFonts w:hint="eastAsia" w:ascii="宋体" w:hAnsi="宋体" w:eastAsia="宋体" w:cs="宋体"/>
                <w:color w:val="000000"/>
                <w:lang w:eastAsia="zh-CN"/>
              </w:rPr>
              <w:outlineLvl w:val="9"/>
            </w:pPr>
            <w:r>
              <w:rPr>
                <w:rFonts w:hint="eastAsia" w:ascii="宋体" w:hAnsi="宋体" w:eastAsia="宋体" w:cs="宋体"/>
                <w:color w:val="000000"/>
                <w:lang w:eastAsia="zh-CN" w:bidi="ar"/>
              </w:rPr>
              <w:t xml:space="preserve">将本次建设的全结构化摄像机和视图云存储设备按照要求融合接入新沂市公安局现有的视频综合应用平台和视频图像云存储系统，实现抓拍图像与视频录像的正常存储。同时抓拍图像数据需要按照规范要求接入新沂市公安局视图库平台、融合大数据分析系统，完成摄像机一机一档的采集和对接工作，并按照规定进行点位地图标注。</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pageBreakBefore w:val="0"/>
              <w:rPr>
                <w:rFonts w:hint="eastAsia" w:ascii="宋体" w:hAnsi="宋体" w:eastAsia="宋体" w:cs="宋体"/>
                <w:color w:val="000000"/>
              </w:rPr>
              <w:outlineLvl w:val="9"/>
            </w:pPr>
            <w:r>
              <w:rPr>
                <w:rFonts w:hint="eastAsia" w:ascii="宋体" w:hAnsi="宋体" w:eastAsia="宋体" w:cs="宋体"/>
                <w:color w:val="000000"/>
                <w:lang w:eastAsia="zh-CN" w:bidi="ar"/>
              </w:rPr>
              <w:t xml:space="preserve">230</w:t>
            </w:r>
            <w:r/>
          </w:p>
        </w:tc>
      </w:tr>
    </w:tbl>
    <w:p>
      <w:pPr>
        <w:ind w:firstLine="482"/>
        <w:pageBreakBefore w:val="0"/>
        <w:spacing w:line="440" w:lineRule="exact"/>
        <w:rPr>
          <w:rStyle w:val="1079"/>
          <w:rFonts w:hint="eastAsia" w:ascii="宋体" w:hAnsi="宋体" w:eastAsia="宋体" w:cs="宋体"/>
          <w:b/>
          <w:bCs/>
          <w:sz w:val="24"/>
          <w:szCs w:val="22"/>
        </w:rPr>
        <w:outlineLvl w:val="9"/>
      </w:pPr>
      <w:r>
        <w:rPr>
          <w:rStyle w:val="1079"/>
          <w:rFonts w:hint="eastAsia" w:ascii="宋体" w:hAnsi="宋体" w:eastAsia="宋体" w:cs="宋体"/>
          <w:b/>
          <w:bCs/>
          <w:sz w:val="24"/>
          <w:szCs w:val="22"/>
        </w:rPr>
        <w:t xml:space="preserve">四、特别说明：</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b/>
          <w:bCs/>
          <w:sz w:val="24"/>
          <w:lang w:eastAsia="zh-CN"/>
        </w:rPr>
        <w:t xml:space="preserve">如果在技术参数或配置中标明了品牌或产地，则仅供参考，并非指定，允许投标非实质性偏离。只要投标货物能够完全满足该项目实质性技术参数要求的，皆可参加投标</w:t>
      </w:r>
      <w:r>
        <w:rPr>
          <w:rFonts w:hint="eastAsia" w:ascii="宋体" w:hAnsi="宋体" w:eastAsia="宋体" w:cs="宋体"/>
          <w:sz w:val="24"/>
          <w:lang w:eastAsia="zh-CN"/>
        </w:rPr>
        <w:t xml:space="preserve">。</w:t>
      </w:r>
      <w:r/>
    </w:p>
    <w:p>
      <w:pPr>
        <w:ind w:firstLine="480"/>
        <w:pageBreakBefore w:val="0"/>
        <w:spacing w:line="440" w:lineRule="exact"/>
        <w:rPr>
          <w:rFonts w:hint="eastAsia" w:ascii="宋体" w:hAnsi="宋体" w:eastAsia="宋体" w:cs="宋体"/>
          <w:sz w:val="24"/>
          <w:lang w:eastAsia="zh-CN"/>
        </w:rPr>
        <w:outlineLvl w:val="9"/>
      </w:pPr>
      <w:r>
        <w:rPr>
          <w:rFonts w:hint="eastAsia" w:ascii="宋体" w:hAnsi="宋体" w:eastAsia="宋体" w:cs="宋体"/>
          <w:sz w:val="24"/>
          <w:lang w:eastAsia="zh-CN"/>
        </w:rPr>
        <w:t xml:space="preserve">采购清单及技术参数要求：加“★”的指标为实质性要求和条件，不允许负偏离，否则按投标无效处理。加“▲”的指标为重要响应指标；其他指标为一般响应指标。未按招标文件要求提供证明材料的视为不满足，按扣分处理。</w:t>
      </w:r>
      <w:r/>
    </w:p>
    <w:p>
      <w:pPr>
        <w:ind w:firstLine="480"/>
        <w:pageBreakBefore w:val="0"/>
        <w:spacing w:line="440" w:lineRule="exact"/>
        <w:rPr>
          <w:rFonts w:hint="eastAsia" w:ascii="宋体" w:hAnsi="宋体" w:eastAsia="宋体" w:cs="宋体"/>
          <w:b/>
          <w:bCs/>
          <w:sz w:val="24"/>
          <w:lang w:eastAsia="zh-CN"/>
        </w:rPr>
        <w:outlineLvl w:val="9"/>
      </w:pPr>
      <w:r>
        <w:rPr>
          <w:rFonts w:hint="eastAsia" w:ascii="宋体" w:hAnsi="宋体" w:eastAsia="宋体" w:cs="宋体"/>
          <w:b/>
          <w:bCs/>
          <w:sz w:val="24"/>
          <w:lang w:eastAsia="zh-CN"/>
        </w:rPr>
        <w:t xml:space="preserve">注：投标文件中须按照技术要求提供“★”和“▲”的技术指标的证明材料并标注页码。其他指标的证明材料包括但不限于产品白皮书或产品说明书或公开出版的宣传材料或产品彩页或产品检测报告或偏离表等，未提供证明材料的视为不满足，按扣分处理。</w:t>
      </w:r>
      <w:r/>
    </w:p>
    <w:p>
      <w:pPr>
        <w:ind w:firstLine="480"/>
        <w:pageBreakBefore w:val="0"/>
        <w:spacing w:beforeAutospacing="0" w:afterAutospacing="0"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五、其他要求</w:t>
      </w:r>
      <w:r/>
    </w:p>
    <w:p>
      <w:pPr>
        <w:ind w:firstLine="480"/>
        <w:pageBreakBefore w:val="0"/>
        <w:spacing w:beforeAutospacing="0" w:afterAutospacing="0"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1、项目交钥匙包干总体要求</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本项目为新沂市公安局图像感知网一期交钥匙一体化工程，包含210台800万AI全结构化摄像机、20台双400万AI全结构化摄像机、配套支架电源、立杆横臂、机箱、交换机、视图接入转发服务器、云存储软硬件、全线缆辅材、230点位安装调试及一机一档建档、平台对接、专线配套等全部建设内容，投标人投标报价须包含完成本项目所有设备供货、系统建成并实现全部公安实战功能所需全部成本，投标人须全面满足以下条款：</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1）投标总价须足额包含实现本项目图像感知网全流程功能所需全部费用，涵盖全部AI摄像机、视图接入转发设备、云存储软硬件、网络交换机、监控立杆/横臂/设备箱、支架电源、室外线缆、光模块等软硬件设备采购、原厂软件授权、设备运输装卸、立杆基础开挖浇筑、防雷接地、布线施工、设备安装、系统联调、现有视频综合应用平台、视图库、大数据分析系统对接、点位地图标注、一机一档资料制作、路面与绿化恢复、检测、人员培训、3年质保维保、税金、施工耗材、安全文明施工、维护等所有成本。</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2）采购人有权根据主城区治安防控实际需求，要求中标单位免费完成所有前端感知点位、机房设备的平台对接、联网调试、系统联调工作；项目实施阶段，采购人可根据现场道路、商铺、街巷实际情况，对摄像机安装点位、立杆位置进行微调、迁改、移位，上述所有配套施工、调试、改造产生的人工、辅材、设备损耗等全部费用均已包含在投标总价内，采购人不再另行支付任何新增费用。</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3）招标文件清单列明设备、施工内容仅为基础建设范围，凡招标文件未单独列明，但为实现全结构化人像抓拍、视频存储、智能研判、平台无缝对接等项目核心功能所必需的软硬件设备、配套辅材、施工工序、对接开发工作，投标人均须自行综合测算并计入投标总报价。若投标人提供设备清单无法满足公安实战、现有系统兼容对接要求，投标人可自主增配配套设备、软件模块，所有新增软硬件、对接调试产生的一切成本均由中标人自行承担，采购人不追加任何资金。</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4）本项目所有前端摄像机、存储、交换机等设备统一接入公安视频专网，实行专网专用、物理隔离。项目所有设备、服务器、存储采集存储的人脸、车辆、行人视频、抓拍图片、结构化数据等全部公安涉密数据，未经采购人书面正式许可，中标人不得以拷贝、传输、转发、导出等任何形式提供、泄露给第三方；该数据保密义务不受3年质保期限约束，质保期满后永久延续生效。</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5）项目实施、质保期内，所有点位布线、立杆浇筑、设备安装、系统对接、故障抢修、点位迁改、定期巡检清洗、平台适配优化等全部协调、施工、运维工作均由中标人全权负责，采购人不承担任何配套人工、材料费用。</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（6）本项目项下所有摄像机、服务器、存储、交换机、立杆、机箱、线缆等全部软硬件设备、配套设施的所有权、产权自验收合格交付之日起全部归采购人所有。</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（7）本项目建设的800万AI全结构化摄像机、双400万AI全结构化摄像机两款前端设备，整机软硬件设计、数据传输、身份认证、视频加密等全部功能须满足GB 35114-2017《公共安全视频监控联网信息安全技术要求》，实现视频监控联网全过程信息安全防护。</w:t>
      </w:r>
      <w:r/>
    </w:p>
    <w:p>
      <w:pPr>
        <w:ind w:firstLine="480"/>
        <w:pageBreakBefore w:val="0"/>
        <w:spacing w:after="0" w:afterAutospacing="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bidi="ar"/>
        </w:rPr>
        <w:t xml:space="preserve">★投标人须提供能够满足以上1-7条要求的相关证明材料。</w:t>
      </w:r>
      <w:r/>
    </w:p>
    <w:p>
      <w:pPr>
        <w:ind w:firstLine="480"/>
        <w:pageBreakBefore w:val="0"/>
        <w:spacing w:before="203" w:beforeAutospacing="0" w:afterAutospacing="0"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六、人员培训及售后维保要求</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1、整体质保期限：本项目全部摄像机、视图接入转发服务器、云存储设备、交换机、立杆、机箱、电源、配套软件授权等所有软硬件设备统一提供</w:t>
      </w:r>
      <w:r>
        <w:rPr>
          <w:rStyle w:val="857"/>
          <w:rFonts w:hint="eastAsia" w:ascii="宋体" w:hAnsi="宋体" w:eastAsia="宋体" w:cs="宋体"/>
          <w:b w:val="0"/>
          <w:color w:val="000000"/>
          <w:sz w:val="24"/>
          <w:szCs w:val="24"/>
          <w:lang w:eastAsia="zh-CN" w:bidi="ar"/>
        </w:rPr>
        <w:t xml:space="preserve">3年原厂免费质保及全套售后维保服务</w:t>
      </w:r>
      <w:r>
        <w:rPr>
          <w:rFonts w:hint="eastAsia" w:ascii="宋体" w:hAnsi="宋体" w:eastAsia="宋体" w:cs="宋体"/>
          <w:color w:val="000000"/>
          <w:sz w:val="24"/>
          <w:szCs w:val="24"/>
          <w:lang w:eastAsia="zh-CN" w:bidi="ar"/>
        </w:rPr>
        <w:t xml:space="preserve">，质保起算时间为项目整体竣工验收合格之日。</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2、投标人必须承诺对系统在必要时进行定期维护及升级。从验收合格交付使用后规定的免费维护期内，任何由设计、实施原因引起的系统故障，投标人应承诺免费提供维护，并能在服务承诺内到场维护。</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3、投标人向采购人说明并承诺维护期满后，将继续提供进行系统扩充和维护升级服务，服务费用、维护内容及服务方式、范围（按照产品、技术、模块确定服务的收费标准）由双方共同协商，费用不计入本次投标总价。</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4、投标人必须承诺安排1名以上具有相关资质、经验的人员专职负责一站式售后服务，提供技术后援支持。技术支持的方式包括：电话技术服务、定期巡查服务、请求现场服务等。</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5、投标人必须承诺提供使用系统的全部文档资料（包括开发文档、使用文档、维护文档）以及软件、数据库相关接口。</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6、质保期日常巡检、维修规范：</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1）常态化巡检清洗：中标人每月对全部230路前端摄像机、机房服务器、存储、交换机开展1次现场巡检；每季度对所有摄像机镜头、鳞镜式补光灯、机箱防尘滤网进行全面清洁，保障夜间补光均匀、图像清晰，无污渍遮挡抓拍画面。</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（2）硬件故障免费更换：质保期内因设备自身硬件老化、元器件故障导致抓拍、存储、传输功能失效的，中标人免费更换全新原厂设备及配件，不收取设备、人工成本。</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（3）对摄像头污渍、角度不当、外物遮挡、元器件损坏、光路中断等不需更换前端设备的一般故障，应在24小时内修复；出现特殊故障（指需要更换前端设备零部件）的，应在48小时内修复。</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（4）对设备被盗、损坏、老化等需要整体更换前端设备的，应在2个工作日内修复。</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（5）对因供电线路故障、取电、道路改造移位等外部原因造成视频监控不能正常使用的，应在外部原因消除且具备施工条件后2日内修复。</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（6）对因交通事故、人为损坏等造成视频监控故障，投标人可以向责任人或单位追偿损失的，应当以“先修复、后追偿”为原则，在具备修复条件后，在2日内先行修复，再向相关的责任人或单位追偿损失。</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7、7×24小时故障响应机制：投标人须提供全年无休7×24小时固定故障报修热线，安排专人值守接收故障申报；接到采购人故障通知后2小时内完成电话响应，同步出具故障排查、修复处置方案，并严格按照本条约定时限完成现场维修。</w:t>
      </w:r>
      <w:r/>
    </w:p>
    <w:p>
      <w:pPr>
        <w:ind w:firstLine="480"/>
        <w:pageBreakBefore w:val="0"/>
        <w:spacing w:after="0" w:line="360" w:lineRule="auto"/>
        <w:rPr>
          <w:rFonts w:hint="eastAsia" w:ascii="宋体" w:hAnsi="宋体" w:eastAsia="宋体" w:cs="宋体"/>
          <w:color w:val="000000"/>
          <w:sz w:val="24"/>
          <w:szCs w:val="24"/>
          <w:lang w:eastAsia="zh-CN" w:bidi="ar"/>
        </w:rPr>
        <w:outlineLvl w:val="9"/>
      </w:pPr>
      <w:r>
        <w:rPr>
          <w:rFonts w:hint="eastAsia" w:ascii="宋体" w:hAnsi="宋体" w:eastAsia="宋体" w:cs="宋体"/>
          <w:color w:val="000000"/>
          <w:sz w:val="24"/>
          <w:szCs w:val="24"/>
          <w:lang w:eastAsia="zh-CN" w:bidi="ar"/>
        </w:rPr>
        <w:t xml:space="preserve">8、投标人必须承诺对用户提供及时、有效、全面的培训，并在项目实施过程中充分重视对用户方的技术转移，并提前制订有效的培训方案。</w:t>
      </w:r>
      <w:r/>
    </w:p>
    <w:p>
      <w:pPr>
        <w:ind w:firstLine="480"/>
        <w:pageBreakBefore w:val="0"/>
        <w:spacing w:after="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bidi="ar"/>
        </w:rPr>
        <w:t xml:space="preserve">9、培训内容须保证采购方能有效使用本系统的软硬件资源。必须充分考虑到用户方现有系统管理人员实际水平，提出详细的培训方案，以达到现有系统管理人员能够进行系统管理、一般故障处理及日常测试维护的能力。</w:t>
      </w:r>
      <w:r/>
    </w:p>
    <w:p>
      <w:pPr>
        <w:ind w:firstLine="480"/>
        <w:pageBreakBefore w:val="0"/>
        <w:spacing w:beforeAutospacing="0" w:afterAutospacing="0"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七、验收标准要求</w:t>
      </w:r>
      <w:r/>
    </w:p>
    <w:p>
      <w:pPr>
        <w:ind w:firstLine="480"/>
        <w:pageBreakBefore w:val="0"/>
        <w:spacing w:after="0" w:afterAutospacing="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bidi="ar"/>
        </w:rPr>
        <w:t xml:space="preserve">全部摄像机、服务器、云存储、网络设备、立杆辅材供货到位，完成230点位布线安装、系统调试、公安现有平台对接、一机一档建档、点位地图标注全部施工内容后，中标人可向采购人提交书面试运行及竣工验收申请；采购人收到书面申请后，组织开展72小时全系统试运行，试运行无异常后开展整体竣工验收。</w:t>
      </w:r>
      <w:r/>
    </w:p>
    <w:p>
      <w:pPr>
        <w:ind w:firstLine="480"/>
        <w:pageBreakBefore w:val="0"/>
        <w:spacing w:before="200" w:beforeAutospacing="0" w:afterAutospacing="0"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八、其他未尽事宜</w:t>
      </w:r>
      <w:r/>
    </w:p>
    <w:p>
      <w:pPr>
        <w:ind w:firstLine="480"/>
        <w:pageBreakBefore w:val="0"/>
        <w:spacing w:after="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bidi="ar"/>
        </w:rPr>
        <w:t xml:space="preserve">本项目施工、质保、权责划分、付款、违约等其他未尽事项，以双方签订的正式政府采购合同条款为准。</w:t>
      </w:r>
      <w:r/>
    </w:p>
    <w:p>
      <w:pPr>
        <w:jc w:val="center"/>
        <w:pageBreakBefore w:val="0"/>
        <w:spacing w:line="360" w:lineRule="auto"/>
        <w:rPr>
          <w:rFonts w:hint="eastAsia" w:ascii="宋体" w:hAnsi="宋体" w:eastAsia="宋体" w:cs="宋体"/>
          <w:b/>
          <w:sz w:val="32"/>
          <w:szCs w:val="32"/>
          <w:lang w:eastAsia="zh-CN"/>
        </w:rPr>
        <w:sectPr>
          <w:headerReference w:type="default" r:id="rId11"/>
          <w:footerReference w:type="default" r:id="rId15"/>
          <w:footnotePr/>
          <w:endnotePr/>
          <w:type w:val="nextPage"/>
          <w:pgSz w:w="11906" w:h="16838" w:orient="portrait"/>
          <w:pgMar w:top="1440" w:right="1800" w:bottom="1440" w:left="1800" w:header="709" w:footer="709" w:gutter="0"/>
          <w:cols w:num="1" w:sep="0" w:space="708" w:equalWidth="1"/>
          <w:docGrid w:linePitch="360"/>
        </w:sectPr>
        <w:outlineLvl w:val="9"/>
      </w:pPr>
      <w:r>
        <w:rPr>
          <w:rFonts w:hint="eastAsia" w:ascii="宋体" w:hAnsi="宋体" w:eastAsia="宋体" w:cs="宋体"/>
          <w:b/>
          <w:sz w:val="32"/>
          <w:szCs w:val="32"/>
          <w:lang w:eastAsia="zh-CN"/>
        </w:rPr>
      </w:r>
      <w:r/>
    </w:p>
    <w:p>
      <w:pPr>
        <w:jc w:val="center"/>
        <w:spacing w:line="360" w:lineRule="auto"/>
        <w:rPr>
          <w:rFonts w:hint="eastAsia" w:ascii="宋体" w:hAnsi="宋体" w:eastAsia="宋体" w:cs="宋体"/>
          <w:color w:val="auto"/>
          <w:sz w:val="32"/>
          <w:szCs w:val="32"/>
          <w:highlight w:val="none"/>
        </w:rPr>
        <w:outlineLvl w:val="0"/>
      </w:pPr>
      <w:r/>
      <w:bookmarkStart w:id="20" w:name="_Toc25520"/>
      <w:r>
        <w:rPr>
          <w:rFonts w:hint="eastAsia" w:ascii="宋体" w:hAnsi="宋体" w:eastAsia="宋体" w:cs="宋体"/>
          <w:b/>
          <w:color w:val="auto"/>
          <w:sz w:val="32"/>
          <w:szCs w:val="32"/>
          <w:highlight w:val="none"/>
          <w:lang w:eastAsia="zh-CN"/>
        </w:rPr>
        <w:t xml:space="preserve">第七章  投标文件相关格式</w:t>
      </w:r>
      <w:bookmarkEnd w:id="20"/>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一、投标函格式</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致：</w:t>
      </w:r>
      <w:r>
        <w:rPr>
          <w:rFonts w:hint="eastAsia" w:ascii="宋体" w:hAnsi="宋体" w:eastAsia="宋体" w:cs="宋体"/>
          <w:color w:val="auto"/>
          <w:sz w:val="24"/>
          <w:szCs w:val="24"/>
          <w:highlight w:val="none"/>
          <w:u w:val="single"/>
          <w:lang w:eastAsia="zh-CN"/>
        </w:rPr>
        <w:t xml:space="preserve">江苏中兴迅达工程管理咨询有限公司</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根据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项目[项目编号：JSZC-320381-ZXXD-G2026-0002]招标文件，</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(姓名)代表我方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（投标人的名称）全权处理本次投标的有关事宜。</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据此函，投标人承诺并同意如下：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1. 投标人唯一投标报价见《开标一览表》。</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2. 投标人将按招标文件的规定履行合同责任和义务。</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4. 投标有效期为开标之日后90天。</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5. 投标人同意提供按照贵方可能要求的与其投标有关的一切数据或资料，完全理解贵方不一定接受最低价的投标或收到的任何投标。</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6. 投标人同意在授予合同后，按照有关规定支付公证费(如有)。</w:t>
      </w:r>
      <w:r/>
    </w:p>
    <w:p>
      <w:pPr>
        <w:ind w:right="29"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7. 江苏中兴迅达工程管理咨询有限公司有权将我单位本项目的《开标一览表》和《分项价格表》予以公示，公示的方式由江苏中兴迅达工程管理咨询有限公司确定。</w:t>
      </w:r>
      <w:r/>
    </w:p>
    <w:p>
      <w:pPr>
        <w:ind w:right="29"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9. 与本投标有关的一切正式往来信函请寄：</w:t>
      </w:r>
      <w:r/>
    </w:p>
    <w:p>
      <w:pPr>
        <w:ind w:firstLine="12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地址： </w:t>
      </w:r>
      <w:r/>
    </w:p>
    <w:p>
      <w:pPr>
        <w:ind w:firstLine="12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电话： </w:t>
      </w:r>
      <w:r/>
    </w:p>
    <w:p>
      <w:pPr>
        <w:ind w:firstLine="12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传真：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450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（加盖电子签章）</w:t>
      </w:r>
      <w:r/>
    </w:p>
    <w:p>
      <w:pPr>
        <w:pStyle w:val="845"/>
        <w:jc w:val="righ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投标人法定代表人或授权代表：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（签字或加盖电子签章）</w:t>
      </w:r>
      <w:r/>
    </w:p>
    <w:p>
      <w:pPr>
        <w:ind w:firstLine="450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日期： 年  月  日 </w:t>
      </w:r>
      <w:r/>
    </w:p>
    <w:p>
      <w:pP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二、开标一览表格式</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项目名称：新沂市公安局图像感知网一期项目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项目编号：JSZC-320381-ZXXD-G2026-0002</w:t>
      </w:r>
      <w:r/>
    </w:p>
    <w:p>
      <w:pPr>
        <w:ind w:firstLine="672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货币单位：人民币元</w:t>
      </w:r>
      <w:r/>
    </w:p>
    <w:tbl>
      <w:tblPr>
        <w:tblStyle w:val="856"/>
        <w:tblW w:w="933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总价</w:t>
            </w:r>
            <w:r>
              <w:rPr>
                <w:rFonts w:hint="eastAsia" w:ascii="宋体" w:hAnsi="宋体" w:eastAsia="宋体" w:cs="宋体"/>
                <w:color w:val="auto"/>
                <w:sz w:val="24"/>
                <w:szCs w:val="24"/>
                <w:highlight w:val="none"/>
              </w:rPr>
              <w:t xml:space="preserve">（小写）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新沂市公安局图像感知网一期项目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r>
        <w:trPr>
          <w:jc w:val="cente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总价</w:t>
            </w:r>
            <w:r>
              <w:rPr>
                <w:rFonts w:hint="eastAsia" w:ascii="宋体" w:hAnsi="宋体" w:eastAsia="宋体" w:cs="宋体"/>
                <w:color w:val="auto"/>
                <w:sz w:val="24"/>
                <w:szCs w:val="24"/>
                <w:highlight w:val="none"/>
              </w:rPr>
              <w:t xml:space="preserve">（大写）：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bl>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p>
      <w:pPr>
        <w:ind w:firstLine="276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p>
      <w:pPr>
        <w:ind w:firstLine="276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p>
      <w:pPr>
        <w:ind w:firstLine="390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（加盖电子签章）</w:t>
      </w:r>
      <w:r/>
    </w:p>
    <w:p>
      <w:pPr>
        <w:pStyle w:val="845"/>
        <w:jc w:val="right"/>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eastAsia="zh-CN"/>
        </w:rPr>
        <w:t xml:space="preserve">投标人法定代表人或授权代表：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（签字或加盖电子签章）</w:t>
      </w:r>
      <w:r/>
    </w:p>
    <w:p>
      <w:pPr>
        <w:ind w:firstLine="4950"/>
        <w:jc w:val="right"/>
        <w:keepLines w:val="0"/>
        <w:keepNext w:val="0"/>
        <w:pageBreakBefore w:val="0"/>
        <w:spacing w:after="0" w:line="360" w:lineRule="auto"/>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日期：年  月  日</w:t>
      </w:r>
      <w:r>
        <w:rPr>
          <w:rFonts w:hint="eastAsia" w:ascii="宋体" w:hAnsi="宋体" w:eastAsia="宋体" w:cs="宋体"/>
          <w:color w:val="auto"/>
          <w:sz w:val="24"/>
          <w:szCs w:val="24"/>
          <w:highlight w:val="none"/>
          <w:lang w:val="en-US"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br w:type="page" w:clear="all"/>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三、分项价格表格式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项目名称：新沂市公安局图像感知网一期项目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项目编号：JSZC-320381-ZXXD-G2026-0002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货币单位：人民币元</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tbl>
      <w:tblPr>
        <w:tblStyle w:val="800"/>
        <w:tblW w:w="9720" w:type="dxa"/>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42"/>
        <w:gridCol w:w="793"/>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542"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rPr>
                <w:highlight w:val="none"/>
              </w:rPr>
            </w:r>
          </w:p>
        </w:tc>
        <w:tc>
          <w:tcPr>
            <w:shd w:val="clear" w:color="auto" w:fill="c0c0c0"/>
            <w:tcMar>
              <w:left w:w="15" w:type="dxa"/>
              <w:top w:w="15" w:type="dxa"/>
              <w:right w:w="15" w:type="dxa"/>
              <w:bottom w:w="0" w:type="dxa"/>
            </w:tcMar>
            <w:tcW w:w="793"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名称</w:t>
            </w:r>
            <w:r>
              <w:rPr>
                <w:highlight w:val="none"/>
              </w:rPr>
            </w:r>
          </w:p>
        </w:tc>
        <w:tc>
          <w:tcPr>
            <w:shd w:val="clear" w:color="auto" w:fill="c0c0c0"/>
            <w:tcMar>
              <w:left w:w="15" w:type="dxa"/>
              <w:top w:w="15" w:type="dxa"/>
              <w:right w:w="15" w:type="dxa"/>
              <w:bottom w:w="0" w:type="dxa"/>
            </w:tcMar>
            <w:tcW w:w="1005"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品牌、规格、型号</w:t>
            </w:r>
            <w:r>
              <w:rPr>
                <w:highlight w:val="none"/>
              </w:rPr>
            </w:r>
          </w:p>
        </w:tc>
        <w:tc>
          <w:tcPr>
            <w:shd w:val="clear" w:color="auto" w:fill="c0c0c0"/>
            <w:tcMar>
              <w:left w:w="15" w:type="dxa"/>
              <w:top w:w="15" w:type="dxa"/>
              <w:right w:w="15" w:type="dxa"/>
              <w:bottom w:w="0" w:type="dxa"/>
            </w:tcMar>
            <w:tcW w:w="1800"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产品制造企业名称（全称）</w:t>
            </w:r>
            <w:r>
              <w:rPr>
                <w:highlight w:val="none"/>
              </w:rPr>
            </w:r>
          </w:p>
        </w:tc>
        <w:tc>
          <w:tcPr>
            <w:shd w:val="clear" w:color="auto" w:fill="c0c0c0"/>
            <w:tcMar>
              <w:left w:w="15" w:type="dxa"/>
              <w:top w:w="15" w:type="dxa"/>
              <w:right w:w="15" w:type="dxa"/>
              <w:bottom w:w="0" w:type="dxa"/>
            </w:tcMar>
            <w:tcW w:w="198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产品制造企业的划分（注明：大型、中型、小型、微型、监狱企业、残疾人福利性单位）</w:t>
            </w:r>
            <w:r>
              <w:rPr>
                <w:highlight w:val="none"/>
              </w:rPr>
            </w:r>
          </w:p>
        </w:tc>
        <w:tc>
          <w:tcPr>
            <w:shd w:val="clear" w:color="auto" w:fill="c0c0c0"/>
            <w:tcMar>
              <w:left w:w="15" w:type="dxa"/>
              <w:top w:w="15" w:type="dxa"/>
              <w:right w:w="15" w:type="dxa"/>
              <w:bottom w:w="0" w:type="dxa"/>
            </w:tcMar>
            <w:tcW w:w="580"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单位</w:t>
            </w:r>
            <w:r>
              <w:rPr>
                <w:highlight w:val="none"/>
              </w:rPr>
            </w:r>
          </w:p>
        </w:tc>
        <w:tc>
          <w:tcPr>
            <w:shd w:val="clear" w:color="auto" w:fill="c0c0c0"/>
            <w:tcMar>
              <w:left w:w="15" w:type="dxa"/>
              <w:top w:w="15" w:type="dxa"/>
              <w:right w:w="15" w:type="dxa"/>
              <w:bottom w:w="0" w:type="dxa"/>
            </w:tcMar>
            <w:tcW w:w="670"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rPr>
                <w:highlight w:val="none"/>
              </w:rPr>
            </w:r>
          </w:p>
        </w:tc>
        <w:tc>
          <w:tcPr>
            <w:shd w:val="clear" w:color="auto" w:fill="c0c0c0"/>
            <w:tcMar>
              <w:left w:w="15" w:type="dxa"/>
              <w:top w:w="15" w:type="dxa"/>
              <w:right w:w="15" w:type="dxa"/>
              <w:bottom w:w="0" w:type="dxa"/>
            </w:tcMar>
            <w:tcW w:w="950"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单价</w:t>
            </w:r>
            <w:r>
              <w:rPr>
                <w:highlight w:val="none"/>
              </w:rPr>
            </w:r>
          </w:p>
        </w:tc>
        <w:tc>
          <w:tcPr>
            <w:shd w:val="clear" w:color="auto" w:fill="c0c0c0"/>
            <w:tcMar>
              <w:left w:w="15" w:type="dxa"/>
              <w:top w:w="15" w:type="dxa"/>
              <w:right w:w="15" w:type="dxa"/>
              <w:bottom w:w="0" w:type="dxa"/>
            </w:tcMar>
            <w:tcW w:w="1400" w:type="dxa"/>
            <w:vAlign w:val="center"/>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总价</w:t>
            </w:r>
            <w:r>
              <w:rPr>
                <w:highlight w:val="none"/>
              </w:rPr>
            </w:r>
          </w:p>
        </w:tc>
      </w:tr>
      <w:tr>
        <w:trPr>
          <w:trHeight w:val="300"/>
        </w:trPr>
        <w:tc>
          <w:tcPr>
            <w:tcMar>
              <w:left w:w="15" w:type="dxa"/>
              <w:top w:w="15" w:type="dxa"/>
              <w:right w:w="15" w:type="dxa"/>
              <w:bottom w:w="0" w:type="dxa"/>
            </w:tcMar>
            <w:tcW w:w="542"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p>
        </w:tc>
        <w:tc>
          <w:tcPr>
            <w:tcMar>
              <w:left w:w="15" w:type="dxa"/>
              <w:top w:w="15" w:type="dxa"/>
              <w:right w:w="15" w:type="dxa"/>
              <w:bottom w:w="0" w:type="dxa"/>
            </w:tcMar>
            <w:tcW w:w="793"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80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98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214"/>
        </w:trPr>
        <w:tc>
          <w:tcPr>
            <w:tcMar>
              <w:left w:w="15" w:type="dxa"/>
              <w:top w:w="15" w:type="dxa"/>
              <w:right w:w="15" w:type="dxa"/>
              <w:bottom w:w="0" w:type="dxa"/>
            </w:tcMar>
            <w:tcW w:w="542"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p>
        </w:tc>
        <w:tc>
          <w:tcPr>
            <w:tcMar>
              <w:left w:w="15" w:type="dxa"/>
              <w:top w:w="15" w:type="dxa"/>
              <w:right w:w="15" w:type="dxa"/>
              <w:bottom w:w="0" w:type="dxa"/>
            </w:tcMar>
            <w:tcW w:w="793"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80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98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214"/>
        </w:trPr>
        <w:tc>
          <w:tcPr>
            <w:tcMar>
              <w:left w:w="15" w:type="dxa"/>
              <w:top w:w="15" w:type="dxa"/>
              <w:right w:w="15" w:type="dxa"/>
              <w:bottom w:w="0" w:type="dxa"/>
            </w:tcMar>
            <w:tcW w:w="542"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p>
        </w:tc>
        <w:tc>
          <w:tcPr>
            <w:tcMar>
              <w:left w:w="15" w:type="dxa"/>
              <w:top w:w="15" w:type="dxa"/>
              <w:right w:w="15" w:type="dxa"/>
              <w:bottom w:w="0" w:type="dxa"/>
            </w:tcMar>
            <w:tcW w:w="793"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80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98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322"/>
        </w:trPr>
        <w:tc>
          <w:tcPr>
            <w:tcMar>
              <w:left w:w="15" w:type="dxa"/>
              <w:top w:w="15" w:type="dxa"/>
              <w:right w:w="15" w:type="dxa"/>
              <w:bottom w:w="0" w:type="dxa"/>
            </w:tcMar>
            <w:tcW w:w="542"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p>
        </w:tc>
        <w:tc>
          <w:tcPr>
            <w:tcMar>
              <w:left w:w="15" w:type="dxa"/>
              <w:top w:w="15" w:type="dxa"/>
              <w:right w:w="15" w:type="dxa"/>
              <w:bottom w:w="0" w:type="dxa"/>
            </w:tcMar>
            <w:tcW w:w="793"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80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98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322"/>
        </w:trPr>
        <w:tc>
          <w:tcPr>
            <w:tcMar>
              <w:left w:w="15" w:type="dxa"/>
              <w:top w:w="15" w:type="dxa"/>
              <w:right w:w="15" w:type="dxa"/>
              <w:bottom w:w="0" w:type="dxa"/>
            </w:tcMar>
            <w:tcW w:w="542"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w:t>
            </w:r>
            <w:r/>
          </w:p>
        </w:tc>
        <w:tc>
          <w:tcPr>
            <w:tcMar>
              <w:left w:w="15" w:type="dxa"/>
              <w:top w:w="15" w:type="dxa"/>
              <w:right w:w="15" w:type="dxa"/>
              <w:bottom w:w="0" w:type="dxa"/>
            </w:tcMar>
            <w:tcW w:w="793"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80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980" w:type="dxa"/>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其中：“小型和微型和监狱企业和残疾人福利性单位” 总价合计：</w:t>
            </w:r>
            <w:r/>
          </w:p>
        </w:tc>
        <w:tc>
          <w:tcPr>
            <w:gridSpan w:val="5"/>
            <w:tcMar>
              <w:left w:w="15" w:type="dxa"/>
              <w:top w:w="15" w:type="dxa"/>
              <w:right w:w="15" w:type="dxa"/>
              <w:bottom w:w="0" w:type="dxa"/>
            </w:tcMar>
            <w:tcW w:w="5580" w:type="dxa"/>
            <w:vAlign w:val="bottom"/>
            <w:textDirection w:val="lrTb"/>
            <w:noWrap w:val="false"/>
          </w:tcPr>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ind w:firstLine="285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（加盖电子签章）</w:t>
      </w:r>
      <w:r/>
    </w:p>
    <w:p>
      <w:pPr>
        <w:pStyle w:val="845"/>
        <w:jc w:val="right"/>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eastAsia="zh-CN"/>
        </w:rPr>
        <w:t xml:space="preserve">投标人法定代表人或授权代表：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（签字或加盖电子签章）</w:t>
      </w:r>
      <w:r/>
    </w:p>
    <w:p>
      <w:pPr>
        <w:jc w:val="right"/>
        <w:keepLines w:val="0"/>
        <w:keepNext w:val="0"/>
        <w:pageBreakBefore w:val="0"/>
        <w:spacing w:after="0" w:line="360" w:lineRule="auto"/>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日期：   年  月  日</w:t>
      </w:r>
      <w:r>
        <w:rPr>
          <w:rFonts w:hint="eastAsia" w:ascii="宋体" w:hAnsi="宋体" w:eastAsia="宋体" w:cs="宋体"/>
          <w:color w:val="auto"/>
          <w:sz w:val="24"/>
          <w:szCs w:val="24"/>
          <w:highlight w:val="none"/>
          <w:lang w:val="en-US"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说明：</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3、享受政府采购支持政策的残疾人福利性单位的条件以《三部门联合发布关于促进残疾人就业政府采购政策的通知》（财库〔2017〕141号）规定为准。</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注：1、如果不提供详细分项报价将视为没有实质性响应招标文件。</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2、投标人对以上数据的真实性负责。</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采购人或采购代理机构有权将以上内容进行公示。</w:t>
      </w:r>
      <w:r/>
    </w:p>
    <w:p>
      <w:pPr>
        <w:ind w:firstLine="56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br w:type="page" w:clear="all"/>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四、偏离表格式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项目名称：新沂市公安局图像感知网一期项目</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项目编号：JSZC-320381-ZXXD-G2026-0002</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tbl>
      <w:tblPr>
        <w:tblStyle w:val="856"/>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tc>
      </w:tr>
    </w:tbl>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ind w:firstLine="56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ind w:firstLine="285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（加盖电子签章）</w:t>
      </w:r>
      <w:r/>
    </w:p>
    <w:p>
      <w:pPr>
        <w:pStyle w:val="845"/>
        <w:jc w:val="right"/>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eastAsia="zh-CN"/>
        </w:rPr>
        <w:t xml:space="preserve">投标人法定代表人或授权代表：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（签字或加盖电子签章）</w:t>
      </w:r>
      <w:r/>
    </w:p>
    <w:p>
      <w:pPr>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日期：   年  月  日</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br w:type="page" w:clear="all"/>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五、法定代表人授权书格式</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委托人：</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地址：</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法定代表人（负责人）：       职务：</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统一社会信用代码：</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受托人：                     性别：男（女）</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年龄：          岁           民族：   族</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职务：</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身份证号：                   受托人联系电话：</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兹委托（    ）全权代表我企业（公司）参与（新沂市公安局图像感知网一期项目）（项目编号：JSZC-320381-ZXXD-G2026-0002）的招、投标活动及签订合同。（         ）以我企业（公司）名义所为的法律行为及签署的文件，我企业（公司）均予以认可。有关法律责任均由我企业（公司）承担。（）无转委托权。委托期限自年月日起至年月日止。</w:t>
      </w:r>
      <w:r/>
    </w:p>
    <w:p>
      <w:pPr>
        <w:ind w:firstLine="63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特此授权委托。</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ind w:firstLine="4008"/>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委托人（加盖电子盖章）：</w:t>
      </w:r>
      <w:r/>
    </w:p>
    <w:p>
      <w:pPr>
        <w:ind w:firstLine="4008"/>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受托人（签字或加盖电子盖章）：</w:t>
      </w:r>
      <w:r/>
    </w:p>
    <w:p>
      <w:pPr>
        <w:ind w:firstLine="408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法定代表人（签字或加盖电子盖章）： </w:t>
      </w:r>
      <w:r/>
    </w:p>
    <w:p>
      <w:pPr>
        <w:ind w:right="600" w:firstLine="48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年   月   日 </w:t>
      </w:r>
      <w:r/>
    </w:p>
    <w:p>
      <w:pPr>
        <w:jc w:val="cente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(受托人身份证扫描件附后)</w:t>
      </w:r>
      <w:r/>
    </w:p>
    <w:p>
      <w:pPr>
        <w:ind w:firstLine="447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447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447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447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pStyle w:val="806"/>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8"/>
          <w:szCs w:val="28"/>
          <w:highlight w:val="none"/>
          <w:lang w:eastAsia="zh-CN"/>
        </w:rPr>
        <w:t xml:space="preserve">六、中小企业声明函</w:t>
      </w:r>
      <w:r/>
    </w:p>
    <w:p>
      <w:pPr>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项目编号： </w:t>
      </w:r>
      <w:r/>
    </w:p>
    <w:p>
      <w:pPr>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项目名称：</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本公司（联合体）郑重声明，根据《政府采购促进中小企业发展管理办法》（财库 (2020)46号）的规定，本公司（联合体）参加</w:t>
      </w:r>
      <w:r>
        <w:rPr>
          <w:rFonts w:hint="eastAsia" w:ascii="宋体" w:hAnsi="宋体" w:eastAsia="宋体" w:cs="宋体"/>
          <w:color w:val="auto"/>
          <w:sz w:val="24"/>
          <w:highlight w:val="none"/>
          <w:u w:val="single"/>
          <w:lang w:eastAsia="zh-CN"/>
        </w:rPr>
        <w:t xml:space="preserve">（单位名称）</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u w:val="single"/>
          <w:lang w:eastAsia="zh-CN"/>
        </w:rPr>
        <w:t xml:space="preserve">（项目名称）</w:t>
      </w:r>
      <w:r>
        <w:rPr>
          <w:rFonts w:hint="eastAsia" w:ascii="宋体" w:hAnsi="宋体" w:eastAsia="宋体" w:cs="宋体"/>
          <w:color w:val="auto"/>
          <w:sz w:val="24"/>
          <w:highlight w:val="none"/>
          <w:lang w:eastAsia="zh-CN"/>
        </w:rPr>
        <w:t xml:space="preserve">采购活动，提供的服务全部由符合政策要求的中小企业制造。相关企业（含联合体中的中小企业、签订分包意向协议的中小企业）的具体情况如下：</w:t>
      </w:r>
      <w:r/>
    </w:p>
    <w:p>
      <w:pPr>
        <w:numPr>
          <w:ilvl w:val="0"/>
          <w:numId w:val="2"/>
        </w:num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u w:val="single"/>
          <w:lang w:eastAsia="zh-CN"/>
        </w:rPr>
        <w:t xml:space="preserve">（标的名称）</w:t>
      </w:r>
      <w:r>
        <w:rPr>
          <w:rFonts w:hint="eastAsia" w:ascii="宋体" w:hAnsi="宋体" w:eastAsia="宋体" w:cs="宋体"/>
          <w:color w:val="auto"/>
          <w:sz w:val="24"/>
          <w:highlight w:val="none"/>
          <w:lang w:eastAsia="zh-CN"/>
        </w:rPr>
        <w:t xml:space="preserve">，属于</w:t>
      </w:r>
      <w:r>
        <w:rPr>
          <w:rFonts w:hint="eastAsia" w:ascii="宋体" w:hAnsi="宋体" w:eastAsia="宋体" w:cs="宋体"/>
          <w:color w:val="auto"/>
          <w:sz w:val="24"/>
          <w:highlight w:val="none"/>
          <w:u w:val="single"/>
          <w:lang w:eastAsia="zh-CN"/>
        </w:rPr>
        <w:t xml:space="preserve">（采购文件中明确的所属行业）行业</w:t>
      </w:r>
      <w:r>
        <w:rPr>
          <w:rFonts w:hint="eastAsia" w:ascii="宋体" w:hAnsi="宋体" w:eastAsia="宋体" w:cs="宋体"/>
          <w:color w:val="auto"/>
          <w:sz w:val="24"/>
          <w:highlight w:val="none"/>
          <w:lang w:eastAsia="zh-CN"/>
        </w:rPr>
        <w:t xml:space="preserve">；制造商为</w:t>
      </w:r>
      <w:r>
        <w:rPr>
          <w:rFonts w:hint="eastAsia" w:ascii="宋体" w:hAnsi="宋体" w:eastAsia="宋体" w:cs="宋体"/>
          <w:color w:val="auto"/>
          <w:sz w:val="24"/>
          <w:highlight w:val="none"/>
          <w:u w:val="single"/>
          <w:lang w:eastAsia="zh-CN"/>
        </w:rPr>
        <w:t xml:space="preserve">（企业名称）</w:t>
      </w:r>
      <w:r>
        <w:rPr>
          <w:rFonts w:hint="eastAsia" w:ascii="宋体" w:hAnsi="宋体" w:eastAsia="宋体" w:cs="宋体"/>
          <w:color w:val="auto"/>
          <w:sz w:val="24"/>
          <w:highlight w:val="none"/>
          <w:lang w:eastAsia="zh-CN"/>
        </w:rPr>
        <w:t xml:space="preserve">，从业人员</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人， 营业收入为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万元，资产总额为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auto"/>
          <w:sz w:val="24"/>
          <w:highlight w:val="none"/>
          <w:vertAlign w:val="superscript"/>
          <w:lang w:eastAsia="zh-CN"/>
        </w:rPr>
        <w:t xml:space="preserve">1</w:t>
      </w:r>
      <w:r>
        <w:rPr>
          <w:rFonts w:hint="eastAsia" w:ascii="宋体" w:hAnsi="宋体" w:eastAsia="宋体" w:cs="宋体"/>
          <w:color w:val="auto"/>
          <w:sz w:val="24"/>
          <w:highlight w:val="none"/>
          <w:lang w:eastAsia="zh-CN"/>
        </w:rPr>
        <w:t xml:space="preserve">，属于</w:t>
      </w:r>
      <w:r>
        <w:rPr>
          <w:rFonts w:hint="eastAsia" w:ascii="宋体" w:hAnsi="宋体" w:eastAsia="宋体" w:cs="宋体"/>
          <w:color w:val="auto"/>
          <w:sz w:val="24"/>
          <w:highlight w:val="none"/>
          <w:u w:val="single"/>
          <w:lang w:eastAsia="zh-CN"/>
        </w:rPr>
        <w:t xml:space="preserve">（中型企业、小型企业、微型企业)</w:t>
      </w:r>
      <w:r>
        <w:rPr>
          <w:rFonts w:hint="eastAsia" w:ascii="宋体" w:hAnsi="宋体" w:eastAsia="宋体" w:cs="宋体"/>
          <w:color w:val="auto"/>
          <w:sz w:val="24"/>
          <w:highlight w:val="none"/>
          <w:lang w:eastAsia="zh-CN"/>
        </w:rPr>
        <w:t xml:space="preserve">；</w:t>
      </w:r>
      <w:r/>
    </w:p>
    <w:p>
      <w:pPr>
        <w:numPr>
          <w:ilvl w:val="0"/>
          <w:numId w:val="2"/>
        </w:num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u w:val="single"/>
          <w:lang w:eastAsia="zh-CN"/>
        </w:rPr>
        <w:t xml:space="preserve">（标的名称）</w:t>
      </w:r>
      <w:r>
        <w:rPr>
          <w:rFonts w:hint="eastAsia" w:ascii="宋体" w:hAnsi="宋体" w:eastAsia="宋体" w:cs="宋体"/>
          <w:color w:val="auto"/>
          <w:sz w:val="24"/>
          <w:highlight w:val="none"/>
          <w:lang w:eastAsia="zh-CN"/>
        </w:rPr>
        <w:t xml:space="preserve">，属于</w:t>
      </w:r>
      <w:r>
        <w:rPr>
          <w:rFonts w:hint="eastAsia" w:ascii="宋体" w:hAnsi="宋体" w:eastAsia="宋体" w:cs="宋体"/>
          <w:color w:val="auto"/>
          <w:sz w:val="24"/>
          <w:highlight w:val="none"/>
          <w:u w:val="single"/>
          <w:lang w:eastAsia="zh-CN"/>
        </w:rPr>
        <w:t xml:space="preserve">（采购文件中明确的所属行业）行业</w:t>
      </w:r>
      <w:r>
        <w:rPr>
          <w:rFonts w:hint="eastAsia" w:ascii="宋体" w:hAnsi="宋体" w:eastAsia="宋体" w:cs="宋体"/>
          <w:color w:val="auto"/>
          <w:sz w:val="24"/>
          <w:highlight w:val="none"/>
          <w:lang w:eastAsia="zh-CN"/>
        </w:rPr>
        <w:t xml:space="preserve">；制造商为</w:t>
      </w:r>
      <w:r>
        <w:rPr>
          <w:rFonts w:hint="eastAsia" w:ascii="宋体" w:hAnsi="宋体" w:eastAsia="宋体" w:cs="宋体"/>
          <w:color w:val="auto"/>
          <w:sz w:val="24"/>
          <w:highlight w:val="none"/>
          <w:u w:val="single"/>
          <w:lang w:eastAsia="zh-CN"/>
        </w:rPr>
        <w:t xml:space="preserve">（企业名称）</w:t>
      </w:r>
      <w:r>
        <w:rPr>
          <w:rFonts w:hint="eastAsia" w:ascii="宋体" w:hAnsi="宋体" w:eastAsia="宋体" w:cs="宋体"/>
          <w:color w:val="auto"/>
          <w:sz w:val="24"/>
          <w:highlight w:val="none"/>
          <w:lang w:eastAsia="zh-CN"/>
        </w:rPr>
        <w:t xml:space="preserve">，从业人员</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人，营业收入为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 资产总额为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万元，属于</w:t>
      </w:r>
      <w:r>
        <w:rPr>
          <w:rFonts w:hint="eastAsia" w:ascii="宋体" w:hAnsi="宋体" w:eastAsia="宋体" w:cs="宋体"/>
          <w:color w:val="auto"/>
          <w:sz w:val="24"/>
          <w:highlight w:val="none"/>
          <w:u w:val="single"/>
          <w:lang w:eastAsia="zh-CN"/>
        </w:rPr>
        <w:t xml:space="preserve">（中型企业、小型企业、微型企业)</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注：本项目采购的货物属于工业。</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lang w:eastAsia="zh-CN"/>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lang w:eastAsia="zh-CN"/>
        </w:rPr>
        <w:t xml:space="preserve">本企业对上述声明内容的真实性负责。如有虚假，将依法承担相应责任。</w:t>
      </w:r>
      <w:r/>
    </w:p>
    <w:p>
      <w:pPr>
        <w:ind w:firstLine="2640"/>
        <w:keepLines w:val="0"/>
        <w:keepNext w:val="0"/>
        <w:pageBreakBefore w:val="0"/>
        <w:spacing w:line="48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  投标人：（盖电子签章）</w:t>
      </w:r>
      <w:r/>
    </w:p>
    <w:p>
      <w:pPr>
        <w:ind w:firstLine="2880"/>
        <w:keepLines w:val="0"/>
        <w:keepNext w:val="0"/>
        <w:pageBreakBefore w:val="0"/>
        <w:spacing w:line="48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投标人授权代表：（签字或盖章）</w:t>
      </w:r>
      <w:r/>
    </w:p>
    <w:p>
      <w:pPr>
        <w:ind w:firstLine="2880"/>
        <w:keepLines w:val="0"/>
        <w:keepNext w:val="0"/>
        <w:pageBreakBefore w:val="0"/>
        <w:spacing w:line="480" w:lineRule="exact"/>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日期：   年  月  日</w:t>
      </w:r>
      <w:r>
        <w:rPr>
          <w:rFonts w:hint="eastAsia" w:ascii="宋体" w:hAnsi="宋体" w:eastAsia="宋体" w:cs="宋体"/>
          <w:color w:val="auto"/>
          <w:sz w:val="24"/>
          <w:highlight w:val="none"/>
          <w:u w:val="single"/>
        </w:rPr>
        <w:t xml:space="preserve">                                </w:t>
      </w:r>
      <w:r/>
    </w:p>
    <w:p>
      <w:pPr>
        <w:pStyle w:val="809"/>
        <w:ind w:firstLine="600"/>
        <w:jc w:val="left"/>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p>
      <w:pPr>
        <w:pStyle w:val="886"/>
        <w:numPr>
          <w:ilvl w:val="0"/>
          <w:numId w:val="3"/>
        </w:numPr>
        <w:ind w:firstLine="600"/>
        <w:keepLines w:val="0"/>
        <w:keepNext w:val="0"/>
        <w:pageBreakBefore w:val="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pStyle w:val="886"/>
        <w:ind w:firstLine="480"/>
        <w:keepLines w:val="0"/>
        <w:keepNext w:val="0"/>
        <w:pageBreakBefore w:val="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2、《中小企业声明函》查询渠道参考工业和信息化部发布的中小企业规模自测小程序。</w:t>
      </w:r>
      <w:r/>
    </w:p>
    <w:p>
      <w:pPr>
        <w:jc w:val="center"/>
        <w:keepLines w:val="0"/>
        <w:keepNext w:val="0"/>
        <w:pageBreakBefore w:val="0"/>
        <w:spacing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lang w:eastAsia="zh-CN"/>
        </w:rPr>
        <w:t xml:space="preserve">《中小企业声明函》查询渠道参考工业和信息化部发布的中小企业规模自测小程序。</w:t>
      </w:r>
      <w:r/>
    </w:p>
    <w:p>
      <w:pPr>
        <w:keepLines w:val="0"/>
        <w:keepNext w:val="0"/>
        <w:pageBreakBefore w:val="0"/>
        <w:spacing w:before="210" w:after="21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ind w:left="798"/>
        <w:jc w:val="center"/>
        <w:keepLines w:val="0"/>
        <w:keepNext w:val="0"/>
        <w:pageBreakBefore w:val="0"/>
        <w:spacing w:before="210" w:after="21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2171700" cy="4343400"/>
                <wp:effectExtent l="0" t="0" r="762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0"/>
                        <a:stretch/>
                      </pic:blipFill>
                      <pic:spPr bwMode="auto">
                        <a:xfrm>
                          <a:off x="0" y="0"/>
                          <a:ext cx="2171700" cy="4343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1.0pt;height:342.0pt;mso-wrap-distance-left:0.0pt;mso-wrap-distance-top:0.0pt;mso-wrap-distance-right:0.0pt;mso-wrap-distance-bottom:0.0pt;" stroked="false">
                <v:path textboxrect="0,0,0,0"/>
                <v:imagedata r:id="rId20" o:title=""/>
              </v:shape>
            </w:pict>
          </mc:Fallback>
        </mc:AlternateContent>
      </w:r>
      <w:r/>
    </w:p>
    <w:p>
      <w:pPr>
        <w:ind w:left="798"/>
        <w:keepLines w:val="0"/>
        <w:keepNext w:val="0"/>
        <w:pageBreakBefore w:val="0"/>
        <w:spacing w:before="210" w:after="21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left="798"/>
        <w:keepLines w:val="0"/>
        <w:keepNext w:val="0"/>
        <w:pageBreakBefore w:val="0"/>
        <w:spacing w:before="210" w:after="21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br w:type="page" w:clear="all"/>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七、残疾人福利性单位声明函</w:t>
      </w:r>
      <w:r/>
    </w:p>
    <w:p>
      <w:pPr>
        <w:ind w:firstLine="504"/>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（如投标人不属于残疾人福利性单位不需要提供此声明函）</w:t>
      </w:r>
      <w:r/>
    </w:p>
    <w:p>
      <w:pPr>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rPr>
      </w:r>
      <w:r/>
    </w:p>
    <w:p>
      <w:pPr>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项目编号：</w:t>
      </w:r>
      <w:r/>
    </w:p>
    <w:p>
      <w:pPr>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项目名称：</w:t>
      </w:r>
      <w:r/>
    </w:p>
    <w:p>
      <w:pPr>
        <w:ind w:firstLine="504"/>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w:t>
      </w:r>
      <w:r>
        <w:rPr>
          <w:rFonts w:hint="eastAsia" w:ascii="宋体" w:hAnsi="宋体" w:eastAsia="宋体" w:cs="宋体"/>
          <w:color w:val="auto"/>
          <w:spacing w:val="6"/>
          <w:sz w:val="24"/>
          <w:highlight w:val="none"/>
          <w:lang w:eastAsia="zh-CN"/>
        </w:rPr>
        <w:t xml:space="preserve">号）的规定，本单位为符合条件的残疾人福利性单位，且本单位参加</w:t>
      </w:r>
      <w:r>
        <w:rPr>
          <w:rFonts w:hint="eastAsia" w:ascii="宋体" w:hAnsi="宋体" w:eastAsia="宋体" w:cs="宋体"/>
          <w:color w:val="auto"/>
          <w:sz w:val="24"/>
          <w:highlight w:val="none"/>
          <w:lang w:eastAsia="zh-CN"/>
        </w:rPr>
        <w:t xml:space="preserve">______</w:t>
      </w:r>
      <w:r>
        <w:rPr>
          <w:rFonts w:hint="eastAsia" w:ascii="宋体" w:hAnsi="宋体" w:eastAsia="宋体" w:cs="宋体"/>
          <w:color w:val="auto"/>
          <w:spacing w:val="6"/>
          <w:sz w:val="24"/>
          <w:highlight w:val="none"/>
          <w:lang w:eastAsia="zh-CN"/>
        </w:rPr>
        <w:t xml:space="preserve">单位的</w:t>
      </w:r>
      <w:r>
        <w:rPr>
          <w:rFonts w:hint="eastAsia" w:ascii="宋体" w:hAnsi="宋体" w:eastAsia="宋体" w:cs="宋体"/>
          <w:color w:val="auto"/>
          <w:sz w:val="24"/>
          <w:highlight w:val="none"/>
          <w:lang w:eastAsia="zh-CN"/>
        </w:rPr>
        <w:t xml:space="preserve">______</w:t>
      </w:r>
      <w:r>
        <w:rPr>
          <w:rFonts w:hint="eastAsia" w:ascii="宋体" w:hAnsi="宋体" w:eastAsia="宋体" w:cs="宋体"/>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本单位对上述声明的真实性负责。如有虚假，将依法承担相应责任。</w:t>
      </w:r>
      <w:r/>
      <w:r>
        <w:rPr>
          <w:rFonts w:hint="eastAsia" w:ascii="宋体" w:hAnsi="宋体" w:eastAsia="宋体" w:cs="宋体"/>
          <w:color w:val="auto"/>
          <w:spacing w:val="6"/>
          <w:sz w:val="24"/>
          <w:highlight w:val="none"/>
        </w:rPr>
      </w:r>
      <w:r/>
      <w:r>
        <w:rPr>
          <w:rFonts w:hint="eastAsia" w:ascii="宋体" w:hAnsi="宋体" w:eastAsia="宋体" w:cs="宋体"/>
          <w:color w:val="auto"/>
          <w:spacing w:val="6"/>
          <w:sz w:val="24"/>
          <w:highlight w:val="none"/>
        </w:rPr>
      </w:r>
    </w:p>
    <w:p>
      <w:pPr>
        <w:ind w:firstLine="504"/>
        <w:keepLines w:val="0"/>
        <w:keepNext w:val="0"/>
        <w:pageBreakBefore w:val="0"/>
        <w:spacing w:line="588" w:lineRule="exact"/>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rPr>
      </w:r>
      <w:r/>
    </w:p>
    <w:p>
      <w:pPr>
        <w:ind w:firstLine="3600"/>
        <w:keepLines w:val="0"/>
        <w:keepNext w:val="0"/>
        <w:pageBreakBefore w:val="0"/>
        <w:spacing w:line="30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（盖电子签章）</w:t>
      </w:r>
      <w:r/>
    </w:p>
    <w:p>
      <w:pPr>
        <w:ind w:firstLine="360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日期：   年  月  日</w:t>
      </w:r>
      <w:r/>
    </w:p>
    <w:p>
      <w:pPr>
        <w:ind w:firstLine="360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jc w:val="center"/>
        <w:keepLines w:val="0"/>
        <w:keepNext w:val="0"/>
        <w:pageBreakBefore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说明：</w:t>
      </w:r>
      <w:r/>
    </w:p>
    <w:p>
      <w:pPr>
        <w:ind w:firstLine="504"/>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keepLines w:val="0"/>
        <w:keepNext w:val="0"/>
        <w:pageBreakBefore w:val="0"/>
        <w:spacing w:line="360" w:lineRule="auto"/>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rPr>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八、投标人参加政府采购活动前3年内在经营活动中没有重大违法记录的书面声明格式</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我单位在参加新沂市公安局图像感知网一期项目（项目编号：JSZC-320381-ZXXD-G2026-0002）政府采购活动前3年内，在经营活动中没有重大违法记录。重大违法记录是指因违法经营受到刑事处罚或者责令停产停业、吊销许可证或者执照、较大数额罚款等行政处罚。</w:t>
      </w:r>
      <w:r/>
    </w:p>
    <w:p>
      <w:pPr>
        <w:ind w:firstLine="60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我单位对上述声明的真实性负责。如有虚假，将依法承担相应责任。</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285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（加盖电子签章）</w:t>
      </w:r>
      <w:r/>
    </w:p>
    <w:p>
      <w:pPr>
        <w:pStyle w:val="845"/>
        <w:jc w:val="right"/>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eastAsia="zh-CN"/>
        </w:rPr>
        <w:t xml:space="preserve">投标人法定代表人或授权代表：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（签字或加盖电子签章）</w:t>
      </w:r>
      <w:r/>
    </w:p>
    <w:p>
      <w:pPr>
        <w:ind w:firstLine="60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4950"/>
        <w:jc w:val="right"/>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日期：  年  月  日</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ind w:firstLine="600"/>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 </w:t>
      </w:r>
      <w:r/>
    </w:p>
    <w:p>
      <w:pPr>
        <w:keepLines w:val="0"/>
        <w:keepNext w:val="0"/>
        <w:pageBreakBefore w:val="0"/>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lang w:eastAsia="zh-CN"/>
        </w:rPr>
        <w:br w:type="page" w:clear="all"/>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九、具备履行合同所必需的设备和专业技术能力的书面声明格式</w:t>
      </w:r>
      <w:r/>
    </w:p>
    <w:p>
      <w:pPr>
        <w:jc w:val="both"/>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（附证明材料原件的扫描件）</w:t>
      </w:r>
      <w:r/>
    </w:p>
    <w:p>
      <w:pPr>
        <w:pStyle w:val="817"/>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817"/>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新沂市公安局图像感知网一期项目</w:t>
      </w:r>
      <w:r/>
    </w:p>
    <w:p>
      <w:pPr>
        <w:pStyle w:val="817"/>
        <w:keepLines w:val="0"/>
        <w:keepNext w:val="0"/>
        <w:pageBreakBefore w:val="0"/>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JSZC-320381-ZXXD-G2026-0002</w:t>
      </w:r>
      <w:r>
        <w:rPr>
          <w:rFonts w:hint="eastAsia" w:ascii="宋体" w:hAnsi="宋体" w:eastAsia="宋体" w:cs="宋体"/>
          <w:color w:val="auto"/>
          <w:sz w:val="24"/>
          <w:highlight w:val="none"/>
        </w:rPr>
        <w:t xml:space="preserve"> </w:t>
      </w:r>
      <w:r/>
    </w:p>
    <w:p>
      <w:pPr>
        <w:pStyle w:val="817"/>
        <w:keepLines w:val="0"/>
        <w:keepNext w:val="0"/>
        <w:pageBreakBefore w:val="0"/>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 </w:t>
      </w:r>
      <w:r/>
    </w:p>
    <w:p>
      <w:pPr>
        <w:pStyle w:val="817"/>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投标人郑重声明：投标人具备履行合同（项目名称：</w:t>
      </w:r>
      <w:r>
        <w:rPr>
          <w:rFonts w:hint="eastAsia" w:ascii="宋体" w:hAnsi="宋体" w:eastAsia="宋体" w:cs="宋体"/>
          <w:color w:val="auto"/>
          <w:sz w:val="24"/>
          <w:highlight w:val="none"/>
          <w:lang w:eastAsia="zh-CN"/>
        </w:rPr>
        <w:t xml:space="preserve">新沂市公安局图像感知网一期项目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JSZC-320381-ZXXD-G2026-0002</w:t>
      </w:r>
      <w:r>
        <w:rPr>
          <w:rFonts w:hint="eastAsia" w:ascii="宋体" w:hAnsi="宋体" w:eastAsia="宋体" w:cs="宋体"/>
          <w:color w:val="auto"/>
          <w:sz w:val="24"/>
          <w:highlight w:val="none"/>
        </w:rPr>
        <w:t xml:space="preserve">）所必需的设备和专业技术能力，具体为：</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设备：</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专业技术能力：</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特此声明。</w:t>
      </w:r>
      <w:r/>
    </w:p>
    <w:p>
      <w:pPr>
        <w:pStyle w:val="817"/>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投标人对上述声明的真实性负责。如有虚假，将依法承担相应责任。</w:t>
      </w:r>
      <w:r/>
    </w:p>
    <w:p>
      <w:pPr>
        <w:pStyle w:val="817"/>
        <w:ind w:firstLine="300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817"/>
        <w:ind w:firstLine="3120"/>
        <w:jc w:val="right"/>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pStyle w:val="845"/>
        <w:jc w:val="right"/>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eastAsia="zh-CN"/>
        </w:rPr>
        <w:t xml:space="preserve">投标人法定代表人或授权代表：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（签字或加盖电子签章）</w:t>
      </w:r>
      <w:r/>
    </w:p>
    <w:p>
      <w:pPr>
        <w:pStyle w:val="817"/>
        <w:ind w:firstLine="3120"/>
        <w:jc w:val="right"/>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pStyle w:val="817"/>
        <w:ind w:firstLine="3120"/>
        <w:jc w:val="right"/>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w:t>
      </w:r>
      <w:r/>
      <w:r>
        <w:rPr>
          <w:rFonts w:hint="eastAsia" w:ascii="宋体" w:hAnsi="宋体" w:eastAsia="宋体" w:cs="宋体"/>
          <w:color w:val="auto"/>
          <w:highlight w:val="none"/>
        </w:rPr>
        <w:br w:type="page" w:clear="all"/>
      </w:r>
      <w:r/>
      <w:r>
        <w:rPr>
          <w:rFonts w:hint="eastAsia" w:ascii="宋体" w:hAnsi="宋体" w:eastAsia="宋体" w:cs="宋体"/>
          <w:color w:val="auto"/>
          <w:sz w:val="24"/>
          <w:highlight w:val="none"/>
        </w:rPr>
      </w:r>
    </w:p>
    <w:p>
      <w:pPr>
        <w:keepLines w:val="0"/>
        <w:keepNext w:val="0"/>
        <w:pageBreakBefore w:val="0"/>
        <w:spacing w:after="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highlight w:val="none"/>
          <w:lang w:eastAsia="zh-CN"/>
        </w:rPr>
        <w:t xml:space="preserve">十、预付款保函支付条款模板</w:t>
      </w:r>
      <w:r/>
    </w:p>
    <w:p>
      <w:pPr>
        <w:ind w:firstLine="605"/>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1" w:name="_Toc17633"/>
      <w:r>
        <w:rPr>
          <w:rFonts w:hint="eastAsia" w:ascii="宋体" w:hAnsi="宋体" w:eastAsia="宋体" w:cs="宋体"/>
          <w:b/>
          <w:color w:val="auto"/>
          <w:sz w:val="24"/>
          <w:szCs w:val="24"/>
          <w:highlight w:val="none"/>
          <w:lang w:eastAsia="zh-CN"/>
        </w:rPr>
        <w:t xml:space="preserve">符合条件一：提交预付款保函的</w:t>
      </w:r>
      <w:bookmarkEnd w:id="21"/>
      <w:r/>
      <w:r/>
    </w:p>
    <w:p>
      <w:pPr>
        <w:ind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（1）合同签订且乙方向甲方出具预付款保函后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        XX（    XX%），</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140"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乙方需提交的支付文件：乙方出具的全额正式发票。</w:t>
      </w:r>
      <w:r/>
    </w:p>
    <w:p>
      <w:pPr>
        <w:ind w:left="140"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（2）验收合格后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XX（    XX%），</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605"/>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w:t>
      </w:r>
      <w:r/>
    </w:p>
    <w:p>
      <w:pPr>
        <w:ind w:firstLine="605"/>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2" w:name="_Toc7497"/>
      <w:r>
        <w:rPr>
          <w:rFonts w:hint="eastAsia" w:ascii="宋体" w:hAnsi="宋体" w:eastAsia="宋体" w:cs="宋体"/>
          <w:b/>
          <w:color w:val="auto"/>
          <w:sz w:val="24"/>
          <w:szCs w:val="24"/>
          <w:highlight w:val="none"/>
          <w:lang w:eastAsia="zh-CN"/>
        </w:rPr>
        <w:t xml:space="preserve">符合条件二：不提交预付款保函的</w:t>
      </w:r>
      <w:bookmarkEnd w:id="22"/>
      <w:r/>
      <w:r/>
    </w:p>
    <w:p>
      <w:pPr>
        <w:ind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（1）合同签订后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XX（    XX%），</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140"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乙方需提交的支付文件：乙方出具的全额正式发票。</w:t>
      </w:r>
      <w:r/>
    </w:p>
    <w:p>
      <w:pPr>
        <w:ind w:left="140"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（2）验收合格后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XX（    XX%），</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605"/>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3" w:name="_Toc21067"/>
      <w:r>
        <w:rPr>
          <w:rFonts w:hint="eastAsia" w:ascii="宋体" w:hAnsi="宋体" w:eastAsia="宋体" w:cs="宋体"/>
          <w:b/>
          <w:color w:val="auto"/>
          <w:sz w:val="24"/>
          <w:szCs w:val="24"/>
          <w:highlight w:val="none"/>
          <w:lang w:eastAsia="zh-CN"/>
        </w:rPr>
        <w:t xml:space="preserve">……</w:t>
      </w:r>
      <w:bookmarkEnd w:id="23"/>
      <w:r/>
      <w:r/>
    </w:p>
    <w:p>
      <w:pPr>
        <w:ind w:left="140" w:firstLine="605"/>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注:</w:t>
      </w:r>
      <w:r/>
    </w:p>
    <w:p>
      <w:pPr>
        <w:ind w:left="140"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1、付款条件一中，出具预付款保函后支付的合同款应当与保函金额一致。</w:t>
      </w:r>
      <w:r/>
    </w:p>
    <w:p>
      <w:pPr>
        <w:ind w:left="140" w:firstLine="602"/>
        <w:jc w:val="both"/>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2、付款条件二中，预付款比例设定应符合《关于做好政府采购支持企业发展有关事项的通知》(苏财购〔2020〕52号)要求。</w:t>
      </w:r>
      <w:r/>
    </w:p>
    <w:p>
      <w:pPr>
        <w:keepLines w:val="0"/>
        <w:keepNext w:val="0"/>
        <w:pageBreakBefore w:val="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pageBreakBefore w:val="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06"/>
        <w:ind w:left="12" w:hanging="12"/>
        <w:keepLines w:val="0"/>
        <w:keepNext w:val="0"/>
        <w:pageBreakBefore w:val="0"/>
        <w:spacing w:after="0" w:line="40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keepLines w:val="0"/>
        <w:keepNext w:val="0"/>
        <w:pageBreakBefore w:val="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notePr/>
      <w:endnotePr/>
      <w:type w:val="nextPage"/>
      <w:pgSz w:w="11906" w:h="16838" w:orient="portrait"/>
      <w:pgMar w:top="1440" w:right="1800" w:bottom="1440" w:left="180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9"/>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790">
    <w:name w:val="Heading 1"/>
    <w:basedOn w:val="789"/>
    <w:next w:val="789"/>
    <w:link w:val="927"/>
    <w:uiPriority w:val="9"/>
    <w:qFormat/>
    <w:pPr>
      <w:keepLines/>
      <w:keepNext/>
      <w:spacing w:before="480"/>
      <w:outlineLvl w:val="0"/>
    </w:pPr>
    <w:rPr>
      <w:rFonts w:ascii="Arial" w:hAnsi="Arial" w:eastAsia="Arial" w:cs="Arial"/>
      <w:sz w:val="40"/>
      <w:szCs w:val="40"/>
    </w:rPr>
  </w:style>
  <w:style w:type="paragraph" w:styleId="791">
    <w:name w:val="Heading 2"/>
    <w:basedOn w:val="789"/>
    <w:next w:val="789"/>
    <w:link w:val="928"/>
    <w:uiPriority w:val="9"/>
    <w:unhideWhenUsed/>
    <w:qFormat/>
    <w:pPr>
      <w:keepLines/>
      <w:keepNext/>
      <w:spacing w:before="360"/>
      <w:outlineLvl w:val="1"/>
    </w:pPr>
    <w:rPr>
      <w:rFonts w:ascii="Arial" w:hAnsi="Arial" w:eastAsia="Arial" w:cs="Arial"/>
      <w:sz w:val="34"/>
    </w:rPr>
  </w:style>
  <w:style w:type="paragraph" w:styleId="792">
    <w:name w:val="Heading 3"/>
    <w:basedOn w:val="789"/>
    <w:next w:val="789"/>
    <w:link w:val="929"/>
    <w:uiPriority w:val="9"/>
    <w:unhideWhenUsed/>
    <w:qFormat/>
    <w:pPr>
      <w:keepLines/>
      <w:keepNext/>
      <w:spacing w:before="320"/>
      <w:outlineLvl w:val="2"/>
    </w:pPr>
    <w:rPr>
      <w:rFonts w:ascii="Arial" w:hAnsi="Arial" w:eastAsia="Arial" w:cs="Arial"/>
      <w:sz w:val="30"/>
      <w:szCs w:val="30"/>
    </w:rPr>
  </w:style>
  <w:style w:type="paragraph" w:styleId="793">
    <w:name w:val="Heading 4"/>
    <w:basedOn w:val="789"/>
    <w:next w:val="789"/>
    <w:link w:val="930"/>
    <w:uiPriority w:val="9"/>
    <w:unhideWhenUsed/>
    <w:qFormat/>
    <w:pPr>
      <w:keepLines/>
      <w:keepNext/>
      <w:spacing w:before="320"/>
      <w:outlineLvl w:val="3"/>
    </w:pPr>
    <w:rPr>
      <w:rFonts w:ascii="Arial" w:hAnsi="Arial" w:eastAsia="Arial" w:cs="Arial"/>
      <w:b/>
      <w:bCs/>
      <w:sz w:val="26"/>
      <w:szCs w:val="26"/>
    </w:rPr>
  </w:style>
  <w:style w:type="paragraph" w:styleId="794">
    <w:name w:val="Heading 5"/>
    <w:basedOn w:val="789"/>
    <w:next w:val="789"/>
    <w:link w:val="931"/>
    <w:uiPriority w:val="9"/>
    <w:unhideWhenUsed/>
    <w:qFormat/>
    <w:pPr>
      <w:keepLines/>
      <w:keepNext/>
      <w:spacing w:before="320"/>
      <w:outlineLvl w:val="4"/>
    </w:pPr>
    <w:rPr>
      <w:rFonts w:ascii="Arial" w:hAnsi="Arial" w:eastAsia="Arial" w:cs="Arial"/>
      <w:b/>
      <w:bCs/>
      <w:sz w:val="24"/>
      <w:szCs w:val="24"/>
    </w:rPr>
  </w:style>
  <w:style w:type="paragraph" w:styleId="795">
    <w:name w:val="Heading 6"/>
    <w:basedOn w:val="789"/>
    <w:next w:val="789"/>
    <w:link w:val="932"/>
    <w:uiPriority w:val="9"/>
    <w:unhideWhenUsed/>
    <w:qFormat/>
    <w:pPr>
      <w:keepLines/>
      <w:keepNext/>
      <w:spacing w:before="320"/>
      <w:outlineLvl w:val="5"/>
    </w:pPr>
    <w:rPr>
      <w:rFonts w:ascii="Arial" w:hAnsi="Arial" w:eastAsia="Arial" w:cs="Arial"/>
      <w:b/>
      <w:bCs/>
    </w:rPr>
  </w:style>
  <w:style w:type="paragraph" w:styleId="796">
    <w:name w:val="Heading 7"/>
    <w:basedOn w:val="789"/>
    <w:next w:val="789"/>
    <w:link w:val="933"/>
    <w:uiPriority w:val="9"/>
    <w:unhideWhenUsed/>
    <w:qFormat/>
    <w:pPr>
      <w:keepLines/>
      <w:keepNext/>
      <w:spacing w:before="320"/>
      <w:outlineLvl w:val="6"/>
    </w:pPr>
    <w:rPr>
      <w:rFonts w:ascii="Arial" w:hAnsi="Arial" w:eastAsia="Arial" w:cs="Arial"/>
      <w:b/>
      <w:bCs/>
      <w:i/>
      <w:iCs/>
    </w:rPr>
  </w:style>
  <w:style w:type="paragraph" w:styleId="797">
    <w:name w:val="Heading 8"/>
    <w:basedOn w:val="789"/>
    <w:next w:val="789"/>
    <w:link w:val="934"/>
    <w:uiPriority w:val="9"/>
    <w:unhideWhenUsed/>
    <w:qFormat/>
    <w:pPr>
      <w:keepLines/>
      <w:keepNext/>
      <w:spacing w:before="320"/>
      <w:outlineLvl w:val="7"/>
    </w:pPr>
    <w:rPr>
      <w:rFonts w:ascii="Arial" w:hAnsi="Arial" w:eastAsia="Arial" w:cs="Arial"/>
      <w:i/>
      <w:iCs/>
    </w:rPr>
  </w:style>
  <w:style w:type="paragraph" w:styleId="798">
    <w:name w:val="Heading 9"/>
    <w:basedOn w:val="789"/>
    <w:next w:val="789"/>
    <w:link w:val="935"/>
    <w:uiPriority w:val="9"/>
    <w:unhideWhenUsed/>
    <w:qFormat/>
    <w:pPr>
      <w:keepLines/>
      <w:keepNext/>
      <w:spacing w:before="32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Caption"/>
    <w:basedOn w:val="789"/>
    <w:next w:val="789"/>
    <w:uiPriority w:val="35"/>
    <w:semiHidden/>
    <w:unhideWhenUsed/>
    <w:qFormat/>
    <w:rPr>
      <w:b/>
      <w:bCs/>
      <w:color w:val="5b9bd5" w:themeColor="accent1"/>
      <w:sz w:val="18"/>
      <w:szCs w:val="18"/>
      <w14:textFill>
        <w14:solidFill>
          <w14:schemeClr w14:val="accent1"/>
        </w14:solidFill>
      </w14:textFill>
    </w:rPr>
  </w:style>
  <w:style w:type="paragraph" w:styleId="803">
    <w:name w:val="index 5"/>
    <w:basedOn w:val="789"/>
    <w:next w:val="789"/>
    <w:uiPriority w:val="0"/>
    <w:qFormat/>
    <w:pPr>
      <w:ind w:left="798"/>
    </w:pPr>
    <w:rPr>
      <w:rFonts w:ascii="Calibri" w:hAnsi="Calibri"/>
    </w:rPr>
  </w:style>
  <w:style w:type="paragraph" w:styleId="804">
    <w:name w:val="annotation text"/>
    <w:basedOn w:val="789"/>
    <w:link w:val="1056"/>
    <w:uiPriority w:val="99"/>
    <w:semiHidden/>
    <w:unhideWhenUsed/>
    <w:qFormat/>
  </w:style>
  <w:style w:type="paragraph" w:styleId="805">
    <w:name w:val="Closing"/>
    <w:basedOn w:val="789"/>
    <w:link w:val="1062"/>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806">
    <w:name w:val="Body Text"/>
    <w:basedOn w:val="789"/>
    <w:next w:val="807"/>
    <w:link w:val="1060"/>
    <w:uiPriority w:val="99"/>
    <w:semiHidden/>
    <w:unhideWhenUsed/>
    <w:qFormat/>
    <w:pPr>
      <w:spacing w:after="120"/>
    </w:pPr>
  </w:style>
  <w:style w:type="paragraph" w:styleId="807" w:customStyle="1">
    <w:name w:val="一级条标题"/>
    <w:basedOn w:val="808"/>
    <w:next w:val="8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8" w:customStyle="1">
    <w:name w:val="章标题"/>
    <w:basedOn w:val="809"/>
    <w:next w:val="80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9" w:customStyle="1">
    <w:name w:val="正文1"/>
    <w:basedOn w:val="810"/>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缩进11"/>
    <w:basedOn w:val="811"/>
    <w:uiPriority w:val="99"/>
    <w:qFormat/>
    <w:pPr>
      <w:ind w:firstLine="420"/>
    </w:pPr>
    <w:rPr>
      <w:rFonts w:eastAsia="Times New Roman"/>
      <w:sz w:val="24"/>
    </w:rPr>
  </w:style>
  <w:style w:type="paragraph" w:styleId="811" w:customStyle="1">
    <w:name w:val="正文12"/>
    <w:next w:val="812"/>
    <w:uiPriority w:val="0"/>
    <w:qFormat/>
    <w:pPr>
      <w:jc w:val="both"/>
      <w:widowControl w:val="off"/>
    </w:pPr>
    <w:rPr>
      <w:rFonts w:hint="default" w:ascii="Calibri" w:hAnsi="Calibri" w:eastAsia="Calibri" w:cs="Times New Roman"/>
      <w:sz w:val="21"/>
      <w:szCs w:val="24"/>
      <w:lang w:val="en-US" w:eastAsia="zh-CN" w:bidi="ar-SA"/>
    </w:rPr>
  </w:style>
  <w:style w:type="paragraph" w:styleId="81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标题 21"/>
    <w:basedOn w:val="811"/>
    <w:next w:val="814"/>
    <w:uiPriority w:val="0"/>
    <w:qFormat/>
    <w:pPr>
      <w:keepLines/>
      <w:keepNext/>
      <w:spacing w:before="50"/>
      <w:tabs>
        <w:tab w:val="left" w:pos="0" w:leader="none"/>
      </w:tabs>
    </w:pPr>
    <w:rPr>
      <w:rFonts w:ascii="Arial" w:hAnsi="Arial" w:eastAsia="黑体"/>
      <w:sz w:val="32"/>
      <w:szCs w:val="20"/>
    </w:rPr>
  </w:style>
  <w:style w:type="paragraph" w:styleId="814" w:customStyle="1">
    <w:name w:val="正文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正文首行缩进11"/>
    <w:basedOn w:val="816"/>
    <w:next w:val="824"/>
    <w:uiPriority w:val="0"/>
    <w:qFormat/>
    <w:pPr>
      <w:ind w:firstLine="200"/>
      <w:spacing w:line="360" w:lineRule="auto"/>
    </w:pPr>
    <w:rPr>
      <w:rFonts w:ascii="仿宋_GB2312" w:hAnsi="Calibri" w:eastAsia="仿宋_GB2312"/>
      <w:sz w:val="30"/>
      <w:szCs w:val="30"/>
    </w:rPr>
  </w:style>
  <w:style w:type="paragraph" w:styleId="816" w:customStyle="1">
    <w:name w:val="正文文本1"/>
    <w:basedOn w:val="817"/>
    <w:next w:val="807"/>
    <w:uiPriority w:val="0"/>
    <w:qFormat/>
    <w:pPr>
      <w:spacing w:after="120"/>
    </w:pPr>
    <w:rPr>
      <w:rFonts w:ascii="Calibri" w:hAnsi="Calibri"/>
    </w:rPr>
  </w:style>
  <w:style w:type="paragraph" w:styleId="817" w:customStyle="1">
    <w:name w:val="正文111"/>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正文首行缩进1"/>
    <w:basedOn w:val="819"/>
    <w:next w:val="821"/>
    <w:uiPriority w:val="0"/>
    <w:qFormat/>
    <w:pPr>
      <w:ind w:firstLine="420"/>
    </w:pPr>
    <w:rPr>
      <w:rFonts w:ascii="仿宋_GB2312" w:hAnsi="Times New Roman" w:eastAsia="仿宋_GB2312"/>
      <w:sz w:val="30"/>
      <w:szCs w:val="30"/>
    </w:rPr>
  </w:style>
  <w:style w:type="paragraph" w:styleId="819" w:customStyle="1">
    <w:name w:val="正文文本11"/>
    <w:basedOn w:val="820"/>
    <w:next w:val="814"/>
    <w:uiPriority w:val="0"/>
    <w:qFormat/>
    <w:pPr>
      <w:ind w:firstLine="200"/>
      <w:spacing w:after="120" w:line="360" w:lineRule="auto"/>
    </w:pPr>
    <w:rPr>
      <w:rFonts w:ascii="Arial" w:hAnsi="Arial"/>
      <w:sz w:val="20"/>
      <w:szCs w:val="20"/>
    </w:rPr>
  </w:style>
  <w:style w:type="paragraph" w:styleId="820" w:customStyle="1">
    <w:name w:val="正文112"/>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首行缩进 21"/>
    <w:basedOn w:val="822"/>
    <w:next w:val="817"/>
    <w:uiPriority w:val="0"/>
    <w:qFormat/>
    <w:pPr>
      <w:ind w:firstLine="420"/>
    </w:pPr>
  </w:style>
  <w:style w:type="paragraph" w:styleId="822" w:customStyle="1">
    <w:name w:val="正文文本缩进1"/>
    <w:basedOn w:val="814"/>
    <w:next w:val="823"/>
    <w:uiPriority w:val="0"/>
    <w:qFormat/>
    <w:pPr>
      <w:ind w:left="420"/>
      <w:spacing w:after="120"/>
    </w:pPr>
  </w:style>
  <w:style w:type="paragraph" w:styleId="823" w:customStyle="1">
    <w:name w:val="寄信人地址1"/>
    <w:basedOn w:val="811"/>
    <w:uiPriority w:val="0"/>
    <w:qFormat/>
    <w:rPr>
      <w:rFonts w:ascii="Arial" w:hAnsi="Arial"/>
      <w:sz w:val="22"/>
      <w:szCs w:val="22"/>
    </w:rPr>
  </w:style>
  <w:style w:type="paragraph" w:styleId="824" w:customStyle="1">
    <w:name w:val="正文首行缩进 211"/>
    <w:basedOn w:val="825"/>
    <w:next w:val="817"/>
    <w:uiPriority w:val="0"/>
    <w:qFormat/>
    <w:pPr>
      <w:ind w:left="0" w:firstLine="420"/>
      <w:jc w:val="left"/>
      <w:spacing w:after="0" w:line="200" w:lineRule="exact"/>
      <w:widowControl/>
    </w:pPr>
    <w:rPr>
      <w:rFonts w:ascii="Arial" w:hAnsi="Arial" w:eastAsia="Arial"/>
      <w:spacing w:val="-4"/>
      <w:sz w:val="18"/>
      <w:szCs w:val="20"/>
    </w:rPr>
  </w:style>
  <w:style w:type="paragraph" w:styleId="825" w:customStyle="1">
    <w:name w:val="正文文本缩进11"/>
    <w:basedOn w:val="814"/>
    <w:next w:val="826"/>
    <w:uiPriority w:val="0"/>
    <w:qFormat/>
    <w:pPr>
      <w:ind w:left="420"/>
      <w:spacing w:after="120"/>
    </w:pPr>
    <w:rPr>
      <w:rFonts w:ascii="Calibri" w:hAnsi="Calibri"/>
    </w:rPr>
  </w:style>
  <w:style w:type="paragraph" w:styleId="826" w:customStyle="1">
    <w:name w:val="寄信人地址11"/>
    <w:basedOn w:val="827"/>
    <w:uiPriority w:val="0"/>
    <w:qFormat/>
    <w:rPr>
      <w:rFonts w:ascii="Arial" w:hAnsi="Arial"/>
    </w:rPr>
  </w:style>
  <w:style w:type="paragraph" w:styleId="827" w:customStyle="1">
    <w:name w:val="正文1111"/>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文本块11"/>
    <w:basedOn w:val="811"/>
    <w:uiPriority w:val="0"/>
    <w:qFormat/>
    <w:pPr>
      <w:ind w:left="256" w:right="6" w:firstLine="624"/>
    </w:pPr>
    <w:rPr>
      <w:rFonts w:ascii="Arial" w:hAnsi="Arial" w:eastAsia="仿宋"/>
      <w:sz w:val="28"/>
    </w:rPr>
  </w:style>
  <w:style w:type="paragraph" w:styleId="829" w:customStyle="1">
    <w:name w:val="段"/>
    <w:basedOn w:val="830"/>
    <w:next w:val="809"/>
    <w:uiPriority w:val="0"/>
    <w:qFormat/>
    <w:pPr>
      <w:ind w:firstLine="200"/>
      <w:widowControl/>
    </w:pPr>
    <w:rPr>
      <w:rFonts w:ascii="宋体"/>
      <w:sz w:val="20"/>
      <w:szCs w:val="20"/>
    </w:rPr>
  </w:style>
  <w:style w:type="paragraph" w:styleId="830" w:customStyle="1">
    <w:name w:val="正文13"/>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name w:val="Body Text Indent"/>
    <w:basedOn w:val="789"/>
    <w:next w:val="832"/>
    <w:link w:val="1058"/>
    <w:uiPriority w:val="99"/>
    <w:semiHidden/>
    <w:unhideWhenUsed/>
    <w:qFormat/>
    <w:pPr>
      <w:ind w:left="420"/>
      <w:spacing w:after="120"/>
    </w:pPr>
  </w:style>
  <w:style w:type="paragraph" w:styleId="832">
    <w:name w:val="envelope return"/>
    <w:basedOn w:val="789"/>
    <w:uiPriority w:val="0"/>
    <w:qFormat/>
    <w:rPr>
      <w:rFonts w:ascii="Arial" w:hAnsi="Arial"/>
    </w:rPr>
  </w:style>
  <w:style w:type="paragraph" w:styleId="833">
    <w:name w:val="Block Text"/>
    <w:basedOn w:val="789"/>
    <w:uiPriority w:val="0"/>
    <w:qFormat/>
    <w:pPr>
      <w:ind w:left="256" w:right="6" w:firstLine="624"/>
    </w:pPr>
    <w:rPr>
      <w:rFonts w:ascii="Times New Roman" w:hAnsi="Times New Roman" w:eastAsia="仿宋_GB2312"/>
      <w:sz w:val="28"/>
      <w:szCs w:val="20"/>
    </w:rPr>
  </w:style>
  <w:style w:type="paragraph" w:styleId="834">
    <w:name w:val="toc 5"/>
    <w:basedOn w:val="789"/>
    <w:next w:val="789"/>
    <w:uiPriority w:val="39"/>
    <w:unhideWhenUsed/>
    <w:qFormat/>
    <w:pPr>
      <w:ind w:left="1134"/>
      <w:spacing w:after="57"/>
    </w:pPr>
  </w:style>
  <w:style w:type="paragraph" w:styleId="835">
    <w:name w:val="toc 3"/>
    <w:basedOn w:val="789"/>
    <w:next w:val="789"/>
    <w:uiPriority w:val="39"/>
    <w:unhideWhenUsed/>
    <w:qFormat/>
    <w:pPr>
      <w:ind w:left="567"/>
      <w:spacing w:after="57"/>
    </w:pPr>
  </w:style>
  <w:style w:type="paragraph" w:styleId="836">
    <w:name w:val="Plain Text"/>
    <w:basedOn w:val="789"/>
    <w:uiPriority w:val="99"/>
    <w:qFormat/>
    <w:pPr>
      <w:spacing w:line="360" w:lineRule="auto"/>
    </w:pPr>
    <w:rPr>
      <w:rFonts w:ascii="宋体" w:hAnsi="Courier New" w:eastAsia="宋体"/>
      <w:sz w:val="20"/>
      <w:szCs w:val="21"/>
    </w:rPr>
  </w:style>
  <w:style w:type="paragraph" w:styleId="837">
    <w:name w:val="toc 8"/>
    <w:basedOn w:val="789"/>
    <w:next w:val="789"/>
    <w:uiPriority w:val="39"/>
    <w:unhideWhenUsed/>
    <w:qFormat/>
    <w:pPr>
      <w:ind w:left="1984"/>
      <w:spacing w:after="57"/>
    </w:pPr>
  </w:style>
  <w:style w:type="paragraph" w:styleId="838">
    <w:name w:val="endnote text"/>
    <w:basedOn w:val="789"/>
    <w:link w:val="1052"/>
    <w:uiPriority w:val="99"/>
    <w:semiHidden/>
    <w:unhideWhenUsed/>
    <w:qFormat/>
    <w:pPr>
      <w:spacing w:after="0" w:line="240" w:lineRule="auto"/>
    </w:pPr>
    <w:rPr>
      <w:sz w:val="20"/>
    </w:rPr>
  </w:style>
  <w:style w:type="paragraph" w:styleId="839">
    <w:name w:val="Balloon Text"/>
    <w:basedOn w:val="789"/>
    <w:link w:val="1064"/>
    <w:uiPriority w:val="99"/>
    <w:semiHidden/>
    <w:unhideWhenUsed/>
    <w:qFormat/>
    <w:pPr>
      <w:spacing w:after="0" w:line="240" w:lineRule="auto"/>
    </w:pPr>
    <w:rPr>
      <w:sz w:val="18"/>
      <w:szCs w:val="18"/>
    </w:rPr>
  </w:style>
  <w:style w:type="paragraph" w:styleId="840">
    <w:name w:val="Footer"/>
    <w:basedOn w:val="789"/>
    <w:link w:val="944"/>
    <w:uiPriority w:val="99"/>
    <w:unhideWhenUsed/>
    <w:qFormat/>
    <w:pPr>
      <w:spacing w:after="0" w:line="240" w:lineRule="auto"/>
      <w:tabs>
        <w:tab w:val="center" w:pos="7143" w:leader="none"/>
        <w:tab w:val="right" w:pos="14287" w:leader="none"/>
      </w:tabs>
    </w:pPr>
  </w:style>
  <w:style w:type="paragraph" w:styleId="841">
    <w:name w:val="Header"/>
    <w:basedOn w:val="789"/>
    <w:link w:val="942"/>
    <w:uiPriority w:val="99"/>
    <w:unhideWhenUsed/>
    <w:qFormat/>
    <w:pPr>
      <w:spacing w:after="0" w:line="240" w:lineRule="auto"/>
      <w:tabs>
        <w:tab w:val="center" w:pos="7143" w:leader="none"/>
        <w:tab w:val="right" w:pos="14287" w:leader="none"/>
      </w:tabs>
    </w:pPr>
  </w:style>
  <w:style w:type="paragraph" w:styleId="842">
    <w:name w:val="toc 1"/>
    <w:basedOn w:val="789"/>
    <w:next w:val="789"/>
    <w:uiPriority w:val="39"/>
    <w:unhideWhenUsed/>
    <w:qFormat/>
    <w:pPr>
      <w:spacing w:after="57"/>
    </w:pPr>
  </w:style>
  <w:style w:type="paragraph" w:styleId="843">
    <w:name w:val="toc 4"/>
    <w:basedOn w:val="789"/>
    <w:next w:val="789"/>
    <w:uiPriority w:val="39"/>
    <w:unhideWhenUsed/>
    <w:qFormat/>
    <w:pPr>
      <w:ind w:left="850"/>
      <w:spacing w:after="57"/>
    </w:pPr>
  </w:style>
  <w:style w:type="paragraph" w:styleId="844">
    <w:name w:val="Subtitle"/>
    <w:basedOn w:val="789"/>
    <w:next w:val="789"/>
    <w:link w:val="937"/>
    <w:uiPriority w:val="11"/>
    <w:qFormat/>
    <w:pPr>
      <w:spacing w:before="200"/>
    </w:pPr>
    <w:rPr>
      <w:sz w:val="24"/>
      <w:szCs w:val="24"/>
    </w:rPr>
  </w:style>
  <w:style w:type="paragraph" w:styleId="845">
    <w:name w:val="footnote text"/>
    <w:basedOn w:val="789"/>
    <w:next w:val="803"/>
    <w:link w:val="1051"/>
    <w:uiPriority w:val="99"/>
    <w:semiHidden/>
    <w:unhideWhenUsed/>
    <w:qFormat/>
    <w:pPr>
      <w:spacing w:after="40" w:line="240" w:lineRule="auto"/>
    </w:pPr>
    <w:rPr>
      <w:sz w:val="18"/>
    </w:rPr>
  </w:style>
  <w:style w:type="paragraph" w:styleId="846">
    <w:name w:val="toc 6"/>
    <w:basedOn w:val="789"/>
    <w:next w:val="789"/>
    <w:uiPriority w:val="39"/>
    <w:unhideWhenUsed/>
    <w:qFormat/>
    <w:pPr>
      <w:ind w:left="1417"/>
      <w:spacing w:after="57"/>
    </w:pPr>
  </w:style>
  <w:style w:type="paragraph" w:styleId="847">
    <w:name w:val="table of figures"/>
    <w:basedOn w:val="789"/>
    <w:next w:val="789"/>
    <w:uiPriority w:val="99"/>
    <w:unhideWhenUsed/>
    <w:qFormat/>
    <w:pPr>
      <w:spacing w:after="0"/>
    </w:pPr>
  </w:style>
  <w:style w:type="paragraph" w:styleId="848">
    <w:name w:val="toc 2"/>
    <w:basedOn w:val="789"/>
    <w:next w:val="789"/>
    <w:uiPriority w:val="39"/>
    <w:unhideWhenUsed/>
    <w:qFormat/>
    <w:pPr>
      <w:ind w:left="283"/>
      <w:spacing w:after="57"/>
    </w:pPr>
  </w:style>
  <w:style w:type="paragraph" w:styleId="849">
    <w:name w:val="toc 9"/>
    <w:basedOn w:val="789"/>
    <w:next w:val="789"/>
    <w:uiPriority w:val="39"/>
    <w:unhideWhenUsed/>
    <w:qFormat/>
    <w:pPr>
      <w:ind w:left="2268"/>
      <w:spacing w:after="57"/>
    </w:pPr>
  </w:style>
  <w:style w:type="paragraph" w:styleId="850">
    <w:name w:val="Body Text 2"/>
    <w:basedOn w:val="789"/>
    <w:next w:val="806"/>
    <w:uiPriority w:val="99"/>
    <w:qFormat/>
    <w:pPr>
      <w:jc w:val="center"/>
    </w:pPr>
    <w:rPr>
      <w:rFonts w:ascii="Arial" w:hAnsi="Arial"/>
      <w:sz w:val="16"/>
      <w:szCs w:val="20"/>
      <w:lang w:val="zh-CN"/>
    </w:rPr>
  </w:style>
  <w:style w:type="paragraph" w:styleId="851">
    <w:name w:val="Normal (Web)"/>
    <w:basedOn w:val="789"/>
    <w:uiPriority w:val="0"/>
    <w:qFormat/>
    <w:pPr>
      <w:jc w:val="left"/>
      <w:spacing w:before="100" w:beforeAutospacing="1" w:after="100" w:afterAutospacing="1"/>
      <w:widowControl/>
    </w:pPr>
    <w:rPr>
      <w:rFonts w:ascii="宋体" w:hAnsi="宋体" w:cs="宋体"/>
      <w:sz w:val="24"/>
    </w:rPr>
  </w:style>
  <w:style w:type="paragraph" w:styleId="852">
    <w:name w:val="Title"/>
    <w:basedOn w:val="789"/>
    <w:next w:val="789"/>
    <w:link w:val="936"/>
    <w:uiPriority w:val="10"/>
    <w:qFormat/>
    <w:pPr>
      <w:contextualSpacing/>
      <w:spacing w:before="300"/>
    </w:pPr>
    <w:rPr>
      <w:sz w:val="48"/>
      <w:szCs w:val="48"/>
    </w:rPr>
  </w:style>
  <w:style w:type="paragraph" w:styleId="853">
    <w:name w:val="annotation subject"/>
    <w:basedOn w:val="804"/>
    <w:next w:val="804"/>
    <w:link w:val="1057"/>
    <w:uiPriority w:val="99"/>
    <w:semiHidden/>
    <w:unhideWhenUsed/>
    <w:qFormat/>
    <w:rPr>
      <w:b/>
      <w:bCs/>
    </w:rPr>
  </w:style>
  <w:style w:type="paragraph" w:styleId="854">
    <w:name w:val="Body Text First Indent"/>
    <w:basedOn w:val="806"/>
    <w:next w:val="789"/>
    <w:link w:val="1061"/>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855">
    <w:name w:val="Body Text First Indent 2"/>
    <w:basedOn w:val="831"/>
    <w:next w:val="854"/>
    <w:link w:val="1059"/>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856">
    <w:name w:val="Table Grid"/>
    <w:basedOn w:val="8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basedOn w:val="799"/>
    <w:uiPriority w:val="0"/>
    <w:qFormat/>
    <w:rPr>
      <w:b/>
    </w:rPr>
  </w:style>
  <w:style w:type="character" w:styleId="858">
    <w:name w:val="endnote reference"/>
    <w:uiPriority w:val="99"/>
    <w:semiHidden/>
    <w:unhideWhenUsed/>
    <w:qFormat/>
    <w:rPr>
      <w:vertAlign w:val="superscript"/>
    </w:rPr>
  </w:style>
  <w:style w:type="character" w:styleId="859">
    <w:name w:val="FollowedHyperlink"/>
    <w:basedOn w:val="799"/>
    <w:uiPriority w:val="99"/>
    <w:semiHidden/>
    <w:unhideWhenUsed/>
    <w:qFormat/>
    <w:rPr>
      <w:color w:val="333333"/>
      <w:u w:val="none"/>
    </w:rPr>
  </w:style>
  <w:style w:type="character" w:styleId="860">
    <w:name w:val="Emphasis"/>
    <w:basedOn w:val="799"/>
    <w:uiPriority w:val="20"/>
    <w:qFormat/>
    <w:rPr>
      <w:i/>
    </w:rPr>
  </w:style>
  <w:style w:type="character" w:styleId="861">
    <w:name w:val="Hyperlink"/>
    <w:basedOn w:val="799"/>
    <w:uiPriority w:val="99"/>
    <w:unhideWhenUsed/>
    <w:qFormat/>
    <w:rPr>
      <w:color w:val="0563c1" w:themeColor="hyperlink"/>
      <w:u w:val="single"/>
      <w14:textFill>
        <w14:solidFill>
          <w14:schemeClr w14:val="hlink"/>
        </w14:solidFill>
      </w14:textFill>
    </w:rPr>
  </w:style>
  <w:style w:type="character" w:styleId="862">
    <w:name w:val="annotation reference"/>
    <w:basedOn w:val="799"/>
    <w:uiPriority w:val="99"/>
    <w:semiHidden/>
    <w:unhideWhenUsed/>
    <w:qFormat/>
    <w:rPr>
      <w:sz w:val="21"/>
      <w:szCs w:val="21"/>
    </w:rPr>
  </w:style>
  <w:style w:type="character" w:styleId="863">
    <w:name w:val="footnote reference"/>
    <w:uiPriority w:val="99"/>
    <w:unhideWhenUsed/>
    <w:qFormat/>
    <w:rPr>
      <w:vertAlign w:val="superscript"/>
    </w:rPr>
  </w:style>
  <w:style w:type="paragraph" w:styleId="864" w:customStyle="1">
    <w:name w:val="目录 11"/>
    <w:basedOn w:val="814"/>
    <w:next w:val="809"/>
    <w:uiPriority w:val="0"/>
    <w:qFormat/>
    <w:pPr>
      <w:jc w:val="left"/>
      <w:spacing w:before="120" w:after="120"/>
    </w:pPr>
    <w:rPr>
      <w:rFonts w:ascii="Calibri" w:hAnsi="Calibri"/>
      <w:b/>
      <w:bCs/>
      <w:caps/>
      <w:sz w:val="20"/>
      <w:szCs w:val="20"/>
    </w:rPr>
  </w:style>
  <w:style w:type="table" w:styleId="865"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脚注文本1"/>
    <w:basedOn w:val="811"/>
    <w:next w:val="887"/>
    <w:uiPriority w:val="0"/>
    <w:qFormat/>
    <w:pPr>
      <w:jc w:val="left"/>
    </w:pPr>
    <w:rPr>
      <w:rFonts w:ascii="宋体" w:eastAsia="Times New Roman"/>
      <w:sz w:val="18"/>
      <w:szCs w:val="18"/>
    </w:rPr>
  </w:style>
  <w:style w:type="paragraph" w:styleId="887" w:customStyle="1">
    <w:name w:val="索引 51"/>
    <w:basedOn w:val="809"/>
    <w:next w:val="809"/>
    <w:uiPriority w:val="0"/>
    <w:qFormat/>
    <w:pPr>
      <w:ind w:left="798"/>
      <w:jc w:val="left"/>
    </w:pPr>
    <w:rPr>
      <w:rFonts w:ascii="Calibri" w:hAnsi="Calibri"/>
    </w:rPr>
  </w:style>
  <w:style w:type="paragraph" w:styleId="888" w:customStyle="1">
    <w:name w:val="正文文本111"/>
    <w:basedOn w:val="811"/>
    <w:next w:val="811"/>
    <w:uiPriority w:val="0"/>
    <w:qFormat/>
  </w:style>
  <w:style w:type="paragraph" w:styleId="88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90" w:customStyle="1">
    <w:name w:val="Heading 1 Char"/>
    <w:basedOn w:val="799"/>
    <w:uiPriority w:val="9"/>
    <w:qFormat/>
    <w:rPr>
      <w:rFonts w:ascii="Arial" w:hAnsi="Arial" w:eastAsia="Arial" w:cs="Arial"/>
      <w:sz w:val="40"/>
      <w:szCs w:val="40"/>
    </w:rPr>
  </w:style>
  <w:style w:type="character" w:styleId="891" w:customStyle="1">
    <w:name w:val="Heading 2 Char"/>
    <w:basedOn w:val="799"/>
    <w:uiPriority w:val="9"/>
    <w:qFormat/>
    <w:rPr>
      <w:rFonts w:ascii="Arial" w:hAnsi="Arial" w:eastAsia="Arial" w:cs="Arial"/>
      <w:sz w:val="34"/>
    </w:rPr>
  </w:style>
  <w:style w:type="character" w:styleId="892" w:customStyle="1">
    <w:name w:val="Heading 3 Char"/>
    <w:basedOn w:val="799"/>
    <w:uiPriority w:val="9"/>
    <w:qFormat/>
    <w:rPr>
      <w:rFonts w:ascii="Arial" w:hAnsi="Arial" w:eastAsia="Arial" w:cs="Arial"/>
      <w:sz w:val="30"/>
      <w:szCs w:val="30"/>
    </w:rPr>
  </w:style>
  <w:style w:type="character" w:styleId="893" w:customStyle="1">
    <w:name w:val="Heading 4 Char"/>
    <w:basedOn w:val="799"/>
    <w:uiPriority w:val="9"/>
    <w:qFormat/>
    <w:rPr>
      <w:rFonts w:ascii="Arial" w:hAnsi="Arial" w:eastAsia="Arial" w:cs="Arial"/>
      <w:b/>
      <w:bCs/>
      <w:sz w:val="26"/>
      <w:szCs w:val="26"/>
    </w:rPr>
  </w:style>
  <w:style w:type="character" w:styleId="894" w:customStyle="1">
    <w:name w:val="Heading 5 Char"/>
    <w:basedOn w:val="799"/>
    <w:uiPriority w:val="9"/>
    <w:qFormat/>
    <w:rPr>
      <w:rFonts w:ascii="Arial" w:hAnsi="Arial" w:eastAsia="Arial" w:cs="Arial"/>
      <w:b/>
      <w:bCs/>
      <w:sz w:val="24"/>
      <w:szCs w:val="24"/>
    </w:rPr>
  </w:style>
  <w:style w:type="character" w:styleId="895" w:customStyle="1">
    <w:name w:val="Heading 6 Char"/>
    <w:basedOn w:val="799"/>
    <w:uiPriority w:val="9"/>
    <w:qFormat/>
    <w:rPr>
      <w:rFonts w:ascii="Arial" w:hAnsi="Arial" w:eastAsia="Arial" w:cs="Arial"/>
      <w:b/>
      <w:bCs/>
      <w:sz w:val="22"/>
      <w:szCs w:val="22"/>
    </w:rPr>
  </w:style>
  <w:style w:type="character" w:styleId="896" w:customStyle="1">
    <w:name w:val="Heading 7 Char"/>
    <w:basedOn w:val="799"/>
    <w:uiPriority w:val="9"/>
    <w:qFormat/>
    <w:rPr>
      <w:rFonts w:ascii="Arial" w:hAnsi="Arial" w:eastAsia="Arial" w:cs="Arial"/>
      <w:b/>
      <w:bCs/>
      <w:i/>
      <w:iCs/>
      <w:sz w:val="22"/>
      <w:szCs w:val="22"/>
    </w:rPr>
  </w:style>
  <w:style w:type="character" w:styleId="897" w:customStyle="1">
    <w:name w:val="Heading 8 Char"/>
    <w:basedOn w:val="799"/>
    <w:uiPriority w:val="9"/>
    <w:qFormat/>
    <w:rPr>
      <w:rFonts w:ascii="Arial" w:hAnsi="Arial" w:eastAsia="Arial" w:cs="Arial"/>
      <w:i/>
      <w:iCs/>
      <w:sz w:val="22"/>
      <w:szCs w:val="22"/>
    </w:rPr>
  </w:style>
  <w:style w:type="character" w:styleId="898" w:customStyle="1">
    <w:name w:val="Heading 9 Char"/>
    <w:basedOn w:val="799"/>
    <w:uiPriority w:val="9"/>
    <w:qFormat/>
    <w:rPr>
      <w:rFonts w:ascii="Arial" w:hAnsi="Arial" w:eastAsia="Arial" w:cs="Arial"/>
      <w:i/>
      <w:iCs/>
      <w:sz w:val="21"/>
      <w:szCs w:val="21"/>
    </w:rPr>
  </w:style>
  <w:style w:type="character" w:styleId="899" w:customStyle="1">
    <w:name w:val="Title Char"/>
    <w:basedOn w:val="799"/>
    <w:uiPriority w:val="10"/>
    <w:qFormat/>
    <w:rPr>
      <w:sz w:val="48"/>
      <w:szCs w:val="48"/>
    </w:rPr>
  </w:style>
  <w:style w:type="character" w:styleId="900" w:customStyle="1">
    <w:name w:val="Subtitle Char"/>
    <w:basedOn w:val="799"/>
    <w:uiPriority w:val="11"/>
    <w:qFormat/>
    <w:rPr>
      <w:sz w:val="24"/>
      <w:szCs w:val="24"/>
    </w:rPr>
  </w:style>
  <w:style w:type="character" w:styleId="901" w:customStyle="1">
    <w:name w:val="Quote Char"/>
    <w:uiPriority w:val="29"/>
    <w:qFormat/>
    <w:rPr>
      <w:i/>
    </w:rPr>
  </w:style>
  <w:style w:type="character" w:styleId="902" w:customStyle="1">
    <w:name w:val="Intense Quote Char"/>
    <w:uiPriority w:val="30"/>
    <w:qFormat/>
    <w:rPr>
      <w:i/>
    </w:rPr>
  </w:style>
  <w:style w:type="character" w:styleId="903" w:customStyle="1">
    <w:name w:val="Header Char"/>
    <w:basedOn w:val="799"/>
    <w:uiPriority w:val="99"/>
    <w:qFormat/>
  </w:style>
  <w:style w:type="character" w:styleId="904" w:customStyle="1">
    <w:name w:val="Caption Char"/>
    <w:uiPriority w:val="99"/>
    <w:qFormat/>
  </w:style>
  <w:style w:type="table" w:styleId="905"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清单表 1 浅色1"/>
    <w:basedOn w:val="8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basedOn w:val="8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清单表 7 彩色1"/>
    <w:basedOn w:val="8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4" w:customStyle="1">
    <w:name w:val="Footnote Text Char"/>
    <w:uiPriority w:val="99"/>
    <w:qFormat/>
    <w:rPr>
      <w:sz w:val="18"/>
    </w:rPr>
  </w:style>
  <w:style w:type="character" w:styleId="925" w:customStyle="1">
    <w:name w:val="Endnote Text Char"/>
    <w:uiPriority w:val="99"/>
    <w:qFormat/>
    <w:rPr>
      <w:sz w:val="20"/>
    </w:rPr>
  </w:style>
  <w:style w:type="paragraph" w:styleId="926" w:customStyle="1">
    <w:name w:val="TOC 标题111"/>
    <w:uiPriority w:val="39"/>
    <w:unhideWhenUsed/>
    <w:qFormat/>
    <w:rPr>
      <w:rFonts w:hint="default" w:ascii="Times New Roman" w:hAnsi="Times New Roman" w:eastAsia="宋体" w:cs="Times New Roman"/>
      <w:lang w:val="en-US" w:eastAsia="zh-CN" w:bidi="ar-SA"/>
    </w:rPr>
  </w:style>
  <w:style w:type="character" w:styleId="927" w:customStyle="1">
    <w:name w:val="标题 1 字符"/>
    <w:link w:val="790"/>
    <w:uiPriority w:val="9"/>
    <w:qFormat/>
    <w:rPr>
      <w:rFonts w:ascii="Arial" w:hAnsi="Arial" w:eastAsia="Arial" w:cs="Arial"/>
      <w:sz w:val="40"/>
      <w:szCs w:val="40"/>
    </w:rPr>
  </w:style>
  <w:style w:type="character" w:styleId="928" w:customStyle="1">
    <w:name w:val="标题 2 字符"/>
    <w:link w:val="791"/>
    <w:uiPriority w:val="9"/>
    <w:qFormat/>
    <w:rPr>
      <w:rFonts w:ascii="Arial" w:hAnsi="Arial" w:eastAsia="Arial" w:cs="Arial"/>
      <w:sz w:val="34"/>
    </w:rPr>
  </w:style>
  <w:style w:type="character" w:styleId="929" w:customStyle="1">
    <w:name w:val="标题 3 字符"/>
    <w:link w:val="792"/>
    <w:uiPriority w:val="9"/>
    <w:qFormat/>
    <w:rPr>
      <w:rFonts w:ascii="Arial" w:hAnsi="Arial" w:eastAsia="Arial" w:cs="Arial"/>
      <w:sz w:val="30"/>
      <w:szCs w:val="30"/>
    </w:rPr>
  </w:style>
  <w:style w:type="character" w:styleId="930" w:customStyle="1">
    <w:name w:val="标题 4 字符"/>
    <w:link w:val="793"/>
    <w:uiPriority w:val="9"/>
    <w:qFormat/>
    <w:rPr>
      <w:rFonts w:ascii="Arial" w:hAnsi="Arial" w:eastAsia="Arial" w:cs="Arial"/>
      <w:b/>
      <w:bCs/>
      <w:sz w:val="26"/>
      <w:szCs w:val="26"/>
    </w:rPr>
  </w:style>
  <w:style w:type="character" w:styleId="931" w:customStyle="1">
    <w:name w:val="标题 5 字符"/>
    <w:link w:val="794"/>
    <w:uiPriority w:val="9"/>
    <w:qFormat/>
    <w:rPr>
      <w:rFonts w:ascii="Arial" w:hAnsi="Arial" w:eastAsia="Arial" w:cs="Arial"/>
      <w:b/>
      <w:bCs/>
      <w:sz w:val="24"/>
      <w:szCs w:val="24"/>
    </w:rPr>
  </w:style>
  <w:style w:type="character" w:styleId="932" w:customStyle="1">
    <w:name w:val="标题 6 字符"/>
    <w:link w:val="795"/>
    <w:uiPriority w:val="9"/>
    <w:qFormat/>
    <w:rPr>
      <w:rFonts w:ascii="Arial" w:hAnsi="Arial" w:eastAsia="Arial" w:cs="Arial"/>
      <w:b/>
      <w:bCs/>
      <w:sz w:val="22"/>
      <w:szCs w:val="22"/>
    </w:rPr>
  </w:style>
  <w:style w:type="character" w:styleId="933" w:customStyle="1">
    <w:name w:val="标题 7 字符"/>
    <w:link w:val="796"/>
    <w:uiPriority w:val="9"/>
    <w:qFormat/>
    <w:rPr>
      <w:rFonts w:ascii="Arial" w:hAnsi="Arial" w:eastAsia="Arial" w:cs="Arial"/>
      <w:b/>
      <w:bCs/>
      <w:i/>
      <w:iCs/>
      <w:sz w:val="22"/>
      <w:szCs w:val="22"/>
    </w:rPr>
  </w:style>
  <w:style w:type="character" w:styleId="934" w:customStyle="1">
    <w:name w:val="标题 8 字符"/>
    <w:link w:val="797"/>
    <w:uiPriority w:val="9"/>
    <w:qFormat/>
    <w:rPr>
      <w:rFonts w:ascii="Arial" w:hAnsi="Arial" w:eastAsia="Arial" w:cs="Arial"/>
      <w:i/>
      <w:iCs/>
      <w:sz w:val="22"/>
      <w:szCs w:val="22"/>
    </w:rPr>
  </w:style>
  <w:style w:type="character" w:styleId="935" w:customStyle="1">
    <w:name w:val="标题 9 字符"/>
    <w:link w:val="798"/>
    <w:uiPriority w:val="9"/>
    <w:qFormat/>
    <w:rPr>
      <w:rFonts w:ascii="Arial" w:hAnsi="Arial" w:eastAsia="Arial" w:cs="Arial"/>
      <w:i/>
      <w:iCs/>
      <w:sz w:val="21"/>
      <w:szCs w:val="21"/>
    </w:rPr>
  </w:style>
  <w:style w:type="character" w:styleId="936" w:customStyle="1">
    <w:name w:val="标题 字符"/>
    <w:link w:val="852"/>
    <w:uiPriority w:val="10"/>
    <w:qFormat/>
    <w:rPr>
      <w:sz w:val="48"/>
      <w:szCs w:val="48"/>
    </w:rPr>
  </w:style>
  <w:style w:type="character" w:styleId="937" w:customStyle="1">
    <w:name w:val="副标题 字符"/>
    <w:link w:val="844"/>
    <w:uiPriority w:val="11"/>
    <w:qFormat/>
    <w:rPr>
      <w:sz w:val="24"/>
      <w:szCs w:val="24"/>
    </w:rPr>
  </w:style>
  <w:style w:type="paragraph" w:styleId="938">
    <w:name w:val="Quote"/>
    <w:basedOn w:val="789"/>
    <w:next w:val="789"/>
    <w:link w:val="939"/>
    <w:uiPriority w:val="29"/>
    <w:qFormat/>
    <w:pPr>
      <w:ind w:left="720" w:right="720"/>
    </w:pPr>
    <w:rPr>
      <w:i/>
    </w:rPr>
  </w:style>
  <w:style w:type="character" w:styleId="939" w:customStyle="1">
    <w:name w:val="引用 字符"/>
    <w:link w:val="938"/>
    <w:uiPriority w:val="29"/>
    <w:qFormat/>
    <w:rPr>
      <w:i/>
    </w:rPr>
  </w:style>
  <w:style w:type="paragraph" w:styleId="940">
    <w:name w:val="Intense Quote"/>
    <w:basedOn w:val="789"/>
    <w:next w:val="789"/>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character" w:styleId="942" w:customStyle="1">
    <w:name w:val="页眉 字符"/>
    <w:link w:val="841"/>
    <w:uiPriority w:val="99"/>
    <w:qFormat/>
  </w:style>
  <w:style w:type="character" w:styleId="943" w:customStyle="1">
    <w:name w:val="Footer Char"/>
    <w:uiPriority w:val="99"/>
    <w:qFormat/>
  </w:style>
  <w:style w:type="character" w:styleId="944" w:customStyle="1">
    <w:name w:val="页脚 字符"/>
    <w:link w:val="840"/>
    <w:uiPriority w:val="99"/>
    <w:qFormat/>
  </w:style>
  <w:style w:type="table" w:styleId="945" w:customStyle="1">
    <w:name w:val="Table Grid Light"/>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6" w:customStyle="1">
    <w:name w:val="Grid Table 1 Light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2" w:customStyle="1">
    <w:name w:val="Grid Table 2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7" w:customStyle="1">
    <w:name w:val="Grid Table 2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8" w:customStyle="1">
    <w:name w:val="Grid Table 3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 Accent 1"/>
    <w:basedOn w:val="8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5" w:customStyle="1">
    <w:name w:val="Grid Table 4 - Accent 2"/>
    <w:basedOn w:val="8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6" w:customStyle="1">
    <w:name w:val="Grid Table 4 - Accent 3"/>
    <w:basedOn w:val="8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7" w:customStyle="1">
    <w:name w:val="Grid Table 4 - Accent 4"/>
    <w:basedOn w:val="8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8" w:customStyle="1">
    <w:name w:val="Grid Table 4 - Accent 5"/>
    <w:basedOn w:val="8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9" w:customStyle="1">
    <w:name w:val="Grid Table 4 - Accent 6"/>
    <w:basedOn w:val="8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0" w:customStyle="1">
    <w:name w:val="Grid Table 5 Dark- Accent 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1" w:customStyle="1">
    <w:name w:val="Grid Table 5 Dark - Accent 2"/>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2" w:customStyle="1">
    <w:name w:val="Grid Table 5 Dark - Accent 3"/>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3" w:customStyle="1">
    <w:name w:val="Grid Table 5 Dark- Accent 4"/>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4" w:customStyle="1">
    <w:name w:val="Grid Table 5 Dark - Accent 5"/>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5" w:customStyle="1">
    <w:name w:val="Grid Table 5 Dark - Accent 6"/>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6" w:customStyle="1">
    <w:name w:val="Grid Table 6 Colorful - Accent 1"/>
    <w:basedOn w:val="8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7" w:customStyle="1">
    <w:name w:val="Grid Table 6 Colorful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8" w:customStyle="1">
    <w:name w:val="Grid Table 6 Colorful - Accent 3"/>
    <w:basedOn w:val="8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9" w:customStyle="1">
    <w:name w:val="Grid Table 6 Colorful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0" w:customStyle="1">
    <w:name w:val="Grid Table 6 Colorful - Accent 5"/>
    <w:basedOn w:val="8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1" w:customStyle="1">
    <w:name w:val="Grid Table 6 Colorful - Accent 6"/>
    <w:basedOn w:val="8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2" w:customStyle="1">
    <w:name w:val="Grid Table 7 Colorful - Accent 1"/>
    <w:basedOn w:val="8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basedOn w:val="8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basedOn w:val="8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basedOn w:val="8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basedOn w:val="8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basedOn w:val="8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8" w:customStyle="1">
    <w:name w:val="List Table 1 Light - Accent 1"/>
    <w:basedOn w:val="8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0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0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customStyle="1">
    <w:name w:val="List Table 2 - Accent 1"/>
    <w:basedOn w:val="8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5" w:customStyle="1">
    <w:name w:val="List Table 2 - Accent 2"/>
    <w:basedOn w:val="8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6" w:customStyle="1">
    <w:name w:val="List Table 2 - Accent 3"/>
    <w:basedOn w:val="8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7" w:customStyle="1">
    <w:name w:val="List Table 2 - Accent 4"/>
    <w:basedOn w:val="8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8" w:customStyle="1">
    <w:name w:val="List Table 2 - Accent 5"/>
    <w:basedOn w:val="8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9" w:customStyle="1">
    <w:name w:val="List Table 2 - Accent 6"/>
    <w:basedOn w:val="8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0" w:customStyle="1">
    <w:name w:val="List Table 3 - Accent 1"/>
    <w:basedOn w:val="8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1" w:customStyle="1">
    <w:name w:val="List Table 3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6" w:customStyle="1">
    <w:name w:val="List Table 4 - Accent 1"/>
    <w:basedOn w:val="8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7" w:customStyle="1">
    <w:name w:val="List Table 4 - Accent 2"/>
    <w:basedOn w:val="8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8" w:customStyle="1">
    <w:name w:val="List Table 4 - Accent 3"/>
    <w:basedOn w:val="8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9" w:customStyle="1">
    <w:name w:val="List Table 4 - Accent 4"/>
    <w:basedOn w:val="8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0" w:customStyle="1">
    <w:name w:val="List Table 4 - Accent 5"/>
    <w:basedOn w:val="8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1" w:customStyle="1">
    <w:name w:val="List Table 4 - Accent 6"/>
    <w:basedOn w:val="8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2" w:customStyle="1">
    <w:name w:val="List Table 5 Dark - Accent 1"/>
    <w:basedOn w:val="8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6 Colorful - Accent 1"/>
    <w:basedOn w:val="80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9" w:customStyle="1">
    <w:name w:val="List Table 6 Colorful - Accent 2"/>
    <w:basedOn w:val="80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0" w:customStyle="1">
    <w:name w:val="List Table 6 Colorful - Accent 3"/>
    <w:basedOn w:val="8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1" w:customStyle="1">
    <w:name w:val="List Table 6 Colorful - Accent 4"/>
    <w:basedOn w:val="80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2" w:customStyle="1">
    <w:name w:val="List Table 6 Colorful - Accent 5"/>
    <w:basedOn w:val="80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3" w:customStyle="1">
    <w:name w:val="List Table 6 Colorful - Accent 6"/>
    <w:basedOn w:val="8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4" w:customStyle="1">
    <w:name w:val="List Table 7 Colorful - Accent 1"/>
    <w:basedOn w:val="80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0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0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0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0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0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2" w:customStyle="1">
    <w:name w:val="Lined - Accent 2"/>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Lined - Accent 3"/>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Lined - Accent 4"/>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Lined - Accent 5"/>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6" w:customStyle="1">
    <w:name w:val="Lined - Accent 6"/>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amp; Lined - Accent"/>
    <w:basedOn w:val="8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9" w:customStyle="1">
    <w:name w:val="Bordered &amp; Lined - Accent 2"/>
    <w:basedOn w:val="8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Bordered &amp; Lined - Accent 3"/>
    <w:basedOn w:val="8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Bordered &amp; Lined - Accent 4"/>
    <w:basedOn w:val="8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Bordered &amp; Lined - Accent 5"/>
    <w:basedOn w:val="8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3" w:customStyle="1">
    <w:name w:val="Bordered &amp; Lined - Accent 6"/>
    <w:basedOn w:val="8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w:basedOn w:val="8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6" w:customStyle="1">
    <w:name w:val="Bordered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7" w:customStyle="1">
    <w:name w:val="Bordered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8" w:customStyle="1">
    <w:name w:val="Bordered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9" w:customStyle="1">
    <w:name w:val="Bordered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0" w:customStyle="1">
    <w:name w:val="Bordered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1" w:customStyle="1">
    <w:name w:val="脚注文本 字符"/>
    <w:link w:val="845"/>
    <w:uiPriority w:val="99"/>
    <w:qFormat/>
    <w:rPr>
      <w:sz w:val="18"/>
    </w:rPr>
  </w:style>
  <w:style w:type="character" w:styleId="1052" w:customStyle="1">
    <w:name w:val="尾注文本 字符"/>
    <w:link w:val="838"/>
    <w:uiPriority w:val="99"/>
    <w:qFormat/>
    <w:rPr>
      <w:sz w:val="20"/>
    </w:rPr>
  </w:style>
  <w:style w:type="paragraph" w:styleId="1053"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1054">
    <w:name w:val="No Spacing"/>
    <w:basedOn w:val="789"/>
    <w:uiPriority w:val="1"/>
    <w:qFormat/>
    <w:pPr>
      <w:spacing w:after="0" w:line="240" w:lineRule="auto"/>
    </w:pPr>
  </w:style>
  <w:style w:type="paragraph" w:styleId="1055">
    <w:name w:val="List Paragraph"/>
    <w:basedOn w:val="789"/>
    <w:uiPriority w:val="34"/>
    <w:qFormat/>
    <w:pPr>
      <w:contextualSpacing/>
      <w:ind w:left="720"/>
    </w:pPr>
  </w:style>
  <w:style w:type="character" w:styleId="1056" w:customStyle="1">
    <w:name w:val="批注文字 字符"/>
    <w:basedOn w:val="799"/>
    <w:link w:val="804"/>
    <w:uiPriority w:val="99"/>
    <w:semiHidden/>
    <w:qFormat/>
  </w:style>
  <w:style w:type="character" w:styleId="1057" w:customStyle="1">
    <w:name w:val="批注主题 字符"/>
    <w:basedOn w:val="1056"/>
    <w:link w:val="853"/>
    <w:uiPriority w:val="99"/>
    <w:semiHidden/>
    <w:qFormat/>
    <w:rPr>
      <w:b/>
      <w:bCs/>
    </w:rPr>
  </w:style>
  <w:style w:type="character" w:styleId="1058" w:customStyle="1">
    <w:name w:val="正文文本缩进 字符"/>
    <w:basedOn w:val="799"/>
    <w:link w:val="831"/>
    <w:uiPriority w:val="99"/>
    <w:semiHidden/>
    <w:qFormat/>
  </w:style>
  <w:style w:type="character" w:styleId="1059" w:customStyle="1">
    <w:name w:val="正文文本首行缩进 2 字符"/>
    <w:basedOn w:val="1058"/>
    <w:link w:val="855"/>
    <w:uiPriority w:val="0"/>
    <w:qFormat/>
    <w:rPr>
      <w:rFonts w:ascii="Times New Roman" w:hAnsi="Times New Roman" w:eastAsia="宋体" w:cs="宋体"/>
      <w:sz w:val="21"/>
      <w:szCs w:val="21"/>
      <w:lang w:eastAsia="zh-CN"/>
    </w:rPr>
  </w:style>
  <w:style w:type="character" w:styleId="1060" w:customStyle="1">
    <w:name w:val="正文文本 字符"/>
    <w:basedOn w:val="799"/>
    <w:link w:val="806"/>
    <w:uiPriority w:val="99"/>
    <w:semiHidden/>
    <w:qFormat/>
  </w:style>
  <w:style w:type="character" w:styleId="1061" w:customStyle="1">
    <w:name w:val="正文文本首行缩进 字符"/>
    <w:basedOn w:val="1060"/>
    <w:link w:val="854"/>
    <w:uiPriority w:val="0"/>
    <w:qFormat/>
    <w:rPr>
      <w:rFonts w:ascii="Times New Roman" w:hAnsi="Times New Roman" w:eastAsia="宋体" w:cs="Times New Roman"/>
      <w:sz w:val="21"/>
      <w:szCs w:val="24"/>
      <w:lang w:eastAsia="zh-CN"/>
    </w:rPr>
  </w:style>
  <w:style w:type="character" w:styleId="1062" w:customStyle="1">
    <w:name w:val="结束语 字符"/>
    <w:basedOn w:val="799"/>
    <w:link w:val="805"/>
    <w:uiPriority w:val="99"/>
    <w:qFormat/>
    <w:rPr>
      <w:rFonts w:ascii="宋体" w:hAnsi="宋体" w:eastAsia="宋体" w:cs="Times New Roman"/>
      <w:sz w:val="21"/>
      <w:szCs w:val="21"/>
      <w:lang w:eastAsia="zh-CN"/>
    </w:rPr>
  </w:style>
  <w:style w:type="character" w:styleId="1063" w:customStyle="1">
    <w:name w:val="NormalCharacter"/>
    <w:uiPriority w:val="0"/>
    <w:semiHidden/>
    <w:qFormat/>
  </w:style>
  <w:style w:type="character" w:styleId="1064" w:customStyle="1">
    <w:name w:val="批注框文本 字符"/>
    <w:basedOn w:val="799"/>
    <w:link w:val="839"/>
    <w:uiPriority w:val="99"/>
    <w:semiHidden/>
    <w:qFormat/>
    <w:rPr>
      <w:rFonts w:asciiTheme="minorHAnsi" w:hAnsiTheme="minorHAnsi" w:eastAsiaTheme="minorEastAsia" w:cstheme="minorBidi"/>
      <w:sz w:val="18"/>
      <w:szCs w:val="18"/>
      <w:lang w:eastAsia="en-US"/>
    </w:rPr>
  </w:style>
  <w:style w:type="character" w:styleId="1065" w:customStyle="1">
    <w:name w:val="bsharetext"/>
    <w:basedOn w:val="799"/>
    <w:uiPriority w:val="0"/>
    <w:qFormat/>
  </w:style>
  <w:style w:type="paragraph" w:styleId="1066" w:customStyle="1">
    <w:name w:val="WPSOffice手动目录 1"/>
    <w:uiPriority w:val="0"/>
    <w:qFormat/>
    <w:rPr>
      <w:rFonts w:hint="default" w:ascii="Times New Roman" w:hAnsi="Times New Roman" w:eastAsia="宋体" w:cs="Times New Roman"/>
      <w:lang w:val="en-US" w:eastAsia="zh-CN" w:bidi="ar-SA"/>
    </w:rPr>
  </w:style>
  <w:style w:type="paragraph" w:styleId="1067" w:customStyle="1">
    <w:name w:val="Table Paragraph"/>
    <w:basedOn w:val="789"/>
    <w:uiPriority w:val="1"/>
    <w:qFormat/>
    <w:rPr>
      <w:rFonts w:ascii="仿宋" w:hAnsi="仿宋" w:eastAsia="仿宋" w:cs="仿宋"/>
      <w:lang w:val="zh-CN" w:eastAsia="zh-CN" w:bidi="zh-CN"/>
    </w:rPr>
  </w:style>
  <w:style w:type="paragraph" w:styleId="1068" w:customStyle="1">
    <w:name w:val="目录 111"/>
    <w:basedOn w:val="817"/>
    <w:next w:val="817"/>
    <w:uiPriority w:val="0"/>
    <w:qFormat/>
    <w:pPr>
      <w:jc w:val="left"/>
      <w:spacing w:after="100" w:line="259" w:lineRule="auto"/>
      <w:widowControl/>
    </w:pPr>
    <w:rPr>
      <w:rFonts w:ascii="Calibri" w:hAnsi="Calibri"/>
      <w:sz w:val="22"/>
      <w:szCs w:val="22"/>
    </w:rPr>
  </w:style>
  <w:style w:type="paragraph" w:styleId="1069" w:customStyle="1">
    <w:name w:val="实心圆点"/>
    <w:basedOn w:val="806"/>
    <w:next w:val="806"/>
    <w:uiPriority w:val="0"/>
    <w:qFormat/>
    <w:pPr>
      <w:numPr>
        <w:ilvl w:val="0"/>
        <w:numId w:val="1"/>
      </w:numPr>
      <w:ind w:left="0" w:firstLine="200"/>
      <w:spacing w:after="0"/>
    </w:pPr>
  </w:style>
  <w:style w:type="character" w:styleId="1070" w:customStyle="1">
    <w:name w:val="font31"/>
    <w:basedOn w:val="799"/>
    <w:uiPriority w:val="0"/>
    <w:qFormat/>
    <w:rPr>
      <w:rFonts w:hint="eastAsia" w:ascii="宋体" w:hAnsi="宋体" w:eastAsia="宋体" w:cs="宋体"/>
      <w:color w:val="000000"/>
      <w:sz w:val="22"/>
      <w:szCs w:val="22"/>
      <w:u w:val="none"/>
    </w:rPr>
  </w:style>
  <w:style w:type="character" w:styleId="1071" w:customStyle="1">
    <w:name w:val="font41"/>
    <w:basedOn w:val="799"/>
    <w:uiPriority w:val="0"/>
    <w:qFormat/>
    <w:rPr>
      <w:rFonts w:ascii="Arial" w:hAnsi="Arial" w:cs="Arial"/>
      <w:color w:val="000000"/>
      <w:sz w:val="22"/>
      <w:szCs w:val="22"/>
      <w:u w:val="none"/>
    </w:rPr>
  </w:style>
  <w:style w:type="character" w:styleId="1072" w:customStyle="1">
    <w:name w:val="font11"/>
    <w:basedOn w:val="799"/>
    <w:uiPriority w:val="0"/>
    <w:qFormat/>
    <w:rPr>
      <w:rFonts w:hint="eastAsia" w:ascii="宋体" w:hAnsi="宋体" w:eastAsia="宋体" w:cs="宋体"/>
      <w:color w:val="000000"/>
      <w:sz w:val="22"/>
      <w:szCs w:val="22"/>
      <w:u w:val="none"/>
    </w:rPr>
  </w:style>
  <w:style w:type="paragraph" w:styleId="1073" w:customStyle="1">
    <w:name w:val="列出段落3"/>
    <w:basedOn w:val="817"/>
    <w:uiPriority w:val="0"/>
    <w:qFormat/>
    <w:pPr>
      <w:ind w:firstLine="420"/>
    </w:pPr>
    <w:rPr>
      <w:rFonts w:ascii="Calibri" w:hAnsi="Calibri" w:cs="Calibri"/>
      <w:szCs w:val="21"/>
    </w:rPr>
  </w:style>
  <w:style w:type="paragraph" w:styleId="1074" w:customStyle="1">
    <w:name w:val="正文121"/>
    <w:next w:val="1075"/>
    <w:uiPriority w:val="0"/>
    <w:qFormat/>
    <w:pPr>
      <w:jc w:val="both"/>
      <w:widowControl w:val="off"/>
    </w:pPr>
    <w:rPr>
      <w:rFonts w:hint="default" w:ascii="Calibri" w:hAnsi="Calibri" w:eastAsia="宋体" w:cs="Times New Roman"/>
      <w:sz w:val="21"/>
      <w:szCs w:val="24"/>
    </w:rPr>
  </w:style>
  <w:style w:type="paragraph" w:styleId="1075" w:customStyle="1">
    <w:name w:val="BlockQuote"/>
    <w:basedOn w:val="1074"/>
    <w:uiPriority w:val="0"/>
    <w:qFormat/>
    <w:pPr>
      <w:ind w:left="256" w:right="6" w:firstLine="624"/>
    </w:pPr>
    <w:rPr>
      <w:rFonts w:eastAsia="仿宋_GB2312"/>
      <w:sz w:val="28"/>
    </w:rPr>
  </w:style>
  <w:style w:type="table" w:styleId="1076" w:customStyle="1">
    <w:name w:val="网格型111"/>
    <w:uiPriority w:val="0"/>
    <w:qFormat/>
    <w:rPr>
      <w:lang w:val="en-US" w:eastAsia="zh-CN" w:bidi="ar-SA"/>
    </w:rPr>
    <w:tblPr/>
  </w:style>
  <w:style w:type="character" w:styleId="1077" w:customStyle="1">
    <w:name w:val="font51"/>
    <w:basedOn w:val="799"/>
    <w:uiPriority w:val="0"/>
    <w:qFormat/>
    <w:rPr>
      <w:rFonts w:hint="eastAsia" w:ascii="宋体" w:hAnsi="宋体" w:eastAsia="宋体" w:cs="宋体"/>
      <w:color w:val="000000"/>
      <w:sz w:val="20"/>
      <w:szCs w:val="20"/>
      <w:u w:val="none"/>
      <w:vertAlign w:val="superscript"/>
    </w:rPr>
  </w:style>
  <w:style w:type="paragraph" w:styleId="1078" w:customStyle="1">
    <w:name w:val="文本块111"/>
    <w:basedOn w:val="789"/>
    <w:next w:val="789"/>
    <w:uiPriority w:val="6"/>
    <w:unhideWhenUsed/>
    <w:qFormat/>
    <w:pPr>
      <w:ind w:left="1440" w:right="1440"/>
      <w:spacing w:after="120"/>
    </w:pPr>
  </w:style>
  <w:style w:type="character" w:styleId="1079" w:customStyle="1">
    <w:name w:val="NormalCharacter1"/>
    <w:uiPriority w:val="0"/>
    <w:semiHidden/>
    <w:qFormat/>
    <w:rPr>
      <w:rFonts w:ascii="Times New Roman" w:hAnsi="Times New Roman" w:eastAsia="宋体" w:cs="Times New Roman"/>
      <w:sz w:val="21"/>
      <w:szCs w:val="24"/>
      <w:lang w:val="en-US" w:eastAsia="zh-CN" w:bidi="ar-SA"/>
    </w:rPr>
  </w:style>
  <w:style w:type="paragraph" w:styleId="1080" w:customStyle="1">
    <w:name w:val="文本块1"/>
    <w:basedOn w:val="789"/>
    <w:uiPriority w:val="99"/>
    <w:unhideWhenUsed/>
    <w:qFormat/>
    <w:pPr>
      <w:ind w:left="1440" w:right="1440"/>
      <w:spacing w:after="120"/>
    </w:pPr>
  </w:style>
  <w:style w:type="paragraph" w:styleId="1081" w:customStyle="1">
    <w:name w:val="普通(网站)111"/>
    <w:basedOn w:val="789"/>
    <w:uiPriority w:val="99"/>
    <w:unhideWhenUsed/>
    <w:qFormat/>
    <w:pPr>
      <w:ind w:left="0" w:right="0"/>
      <w:jc w:val="left"/>
      <w:spacing w:before="100" w:beforeAutospacing="1" w:after="100" w:afterAutospacing="1"/>
    </w:pPr>
    <w:rPr>
      <w:sz w:val="24"/>
      <w:lang w:val="en-US" w:eastAsia="zh-CN" w:bidi="ar"/>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1FC42876-466B-499A-A341-C7CC53FD6ED4}"/>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司宸佳</cp:lastModifiedBy>
  <cp:revision>82</cp:revision>
  <dcterms:created xsi:type="dcterms:W3CDTF">2022-06-07T04:38:00Z</dcterms:created>
  <dcterms:modified xsi:type="dcterms:W3CDTF">2026-07-07T08:17:54Z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8EA2246F65ED48EFA2820D5D05AE3AEE_13</vt:lpwstr>
  </property>
  <property fmtid="{D5CDD505-2E9C-101B-9397-08002B2CF9AE}" pid="4" name="KSOTemplateDocerSaveRecord">
    <vt:lpwstr>eyJoZGlkIjoiN2Y5ZDdlY2M5YjI4YmY0NjYyZGYzYTViYjhmM2M1OTEiLCJ1c2VySWQiOiIzODQxMzQ1MjIifQ==</vt:lpwstr>
  </property>
</Properties>
</file>